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05352028" w14:textId="77777777" w:rsidTr="00F363FE">
        <w:tc>
          <w:tcPr>
            <w:tcW w:w="6512" w:type="dxa"/>
          </w:tcPr>
          <w:p w14:paraId="2C043E37" w14:textId="27D244FB"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846A0F">
              <w:rPr>
                <w:rFonts w:hint="cs"/>
                <w:b/>
                <w:bCs/>
                <w:rtl/>
                <w:lang w:bidi="ar-EG"/>
              </w:rPr>
              <w:t xml:space="preserve"> </w:t>
            </w:r>
            <w:r w:rsidR="00846A0F">
              <w:rPr>
                <w:b/>
                <w:bCs/>
                <w:lang w:bidi="ar-EG"/>
              </w:rPr>
              <w:t>PL 2</w:t>
            </w:r>
          </w:p>
        </w:tc>
        <w:tc>
          <w:tcPr>
            <w:tcW w:w="3117" w:type="dxa"/>
          </w:tcPr>
          <w:p w14:paraId="39D3962D" w14:textId="0DEF8AF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E30981">
              <w:rPr>
                <w:b/>
                <w:bCs/>
                <w:lang w:bidi="ar-EG"/>
              </w:rPr>
              <w:t>36</w:t>
            </w:r>
            <w:r w:rsidRPr="007B0AA0">
              <w:rPr>
                <w:b/>
                <w:bCs/>
                <w:lang w:bidi="ar-EG"/>
              </w:rPr>
              <w:t>-</w:t>
            </w:r>
            <w:r w:rsidR="00E30981">
              <w:rPr>
                <w:b/>
                <w:bCs/>
                <w:lang w:bidi="ar-EG"/>
              </w:rPr>
              <w:t>A</w:t>
            </w:r>
          </w:p>
        </w:tc>
      </w:tr>
      <w:tr w:rsidR="007B0AA0" w14:paraId="29C1D582" w14:textId="77777777" w:rsidTr="00F363FE">
        <w:tc>
          <w:tcPr>
            <w:tcW w:w="6512" w:type="dxa"/>
          </w:tcPr>
          <w:p w14:paraId="621F4FE8" w14:textId="77777777" w:rsidR="007B0AA0" w:rsidRPr="007B0AA0" w:rsidRDefault="007B0AA0" w:rsidP="00F363FE">
            <w:pPr>
              <w:spacing w:before="60" w:after="60" w:line="260" w:lineRule="exact"/>
              <w:rPr>
                <w:b/>
                <w:bCs/>
                <w:rtl/>
                <w:lang w:bidi="ar-EG"/>
              </w:rPr>
            </w:pPr>
          </w:p>
        </w:tc>
        <w:tc>
          <w:tcPr>
            <w:tcW w:w="3117" w:type="dxa"/>
          </w:tcPr>
          <w:p w14:paraId="66496C04" w14:textId="709F409E" w:rsidR="007B0AA0" w:rsidRPr="007B0AA0" w:rsidRDefault="00846A0F" w:rsidP="00F363FE">
            <w:pPr>
              <w:spacing w:before="60" w:after="60" w:line="260" w:lineRule="exact"/>
              <w:rPr>
                <w:b/>
                <w:bCs/>
                <w:rtl/>
                <w:lang w:bidi="ar-EG"/>
              </w:rPr>
            </w:pPr>
            <w:r w:rsidRPr="00ED3C4B">
              <w:rPr>
                <w:b/>
                <w:bCs/>
                <w:rtl/>
                <w:lang w:bidi="ar-EG"/>
              </w:rPr>
              <w:t>16 مايو 2025</w:t>
            </w:r>
          </w:p>
        </w:tc>
      </w:tr>
      <w:tr w:rsidR="007B0AA0" w14:paraId="08C1077B" w14:textId="77777777" w:rsidTr="00F363FE">
        <w:tc>
          <w:tcPr>
            <w:tcW w:w="6512" w:type="dxa"/>
          </w:tcPr>
          <w:p w14:paraId="0C289FF7" w14:textId="77777777" w:rsidR="007B0AA0" w:rsidRPr="007B0AA0" w:rsidRDefault="007B0AA0" w:rsidP="00F363FE">
            <w:pPr>
              <w:spacing w:before="60" w:after="60" w:line="260" w:lineRule="exact"/>
              <w:rPr>
                <w:b/>
                <w:bCs/>
                <w:rtl/>
                <w:lang w:bidi="ar-EG"/>
              </w:rPr>
            </w:pPr>
          </w:p>
        </w:tc>
        <w:tc>
          <w:tcPr>
            <w:tcW w:w="3117" w:type="dxa"/>
          </w:tcPr>
          <w:p w14:paraId="0D8D8201"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777E558" w14:textId="77777777" w:rsidTr="00F363FE">
        <w:tc>
          <w:tcPr>
            <w:tcW w:w="6512" w:type="dxa"/>
          </w:tcPr>
          <w:p w14:paraId="7048A61D" w14:textId="77777777" w:rsidR="007B0AA0" w:rsidRDefault="007B0AA0" w:rsidP="00F363FE">
            <w:pPr>
              <w:spacing w:before="60" w:after="60" w:line="260" w:lineRule="exact"/>
              <w:rPr>
                <w:lang w:bidi="ar-EG"/>
              </w:rPr>
            </w:pPr>
          </w:p>
        </w:tc>
        <w:tc>
          <w:tcPr>
            <w:tcW w:w="3117" w:type="dxa"/>
          </w:tcPr>
          <w:p w14:paraId="2E199BB9" w14:textId="77777777" w:rsidR="007B0AA0" w:rsidRDefault="007B0AA0" w:rsidP="00F363FE">
            <w:pPr>
              <w:spacing w:before="60" w:after="60" w:line="260" w:lineRule="exact"/>
              <w:rPr>
                <w:rtl/>
                <w:lang w:bidi="ar-EG"/>
              </w:rPr>
            </w:pPr>
          </w:p>
        </w:tc>
      </w:tr>
      <w:tr w:rsidR="007B0AA0" w14:paraId="2BE6177D" w14:textId="77777777" w:rsidTr="00EE7446">
        <w:tc>
          <w:tcPr>
            <w:tcW w:w="9629" w:type="dxa"/>
            <w:gridSpan w:val="2"/>
          </w:tcPr>
          <w:p w14:paraId="3DA63257" w14:textId="77777777" w:rsidR="007B0AA0" w:rsidRDefault="001D64C7" w:rsidP="007B0AA0">
            <w:pPr>
              <w:pStyle w:val="Source"/>
              <w:jc w:val="left"/>
              <w:rPr>
                <w:lang w:bidi="ar-EG"/>
              </w:rPr>
            </w:pPr>
            <w:r>
              <w:rPr>
                <w:rFonts w:hint="cs"/>
                <w:rtl/>
                <w:lang w:bidi="ar-EG"/>
              </w:rPr>
              <w:t>تقرير من الأمينة العامة</w:t>
            </w:r>
          </w:p>
        </w:tc>
      </w:tr>
      <w:tr w:rsidR="007B0AA0" w14:paraId="204BB2BC" w14:textId="77777777" w:rsidTr="007B0AA0">
        <w:tc>
          <w:tcPr>
            <w:tcW w:w="9629" w:type="dxa"/>
            <w:gridSpan w:val="2"/>
            <w:tcBorders>
              <w:bottom w:val="single" w:sz="4" w:space="0" w:color="auto"/>
            </w:tcBorders>
          </w:tcPr>
          <w:p w14:paraId="351FCEC2" w14:textId="4A4EF7F4" w:rsidR="007B0AA0" w:rsidRPr="005546CF" w:rsidRDefault="00846A0F" w:rsidP="00AA76B1">
            <w:pPr>
              <w:pStyle w:val="Subtitle0"/>
              <w:jc w:val="left"/>
              <w:rPr>
                <w:sz w:val="32"/>
                <w:szCs w:val="32"/>
              </w:rPr>
            </w:pPr>
            <w:r w:rsidRPr="00846A0F">
              <w:rPr>
                <w:sz w:val="32"/>
                <w:szCs w:val="32"/>
                <w:rtl/>
              </w:rPr>
              <w:t>دور الاتحاد الدولي للاتصالات في تنفيذ خطة "الفضاء ‏</w:t>
            </w:r>
            <w:r w:rsidRPr="00846A0F">
              <w:rPr>
                <w:sz w:val="32"/>
                <w:szCs w:val="32"/>
                <w:cs/>
              </w:rPr>
              <w:t>‎</w:t>
            </w:r>
            <w:r w:rsidRPr="00846A0F">
              <w:rPr>
                <w:sz w:val="32"/>
                <w:szCs w:val="32"/>
              </w:rPr>
              <w:t>2030</w:t>
            </w:r>
            <w:r w:rsidRPr="00846A0F">
              <w:rPr>
                <w:sz w:val="32"/>
                <w:szCs w:val="32"/>
                <w:cs/>
              </w:rPr>
              <w:t>‎</w:t>
            </w:r>
            <w:r w:rsidRPr="00846A0F">
              <w:rPr>
                <w:sz w:val="32"/>
                <w:szCs w:val="32"/>
                <w:rtl/>
              </w:rPr>
              <w:t xml:space="preserve">‏": الفضاء باعتباره محركاً </w:t>
            </w:r>
            <w:r w:rsidRPr="00846A0F">
              <w:rPr>
                <w:sz w:val="32"/>
                <w:szCs w:val="32"/>
                <w:cs/>
              </w:rPr>
              <w:t>‎‎</w:t>
            </w:r>
            <w:r w:rsidRPr="00846A0F">
              <w:rPr>
                <w:sz w:val="32"/>
                <w:szCs w:val="32"/>
                <w:rtl/>
              </w:rPr>
              <w:t>للتنمية المستدامة، وفي عملية متابعة تنفيذ الخطة واستعراضه</w:t>
            </w:r>
          </w:p>
        </w:tc>
      </w:tr>
      <w:tr w:rsidR="007B0AA0" w14:paraId="106A2F96" w14:textId="77777777" w:rsidTr="007B0AA0">
        <w:tc>
          <w:tcPr>
            <w:tcW w:w="9629" w:type="dxa"/>
            <w:gridSpan w:val="2"/>
            <w:tcBorders>
              <w:top w:val="single" w:sz="4" w:space="0" w:color="auto"/>
              <w:bottom w:val="single" w:sz="4" w:space="0" w:color="auto"/>
            </w:tcBorders>
          </w:tcPr>
          <w:p w14:paraId="13148A00" w14:textId="77777777" w:rsidR="007B0AA0" w:rsidRPr="007B0AA0" w:rsidRDefault="007B0AA0" w:rsidP="007B0AA0">
            <w:pPr>
              <w:rPr>
                <w:b/>
                <w:bCs/>
                <w:rtl/>
              </w:rPr>
            </w:pPr>
            <w:r w:rsidRPr="00494119">
              <w:rPr>
                <w:rFonts w:hint="cs"/>
                <w:b/>
                <w:bCs/>
                <w:rtl/>
              </w:rPr>
              <w:t>الغرض</w:t>
            </w:r>
          </w:p>
          <w:p w14:paraId="15FEE237" w14:textId="32C4A9A7" w:rsidR="007B0AA0" w:rsidRDefault="00846A0F" w:rsidP="007B0AA0">
            <w:pPr>
              <w:rPr>
                <w:rtl/>
              </w:rPr>
            </w:pPr>
            <w:r w:rsidRPr="00F0622B">
              <w:rPr>
                <w:rtl/>
              </w:rPr>
              <w:t>تفي هذه المساهمة بمتطلبات إعداد التقارير بموجب القرار 218</w:t>
            </w:r>
            <w:r w:rsidR="00275023">
              <w:rPr>
                <w:rFonts w:hint="cs"/>
                <w:rtl/>
              </w:rPr>
              <w:t> </w:t>
            </w:r>
            <w:r w:rsidRPr="00F0622B">
              <w:rPr>
                <w:rtl/>
              </w:rPr>
              <w:t>(بوخارست، 2022) لمؤتمر المندوبين المفوضين بشأن تنفيذ الاتحاد لخطة "الفضاء 2030".</w:t>
            </w:r>
          </w:p>
          <w:p w14:paraId="6E392501" w14:textId="77777777" w:rsidR="007B0AA0" w:rsidRPr="007B0AA0" w:rsidRDefault="007B0AA0" w:rsidP="007B0AA0">
            <w:pPr>
              <w:rPr>
                <w:b/>
                <w:bCs/>
                <w:rtl/>
              </w:rPr>
            </w:pPr>
            <w:r w:rsidRPr="007B0AA0">
              <w:rPr>
                <w:rFonts w:hint="cs"/>
                <w:b/>
                <w:bCs/>
                <w:rtl/>
              </w:rPr>
              <w:t>الإجراء المطلوب من المجلس</w:t>
            </w:r>
          </w:p>
          <w:p w14:paraId="214D8D14" w14:textId="19E3F6A2" w:rsidR="007B0AA0" w:rsidRDefault="00846A0F" w:rsidP="007B0AA0">
            <w:pPr>
              <w:rPr>
                <w:rtl/>
              </w:rPr>
            </w:pPr>
            <w:r w:rsidRPr="00F0622B">
              <w:rPr>
                <w:rtl/>
              </w:rPr>
              <w:t xml:space="preserve">يُدعى المجلس إلى </w:t>
            </w:r>
            <w:r w:rsidRPr="00F269A6">
              <w:rPr>
                <w:b/>
                <w:bCs/>
                <w:rtl/>
              </w:rPr>
              <w:t>الإحاطة علماً</w:t>
            </w:r>
            <w:r w:rsidRPr="00F0622B">
              <w:rPr>
                <w:rtl/>
              </w:rPr>
              <w:t xml:space="preserve"> بهذا التقرير.</w:t>
            </w:r>
          </w:p>
          <w:p w14:paraId="3729F987" w14:textId="2B0A1FF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605691E6" w14:textId="216E3DD0" w:rsidR="007B0AA0" w:rsidRDefault="00846A0F" w:rsidP="007B0AA0">
            <w:pPr>
              <w:rPr>
                <w:rtl/>
              </w:rPr>
            </w:pPr>
            <w:r>
              <w:rPr>
                <w:rFonts w:hint="cs"/>
                <w:rtl/>
              </w:rPr>
              <w:t xml:space="preserve">الأولوية </w:t>
            </w:r>
            <w:proofErr w:type="spellStart"/>
            <w:r>
              <w:rPr>
                <w:rFonts w:hint="cs"/>
                <w:rtl/>
              </w:rPr>
              <w:t>المواضيعية</w:t>
            </w:r>
            <w:proofErr w:type="spellEnd"/>
            <w:r>
              <w:rPr>
                <w:rFonts w:hint="cs"/>
                <w:rtl/>
              </w:rPr>
              <w:t xml:space="preserve"> - </w:t>
            </w:r>
            <w:r w:rsidRPr="00F0622B">
              <w:rPr>
                <w:rtl/>
              </w:rPr>
              <w:t xml:space="preserve">استخدام الطيف </w:t>
            </w:r>
            <w:r>
              <w:rPr>
                <w:rFonts w:hint="cs"/>
                <w:rtl/>
              </w:rPr>
              <w:t xml:space="preserve">من أجل </w:t>
            </w:r>
            <w:r w:rsidRPr="00F0622B">
              <w:rPr>
                <w:rtl/>
              </w:rPr>
              <w:t>خدمات الفضاء والأرض</w:t>
            </w:r>
            <w:r>
              <w:rPr>
                <w:rFonts w:hint="cs"/>
                <w:rtl/>
              </w:rPr>
              <w:t>.</w:t>
            </w:r>
          </w:p>
          <w:p w14:paraId="742806EF" w14:textId="77777777" w:rsidR="007B0AA0" w:rsidRDefault="007B0AA0" w:rsidP="00B97F32">
            <w:pPr>
              <w:rPr>
                <w:b/>
                <w:bCs/>
              </w:rPr>
            </w:pPr>
            <w:r w:rsidRPr="007B0AA0">
              <w:rPr>
                <w:rFonts w:hint="cs"/>
                <w:b/>
                <w:bCs/>
                <w:rtl/>
              </w:rPr>
              <w:t>الآثار المالية</w:t>
            </w:r>
          </w:p>
          <w:p w14:paraId="3E9EEB9F" w14:textId="3494AC05" w:rsidR="006F363C" w:rsidRPr="005546CF" w:rsidRDefault="00846A0F" w:rsidP="007B0AA0">
            <w:pPr>
              <w:rPr>
                <w:rtl/>
              </w:rPr>
            </w:pPr>
            <w:r w:rsidRPr="00F0622B">
              <w:rPr>
                <w:rtl/>
              </w:rPr>
              <w:t>في حدود الميزانية المخصصة للفترة 2024-2025</w:t>
            </w:r>
          </w:p>
          <w:p w14:paraId="71C202B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AEED2B0" w14:textId="77777777" w:rsidR="007B0AA0" w:rsidRPr="007B0AA0" w:rsidRDefault="007B0AA0" w:rsidP="007B0AA0">
            <w:pPr>
              <w:rPr>
                <w:b/>
                <w:bCs/>
                <w:rtl/>
              </w:rPr>
            </w:pPr>
            <w:r w:rsidRPr="007B0AA0">
              <w:rPr>
                <w:rFonts w:hint="cs"/>
                <w:b/>
                <w:bCs/>
                <w:rtl/>
              </w:rPr>
              <w:t>المراجع</w:t>
            </w:r>
          </w:p>
          <w:p w14:paraId="77158A5E" w14:textId="0B5CC651" w:rsidR="007B0AA0" w:rsidRPr="005546CF" w:rsidRDefault="00846A0F" w:rsidP="00846A0F">
            <w:pPr>
              <w:jc w:val="left"/>
              <w:rPr>
                <w:i/>
                <w:iCs/>
                <w:rtl/>
              </w:rPr>
            </w:pPr>
            <w:hyperlink r:id="rId8" w:history="1">
              <w:r w:rsidRPr="00846A0F">
                <w:rPr>
                  <w:rStyle w:val="Hyperlink"/>
                  <w:rFonts w:ascii="Dubai" w:eastAsiaTheme="minorEastAsia" w:hAnsi="Dubai" w:cs="Dubai"/>
                  <w:i/>
                  <w:iCs/>
                  <w:noProof w:val="0"/>
                  <w:sz w:val="22"/>
                  <w:rtl/>
                  <w:lang w:val="en-US" w:eastAsia="zh-CN"/>
                </w:rPr>
                <w:t xml:space="preserve">القرار </w:t>
              </w:r>
              <w:r w:rsidRPr="00846A0F">
                <w:rPr>
                  <w:rStyle w:val="Hyperlink"/>
                  <w:rFonts w:ascii="Dubai" w:eastAsiaTheme="minorEastAsia" w:hAnsi="Dubai" w:cs="Dubai"/>
                  <w:i/>
                  <w:iCs/>
                  <w:noProof w:val="0"/>
                  <w:sz w:val="22"/>
                  <w:cs/>
                  <w:lang w:val="en-US" w:eastAsia="zh-CN"/>
                </w:rPr>
                <w:t>‎</w:t>
              </w:r>
              <w:r w:rsidRPr="00846A0F">
                <w:rPr>
                  <w:rStyle w:val="Hyperlink"/>
                  <w:rFonts w:ascii="Dubai" w:eastAsiaTheme="minorEastAsia" w:hAnsi="Dubai" w:cs="Dubai"/>
                  <w:i/>
                  <w:iCs/>
                  <w:noProof w:val="0"/>
                  <w:sz w:val="22"/>
                  <w:lang w:val="en-US" w:eastAsia="zh-CN"/>
                </w:rPr>
                <w:t>218</w:t>
              </w:r>
            </w:hyperlink>
            <w:r w:rsidRPr="00846A0F">
              <w:rPr>
                <w:i/>
                <w:iCs/>
                <w:rtl/>
              </w:rPr>
              <w:t xml:space="preserve"> (‏بوخارست، </w:t>
            </w:r>
            <w:r w:rsidRPr="00846A0F">
              <w:rPr>
                <w:i/>
                <w:iCs/>
                <w:cs/>
              </w:rPr>
              <w:t>‎</w:t>
            </w:r>
            <w:r w:rsidRPr="00846A0F">
              <w:rPr>
                <w:i/>
                <w:iCs/>
              </w:rPr>
              <w:t>2022</w:t>
            </w:r>
            <w:r w:rsidRPr="00846A0F">
              <w:rPr>
                <w:i/>
                <w:iCs/>
                <w:rtl/>
              </w:rPr>
              <w:t>) ‏لمؤتمر المندوبين المفوضين</w:t>
            </w:r>
            <w:r w:rsidRPr="00846A0F">
              <w:rPr>
                <w:i/>
                <w:iCs/>
                <w:cs/>
              </w:rPr>
              <w:t>‎</w:t>
            </w:r>
            <w:r w:rsidR="00AB2269">
              <w:rPr>
                <w:rFonts w:hint="cs"/>
                <w:i/>
                <w:iCs/>
                <w:rtl/>
                <w:cs/>
              </w:rPr>
              <w:t xml:space="preserve">؛ </w:t>
            </w:r>
            <w:r w:rsidRPr="00846A0F">
              <w:rPr>
                <w:i/>
                <w:iCs/>
                <w:rtl/>
              </w:rPr>
              <w:t>‏</w:t>
            </w:r>
            <w:r w:rsidRPr="00846A0F">
              <w:rPr>
                <w:rFonts w:hint="cs"/>
                <w:i/>
                <w:iCs/>
                <w:rtl/>
              </w:rPr>
              <w:t>وثيقتا</w:t>
            </w:r>
            <w:r w:rsidRPr="00846A0F">
              <w:rPr>
                <w:i/>
                <w:iCs/>
                <w:rtl/>
              </w:rPr>
              <w:t xml:space="preserve"> المجلس </w:t>
            </w:r>
            <w:hyperlink r:id="rId9" w:history="1">
              <w:r w:rsidRPr="00846A0F">
                <w:rPr>
                  <w:rStyle w:val="Hyperlink"/>
                  <w:rFonts w:ascii="Dubai" w:eastAsiaTheme="minorEastAsia" w:hAnsi="Dubai" w:cs="Dubai"/>
                  <w:i/>
                  <w:iCs/>
                  <w:noProof w:val="0"/>
                  <w:sz w:val="22"/>
                  <w:lang w:val="en-US" w:eastAsia="zh-CN"/>
                </w:rPr>
                <w:t>C23/58</w:t>
              </w:r>
            </w:hyperlink>
            <w:r w:rsidRPr="00846A0F">
              <w:rPr>
                <w:rFonts w:hint="cs"/>
                <w:i/>
                <w:iCs/>
                <w:rtl/>
              </w:rPr>
              <w:t xml:space="preserve"> </w:t>
            </w:r>
            <w:r w:rsidRPr="00351483">
              <w:rPr>
                <w:i/>
                <w:iCs/>
                <w:rtl/>
              </w:rPr>
              <w:t>و</w:t>
            </w:r>
            <w:hyperlink r:id="rId10" w:history="1">
              <w:r w:rsidR="00275023" w:rsidRPr="00275023">
                <w:rPr>
                  <w:rStyle w:val="Hyperlink"/>
                  <w:rFonts w:ascii="Dubai" w:hAnsi="Dubai" w:cs="Dubai"/>
                  <w:i/>
                  <w:iCs/>
                  <w:sz w:val="22"/>
                </w:rPr>
                <w:t>C24/36</w:t>
              </w:r>
            </w:hyperlink>
          </w:p>
        </w:tc>
      </w:tr>
    </w:tbl>
    <w:p w14:paraId="54B055A6" w14:textId="77777777" w:rsidR="00E61BE8" w:rsidRDefault="00E61BE8" w:rsidP="00E61BE8">
      <w:pPr>
        <w:rPr>
          <w:rtl/>
          <w:lang w:bidi="ar-EG"/>
        </w:rPr>
      </w:pPr>
    </w:p>
    <w:p w14:paraId="0BD29813" w14:textId="77777777" w:rsidR="00F50E3F" w:rsidRDefault="00F50E3F" w:rsidP="0043260A">
      <w:pPr>
        <w:rPr>
          <w:rtl/>
          <w:lang w:bidi="ar-EG"/>
        </w:rPr>
      </w:pPr>
      <w:r>
        <w:rPr>
          <w:rtl/>
          <w:lang w:bidi="ar-EG"/>
        </w:rPr>
        <w:br w:type="page"/>
      </w:r>
    </w:p>
    <w:p w14:paraId="47661510" w14:textId="77777777" w:rsidR="00846A0F" w:rsidRPr="00275023" w:rsidRDefault="00846A0F" w:rsidP="00275023">
      <w:pPr>
        <w:pStyle w:val="Headingb"/>
        <w:rPr>
          <w:rtl/>
        </w:rPr>
      </w:pPr>
      <w:r w:rsidRPr="00B70A43">
        <w:rPr>
          <w:rtl/>
        </w:rPr>
        <w:lastRenderedPageBreak/>
        <w:t>خلفية</w:t>
      </w:r>
    </w:p>
    <w:p w14:paraId="3242DD48" w14:textId="7508731D" w:rsidR="00846A0F" w:rsidRDefault="00846A0F" w:rsidP="00DB1609">
      <w:pPr>
        <w:rPr>
          <w:rtl/>
          <w:lang w:bidi="ar-EG"/>
        </w:rPr>
      </w:pPr>
      <w:r>
        <w:rPr>
          <w:rtl/>
          <w:lang w:bidi="ar-EG"/>
        </w:rPr>
        <w:t>في خطة "الفضاء 2030" التي وضعتها لجنة الأمم المتحدة لاستخدام الفضاء الخارجي في الأغراض السلمية (</w:t>
      </w:r>
      <w:r>
        <w:rPr>
          <w:lang w:bidi="ar-EG"/>
        </w:rPr>
        <w:t>COPUOS</w:t>
      </w:r>
      <w:r>
        <w:rPr>
          <w:rtl/>
          <w:lang w:bidi="ar-EG"/>
        </w:rPr>
        <w:t>)، وضعت الدول الأعضاء رؤية</w:t>
      </w:r>
      <w:r w:rsidR="00E91306">
        <w:rPr>
          <w:rFonts w:hint="cs"/>
          <w:rtl/>
          <w:lang w:bidi="ar-EG"/>
        </w:rPr>
        <w:t>ً</w:t>
      </w:r>
      <w:r>
        <w:rPr>
          <w:rtl/>
          <w:lang w:bidi="ar-EG"/>
        </w:rPr>
        <w:t xml:space="preserve"> لتعزيز استخدام علوم وتكنولوجيا الفضاء لتحقيق خطة التنمية المستدامة لعام 2030.</w:t>
      </w:r>
    </w:p>
    <w:p w14:paraId="4A2FDE29" w14:textId="77777777" w:rsidR="00846A0F" w:rsidRDefault="00846A0F" w:rsidP="00DB1609">
      <w:pPr>
        <w:rPr>
          <w:rtl/>
          <w:lang w:bidi="ar-EG"/>
        </w:rPr>
      </w:pPr>
      <w:r>
        <w:rPr>
          <w:rtl/>
          <w:lang w:bidi="ar-EG"/>
        </w:rPr>
        <w:t xml:space="preserve">واعتمدت الجمعية العامة للأمم المتحدة خلال دورتها السادسة والسبعين التي عقدت في أكتوبر 2021، </w:t>
      </w:r>
      <w:r w:rsidRPr="00796A8A">
        <w:rPr>
          <w:rtl/>
          <w:lang w:bidi="ar-EG"/>
        </w:rPr>
        <w:t>خطة الفضاء 2030: الفضاء باعتباره محركاً للتنمية المستدامة</w:t>
      </w:r>
      <w:r>
        <w:rPr>
          <w:rtl/>
          <w:lang w:bidi="ar-EG"/>
        </w:rPr>
        <w:t>، والتي تضمنت أربعة أهداف شاملة:</w:t>
      </w:r>
    </w:p>
    <w:p w14:paraId="296A9DEB" w14:textId="77777777" w:rsidR="00846A0F" w:rsidRPr="00DB1609" w:rsidRDefault="00846A0F" w:rsidP="00DB1609">
      <w:pPr>
        <w:pStyle w:val="enumlev10"/>
        <w:rPr>
          <w:rtl/>
        </w:rPr>
      </w:pPr>
      <w:r>
        <w:rPr>
          <w:rtl/>
        </w:rPr>
        <w:t>1</w:t>
      </w:r>
      <w:r w:rsidRPr="00DB1609">
        <w:rPr>
          <w:rtl/>
        </w:rPr>
        <w:tab/>
        <w:t>تعزيز الفوائد الاقتصادية المستمدة من الفضاء وتدعيم دور قطاع الفضاء كمحرك رئيسي للتنمية المستدامة؛</w:t>
      </w:r>
    </w:p>
    <w:p w14:paraId="7A38FDBC" w14:textId="77777777" w:rsidR="00846A0F" w:rsidRPr="00DB1609" w:rsidRDefault="00846A0F" w:rsidP="00DB1609">
      <w:pPr>
        <w:pStyle w:val="enumlev10"/>
        <w:rPr>
          <w:rtl/>
        </w:rPr>
      </w:pPr>
      <w:r w:rsidRPr="00DB1609">
        <w:rPr>
          <w:rtl/>
        </w:rPr>
        <w:t>2</w:t>
      </w:r>
      <w:r w:rsidRPr="00DB1609">
        <w:rPr>
          <w:rtl/>
        </w:rPr>
        <w:tab/>
        <w:t>تسخير إمكانات الفضاء لحل المشكلات اليومية والاستفادة من الابتكارات ذات الصلة بالفضاء في تحسين نوعية الحياة؛</w:t>
      </w:r>
    </w:p>
    <w:p w14:paraId="776B0C6E" w14:textId="748BBB3F" w:rsidR="00846A0F" w:rsidRPr="00DB1609" w:rsidRDefault="00846A0F" w:rsidP="00DB1609">
      <w:pPr>
        <w:pStyle w:val="enumlev10"/>
        <w:rPr>
          <w:rtl/>
        </w:rPr>
      </w:pPr>
      <w:r w:rsidRPr="00DB1609">
        <w:rPr>
          <w:rtl/>
        </w:rPr>
        <w:t>3</w:t>
      </w:r>
      <w:r w:rsidRPr="00DB1609">
        <w:rPr>
          <w:rtl/>
        </w:rPr>
        <w:tab/>
        <w:t>تحسين س</w:t>
      </w:r>
      <w:r w:rsidR="00AD41AC" w:rsidRPr="00DB1609">
        <w:rPr>
          <w:rFonts w:hint="cs"/>
          <w:rtl/>
        </w:rPr>
        <w:t>ُ</w:t>
      </w:r>
      <w:r w:rsidRPr="00DB1609">
        <w:rPr>
          <w:rtl/>
        </w:rPr>
        <w:t>بل وصول الجميع إلى الفضاء وضمان انتفاع جميع البلدان اجتماعياً واقتصادياً من تطبيقات علوم وتكنولوجيا الفضاء والبيانات والمعلومات والمنتجات الفضائية، مما يدعم تحقيق أهداف التنمية المستدامة؛</w:t>
      </w:r>
    </w:p>
    <w:p w14:paraId="60C8D0F8" w14:textId="77777777" w:rsidR="00846A0F" w:rsidRDefault="00846A0F" w:rsidP="00DB1609">
      <w:pPr>
        <w:pStyle w:val="enumlev10"/>
        <w:rPr>
          <w:rtl/>
        </w:rPr>
      </w:pPr>
      <w:r w:rsidRPr="00DB1609">
        <w:rPr>
          <w:rtl/>
        </w:rPr>
        <w:t>4</w:t>
      </w:r>
      <w:r w:rsidRPr="00DB1609">
        <w:rPr>
          <w:rtl/>
        </w:rPr>
        <w:tab/>
        <w:t>بناء الشراكات وتوطيد التعاون الدولي في استخدام الفضاء الخارجي في الأغراض السلمية وفي الإدارة العالمية لأنشطة الفضاء</w:t>
      </w:r>
      <w:r w:rsidRPr="00DB1609">
        <w:rPr>
          <w:rFonts w:hint="cs"/>
          <w:rtl/>
        </w:rPr>
        <w:t> </w:t>
      </w:r>
      <w:r w:rsidRPr="00DB1609">
        <w:rPr>
          <w:rtl/>
        </w:rPr>
        <w:t>الخارجي.</w:t>
      </w:r>
    </w:p>
    <w:p w14:paraId="1305A16C" w14:textId="77777777" w:rsidR="00846A0F" w:rsidRDefault="00846A0F" w:rsidP="00DB1609">
      <w:pPr>
        <w:rPr>
          <w:rtl/>
          <w:lang w:bidi="ar-EG"/>
        </w:rPr>
      </w:pPr>
      <w:r>
        <w:rPr>
          <w:rtl/>
          <w:lang w:bidi="ar-EG"/>
        </w:rPr>
        <w:t>وفي إطار تنفيذ خطة "الفضاء 2030"، تُدعى الدول الأعضاء إلى المساهمة من خلال الشراكات والأدوات والموارد.</w:t>
      </w:r>
    </w:p>
    <w:p w14:paraId="5A0E7237" w14:textId="77777777" w:rsidR="00846A0F" w:rsidRPr="00AD41AC" w:rsidRDefault="00846A0F" w:rsidP="00DB1609">
      <w:pPr>
        <w:rPr>
          <w:spacing w:val="-2"/>
          <w:lang w:bidi="ar-EG"/>
        </w:rPr>
      </w:pPr>
      <w:r w:rsidRPr="00AD41AC">
        <w:rPr>
          <w:spacing w:val="-2"/>
          <w:rtl/>
          <w:lang w:bidi="ar-EG"/>
        </w:rPr>
        <w:t>ويعمل مكتب الأمم المتحدة لشؤون الفضاء الخارجي (</w:t>
      </w:r>
      <w:r w:rsidRPr="00AD41AC">
        <w:rPr>
          <w:spacing w:val="-2"/>
          <w:lang w:bidi="ar-EG"/>
        </w:rPr>
        <w:t>UNOOSA</w:t>
      </w:r>
      <w:r w:rsidRPr="00AD41AC">
        <w:rPr>
          <w:spacing w:val="-2"/>
          <w:rtl/>
          <w:lang w:bidi="ar-EG"/>
        </w:rPr>
        <w:t>) بوصفه أمانة لجنة استخدام الفضاء الخارجي في</w:t>
      </w:r>
      <w:r w:rsidRPr="00AD41AC">
        <w:rPr>
          <w:rFonts w:hint="cs"/>
          <w:spacing w:val="-2"/>
          <w:rtl/>
          <w:lang w:bidi="ar-EG"/>
        </w:rPr>
        <w:t> </w:t>
      </w:r>
      <w:r w:rsidRPr="00AD41AC">
        <w:rPr>
          <w:spacing w:val="-2"/>
          <w:rtl/>
          <w:lang w:bidi="ar-EG"/>
        </w:rPr>
        <w:t>الأغراض السلمية وينسق تنفيذ خطة "الفضاء 2030".</w:t>
      </w:r>
    </w:p>
    <w:p w14:paraId="77409AD8" w14:textId="7CB831E4" w:rsidR="00846A0F" w:rsidRDefault="00846A0F" w:rsidP="00DB1609">
      <w:pPr>
        <w:rPr>
          <w:rtl/>
          <w:lang w:bidi="ar-EG"/>
        </w:rPr>
      </w:pPr>
      <w:r>
        <w:rPr>
          <w:rtl/>
          <w:lang w:bidi="ar-EG"/>
        </w:rPr>
        <w:t>وأقر مؤتمر المندوبين المفوضين لعام 2022 (</w:t>
      </w:r>
      <w:r>
        <w:rPr>
          <w:lang w:bidi="ar-EG"/>
        </w:rPr>
        <w:t>PP-22</w:t>
      </w:r>
      <w:r>
        <w:rPr>
          <w:rtl/>
          <w:lang w:bidi="ar-EG"/>
        </w:rPr>
        <w:t>) بأن الاتحاد يقوم بدور</w:t>
      </w:r>
      <w:r w:rsidR="00E91306">
        <w:rPr>
          <w:rFonts w:hint="cs"/>
          <w:rtl/>
          <w:lang w:bidi="ar-EG"/>
        </w:rPr>
        <w:t>ٍ</w:t>
      </w:r>
      <w:r>
        <w:rPr>
          <w:rtl/>
          <w:lang w:bidi="ar-EG"/>
        </w:rPr>
        <w:t xml:space="preserve"> أساسي</w:t>
      </w:r>
      <w:r w:rsidR="00E91306">
        <w:rPr>
          <w:rFonts w:hint="cs"/>
          <w:rtl/>
          <w:lang w:bidi="ar-EG"/>
        </w:rPr>
        <w:t>ٍ</w:t>
      </w:r>
      <w:r>
        <w:rPr>
          <w:rtl/>
          <w:lang w:bidi="ar-EG"/>
        </w:rPr>
        <w:t xml:space="preserve"> في تحقيق أهداف الخطة. ومن هذا المنطلق، اعتمد المؤتمر القرار 218 (بوخارست، 2022) حيث</w:t>
      </w:r>
      <w:r>
        <w:rPr>
          <w:rFonts w:hint="eastAsia"/>
          <w:rtl/>
          <w:lang w:bidi="ar-EG"/>
        </w:rPr>
        <w:t> </w:t>
      </w:r>
      <w:r w:rsidRPr="00E4531F">
        <w:rPr>
          <w:i/>
          <w:iCs/>
          <w:rtl/>
          <w:lang w:bidi="ar-EG"/>
        </w:rPr>
        <w:t>قرر</w:t>
      </w:r>
      <w:r>
        <w:rPr>
          <w:rtl/>
          <w:lang w:bidi="ar-EG"/>
        </w:rPr>
        <w:t>،</w:t>
      </w:r>
    </w:p>
    <w:p w14:paraId="04813BC5" w14:textId="77777777" w:rsidR="00846A0F" w:rsidRPr="00DB1609" w:rsidRDefault="00846A0F" w:rsidP="00DB1609">
      <w:pPr>
        <w:pStyle w:val="enumlev10"/>
        <w:rPr>
          <w:rtl/>
        </w:rPr>
      </w:pPr>
      <w:r>
        <w:rPr>
          <w:rtl/>
        </w:rPr>
        <w:t>1</w:t>
      </w:r>
      <w:r w:rsidRPr="00DB1609">
        <w:rPr>
          <w:rtl/>
        </w:rPr>
        <w:tab/>
        <w:t>أن يدعم الاتحاد تنفيذ خطة "الفضاء 2030"، خاصة الأجزاء ذات الصلة بالخدمات الفضائية، من الهدف الشامل</w:t>
      </w:r>
      <w:r w:rsidRPr="00DB1609">
        <w:rPr>
          <w:rFonts w:hint="cs"/>
          <w:rtl/>
        </w:rPr>
        <w:t> </w:t>
      </w:r>
      <w:r w:rsidRPr="00DB1609">
        <w:rPr>
          <w:rtl/>
        </w:rPr>
        <w:t xml:space="preserve">3 المذكور في الفقرة </w:t>
      </w:r>
      <w:r w:rsidRPr="002439FF">
        <w:rPr>
          <w:i/>
          <w:iCs/>
          <w:rtl/>
        </w:rPr>
        <w:t>ب)</w:t>
      </w:r>
      <w:r w:rsidRPr="00DB1609">
        <w:rPr>
          <w:rtl/>
        </w:rPr>
        <w:t xml:space="preserve"> من "</w:t>
      </w:r>
      <w:r w:rsidRPr="00DB1609">
        <w:rPr>
          <w:rFonts w:hint="cs"/>
          <w:rtl/>
        </w:rPr>
        <w:t> </w:t>
      </w:r>
      <w:r w:rsidRPr="00DB1609">
        <w:rPr>
          <w:i/>
          <w:iCs/>
          <w:rtl/>
        </w:rPr>
        <w:t>إذ يذكِّر</w:t>
      </w:r>
      <w:r w:rsidRPr="00DB1609">
        <w:rPr>
          <w:rtl/>
        </w:rPr>
        <w:t>" أعلاه، مع مراعاة الدور المتفرد للاتحاد فيما يتعلق بالنفاذ إلى طيف الترددات الراديوية والمدارات الساتلية ذات الصلة، وفقاً للمادة 44 من الدستور؛</w:t>
      </w:r>
    </w:p>
    <w:p w14:paraId="6CDEAC3C" w14:textId="62904D37" w:rsidR="00846A0F" w:rsidRPr="00DB1609" w:rsidRDefault="00846A0F" w:rsidP="00DB1609">
      <w:pPr>
        <w:pStyle w:val="enumlev10"/>
        <w:rPr>
          <w:rtl/>
        </w:rPr>
      </w:pPr>
      <w:r w:rsidRPr="00DB1609">
        <w:rPr>
          <w:rtl/>
        </w:rPr>
        <w:t>2</w:t>
      </w:r>
      <w:r w:rsidRPr="00DB1609">
        <w:rPr>
          <w:rtl/>
        </w:rPr>
        <w:tab/>
        <w:t xml:space="preserve">أن تنفيذ الفقرة 1 </w:t>
      </w:r>
      <w:r w:rsidRPr="00DB1609">
        <w:rPr>
          <w:rFonts w:hint="cs"/>
          <w:rtl/>
        </w:rPr>
        <w:t xml:space="preserve">من </w:t>
      </w:r>
      <w:r w:rsidRPr="00DB1609">
        <w:rPr>
          <w:rtl/>
        </w:rPr>
        <w:t>"</w:t>
      </w:r>
      <w:r w:rsidRPr="00DB1609">
        <w:rPr>
          <w:i/>
          <w:iCs/>
          <w:rtl/>
        </w:rPr>
        <w:t>يقرر</w:t>
      </w:r>
      <w:r w:rsidRPr="00DB1609">
        <w:rPr>
          <w:rtl/>
        </w:rPr>
        <w:t xml:space="preserve">" أعلاه ينبغي أن يستفيد من مشاركة الحضور الإقليمي للاتحاد مع إيلاء اهتمام خاص للبلدان النامية وأقل البلدان نمواً </w:t>
      </w:r>
      <w:r w:rsidRPr="00DB1609">
        <w:t>(LDC)</w:t>
      </w:r>
      <w:r w:rsidRPr="00DB1609">
        <w:rPr>
          <w:rFonts w:hint="cs"/>
          <w:rtl/>
        </w:rPr>
        <w:t xml:space="preserve"> </w:t>
      </w:r>
      <w:r w:rsidRPr="00DB1609">
        <w:rPr>
          <w:rtl/>
        </w:rPr>
        <w:t>والدول الجزرية الصغيرة النامية</w:t>
      </w:r>
      <w:r w:rsidRPr="00DB1609">
        <w:rPr>
          <w:rFonts w:hint="cs"/>
          <w:rtl/>
        </w:rPr>
        <w:t xml:space="preserve"> </w:t>
      </w:r>
      <w:r w:rsidRPr="00DB1609">
        <w:t>(SIDS)</w:t>
      </w:r>
      <w:r w:rsidRPr="00DB1609">
        <w:rPr>
          <w:rtl/>
        </w:rPr>
        <w:t xml:space="preserve"> والبلدان النامية </w:t>
      </w:r>
      <w:r w:rsidR="00DB1609" w:rsidRPr="00DB1609">
        <w:rPr>
          <w:rFonts w:hint="cs"/>
          <w:rtl/>
        </w:rPr>
        <w:t>المحاطة باليابسة</w:t>
      </w:r>
      <w:r w:rsidR="00AD41AC" w:rsidRPr="00DB1609">
        <w:rPr>
          <w:rFonts w:hint="cs"/>
          <w:rtl/>
        </w:rPr>
        <w:t xml:space="preserve"> </w:t>
      </w:r>
      <w:r w:rsidRPr="00DB1609">
        <w:t>(LLDC)</w:t>
      </w:r>
      <w:r w:rsidRPr="00DB1609">
        <w:rPr>
          <w:rtl/>
        </w:rPr>
        <w:t>؛</w:t>
      </w:r>
    </w:p>
    <w:p w14:paraId="3582786D" w14:textId="076660FB" w:rsidR="00846A0F" w:rsidRPr="00DB1609" w:rsidRDefault="00846A0F" w:rsidP="00DB1609">
      <w:pPr>
        <w:pStyle w:val="enumlev10"/>
        <w:rPr>
          <w:rtl/>
        </w:rPr>
      </w:pPr>
      <w:r w:rsidRPr="00DB1609">
        <w:rPr>
          <w:rtl/>
        </w:rPr>
        <w:t>3</w:t>
      </w:r>
      <w:r w:rsidRPr="00DB1609">
        <w:rPr>
          <w:rtl/>
        </w:rPr>
        <w:tab/>
        <w:t>أن يواصل مكتب الاتصالات الراديوية (</w:t>
      </w:r>
      <w:r w:rsidRPr="00DB1609">
        <w:t>BR</w:t>
      </w:r>
      <w:r w:rsidRPr="00DB1609">
        <w:rPr>
          <w:rtl/>
        </w:rPr>
        <w:t>) ومكتب تنمية الاتصالات (</w:t>
      </w:r>
      <w:r w:rsidRPr="00DB1609">
        <w:t>BDT</w:t>
      </w:r>
      <w:r w:rsidRPr="00DB1609">
        <w:rPr>
          <w:rtl/>
        </w:rPr>
        <w:t xml:space="preserve">) في الاتحاد مساعدة البلدان النامية وأقل البلدان نمواً والدول الجزرية الصغيرة النامية والبلدان النامية </w:t>
      </w:r>
      <w:r w:rsidR="00AA76B1" w:rsidRPr="00DB1609">
        <w:rPr>
          <w:rtl/>
        </w:rPr>
        <w:t>المحاطة باليابسة</w:t>
      </w:r>
      <w:r w:rsidR="00AA76B1" w:rsidRPr="00DB1609">
        <w:rPr>
          <w:rFonts w:hint="eastAsia"/>
          <w:rtl/>
        </w:rPr>
        <w:t> </w:t>
      </w:r>
      <w:r w:rsidRPr="00DB1609">
        <w:rPr>
          <w:rtl/>
        </w:rPr>
        <w:t>في النفاذ إلى طيف الترددات الراديوية والمدارات الساتلية ذات الصلة، ولا</w:t>
      </w:r>
      <w:r w:rsidR="00DA6B42">
        <w:rPr>
          <w:rFonts w:hint="cs"/>
          <w:rtl/>
        </w:rPr>
        <w:t> </w:t>
      </w:r>
      <w:r w:rsidRPr="00DB1609">
        <w:rPr>
          <w:rtl/>
        </w:rPr>
        <w:t>سيما لتحقيق أهداف خطة "الفضاء 2030"</w:t>
      </w:r>
      <w:r w:rsidRPr="00DB1609">
        <w:rPr>
          <w:rFonts w:hint="cs"/>
          <w:rtl/>
        </w:rPr>
        <w:t>.</w:t>
      </w:r>
    </w:p>
    <w:p w14:paraId="6952C689" w14:textId="77777777" w:rsidR="00846A0F" w:rsidRDefault="00846A0F" w:rsidP="00DA6B42">
      <w:pPr>
        <w:pStyle w:val="Headingb0"/>
        <w:rPr>
          <w:rtl/>
          <w:lang w:bidi="ar-EG"/>
        </w:rPr>
      </w:pPr>
      <w:r w:rsidRPr="00DB1609">
        <w:rPr>
          <w:rtl/>
        </w:rPr>
        <w:t>تقديم التقارير عن تنفيذ الاتحاد</w:t>
      </w:r>
      <w:r>
        <w:rPr>
          <w:rtl/>
          <w:lang w:bidi="ar-EG"/>
        </w:rPr>
        <w:t xml:space="preserve"> لخطة الفضاء 2030</w:t>
      </w:r>
    </w:p>
    <w:p w14:paraId="279766EA" w14:textId="2A7082ED" w:rsidR="00846A0F" w:rsidRPr="00DA6B42" w:rsidRDefault="00846A0F" w:rsidP="00846A0F">
      <w:pPr>
        <w:rPr>
          <w:rtl/>
          <w:lang w:bidi="ar-EG"/>
        </w:rPr>
      </w:pPr>
      <w:r>
        <w:rPr>
          <w:rtl/>
          <w:lang w:bidi="ar-EG"/>
        </w:rPr>
        <w:t xml:space="preserve">كلّف القرار 218 (بوخارست، 2022) </w:t>
      </w:r>
      <w:r w:rsidRPr="002439FF">
        <w:rPr>
          <w:rtl/>
          <w:lang w:bidi="ar-EG"/>
        </w:rPr>
        <w:t>الأمين</w:t>
      </w:r>
      <w:r>
        <w:rPr>
          <w:rtl/>
          <w:lang w:bidi="ar-EG"/>
        </w:rPr>
        <w:t xml:space="preserve"> العام للاتحاد ومديري المكاتب </w:t>
      </w:r>
      <w:r w:rsidRPr="00DA6B42">
        <w:rPr>
          <w:rtl/>
          <w:lang w:bidi="ar-EG"/>
        </w:rPr>
        <w:t>بعدة أمور، من بينها:</w:t>
      </w:r>
    </w:p>
    <w:p w14:paraId="7653DD1F" w14:textId="77777777" w:rsidR="00846A0F" w:rsidRPr="00DA6B42" w:rsidRDefault="00846A0F" w:rsidP="00DA6B42">
      <w:pPr>
        <w:pStyle w:val="enumlev10"/>
        <w:rPr>
          <w:rtl/>
        </w:rPr>
      </w:pPr>
      <w:r>
        <w:rPr>
          <w:rtl/>
        </w:rPr>
        <w:t>1</w:t>
      </w:r>
      <w:r>
        <w:rPr>
          <w:rtl/>
        </w:rPr>
        <w:tab/>
      </w:r>
      <w:r w:rsidRPr="00DA6B42">
        <w:rPr>
          <w:rtl/>
        </w:rPr>
        <w:t xml:space="preserve">تقديم تقرير شامل إلى مجلس الاتحاد سنوياً عن حالة الخطط التي تحكمها </w:t>
      </w:r>
      <w:proofErr w:type="spellStart"/>
      <w:r w:rsidRPr="00DA6B42">
        <w:rPr>
          <w:rtl/>
        </w:rPr>
        <w:t>التذييلات</w:t>
      </w:r>
      <w:proofErr w:type="spellEnd"/>
      <w:r w:rsidRPr="00DA6B42">
        <w:rPr>
          <w:rtl/>
        </w:rPr>
        <w:t xml:space="preserve"> </w:t>
      </w:r>
      <w:r w:rsidRPr="00DA6B42">
        <w:rPr>
          <w:b/>
          <w:bCs/>
          <w:rtl/>
        </w:rPr>
        <w:t>30</w:t>
      </w:r>
      <w:r w:rsidRPr="00DA6B42">
        <w:rPr>
          <w:rtl/>
        </w:rPr>
        <w:t xml:space="preserve"> و</w:t>
      </w:r>
      <w:r w:rsidRPr="00DA6B42">
        <w:rPr>
          <w:b/>
          <w:bCs/>
        </w:rPr>
        <w:t>30A</w:t>
      </w:r>
      <w:r w:rsidRPr="00DA6B42">
        <w:rPr>
          <w:rtl/>
        </w:rPr>
        <w:t xml:space="preserve"> و</w:t>
      </w:r>
      <w:r w:rsidRPr="00DA6B42">
        <w:rPr>
          <w:b/>
          <w:bCs/>
        </w:rPr>
        <w:t>30B</w:t>
      </w:r>
      <w:r w:rsidRPr="00DA6B42">
        <w:rPr>
          <w:rFonts w:hint="cs"/>
          <w:rtl/>
        </w:rPr>
        <w:t xml:space="preserve"> </w:t>
      </w:r>
      <w:r w:rsidRPr="00DA6B42">
        <w:rPr>
          <w:rtl/>
        </w:rPr>
        <w:t>للوائح الراديو، مع إبراز حالة البلدان النامية وأي تحدٍ يتعلق بتنفيذ تلك الخطط، مثل تطور الحالات المرجعية لمختلف تخصيصات وتعيينات التردد، بما في ذلك أي صعوبات ومشاكل تواجه مكتب الاتصالات الراديوية في تنفيذ هذه الخطط وكذلك المشكلات التي أبلغت عنها الإدارات إلى المكتب؛ (الفقرة 2 من "</w:t>
      </w:r>
      <w:r w:rsidRPr="00DA6B42">
        <w:rPr>
          <w:i/>
          <w:iCs/>
          <w:rtl/>
        </w:rPr>
        <w:t>يكلف</w:t>
      </w:r>
      <w:r w:rsidRPr="00DA6B42">
        <w:rPr>
          <w:rtl/>
        </w:rPr>
        <w:t>")</w:t>
      </w:r>
    </w:p>
    <w:p w14:paraId="0A56DE5C" w14:textId="77777777" w:rsidR="00846A0F" w:rsidRPr="00DA6B42" w:rsidRDefault="00846A0F" w:rsidP="00DA6B42">
      <w:pPr>
        <w:pStyle w:val="enumlev10"/>
        <w:rPr>
          <w:rtl/>
        </w:rPr>
      </w:pPr>
      <w:r w:rsidRPr="00DA6B42">
        <w:rPr>
          <w:rtl/>
        </w:rPr>
        <w:t>2</w:t>
      </w:r>
      <w:r w:rsidRPr="00DA6B42">
        <w:rPr>
          <w:rtl/>
        </w:rPr>
        <w:tab/>
        <w:t>تقديم تقرير إلى المجلس سنوياً عن دور الاتحاد في تنفيذ خطة "الفضاء 2030"؛ (الفقرة 3 من "</w:t>
      </w:r>
      <w:r w:rsidRPr="00DA6B42">
        <w:rPr>
          <w:i/>
          <w:iCs/>
          <w:rtl/>
        </w:rPr>
        <w:t>يكلف</w:t>
      </w:r>
      <w:r w:rsidRPr="00DA6B42">
        <w:rPr>
          <w:rtl/>
        </w:rPr>
        <w:t>")</w:t>
      </w:r>
    </w:p>
    <w:p w14:paraId="419D18B5" w14:textId="77777777" w:rsidR="00846A0F" w:rsidRPr="00DA6B42" w:rsidRDefault="00846A0F" w:rsidP="00DA6B42">
      <w:pPr>
        <w:pStyle w:val="enumlev10"/>
        <w:rPr>
          <w:rtl/>
        </w:rPr>
      </w:pPr>
      <w:r w:rsidRPr="00DA6B42">
        <w:rPr>
          <w:rtl/>
        </w:rPr>
        <w:t>3</w:t>
      </w:r>
      <w:r w:rsidRPr="00DA6B42">
        <w:rPr>
          <w:rtl/>
        </w:rPr>
        <w:tab/>
        <w:t>تقديم تقرير إلى المجلس عن جلسات اجتماع الأمم المتحدة المشترك بين الوكالات بشأن أنشطة الفضاء الخارجي</w:t>
      </w:r>
      <w:r w:rsidRPr="00DA6B42">
        <w:rPr>
          <w:rFonts w:hint="cs"/>
          <w:rtl/>
        </w:rPr>
        <w:t> </w:t>
      </w:r>
      <w:r w:rsidRPr="00DA6B42">
        <w:rPr>
          <w:rtl/>
        </w:rPr>
        <w:t>(</w:t>
      </w:r>
      <w:r w:rsidRPr="00DA6B42">
        <w:t>UN-Space</w:t>
      </w:r>
      <w:r w:rsidRPr="00DA6B42">
        <w:rPr>
          <w:rtl/>
        </w:rPr>
        <w:t>) والتدابير قيد التنفيذ لتعزيز أوجه التآزر وتجنب ازدواجية الجهود فيما يتعلق باستخدام تكنولوجيا الفضاء. (الفقرة 8 من "</w:t>
      </w:r>
      <w:r w:rsidRPr="00DA6B42">
        <w:rPr>
          <w:i/>
          <w:iCs/>
          <w:rtl/>
        </w:rPr>
        <w:t>يكلف</w:t>
      </w:r>
      <w:r w:rsidRPr="00DA6B42">
        <w:rPr>
          <w:rtl/>
        </w:rPr>
        <w:t>")</w:t>
      </w:r>
    </w:p>
    <w:p w14:paraId="42C9B4D1" w14:textId="6C97BA85" w:rsidR="00846A0F" w:rsidRDefault="00846A0F" w:rsidP="00846A0F">
      <w:pPr>
        <w:rPr>
          <w:rtl/>
          <w:lang w:bidi="ar-EG"/>
        </w:rPr>
      </w:pPr>
      <w:r w:rsidRPr="005C5AF1">
        <w:rPr>
          <w:rtl/>
          <w:lang w:bidi="ar-EG"/>
        </w:rPr>
        <w:t xml:space="preserve">وترد التقارير عن كل من المسائل المذكورة أعلاه في </w:t>
      </w:r>
      <w:r>
        <w:rPr>
          <w:rFonts w:hint="cs"/>
          <w:rtl/>
          <w:lang w:bidi="ar-EG"/>
        </w:rPr>
        <w:t xml:space="preserve">الوثيقة </w:t>
      </w:r>
      <w:hyperlink r:id="rId11" w:history="1">
        <w:r w:rsidRPr="00AA76B1">
          <w:rPr>
            <w:rStyle w:val="Hyperlink"/>
            <w:rFonts w:ascii="Dubai" w:eastAsiaTheme="minorEastAsia" w:hAnsi="Dubai" w:cs="Dubai"/>
            <w:noProof w:val="0"/>
            <w:sz w:val="22"/>
            <w:lang w:eastAsia="zh-CN" w:bidi="ar-EG"/>
          </w:rPr>
          <w:t>C25/INF/3</w:t>
        </w:r>
      </w:hyperlink>
      <w:r w:rsidRPr="005C5AF1">
        <w:rPr>
          <w:rtl/>
          <w:lang w:bidi="ar-EG"/>
        </w:rPr>
        <w:t>.</w:t>
      </w:r>
    </w:p>
    <w:p w14:paraId="4F2A8054" w14:textId="77777777" w:rsidR="00846A0F" w:rsidRDefault="00846A0F" w:rsidP="00AA76B1">
      <w:pPr>
        <w:pStyle w:val="Headingb0"/>
        <w:rPr>
          <w:rtl/>
        </w:rPr>
      </w:pPr>
      <w:r>
        <w:rPr>
          <w:rtl/>
          <w:lang w:bidi="ar-EG"/>
        </w:rPr>
        <w:lastRenderedPageBreak/>
        <w:t>أبرز أنشطة الاتحاد الحديثة والمخططة</w:t>
      </w:r>
    </w:p>
    <w:p w14:paraId="2C89FE85" w14:textId="3A6B468D" w:rsidR="00846A0F" w:rsidRPr="00B477DD" w:rsidRDefault="00AA76B1" w:rsidP="00AA76B1">
      <w:pPr>
        <w:pStyle w:val="enumlev10"/>
        <w:rPr>
          <w:b/>
          <w:bCs/>
        </w:rPr>
      </w:pPr>
      <w:r w:rsidRPr="00B477DD">
        <w:t>–</w:t>
      </w:r>
      <w:r w:rsidRPr="00B477DD">
        <w:rPr>
          <w:cs/>
        </w:rPr>
        <w:t>‎</w:t>
      </w:r>
      <w:r w:rsidR="00846A0F" w:rsidRPr="00B477DD">
        <w:rPr>
          <w:rtl/>
        </w:rPr>
        <w:tab/>
        <w:t xml:space="preserve">عقدت النسخة الأولى من </w:t>
      </w:r>
      <w:hyperlink r:id="rId12" w:anchor="/ar" w:history="1">
        <w:r w:rsidR="00846A0F" w:rsidRPr="00AA76B1">
          <w:rPr>
            <w:rStyle w:val="Hyperlink"/>
            <w:rFonts w:ascii="Dubai" w:eastAsiaTheme="minorEastAsia" w:hAnsi="Dubai" w:cs="Dubai"/>
            <w:noProof w:val="0"/>
            <w:sz w:val="22"/>
            <w:rtl/>
            <w:lang w:val="en-US" w:eastAsia="zh-CN"/>
          </w:rPr>
          <w:t>منتدى استدامة الفضاء</w:t>
        </w:r>
      </w:hyperlink>
      <w:r w:rsidR="00846A0F" w:rsidRPr="00B477DD">
        <w:rPr>
          <w:rtl/>
        </w:rPr>
        <w:t xml:space="preserve"> يوم</w:t>
      </w:r>
      <w:r w:rsidR="00741F25">
        <w:rPr>
          <w:rFonts w:hint="cs"/>
          <w:rtl/>
        </w:rPr>
        <w:t>َ</w:t>
      </w:r>
      <w:r w:rsidR="00846A0F" w:rsidRPr="00B477DD">
        <w:rPr>
          <w:rtl/>
        </w:rPr>
        <w:t>ي 10 و11 سبتمبر 2024 في مقر ‏الاتحاد. وجمع المنتدى</w:t>
      </w:r>
      <w:r w:rsidR="00846A0F">
        <w:rPr>
          <w:rFonts w:hint="cs"/>
          <w:rtl/>
        </w:rPr>
        <w:t xml:space="preserve"> تحت لواء واحد</w:t>
      </w:r>
      <w:r w:rsidR="00846A0F" w:rsidRPr="00B477DD">
        <w:rPr>
          <w:rtl/>
        </w:rPr>
        <w:t xml:space="preserve"> كبار القادة والخبراء من صناعات السواتل والفضاء ووكالات الفضاء ‏والاتصالات والحكومات وغيرهم من أصحاب المصلحة المعنيين بالفضاء والملتزمين ‏باستخدام الفضاء استخداماً مسؤولاً. وأتاح المنتدى فرصة لعرض السياسات وأفضل ‏الممارسات والمبادئ التوجيهية والاستراتيجيات ومناقشتها والتعمق فيها لضمان أن يظل ‏الفضاء متاحاً ومستداماً للأنشطة الفضائية المستقبلية المتوخاة </w:t>
      </w:r>
      <w:r w:rsidR="00846A0F">
        <w:rPr>
          <w:rFonts w:hint="cs"/>
          <w:rtl/>
        </w:rPr>
        <w:t>في الوقت ومستقبلاً</w:t>
      </w:r>
      <w:r w:rsidR="00846A0F" w:rsidRPr="00B477DD">
        <w:rPr>
          <w:rtl/>
        </w:rPr>
        <w:t>. ومن ‏المقرر عقد النسخة الثانية من المنتدى يوم</w:t>
      </w:r>
      <w:r w:rsidR="00741F25">
        <w:rPr>
          <w:rFonts w:hint="cs"/>
          <w:rtl/>
        </w:rPr>
        <w:t>َ</w:t>
      </w:r>
      <w:r w:rsidR="00846A0F" w:rsidRPr="00B477DD">
        <w:rPr>
          <w:rtl/>
        </w:rPr>
        <w:t>ي 7 و8 أكتوبر 2025.‏</w:t>
      </w:r>
    </w:p>
    <w:p w14:paraId="44F5EC4A" w14:textId="5386900D" w:rsidR="00846A0F" w:rsidRPr="00B477DD" w:rsidRDefault="00846A0F" w:rsidP="00AA76B1">
      <w:pPr>
        <w:pStyle w:val="enumlev10"/>
        <w:rPr>
          <w:b/>
          <w:bCs/>
        </w:rPr>
      </w:pPr>
      <w:r w:rsidRPr="00B477DD">
        <w:rPr>
          <w:cs/>
        </w:rPr>
        <w:t>‎</w:t>
      </w:r>
      <w:r w:rsidRPr="00B477DD">
        <w:t>–</w:t>
      </w:r>
      <w:r w:rsidRPr="00B477DD">
        <w:rPr>
          <w:cs/>
        </w:rPr>
        <w:t>‎</w:t>
      </w:r>
      <w:r w:rsidRPr="00B477DD">
        <w:rPr>
          <w:rtl/>
        </w:rPr>
        <w:tab/>
        <w:t xml:space="preserve">تقدم </w:t>
      </w:r>
      <w:hyperlink r:id="rId13" w:anchor="/ar" w:history="1">
        <w:r w:rsidRPr="006C4043">
          <w:rPr>
            <w:rStyle w:val="Hyperlink"/>
            <w:rFonts w:ascii="Dubai" w:eastAsiaTheme="minorEastAsia" w:hAnsi="Dubai" w:cs="Dubai"/>
            <w:noProof w:val="0"/>
            <w:sz w:val="22"/>
            <w:rtl/>
            <w:lang w:val="en-US" w:eastAsia="zh-CN"/>
          </w:rPr>
          <w:t xml:space="preserve">سلسلة </w:t>
        </w:r>
        <w:r w:rsidRPr="006C4043">
          <w:rPr>
            <w:rStyle w:val="Hyperlink"/>
            <w:rFonts w:ascii="Dubai" w:eastAsiaTheme="minorEastAsia" w:hAnsi="Dubai" w:cs="Dubai"/>
            <w:noProof w:val="0"/>
            <w:sz w:val="22"/>
            <w:lang w:val="en-US" w:eastAsia="zh-CN"/>
          </w:rPr>
          <w:t>Space Connect</w:t>
        </w:r>
      </w:hyperlink>
      <w:r w:rsidRPr="00FB63C1">
        <w:rPr>
          <w:rtl/>
        </w:rPr>
        <w:t xml:space="preserve"> </w:t>
      </w:r>
      <w:r w:rsidRPr="00B477DD">
        <w:rPr>
          <w:rtl/>
        </w:rPr>
        <w:t>حلقات افتراضية تستكشف قطاع الفضاء سريع التطور: إذ تجمع ‏بين قادة الصناعة والمنظمين والمتخصصين من جميع أنحاء العالم، وتغطي الجلسات ‏الشهرية مواضيع تتراوح بين التكنولوجيات الساتلية والسلامة الفضائية ورصد المناخ ‏والاستجابة للطوارئ والتنمية الاقتصادية. ‏</w:t>
      </w:r>
      <w:r>
        <w:rPr>
          <w:rFonts w:hint="cs"/>
          <w:rtl/>
        </w:rPr>
        <w:t>و</w:t>
      </w:r>
      <w:r w:rsidRPr="00B477DD">
        <w:rPr>
          <w:rtl/>
        </w:rPr>
        <w:t>تتميز كل حلقة بعروض تقديمية من الخبراء ‏ومناقشات تفاعلية وفرص لإشراك الجمهور. وتتاح جميع المواد التي نوقشت وعرضت ‏خلال الجلسة من خلال البوابة الإلكترونية للاتحاد.‏</w:t>
      </w:r>
    </w:p>
    <w:p w14:paraId="2976A0A9" w14:textId="65AA7527" w:rsidR="00846A0F" w:rsidRPr="00AA76B1" w:rsidRDefault="00846A0F" w:rsidP="00AA76B1">
      <w:pPr>
        <w:pStyle w:val="enumlev10"/>
      </w:pPr>
      <w:r w:rsidRPr="00B477DD">
        <w:rPr>
          <w:cs/>
        </w:rPr>
        <w:t>‎</w:t>
      </w:r>
      <w:r w:rsidRPr="00AA76B1">
        <w:t>–</w:t>
      </w:r>
      <w:r w:rsidRPr="00AA76B1">
        <w:rPr>
          <w:cs/>
        </w:rPr>
        <w:t>‎</w:t>
      </w:r>
      <w:r w:rsidRPr="00AA76B1">
        <w:rPr>
          <w:rtl/>
        </w:rPr>
        <w:tab/>
        <w:t>والصفحة الإلكترونية المخصصة</w:t>
      </w:r>
      <w:r w:rsidRPr="00AA76B1">
        <w:rPr>
          <w:rFonts w:hint="cs"/>
          <w:rtl/>
        </w:rPr>
        <w:t xml:space="preserve"> بعنوان</w:t>
      </w:r>
      <w:r w:rsidRPr="00AA76B1">
        <w:rPr>
          <w:rtl/>
        </w:rPr>
        <w:t xml:space="preserve"> "</w:t>
      </w:r>
      <w:hyperlink r:id="rId14" w:anchor="/ar" w:history="1">
        <w:r w:rsidRPr="00AA76B1">
          <w:rPr>
            <w:rStyle w:val="Hyperlink"/>
            <w:rFonts w:ascii="Dubai" w:eastAsiaTheme="minorEastAsia" w:hAnsi="Dubai" w:cs="Dubai"/>
            <w:noProof w:val="0"/>
            <w:sz w:val="22"/>
            <w:rtl/>
            <w:lang w:val="en-US" w:eastAsia="zh-CN"/>
          </w:rPr>
          <w:t>بوابة استدامة الفضاء</w:t>
        </w:r>
      </w:hyperlink>
      <w:r w:rsidRPr="00AA76B1">
        <w:rPr>
          <w:rtl/>
        </w:rPr>
        <w:t xml:space="preserve">" هي بوابة الاتحاد المخصصة ‏لاستدامة الفضاء. وقد أعدت هذه البوابة استجابة للقرار </w:t>
      </w:r>
      <w:hyperlink r:id="rId15" w:history="1">
        <w:r w:rsidRPr="00AA76B1">
          <w:rPr>
            <w:rStyle w:val="Hyperlink"/>
            <w:rFonts w:ascii="Dubai" w:eastAsiaTheme="minorEastAsia" w:hAnsi="Dubai" w:cs="Dubai"/>
            <w:noProof w:val="0"/>
            <w:sz w:val="22"/>
            <w:rtl/>
            <w:lang w:val="en-US" w:eastAsia="zh-CN"/>
          </w:rPr>
          <w:t>219 ‏‏(بوخارست، 2022)</w:t>
        </w:r>
      </w:hyperlink>
      <w:r w:rsidRPr="00AA76B1">
        <w:rPr>
          <w:rtl/>
        </w:rPr>
        <w:t xml:space="preserve"> والقرار </w:t>
      </w:r>
      <w:hyperlink r:id="rId16" w:history="1">
        <w:r w:rsidRPr="00AA76B1">
          <w:rPr>
            <w:rStyle w:val="Hyperlink"/>
            <w:rFonts w:ascii="Dubai" w:eastAsiaTheme="minorEastAsia" w:hAnsi="Dubai" w:cs="Dubai"/>
            <w:noProof w:val="0"/>
            <w:sz w:val="22"/>
            <w:lang w:val="en-US" w:eastAsia="zh-CN"/>
          </w:rPr>
          <w:t>ITU-R 74</w:t>
        </w:r>
        <w:r w:rsidRPr="00AA76B1">
          <w:rPr>
            <w:rStyle w:val="Hyperlink"/>
            <w:rFonts w:ascii="Dubai" w:eastAsiaTheme="minorEastAsia" w:hAnsi="Dubai" w:cs="Dubai"/>
            <w:noProof w:val="0"/>
            <w:sz w:val="22"/>
            <w:rtl/>
            <w:lang w:val="en-US" w:eastAsia="zh-CN"/>
          </w:rPr>
          <w:t xml:space="preserve"> (2023)</w:t>
        </w:r>
      </w:hyperlink>
      <w:r w:rsidRPr="00AA76B1">
        <w:rPr>
          <w:rtl/>
        </w:rPr>
        <w:t xml:space="preserve"> ويجري تحديثها بانتظام بهدف تيسير النفاذ إلى المعلومات ذات الصلة ‏ونشرها وتبادلها بين أصحاب المصلحة المعنيين بالفضاء. </w:t>
      </w:r>
      <w:r w:rsidR="00AA76B1" w:rsidRPr="00AA76B1">
        <w:rPr>
          <w:rFonts w:hint="cs"/>
          <w:rtl/>
        </w:rPr>
        <w:t>ويدعى</w:t>
      </w:r>
      <w:r w:rsidRPr="00AA76B1">
        <w:rPr>
          <w:rtl/>
        </w:rPr>
        <w:t xml:space="preserve"> أعضاء الاتحاد ‏وأصحاب المصلحة المعنيون بالفضاء إلى تقديم معلومات إضافية أو تحديث مساهماتهم ‏السابقة.</w:t>
      </w:r>
      <w:r w:rsidRPr="00AA76B1">
        <w:rPr>
          <w:cs/>
        </w:rPr>
        <w:t>‎</w:t>
      </w:r>
    </w:p>
    <w:p w14:paraId="6B0EB868" w14:textId="46FE3BB3" w:rsidR="00F50E3F" w:rsidRDefault="00846A0F" w:rsidP="00846A0F">
      <w:pPr>
        <w:rPr>
          <w:rtl/>
          <w:lang w:bidi="ar-EG"/>
        </w:rPr>
      </w:pPr>
      <w:r w:rsidRPr="00B477DD">
        <w:rPr>
          <w:rtl/>
        </w:rPr>
        <w:t>وت</w:t>
      </w:r>
      <w:r>
        <w:rPr>
          <w:rFonts w:hint="cs"/>
          <w:rtl/>
        </w:rPr>
        <w:t>ُ</w:t>
      </w:r>
      <w:r w:rsidRPr="00B477DD">
        <w:rPr>
          <w:rtl/>
        </w:rPr>
        <w:t>نف</w:t>
      </w:r>
      <w:r>
        <w:rPr>
          <w:rFonts w:hint="cs"/>
          <w:rtl/>
        </w:rPr>
        <w:t>ّ</w:t>
      </w:r>
      <w:r w:rsidRPr="00B477DD">
        <w:rPr>
          <w:rtl/>
        </w:rPr>
        <w:t>ذ هذه الأنشطة من خلال نهج "الاتحاد الواحد" ‏</w:t>
      </w:r>
      <w:r w:rsidRPr="00B477DD">
        <w:rPr>
          <w:cs/>
        </w:rPr>
        <w:t>‎</w:t>
      </w:r>
      <w:r w:rsidRPr="00B477DD">
        <w:rPr>
          <w:rtl/>
        </w:rPr>
        <w:t>(</w:t>
      </w:r>
      <w:proofErr w:type="spellStart"/>
      <w:r w:rsidRPr="00B477DD">
        <w:t>OneITU</w:t>
      </w:r>
      <w:proofErr w:type="spellEnd"/>
      <w:r w:rsidRPr="00B477DD">
        <w:rPr>
          <w:rtl/>
        </w:rPr>
        <w:t>‏) بفضل التعاون الوثيق بين الأمانة ‏العامة والمكاتب الثلاثة.</w:t>
      </w:r>
    </w:p>
    <w:p w14:paraId="630E5CD9"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7"/>
      <w:headerReference w:type="first" r:id="rId18"/>
      <w:footerReference w:type="first" r:id="rId19"/>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C8AEA" w14:textId="77777777" w:rsidR="00846A0F" w:rsidRDefault="00846A0F" w:rsidP="006C3242">
      <w:pPr>
        <w:spacing w:before="0" w:line="240" w:lineRule="auto"/>
      </w:pPr>
      <w:r>
        <w:separator/>
      </w:r>
    </w:p>
  </w:endnote>
  <w:endnote w:type="continuationSeparator" w:id="0">
    <w:p w14:paraId="3BEC0360" w14:textId="77777777" w:rsidR="00846A0F" w:rsidRDefault="00846A0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58E827D" w14:textId="77777777" w:rsidTr="00A67F05">
      <w:trPr>
        <w:jc w:val="center"/>
      </w:trPr>
      <w:tc>
        <w:tcPr>
          <w:tcW w:w="868" w:type="pct"/>
          <w:vAlign w:val="center"/>
        </w:tcPr>
        <w:p w14:paraId="61B31481" w14:textId="62DEF22A" w:rsidR="00F50E3F" w:rsidRPr="007B0AA0" w:rsidRDefault="00275023" w:rsidP="00E50D56">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Pr>
              <w:rFonts w:ascii="Calibri" w:hAnsi="Calibri" w:cs="Arial"/>
              <w:sz w:val="18"/>
              <w:szCs w:val="14"/>
            </w:rPr>
            <w:t>2501225</w:t>
          </w:r>
        </w:p>
      </w:tc>
      <w:tc>
        <w:tcPr>
          <w:tcW w:w="3912" w:type="pct"/>
        </w:tcPr>
        <w:p w14:paraId="2E267ED8" w14:textId="2590E034" w:rsidR="00F50E3F" w:rsidRPr="007B0AA0" w:rsidRDefault="00F50E3F" w:rsidP="00E50D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A76B1">
            <w:rPr>
              <w:rFonts w:ascii="Calibri" w:hAnsi="Calibri" w:cs="Arial"/>
              <w:bCs/>
              <w:color w:val="7F7F7F"/>
              <w:sz w:val="18"/>
            </w:rPr>
            <w:t>36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5DCE01D" w14:textId="77777777" w:rsidR="00F50E3F" w:rsidRPr="007B0AA0" w:rsidRDefault="00F50E3F" w:rsidP="00E50D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730D9F6"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EA785A8" w14:textId="77777777" w:rsidTr="00A67F05">
      <w:trPr>
        <w:jc w:val="center"/>
      </w:trPr>
      <w:tc>
        <w:tcPr>
          <w:tcW w:w="1013" w:type="pct"/>
          <w:vAlign w:val="center"/>
        </w:tcPr>
        <w:p w14:paraId="2E688FB7" w14:textId="77777777" w:rsidR="007B0AA0" w:rsidRPr="00660DEA" w:rsidRDefault="00660DEA" w:rsidP="00E50D56">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7C5E32DF" w14:textId="2F701ECD" w:rsidR="007B0AA0" w:rsidRPr="007B0AA0" w:rsidRDefault="007B0AA0" w:rsidP="00E50D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A76B1">
            <w:rPr>
              <w:rFonts w:ascii="Calibri" w:hAnsi="Calibri" w:cs="Arial"/>
              <w:bCs/>
              <w:color w:val="7F7F7F"/>
              <w:sz w:val="18"/>
            </w:rPr>
            <w:t>36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4D29B95" w14:textId="77777777" w:rsidR="007B0AA0" w:rsidRPr="007B0AA0" w:rsidRDefault="00F50E3F" w:rsidP="00E50D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BBF78C3"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E26B" w14:textId="77777777" w:rsidR="00846A0F" w:rsidRDefault="00846A0F" w:rsidP="006C3242">
      <w:pPr>
        <w:spacing w:before="0" w:line="240" w:lineRule="auto"/>
      </w:pPr>
      <w:r>
        <w:separator/>
      </w:r>
    </w:p>
  </w:footnote>
  <w:footnote w:type="continuationSeparator" w:id="0">
    <w:p w14:paraId="1B02985B" w14:textId="77777777" w:rsidR="00846A0F" w:rsidRDefault="00846A0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AC7D"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63AB3F9" wp14:editId="351717B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290E"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1F6CE61" wp14:editId="045850D5">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0F"/>
    <w:rsid w:val="0006468A"/>
    <w:rsid w:val="00090574"/>
    <w:rsid w:val="000C1C0E"/>
    <w:rsid w:val="000C548A"/>
    <w:rsid w:val="00191059"/>
    <w:rsid w:val="001B6E2B"/>
    <w:rsid w:val="001C0169"/>
    <w:rsid w:val="001C0C21"/>
    <w:rsid w:val="001D1D50"/>
    <w:rsid w:val="001D64C7"/>
    <w:rsid w:val="001D6745"/>
    <w:rsid w:val="001E446E"/>
    <w:rsid w:val="002154EE"/>
    <w:rsid w:val="002276D2"/>
    <w:rsid w:val="0023283D"/>
    <w:rsid w:val="002439FF"/>
    <w:rsid w:val="00254393"/>
    <w:rsid w:val="0026373E"/>
    <w:rsid w:val="00271C43"/>
    <w:rsid w:val="00275023"/>
    <w:rsid w:val="00290728"/>
    <w:rsid w:val="00293554"/>
    <w:rsid w:val="002978F4"/>
    <w:rsid w:val="002B028D"/>
    <w:rsid w:val="002C3F32"/>
    <w:rsid w:val="002E6541"/>
    <w:rsid w:val="00334924"/>
    <w:rsid w:val="003409BC"/>
    <w:rsid w:val="00351483"/>
    <w:rsid w:val="00357185"/>
    <w:rsid w:val="00383829"/>
    <w:rsid w:val="003F4B29"/>
    <w:rsid w:val="00420F8A"/>
    <w:rsid w:val="0042686F"/>
    <w:rsid w:val="004317D8"/>
    <w:rsid w:val="0043260A"/>
    <w:rsid w:val="00434183"/>
    <w:rsid w:val="00443869"/>
    <w:rsid w:val="00445A1F"/>
    <w:rsid w:val="00447F32"/>
    <w:rsid w:val="00491BA9"/>
    <w:rsid w:val="00494119"/>
    <w:rsid w:val="0049509A"/>
    <w:rsid w:val="004A4701"/>
    <w:rsid w:val="004B7334"/>
    <w:rsid w:val="004E11DC"/>
    <w:rsid w:val="005130DE"/>
    <w:rsid w:val="00513157"/>
    <w:rsid w:val="00525DDD"/>
    <w:rsid w:val="005409AC"/>
    <w:rsid w:val="005434E0"/>
    <w:rsid w:val="005546CF"/>
    <w:rsid w:val="0055516A"/>
    <w:rsid w:val="0058491B"/>
    <w:rsid w:val="00592EA5"/>
    <w:rsid w:val="005A3170"/>
    <w:rsid w:val="005E56A3"/>
    <w:rsid w:val="00660DEA"/>
    <w:rsid w:val="00677396"/>
    <w:rsid w:val="0069200F"/>
    <w:rsid w:val="006A65CB"/>
    <w:rsid w:val="006B12E5"/>
    <w:rsid w:val="006B682F"/>
    <w:rsid w:val="006C3242"/>
    <w:rsid w:val="006C4043"/>
    <w:rsid w:val="006C7CC0"/>
    <w:rsid w:val="006F363C"/>
    <w:rsid w:val="006F63F7"/>
    <w:rsid w:val="007025C7"/>
    <w:rsid w:val="00706D7A"/>
    <w:rsid w:val="00722F0D"/>
    <w:rsid w:val="00735081"/>
    <w:rsid w:val="00741F25"/>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46A0F"/>
    <w:rsid w:val="008513CB"/>
    <w:rsid w:val="00874E9F"/>
    <w:rsid w:val="008A7F84"/>
    <w:rsid w:val="008C78A7"/>
    <w:rsid w:val="0091702E"/>
    <w:rsid w:val="00923B0C"/>
    <w:rsid w:val="00924F46"/>
    <w:rsid w:val="00935AAC"/>
    <w:rsid w:val="0094021C"/>
    <w:rsid w:val="00952F86"/>
    <w:rsid w:val="00982B28"/>
    <w:rsid w:val="00991329"/>
    <w:rsid w:val="009D313F"/>
    <w:rsid w:val="00A47A5A"/>
    <w:rsid w:val="00A63AE6"/>
    <w:rsid w:val="00A6683B"/>
    <w:rsid w:val="00A67F05"/>
    <w:rsid w:val="00A97CBD"/>
    <w:rsid w:val="00A97F94"/>
    <w:rsid w:val="00AA76B1"/>
    <w:rsid w:val="00AA7EA2"/>
    <w:rsid w:val="00AB2269"/>
    <w:rsid w:val="00AB5A56"/>
    <w:rsid w:val="00AD41AC"/>
    <w:rsid w:val="00B03099"/>
    <w:rsid w:val="00B05BC8"/>
    <w:rsid w:val="00B30F5E"/>
    <w:rsid w:val="00B64B47"/>
    <w:rsid w:val="00B95654"/>
    <w:rsid w:val="00B97F32"/>
    <w:rsid w:val="00BA04B2"/>
    <w:rsid w:val="00C002DE"/>
    <w:rsid w:val="00C04BE2"/>
    <w:rsid w:val="00C0602B"/>
    <w:rsid w:val="00C224DA"/>
    <w:rsid w:val="00C31B04"/>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77DD0"/>
    <w:rsid w:val="00DA1CF0"/>
    <w:rsid w:val="00DA6B42"/>
    <w:rsid w:val="00DB1609"/>
    <w:rsid w:val="00DC1E02"/>
    <w:rsid w:val="00DC24B4"/>
    <w:rsid w:val="00DC5FB0"/>
    <w:rsid w:val="00DF16DC"/>
    <w:rsid w:val="00E25355"/>
    <w:rsid w:val="00E30981"/>
    <w:rsid w:val="00E45211"/>
    <w:rsid w:val="00E473C5"/>
    <w:rsid w:val="00E50D56"/>
    <w:rsid w:val="00E61BE8"/>
    <w:rsid w:val="00E62876"/>
    <w:rsid w:val="00E83FF1"/>
    <w:rsid w:val="00E91306"/>
    <w:rsid w:val="00E92863"/>
    <w:rsid w:val="00E979B2"/>
    <w:rsid w:val="00EB796D"/>
    <w:rsid w:val="00EF1D9F"/>
    <w:rsid w:val="00F058DC"/>
    <w:rsid w:val="00F24FC4"/>
    <w:rsid w:val="00F2676C"/>
    <w:rsid w:val="00F363FE"/>
    <w:rsid w:val="00F50E3F"/>
    <w:rsid w:val="00F84366"/>
    <w:rsid w:val="00F85089"/>
    <w:rsid w:val="00F974C5"/>
    <w:rsid w:val="00FA3763"/>
    <w:rsid w:val="00FA6F46"/>
    <w:rsid w:val="00FB63C1"/>
    <w:rsid w:val="00FC0E94"/>
    <w:rsid w:val="00FC4592"/>
    <w:rsid w:val="00FD527F"/>
    <w:rsid w:val="00FE329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A40EA"/>
  <w15:chartTrackingRefBased/>
  <w15:docId w15:val="{A3089142-ED10-40B2-8415-8F904A6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275023"/>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enumlev10">
    <w:name w:val="enumlev 1"/>
    <w:basedOn w:val="Normal"/>
    <w:qFormat/>
    <w:rsid w:val="00846A0F"/>
    <w:pPr>
      <w:spacing w:before="80" w:after="0"/>
      <w:ind w:left="794" w:hanging="794"/>
      <w:outlineLvl w:val="0"/>
    </w:pPr>
    <w:rPr>
      <w:lang w:bidi="ar-SY"/>
    </w:rPr>
  </w:style>
  <w:style w:type="paragraph" w:customStyle="1" w:styleId="Headingb0">
    <w:name w:val="Heading b"/>
    <w:basedOn w:val="Normal"/>
    <w:qFormat/>
    <w:rsid w:val="00846A0F"/>
    <w:pPr>
      <w:keepNext/>
      <w:spacing w:before="240" w:after="0"/>
      <w:ind w:left="1134" w:hanging="1134"/>
    </w:pPr>
    <w:rPr>
      <w:b/>
      <w:bCs/>
      <w:sz w:val="24"/>
      <w:szCs w:val="24"/>
    </w:rPr>
  </w:style>
  <w:style w:type="character" w:styleId="FollowedHyperlink">
    <w:name w:val="FollowedHyperlink"/>
    <w:basedOn w:val="DefaultParagraphFont"/>
    <w:uiPriority w:val="99"/>
    <w:semiHidden/>
    <w:unhideWhenUsed/>
    <w:rsid w:val="00AD41AC"/>
    <w:rPr>
      <w:color w:val="954F72" w:themeColor="followedHyperlink"/>
      <w:u w:val="single"/>
    </w:rPr>
  </w:style>
  <w:style w:type="paragraph" w:styleId="Revision">
    <w:name w:val="Revision"/>
    <w:hidden/>
    <w:uiPriority w:val="99"/>
    <w:semiHidden/>
    <w:rsid w:val="0027502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8-A.pdf" TargetMode="External"/><Relationship Id="rId13" Type="http://schemas.openxmlformats.org/officeDocument/2006/relationships/hyperlink" Target="https://www.itu.int/space-connec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ss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dms_pub/itu-r/opb/res/R-RES-R.74-2023-PDF-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INF-0003/en" TargetMode="External"/><Relationship Id="rId5" Type="http://schemas.openxmlformats.org/officeDocument/2006/relationships/webSettings" Target="webSettings.xml"/><Relationship Id="rId15" Type="http://schemas.openxmlformats.org/officeDocument/2006/relationships/hyperlink" Target="https://www.itu.int/dms_pub/itu-s/opb/conf/S-CONF-ACTF-2022-PDF-A.pdf" TargetMode="External"/><Relationship Id="rId10" Type="http://schemas.openxmlformats.org/officeDocument/2006/relationships/hyperlink" Target="https://www.itu.int/md/S24-CL-C-0036/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058/en" TargetMode="External"/><Relationship Id="rId14" Type="http://schemas.openxmlformats.org/officeDocument/2006/relationships/hyperlink" Target="https://www.itu.int/space-sustainabili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3</Pages>
  <Words>813</Words>
  <Characters>4635</Characters>
  <Application>Microsoft Office Word</Application>
  <DocSecurity>0</DocSecurity>
  <Lines>81</Lines>
  <Paragraphs>42</Paragraphs>
  <ScaleCrop>false</ScaleCrop>
  <HeadingPairs>
    <vt:vector size="2" baseType="variant">
      <vt:variant>
        <vt:lpstr>Title</vt:lpstr>
      </vt:variant>
      <vt:variant>
        <vt:i4>1</vt:i4>
      </vt:variant>
    </vt:vector>
  </HeadingPairs>
  <TitlesOfParts>
    <vt:vector size="1" baseType="lpstr">
      <vt:lpstr>ITU's role in the implementation of the "Space2030" agenda: Space as a driver of sustainable development, and its follow-up and review process</vt:lpstr>
    </vt:vector>
  </TitlesOfParts>
  <Company>International Telecommunication Union</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in the implementation of the "Space2030" agenda: Space as a driver of sustainable development, and its follow-up and review process</dc:title>
  <dc:subject>ITU Council 2025</dc:subject>
  <cp:keywords>C2025, C25, Council-25</cp:keywords>
  <dc:description/>
  <dcterms:created xsi:type="dcterms:W3CDTF">2025-05-29T13:55:00Z</dcterms:created>
  <dcterms:modified xsi:type="dcterms:W3CDTF">2025-05-29T13:58:00Z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