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E33B0E" w14:paraId="125F32CB" w14:textId="77777777" w:rsidTr="00D72F49">
        <w:trPr>
          <w:cantSplit/>
          <w:trHeight w:val="23"/>
        </w:trPr>
        <w:tc>
          <w:tcPr>
            <w:tcW w:w="3969" w:type="dxa"/>
            <w:vMerge w:val="restart"/>
            <w:tcMar>
              <w:left w:w="0" w:type="dxa"/>
            </w:tcMar>
          </w:tcPr>
          <w:p w14:paraId="2F6A5E7F" w14:textId="790B22F9" w:rsidR="00D72F49" w:rsidRPr="00E33B0E" w:rsidRDefault="00D72F49" w:rsidP="00D72F49">
            <w:pPr>
              <w:tabs>
                <w:tab w:val="left" w:pos="851"/>
              </w:tabs>
              <w:spacing w:before="0" w:line="240" w:lineRule="atLeast"/>
              <w:rPr>
                <w:b/>
              </w:rPr>
            </w:pPr>
            <w:r w:rsidRPr="00E33B0E">
              <w:rPr>
                <w:b/>
              </w:rPr>
              <w:t>Point de l'ordre du jour:</w:t>
            </w:r>
            <w:r w:rsidR="00AE543B" w:rsidRPr="00E33B0E">
              <w:rPr>
                <w:b/>
              </w:rPr>
              <w:t xml:space="preserve"> PL 1</w:t>
            </w:r>
          </w:p>
        </w:tc>
        <w:tc>
          <w:tcPr>
            <w:tcW w:w="5245" w:type="dxa"/>
          </w:tcPr>
          <w:p w14:paraId="1EB7F5D8" w14:textId="4F970838" w:rsidR="00D72F49" w:rsidRPr="00E33B0E" w:rsidRDefault="00D72F49" w:rsidP="00D72F49">
            <w:pPr>
              <w:tabs>
                <w:tab w:val="left" w:pos="851"/>
              </w:tabs>
              <w:spacing w:before="0" w:line="240" w:lineRule="atLeast"/>
              <w:jc w:val="right"/>
              <w:rPr>
                <w:b/>
              </w:rPr>
            </w:pPr>
            <w:r w:rsidRPr="00E33B0E">
              <w:rPr>
                <w:b/>
              </w:rPr>
              <w:t>Document C2</w:t>
            </w:r>
            <w:r w:rsidR="00FC6D7D" w:rsidRPr="00E33B0E">
              <w:rPr>
                <w:b/>
              </w:rPr>
              <w:t>5</w:t>
            </w:r>
            <w:r w:rsidRPr="00E33B0E">
              <w:rPr>
                <w:b/>
              </w:rPr>
              <w:t>/</w:t>
            </w:r>
            <w:r w:rsidR="00AE543B" w:rsidRPr="00E33B0E">
              <w:rPr>
                <w:b/>
              </w:rPr>
              <w:t>35</w:t>
            </w:r>
            <w:r w:rsidRPr="00E33B0E">
              <w:rPr>
                <w:b/>
              </w:rPr>
              <w:t>-F</w:t>
            </w:r>
          </w:p>
        </w:tc>
      </w:tr>
      <w:tr w:rsidR="00D72F49" w:rsidRPr="00E33B0E" w14:paraId="67FCD080" w14:textId="77777777" w:rsidTr="00D72F49">
        <w:trPr>
          <w:cantSplit/>
        </w:trPr>
        <w:tc>
          <w:tcPr>
            <w:tcW w:w="3969" w:type="dxa"/>
            <w:vMerge/>
          </w:tcPr>
          <w:p w14:paraId="692C489F" w14:textId="77777777" w:rsidR="00D72F49" w:rsidRPr="00E33B0E" w:rsidRDefault="00D72F49" w:rsidP="00D72F49">
            <w:pPr>
              <w:tabs>
                <w:tab w:val="left" w:pos="851"/>
              </w:tabs>
              <w:spacing w:line="240" w:lineRule="atLeast"/>
              <w:rPr>
                <w:b/>
              </w:rPr>
            </w:pPr>
          </w:p>
        </w:tc>
        <w:tc>
          <w:tcPr>
            <w:tcW w:w="5245" w:type="dxa"/>
          </w:tcPr>
          <w:p w14:paraId="62EAE269" w14:textId="3476657C" w:rsidR="00D72F49" w:rsidRPr="00E33B0E" w:rsidRDefault="00AE543B" w:rsidP="00D72F49">
            <w:pPr>
              <w:tabs>
                <w:tab w:val="left" w:pos="851"/>
              </w:tabs>
              <w:spacing w:before="0"/>
              <w:jc w:val="right"/>
              <w:rPr>
                <w:b/>
              </w:rPr>
            </w:pPr>
            <w:r w:rsidRPr="00E33B0E">
              <w:rPr>
                <w:b/>
              </w:rPr>
              <w:t>19 mai 2025</w:t>
            </w:r>
          </w:p>
        </w:tc>
      </w:tr>
      <w:tr w:rsidR="00D72F49" w:rsidRPr="00E33B0E" w14:paraId="3BAD8386" w14:textId="77777777" w:rsidTr="00D72F49">
        <w:trPr>
          <w:cantSplit/>
          <w:trHeight w:val="23"/>
        </w:trPr>
        <w:tc>
          <w:tcPr>
            <w:tcW w:w="3969" w:type="dxa"/>
            <w:vMerge/>
          </w:tcPr>
          <w:p w14:paraId="68D7B017" w14:textId="77777777" w:rsidR="00D72F49" w:rsidRPr="00E33B0E" w:rsidRDefault="00D72F49" w:rsidP="00D72F49">
            <w:pPr>
              <w:tabs>
                <w:tab w:val="left" w:pos="851"/>
              </w:tabs>
              <w:spacing w:line="240" w:lineRule="atLeast"/>
              <w:rPr>
                <w:b/>
              </w:rPr>
            </w:pPr>
          </w:p>
        </w:tc>
        <w:tc>
          <w:tcPr>
            <w:tcW w:w="5245" w:type="dxa"/>
          </w:tcPr>
          <w:p w14:paraId="358B4A48" w14:textId="77777777" w:rsidR="00D72F49" w:rsidRPr="00E33B0E" w:rsidRDefault="00D72F49" w:rsidP="00D72F49">
            <w:pPr>
              <w:tabs>
                <w:tab w:val="left" w:pos="851"/>
              </w:tabs>
              <w:spacing w:before="0" w:line="240" w:lineRule="atLeast"/>
              <w:jc w:val="right"/>
              <w:rPr>
                <w:b/>
              </w:rPr>
            </w:pPr>
            <w:r w:rsidRPr="00E33B0E">
              <w:rPr>
                <w:b/>
              </w:rPr>
              <w:t>Original: anglais</w:t>
            </w:r>
          </w:p>
        </w:tc>
      </w:tr>
      <w:tr w:rsidR="00D72F49" w:rsidRPr="00E33B0E" w14:paraId="0996BAE5" w14:textId="77777777" w:rsidTr="00D72F49">
        <w:trPr>
          <w:cantSplit/>
          <w:trHeight w:val="23"/>
        </w:trPr>
        <w:tc>
          <w:tcPr>
            <w:tcW w:w="3969" w:type="dxa"/>
          </w:tcPr>
          <w:p w14:paraId="0A9B7D94" w14:textId="77777777" w:rsidR="00D72F49" w:rsidRPr="00E33B0E" w:rsidRDefault="00D72F49" w:rsidP="00D72F49">
            <w:pPr>
              <w:tabs>
                <w:tab w:val="left" w:pos="851"/>
              </w:tabs>
              <w:spacing w:line="240" w:lineRule="atLeast"/>
              <w:rPr>
                <w:b/>
              </w:rPr>
            </w:pPr>
          </w:p>
        </w:tc>
        <w:tc>
          <w:tcPr>
            <w:tcW w:w="5245" w:type="dxa"/>
          </w:tcPr>
          <w:p w14:paraId="0A2D5EB3" w14:textId="77777777" w:rsidR="00D72F49" w:rsidRPr="00E33B0E" w:rsidRDefault="00D72F49" w:rsidP="00D72F49">
            <w:pPr>
              <w:tabs>
                <w:tab w:val="left" w:pos="851"/>
              </w:tabs>
              <w:spacing w:before="0" w:line="240" w:lineRule="atLeast"/>
              <w:jc w:val="right"/>
              <w:rPr>
                <w:b/>
              </w:rPr>
            </w:pPr>
          </w:p>
        </w:tc>
      </w:tr>
      <w:tr w:rsidR="00D72F49" w:rsidRPr="00E33B0E" w14:paraId="088BA62C" w14:textId="77777777" w:rsidTr="00D72F49">
        <w:trPr>
          <w:cantSplit/>
        </w:trPr>
        <w:tc>
          <w:tcPr>
            <w:tcW w:w="9214" w:type="dxa"/>
            <w:gridSpan w:val="2"/>
            <w:tcMar>
              <w:left w:w="0" w:type="dxa"/>
            </w:tcMar>
          </w:tcPr>
          <w:p w14:paraId="768C89B4" w14:textId="77777777" w:rsidR="00D72F49" w:rsidRPr="00E33B0E" w:rsidRDefault="00D72F49" w:rsidP="00D72F49">
            <w:pPr>
              <w:pStyle w:val="Source"/>
              <w:jc w:val="left"/>
              <w:rPr>
                <w:sz w:val="34"/>
                <w:szCs w:val="34"/>
              </w:rPr>
            </w:pPr>
            <w:r w:rsidRPr="00E33B0E">
              <w:rPr>
                <w:rFonts w:cstheme="minorHAnsi"/>
                <w:color w:val="000000"/>
                <w:sz w:val="34"/>
                <w:szCs w:val="34"/>
              </w:rPr>
              <w:t xml:space="preserve">Rapport </w:t>
            </w:r>
            <w:r w:rsidR="00E95647" w:rsidRPr="00E33B0E">
              <w:rPr>
                <w:rFonts w:cstheme="minorHAnsi"/>
                <w:color w:val="000000"/>
                <w:sz w:val="34"/>
                <w:szCs w:val="34"/>
              </w:rPr>
              <w:t xml:space="preserve">de la </w:t>
            </w:r>
            <w:r w:rsidRPr="00E33B0E">
              <w:rPr>
                <w:rFonts w:cstheme="minorHAnsi"/>
                <w:color w:val="000000"/>
                <w:sz w:val="34"/>
                <w:szCs w:val="34"/>
              </w:rPr>
              <w:t>Secrétaire général</w:t>
            </w:r>
            <w:r w:rsidR="00E95647" w:rsidRPr="00E33B0E">
              <w:rPr>
                <w:rFonts w:cstheme="minorHAnsi"/>
                <w:color w:val="000000"/>
                <w:sz w:val="34"/>
                <w:szCs w:val="34"/>
              </w:rPr>
              <w:t>e</w:t>
            </w:r>
          </w:p>
        </w:tc>
      </w:tr>
      <w:tr w:rsidR="00D72F49" w:rsidRPr="00E33B0E" w14:paraId="750371BB" w14:textId="77777777" w:rsidTr="00D72F49">
        <w:trPr>
          <w:cantSplit/>
        </w:trPr>
        <w:tc>
          <w:tcPr>
            <w:tcW w:w="9214" w:type="dxa"/>
            <w:gridSpan w:val="2"/>
            <w:tcMar>
              <w:left w:w="0" w:type="dxa"/>
            </w:tcMar>
          </w:tcPr>
          <w:p w14:paraId="70728920" w14:textId="145399B9" w:rsidR="00D72F49" w:rsidRPr="00E33B0E" w:rsidRDefault="00AE543B" w:rsidP="00D72F49">
            <w:pPr>
              <w:pStyle w:val="Subtitle"/>
              <w:framePr w:hSpace="0" w:wrap="auto" w:hAnchor="text" w:xAlign="left" w:yAlign="inline"/>
              <w:rPr>
                <w:sz w:val="32"/>
                <w:szCs w:val="32"/>
                <w:lang w:val="fr-FR"/>
              </w:rPr>
            </w:pPr>
            <w:r w:rsidRPr="00E33B0E">
              <w:rPr>
                <w:rFonts w:cstheme="minorHAnsi"/>
                <w:sz w:val="32"/>
                <w:szCs w:val="32"/>
                <w:lang w:val="fr-FR"/>
              </w:rPr>
              <w:t>RAPPORT ANNUEL SUR LA MISE EN ŒUVRE DU PLAN STRATÉGIQUE ET LES ACTIVITÉS DE L'UNION POUR 2024</w:t>
            </w:r>
          </w:p>
        </w:tc>
      </w:tr>
      <w:tr w:rsidR="00D72F49" w:rsidRPr="00E33B0E" w14:paraId="53EEC8F7" w14:textId="77777777" w:rsidTr="00D72F49">
        <w:trPr>
          <w:cantSplit/>
        </w:trPr>
        <w:tc>
          <w:tcPr>
            <w:tcW w:w="9214" w:type="dxa"/>
            <w:gridSpan w:val="2"/>
            <w:tcBorders>
              <w:top w:val="single" w:sz="4" w:space="0" w:color="auto"/>
              <w:bottom w:val="single" w:sz="4" w:space="0" w:color="auto"/>
            </w:tcBorders>
            <w:tcMar>
              <w:left w:w="0" w:type="dxa"/>
            </w:tcMar>
          </w:tcPr>
          <w:p w14:paraId="202EFC5C" w14:textId="77777777" w:rsidR="00D72F49" w:rsidRPr="00E33B0E" w:rsidRDefault="00F37FE5" w:rsidP="00D72F49">
            <w:pPr>
              <w:spacing w:before="160"/>
              <w:rPr>
                <w:b/>
                <w:bCs/>
                <w:sz w:val="26"/>
                <w:szCs w:val="26"/>
              </w:rPr>
            </w:pPr>
            <w:r w:rsidRPr="00E33B0E">
              <w:rPr>
                <w:b/>
                <w:bCs/>
                <w:sz w:val="26"/>
                <w:szCs w:val="26"/>
              </w:rPr>
              <w:t>Objet</w:t>
            </w:r>
          </w:p>
          <w:p w14:paraId="45941EC7" w14:textId="56635C57" w:rsidR="00D72F49" w:rsidRPr="00E33B0E" w:rsidRDefault="00AE543B" w:rsidP="00D72F49">
            <w:r w:rsidRPr="00E33B0E">
              <w:t>Rapport sur la mise en œuvre du plan stratégique de l'Union internationale des télécommunications (UIT) pour la période 2024-2027 mettant en évidence les activités menées et les résultats obtenus en 2024.</w:t>
            </w:r>
          </w:p>
          <w:p w14:paraId="5E6D8B76" w14:textId="77777777" w:rsidR="00D72F49" w:rsidRPr="00E33B0E" w:rsidRDefault="00D72F49" w:rsidP="00D72F49">
            <w:pPr>
              <w:spacing w:before="160"/>
              <w:rPr>
                <w:b/>
                <w:bCs/>
                <w:sz w:val="26"/>
                <w:szCs w:val="26"/>
              </w:rPr>
            </w:pPr>
            <w:r w:rsidRPr="00E33B0E">
              <w:rPr>
                <w:b/>
                <w:bCs/>
                <w:sz w:val="26"/>
                <w:szCs w:val="26"/>
              </w:rPr>
              <w:t>Suite à donner par le Conseil</w:t>
            </w:r>
          </w:p>
          <w:p w14:paraId="2B8C1F89" w14:textId="5058DF66" w:rsidR="00D72F49" w:rsidRPr="00E33B0E" w:rsidRDefault="00AE543B" w:rsidP="00D72F49">
            <w:r w:rsidRPr="00E33B0E">
              <w:t xml:space="preserve">Le Conseil est invité à </w:t>
            </w:r>
            <w:r w:rsidRPr="00E33B0E">
              <w:rPr>
                <w:b/>
                <w:bCs/>
              </w:rPr>
              <w:t>approuver</w:t>
            </w:r>
            <w:r w:rsidRPr="00E33B0E">
              <w:t xml:space="preserve"> le présent rapport.</w:t>
            </w:r>
          </w:p>
          <w:p w14:paraId="39A2934D" w14:textId="77777777" w:rsidR="00D72F49" w:rsidRPr="00E33B0E" w:rsidRDefault="00D72F49" w:rsidP="00D72F49">
            <w:pPr>
              <w:spacing w:before="160"/>
              <w:rPr>
                <w:b/>
                <w:bCs/>
                <w:sz w:val="26"/>
                <w:szCs w:val="26"/>
              </w:rPr>
            </w:pPr>
            <w:r w:rsidRPr="00E33B0E">
              <w:rPr>
                <w:b/>
                <w:bCs/>
                <w:sz w:val="26"/>
                <w:szCs w:val="26"/>
              </w:rPr>
              <w:t xml:space="preserve">Lien(s) pertinent(s) avec le </w:t>
            </w:r>
            <w:r w:rsidR="00F37FE5" w:rsidRPr="00E33B0E">
              <w:rPr>
                <w:b/>
                <w:bCs/>
                <w:sz w:val="26"/>
                <w:szCs w:val="26"/>
              </w:rPr>
              <w:t>p</w:t>
            </w:r>
            <w:r w:rsidRPr="00E33B0E">
              <w:rPr>
                <w:b/>
                <w:bCs/>
                <w:sz w:val="26"/>
                <w:szCs w:val="26"/>
              </w:rPr>
              <w:t>lan stratégique</w:t>
            </w:r>
          </w:p>
          <w:p w14:paraId="2CF9C438" w14:textId="5EDAC8E0" w:rsidR="00D72F49" w:rsidRPr="00E33B0E" w:rsidRDefault="00AE543B" w:rsidP="00D72F49">
            <w:r w:rsidRPr="00E33B0E">
              <w:t>On trouvera dans le présent document le rapport annuel au Conseil sur la mise en œuvre du Plan stratégique et les activités de l'Union, conformément à la Résolution 71 (Rév. Bucarest, 2022) de la Conférence de plénipotentiaires. Il réunit en un seul document le rapport annuel sur les activités de l'Union (conformément au numéro 102 de la Convention) et le Rapport sur la mise en œuvre du plan stratégique (conformément au numéro 61 de la Convention).</w:t>
            </w:r>
          </w:p>
          <w:p w14:paraId="24B51FD2" w14:textId="77777777" w:rsidR="00D72F49" w:rsidRPr="00E33B0E" w:rsidRDefault="00D72F49" w:rsidP="00D72F49">
            <w:pPr>
              <w:spacing w:before="160"/>
              <w:rPr>
                <w:caps/>
                <w:sz w:val="22"/>
              </w:rPr>
            </w:pPr>
            <w:r w:rsidRPr="00E33B0E">
              <w:rPr>
                <w:sz w:val="22"/>
              </w:rPr>
              <w:t>__________________</w:t>
            </w:r>
          </w:p>
          <w:p w14:paraId="53928A0A" w14:textId="77777777" w:rsidR="00D72F49" w:rsidRPr="00E33B0E" w:rsidRDefault="00D72F49" w:rsidP="00D72F49">
            <w:pPr>
              <w:spacing w:before="160"/>
              <w:rPr>
                <w:b/>
                <w:bCs/>
                <w:sz w:val="26"/>
                <w:szCs w:val="26"/>
              </w:rPr>
            </w:pPr>
            <w:r w:rsidRPr="00E33B0E">
              <w:rPr>
                <w:b/>
                <w:bCs/>
                <w:sz w:val="26"/>
                <w:szCs w:val="26"/>
              </w:rPr>
              <w:t>Références</w:t>
            </w:r>
          </w:p>
          <w:p w14:paraId="37C677CD" w14:textId="47AC1DD2" w:rsidR="00D72F49" w:rsidRPr="00E37325" w:rsidRDefault="00AE543B" w:rsidP="00D72F49">
            <w:pPr>
              <w:spacing w:after="160"/>
              <w:rPr>
                <w:i/>
                <w:iCs/>
                <w:sz w:val="22"/>
                <w:szCs w:val="22"/>
              </w:rPr>
            </w:pPr>
            <w:hyperlink r:id="rId7" w:history="1">
              <w:r w:rsidRPr="00E37325">
                <w:rPr>
                  <w:rStyle w:val="Hyperlink"/>
                  <w:rFonts w:eastAsia="Times New Roman" w:cs="Times New Roman"/>
                  <w:i/>
                  <w:iCs/>
                  <w:sz w:val="22"/>
                </w:rPr>
                <w:t>Résolution 71</w:t>
              </w:r>
            </w:hyperlink>
            <w:r w:rsidRPr="00E37325">
              <w:rPr>
                <w:i/>
                <w:iCs/>
                <w:sz w:val="22"/>
                <w:szCs w:val="22"/>
              </w:rPr>
              <w:t xml:space="preserve"> (Rév. Bucarest, 2022) de la Conférence de plénipotentiaires, </w:t>
            </w:r>
            <w:hyperlink r:id="rId8" w:history="1">
              <w:r w:rsidRPr="00E37325">
                <w:rPr>
                  <w:rStyle w:val="Hyperlink"/>
                  <w:rFonts w:eastAsia="Times New Roman" w:cs="Times New Roman"/>
                  <w:i/>
                  <w:iCs/>
                  <w:sz w:val="22"/>
                </w:rPr>
                <w:t>Résolution 151</w:t>
              </w:r>
            </w:hyperlink>
            <w:r w:rsidRPr="00E37325">
              <w:rPr>
                <w:i/>
                <w:iCs/>
                <w:sz w:val="22"/>
                <w:szCs w:val="22"/>
              </w:rPr>
              <w:t xml:space="preserve"> (Rév. Bucarest, 2022) de la Conférence de plénipotentiaires, </w:t>
            </w:r>
            <w:hyperlink r:id="rId9" w:history="1">
              <w:r w:rsidRPr="00E37325">
                <w:rPr>
                  <w:rStyle w:val="Hyperlink"/>
                  <w:rFonts w:eastAsia="Times New Roman" w:cs="Times New Roman"/>
                  <w:i/>
                  <w:iCs/>
                  <w:sz w:val="22"/>
                </w:rPr>
                <w:t>Résolution 200</w:t>
              </w:r>
            </w:hyperlink>
            <w:r w:rsidRPr="00E37325">
              <w:rPr>
                <w:i/>
                <w:iCs/>
                <w:sz w:val="22"/>
                <w:szCs w:val="22"/>
              </w:rPr>
              <w:t xml:space="preserve"> (Rév. Bucarest, 2022) de la Conférence de plénipotentiaires et numéros </w:t>
            </w:r>
            <w:hyperlink r:id="rId10" w:history="1">
              <w:r w:rsidRPr="00E37325">
                <w:rPr>
                  <w:rStyle w:val="Hyperlink"/>
                  <w:rFonts w:eastAsia="Times New Roman" w:cs="Times New Roman"/>
                  <w:i/>
                  <w:iCs/>
                  <w:sz w:val="22"/>
                </w:rPr>
                <w:t>102</w:t>
              </w:r>
            </w:hyperlink>
            <w:r w:rsidRPr="00E37325">
              <w:rPr>
                <w:i/>
                <w:iCs/>
                <w:sz w:val="22"/>
                <w:szCs w:val="22"/>
              </w:rPr>
              <w:t xml:space="preserve"> et </w:t>
            </w:r>
            <w:hyperlink r:id="rId11" w:history="1">
              <w:r w:rsidRPr="00E37325">
                <w:rPr>
                  <w:rStyle w:val="Hyperlink"/>
                  <w:rFonts w:eastAsia="Times New Roman" w:cs="Times New Roman"/>
                  <w:i/>
                  <w:iCs/>
                  <w:sz w:val="22"/>
                </w:rPr>
                <w:t>61</w:t>
              </w:r>
            </w:hyperlink>
            <w:r w:rsidRPr="00E37325">
              <w:rPr>
                <w:i/>
                <w:iCs/>
                <w:sz w:val="22"/>
                <w:szCs w:val="22"/>
              </w:rPr>
              <w:t xml:space="preserve"> de la Convention.</w:t>
            </w:r>
          </w:p>
        </w:tc>
      </w:tr>
    </w:tbl>
    <w:p w14:paraId="4CA3D307" w14:textId="77777777" w:rsidR="00A51849" w:rsidRPr="00E33B0E" w:rsidRDefault="00A51849">
      <w:pPr>
        <w:tabs>
          <w:tab w:val="clear" w:pos="567"/>
          <w:tab w:val="clear" w:pos="1134"/>
          <w:tab w:val="clear" w:pos="1701"/>
          <w:tab w:val="clear" w:pos="2268"/>
          <w:tab w:val="clear" w:pos="2835"/>
        </w:tabs>
        <w:overflowPunct/>
        <w:autoSpaceDE/>
        <w:autoSpaceDN/>
        <w:adjustRightInd/>
        <w:spacing w:before="0"/>
        <w:textAlignment w:val="auto"/>
      </w:pPr>
      <w:r w:rsidRPr="00E33B0E">
        <w:br w:type="page"/>
      </w:r>
    </w:p>
    <w:p w14:paraId="615A1DB8" w14:textId="77777777" w:rsidR="00AE543B" w:rsidRPr="00E33B0E" w:rsidRDefault="00AE543B" w:rsidP="00AE543B">
      <w:pPr>
        <w:pStyle w:val="Headingb"/>
      </w:pPr>
      <w:r w:rsidRPr="00E33B0E">
        <w:lastRenderedPageBreak/>
        <w:t>Avant-propos</w:t>
      </w:r>
    </w:p>
    <w:p w14:paraId="5932F7EE" w14:textId="77777777" w:rsidR="00AE543B" w:rsidRPr="00E33B0E" w:rsidRDefault="00AE543B" w:rsidP="00983212">
      <w:pPr>
        <w:pStyle w:val="Normalaftertitle"/>
      </w:pPr>
      <w:r w:rsidRPr="00E33B0E">
        <w:t>Chers membres de la famille de l'UIT,</w:t>
      </w:r>
    </w:p>
    <w:p w14:paraId="135E485F" w14:textId="7F3DD257" w:rsidR="00AE543B" w:rsidRPr="00E33B0E" w:rsidRDefault="00AE543B" w:rsidP="00AE543B">
      <w:r w:rsidRPr="00E33B0E">
        <w:t>Alors que l</w:t>
      </w:r>
      <w:r w:rsidR="00E86828" w:rsidRPr="00E33B0E">
        <w:t>'</w:t>
      </w:r>
      <w:r w:rsidRPr="00E33B0E">
        <w:t>Union internationale des télécommunications célèbre cette année son 160ème</w:t>
      </w:r>
      <w:r w:rsidR="00983212" w:rsidRPr="00E33B0E">
        <w:t> </w:t>
      </w:r>
      <w:r w:rsidRPr="00E33B0E">
        <w:t>anniversaire, les technologies numériques continuent de façonner tous les aspects de notre quotidien.</w:t>
      </w:r>
    </w:p>
    <w:p w14:paraId="230B0F00" w14:textId="0BC16FFB" w:rsidR="00AE543B" w:rsidRPr="00E33B0E" w:rsidRDefault="00AE543B" w:rsidP="00AE543B">
      <w:r w:rsidRPr="00E33B0E">
        <w:t>Tout au long de 2024, première année de l</w:t>
      </w:r>
      <w:r w:rsidR="00E86828" w:rsidRPr="00E33B0E">
        <w:t>'</w:t>
      </w:r>
      <w:r w:rsidRPr="00E33B0E">
        <w:t>application de notre plan stratégique actuel, nous avons accompli d</w:t>
      </w:r>
      <w:r w:rsidR="00E86828" w:rsidRPr="00E33B0E">
        <w:t>'</w:t>
      </w:r>
      <w:r w:rsidRPr="00E33B0E">
        <w:t>importants progrès sur la voie de la réalisation de nos objectifs communs en matière de connectivité universelle et de transformation numérique durable. C</w:t>
      </w:r>
      <w:r w:rsidR="00E86828" w:rsidRPr="00E33B0E">
        <w:t>'</w:t>
      </w:r>
      <w:r w:rsidRPr="00E33B0E">
        <w:t>est également en 2024 que le nombre de personnes utilisant l</w:t>
      </w:r>
      <w:r w:rsidR="00E86828" w:rsidRPr="00E33B0E">
        <w:t>'</w:t>
      </w:r>
      <w:r w:rsidRPr="00E33B0E">
        <w:t>Internet a atteint son plus haut</w:t>
      </w:r>
      <w:r w:rsidR="00983212" w:rsidRPr="00E33B0E">
        <w:t> </w:t>
      </w:r>
      <w:r w:rsidRPr="00E33B0E">
        <w:t>niveau.</w:t>
      </w:r>
    </w:p>
    <w:p w14:paraId="7A4B2619" w14:textId="1F4D2C18" w:rsidR="00AE543B" w:rsidRPr="00E33B0E" w:rsidRDefault="00AE543B" w:rsidP="00AE543B">
      <w:r w:rsidRPr="00E33B0E">
        <w:t>Les disparités, sur les plans des compétences et de l</w:t>
      </w:r>
      <w:r w:rsidR="00E86828" w:rsidRPr="00E33B0E">
        <w:t>'</w:t>
      </w:r>
      <w:r w:rsidRPr="00E33B0E">
        <w:t>accessibilité économique, se sont atténuées dans certaines régions, et les nouvelles normes ont jeté les bases nécessaires pour faire en sorte que les technologies émergentes soient mises au service de l</w:t>
      </w:r>
      <w:r w:rsidR="00E86828" w:rsidRPr="00E33B0E">
        <w:t>'</w:t>
      </w:r>
      <w:r w:rsidRPr="00E33B0E">
        <w:t>humanité. Il reste pourtant beaucoup à faire, alors que 2,6 milliards de personnes ne sont toujours pas connectées à travers le monde.</w:t>
      </w:r>
    </w:p>
    <w:p w14:paraId="300188A4" w14:textId="403F7B06" w:rsidR="00AE543B" w:rsidRPr="00E33B0E" w:rsidRDefault="00AE543B" w:rsidP="00AE543B">
      <w:r w:rsidRPr="00E33B0E">
        <w:t>Les retards de développement, l</w:t>
      </w:r>
      <w:r w:rsidR="00E86828" w:rsidRPr="00E33B0E">
        <w:t>'</w:t>
      </w:r>
      <w:r w:rsidRPr="00E33B0E">
        <w:t>incertitude économique, les crises humanitaires et les catastrophes climatiques nous rappellent sans cesse que les solutions numériques doivent être accessibles, financièrement abordables, résilientes et utiles pour tous.</w:t>
      </w:r>
    </w:p>
    <w:p w14:paraId="45E3C349" w14:textId="12C379BA" w:rsidR="00AE543B" w:rsidRPr="00E33B0E" w:rsidRDefault="00AE543B" w:rsidP="00AE543B">
      <w:r w:rsidRPr="00E33B0E">
        <w:t>Dans le même temps, les avancées de l</w:t>
      </w:r>
      <w:r w:rsidR="00E86828" w:rsidRPr="00E33B0E">
        <w:t>'</w:t>
      </w:r>
      <w:r w:rsidRPr="00E33B0E">
        <w:t>intelligence artificielle (IA) et des technologies quantiques soulèvent des questions urgentes en matière de confiance, de sécurité et d</w:t>
      </w:r>
      <w:r w:rsidR="00E86828" w:rsidRPr="00E33B0E">
        <w:t>'</w:t>
      </w:r>
      <w:r w:rsidRPr="00E33B0E">
        <w:t>inclusion à l</w:t>
      </w:r>
      <w:r w:rsidR="00E86828" w:rsidRPr="00E33B0E">
        <w:t>'</w:t>
      </w:r>
      <w:r w:rsidRPr="00E33B0E">
        <w:t>ère du numérique.</w:t>
      </w:r>
    </w:p>
    <w:p w14:paraId="4DC79AD7" w14:textId="50FA0B34" w:rsidR="00AE543B" w:rsidRPr="00E33B0E" w:rsidRDefault="00AE543B" w:rsidP="00AE543B">
      <w:r w:rsidRPr="00E33B0E">
        <w:t>Dans ce contexte, l</w:t>
      </w:r>
      <w:r w:rsidR="00E86828" w:rsidRPr="00E33B0E">
        <w:t>'</w:t>
      </w:r>
      <w:r w:rsidRPr="00E33B0E">
        <w:t>UIT a approfondi ses travaux dans tous les Secteurs.</w:t>
      </w:r>
    </w:p>
    <w:p w14:paraId="7D8C0357" w14:textId="671B7B77" w:rsidR="00AE543B" w:rsidRPr="00E33B0E" w:rsidRDefault="00AE543B" w:rsidP="00AE543B">
      <w:r w:rsidRPr="00E33B0E">
        <w:t>Le Secteur des radiocommunications a publié une nouvelle édition du Règlement des radiocommunications et renforcé ses travaux sur la gestion du spectre pour assurer des services essentiels sur terre, en mer, dans les airs et dans l</w:t>
      </w:r>
      <w:r w:rsidR="00E86828" w:rsidRPr="00E33B0E">
        <w:t>'</w:t>
      </w:r>
      <w:r w:rsidRPr="00E33B0E">
        <w:t>espace.</w:t>
      </w:r>
    </w:p>
    <w:p w14:paraId="7F692D9E" w14:textId="0715E444" w:rsidR="00AE543B" w:rsidRPr="00E33B0E" w:rsidRDefault="00AE543B" w:rsidP="00AE543B">
      <w:r w:rsidRPr="00E33B0E">
        <w:t>Ces travaux ont notamment consisté à traiter plus de 123 000 demandes relatives aux services spatiaux et aux services de Terre, ainsi qu</w:t>
      </w:r>
      <w:r w:rsidR="00E86828" w:rsidRPr="00E33B0E">
        <w:t>'</w:t>
      </w:r>
      <w:r w:rsidRPr="00E33B0E">
        <w:t>à mettre à jour les outils permettant de consulter le Règlement des radiocommunications et de rechercher plus facilement les fiches de notification de réseaux à satellite et de systèmes à satellites.</w:t>
      </w:r>
    </w:p>
    <w:p w14:paraId="010800E9" w14:textId="69E13490" w:rsidR="00AE543B" w:rsidRPr="00E33B0E" w:rsidRDefault="00AE543B" w:rsidP="00AE543B">
      <w:r w:rsidRPr="00E33B0E">
        <w:t>L</w:t>
      </w:r>
      <w:r w:rsidR="00E86828" w:rsidRPr="00E33B0E">
        <w:t>'</w:t>
      </w:r>
      <w:r w:rsidRPr="00E33B0E">
        <w:t>Assemblée mondiale de normalisation des télécommunications (AMNT-24), qui s</w:t>
      </w:r>
      <w:r w:rsidR="00E86828" w:rsidRPr="00E33B0E">
        <w:t>'</w:t>
      </w:r>
      <w:r w:rsidRPr="00E33B0E">
        <w:t>est tenue à New Delhi, a permis de renforcer les efforts visant à réduire l</w:t>
      </w:r>
      <w:r w:rsidR="00E86828" w:rsidRPr="00E33B0E">
        <w:t>'</w:t>
      </w:r>
      <w:r w:rsidRPr="00E33B0E">
        <w:t>écart en matière de normalisation, et le Sommet mondial sur l</w:t>
      </w:r>
      <w:r w:rsidR="00E86828" w:rsidRPr="00E33B0E">
        <w:t>'</w:t>
      </w:r>
      <w:r w:rsidRPr="00E33B0E">
        <w:t>intelligence artificielle au service du bien social a réuni des experts, des innovateurs et des décideurs afin d</w:t>
      </w:r>
      <w:r w:rsidR="00E86828" w:rsidRPr="00E33B0E">
        <w:t>'</w:t>
      </w:r>
      <w:r w:rsidRPr="00E33B0E">
        <w:t>encourager des applications concrètes de l</w:t>
      </w:r>
      <w:r w:rsidR="00E86828" w:rsidRPr="00E33B0E">
        <w:t>'</w:t>
      </w:r>
      <w:r w:rsidRPr="00E33B0E">
        <w:t>intelligence artificielle au service du développement durable.</w:t>
      </w:r>
    </w:p>
    <w:p w14:paraId="2B179D86" w14:textId="0AF5301F" w:rsidR="00AE543B" w:rsidRPr="00E33B0E" w:rsidRDefault="00AE543B" w:rsidP="00AE543B">
      <w:r w:rsidRPr="00E33B0E">
        <w:t xml:space="preserve">La Coalition pour le numérique </w:t>
      </w:r>
      <w:r w:rsidR="00A30E48" w:rsidRPr="00E33B0E">
        <w:t>"</w:t>
      </w:r>
      <w:r w:rsidRPr="00E33B0E">
        <w:t>Partner2Connect</w:t>
      </w:r>
      <w:r w:rsidR="00A30E48" w:rsidRPr="00E33B0E">
        <w:t>"</w:t>
      </w:r>
      <w:r w:rsidRPr="00E33B0E">
        <w:t xml:space="preserve"> a permis de mobiliser des engagements pour un montant dépassant les 73 milliards USD, ce qui souligne toute la force et le potentiel que recèle la collaboration pour réduire les fractures numériques et ouvrir à tous de nouvelles possibilités.</w:t>
      </w:r>
    </w:p>
    <w:p w14:paraId="2854385E" w14:textId="77777777" w:rsidR="00E91DBC" w:rsidRPr="00E33B0E" w:rsidRDefault="00AE543B" w:rsidP="00AE543B">
      <w:r w:rsidRPr="00E33B0E">
        <w:t>En 2024, l</w:t>
      </w:r>
      <w:r w:rsidR="00E86828" w:rsidRPr="00E33B0E">
        <w:t>'</w:t>
      </w:r>
      <w:r w:rsidRPr="00E33B0E">
        <w:t>UIT a publié 412 nouvelles normes pour les télécommunications (Recommandations UIT-T).</w:t>
      </w:r>
    </w:p>
    <w:p w14:paraId="3D0A5297" w14:textId="7228F537" w:rsidR="00AE543B" w:rsidRPr="00E33B0E" w:rsidRDefault="00AE543B" w:rsidP="00A30E48">
      <w:pPr>
        <w:keepNext/>
        <w:keepLines/>
      </w:pPr>
      <w:r w:rsidRPr="00E33B0E">
        <w:lastRenderedPageBreak/>
        <w:t>En cette année la plus chaude jamais enregistrée, l</w:t>
      </w:r>
      <w:r w:rsidR="00E86828" w:rsidRPr="00E33B0E">
        <w:t>'</w:t>
      </w:r>
      <w:r w:rsidRPr="00E33B0E">
        <w:t>UIT a joué un rôle moteur dans le cadre de l</w:t>
      </w:r>
      <w:r w:rsidR="00E86828" w:rsidRPr="00E33B0E">
        <w:t>'</w:t>
      </w:r>
      <w:r w:rsidRPr="00E33B0E">
        <w:t>action du secteur du numérique pour l</w:t>
      </w:r>
      <w:r w:rsidR="00E86828" w:rsidRPr="00E33B0E">
        <w:t>'</w:t>
      </w:r>
      <w:r w:rsidRPr="00E33B0E">
        <w:t>environnement, des solutions de traitement des déchets d</w:t>
      </w:r>
      <w:r w:rsidR="00E86828" w:rsidRPr="00E33B0E">
        <w:t>'</w:t>
      </w:r>
      <w:r w:rsidRPr="00E33B0E">
        <w:t>équipements électriques et électroniques et des systèmes d</w:t>
      </w:r>
      <w:r w:rsidR="00E86828" w:rsidRPr="00E33B0E">
        <w:t>'</w:t>
      </w:r>
      <w:r w:rsidRPr="00E33B0E">
        <w:t>alerte avancée pour renforcer la résilience climatique.</w:t>
      </w:r>
    </w:p>
    <w:p w14:paraId="500F44C5" w14:textId="69C7E9F0" w:rsidR="00AE543B" w:rsidRPr="00E33B0E" w:rsidRDefault="00AE543B" w:rsidP="00AE543B">
      <w:r w:rsidRPr="00E33B0E">
        <w:t>En 2024, l</w:t>
      </w:r>
      <w:r w:rsidR="00E86828" w:rsidRPr="00E33B0E">
        <w:t>'</w:t>
      </w:r>
      <w:r w:rsidRPr="00E33B0E">
        <w:t>Union a aussi mobilisé des efforts pour renforcer l</w:t>
      </w:r>
      <w:r w:rsidR="00E86828" w:rsidRPr="00E33B0E">
        <w:t>'</w:t>
      </w:r>
      <w:r w:rsidRPr="00E33B0E">
        <w:t>infrastructure numérique mondiale, par la création de l</w:t>
      </w:r>
      <w:r w:rsidR="00E86828" w:rsidRPr="00E33B0E">
        <w:t>'</w:t>
      </w:r>
      <w:r w:rsidRPr="00E33B0E">
        <w:t>Organe consultatif international pour la résilience des câbles sous-marins et l</w:t>
      </w:r>
      <w:r w:rsidR="00E86828" w:rsidRPr="00E33B0E">
        <w:t>'</w:t>
      </w:r>
      <w:r w:rsidRPr="00E33B0E">
        <w:t>Initiative pour les investissements dans l</w:t>
      </w:r>
      <w:r w:rsidR="00E86828" w:rsidRPr="00E33B0E">
        <w:t>'</w:t>
      </w:r>
      <w:r w:rsidRPr="00E33B0E">
        <w:t>infrastructure numérique.</w:t>
      </w:r>
    </w:p>
    <w:p w14:paraId="0EA937BB" w14:textId="77777777" w:rsidR="00E91DBC" w:rsidRPr="00E33B0E" w:rsidRDefault="00AE543B" w:rsidP="00AE543B">
      <w:r w:rsidRPr="00E33B0E">
        <w:t>Le Pacte pour l</w:t>
      </w:r>
      <w:r w:rsidR="00E86828" w:rsidRPr="00E33B0E">
        <w:t>'</w:t>
      </w:r>
      <w:r w:rsidRPr="00E33B0E">
        <w:t>avenir et le Pacte numérique mondial associé, adoptés par l</w:t>
      </w:r>
      <w:r w:rsidR="00E86828" w:rsidRPr="00E33B0E">
        <w:t>'</w:t>
      </w:r>
      <w:r w:rsidRPr="00E33B0E">
        <w:t>Assemblée générale des Nations Unies en septembre 2024, ont donné un nouvel élan à notre mission commune, qui consiste à mettre les technologies numériques au service de l</w:t>
      </w:r>
      <w:r w:rsidR="00E86828" w:rsidRPr="00E33B0E">
        <w:t>'</w:t>
      </w:r>
      <w:r w:rsidRPr="00E33B0E">
        <w:t>humain et de la planète.</w:t>
      </w:r>
    </w:p>
    <w:p w14:paraId="209D5086" w14:textId="42032B84" w:rsidR="00AE543B" w:rsidRPr="00E33B0E" w:rsidRDefault="00AE543B" w:rsidP="00AE543B">
      <w:r w:rsidRPr="00E33B0E">
        <w:t>L</w:t>
      </w:r>
      <w:r w:rsidR="00E86828" w:rsidRPr="00E33B0E">
        <w:t>'</w:t>
      </w:r>
      <w:r w:rsidRPr="00E33B0E">
        <w:t>examen du SMSI+20, qui se tiendra en décembre 2025, tombe à point nommé. Il sera l</w:t>
      </w:r>
      <w:r w:rsidR="00E86828" w:rsidRPr="00E33B0E">
        <w:t>'</w:t>
      </w:r>
      <w:r w:rsidRPr="00E33B0E">
        <w:t>occasion de réfléchir aux progrès accomplis jusqu</w:t>
      </w:r>
      <w:r w:rsidR="00E86828" w:rsidRPr="00E33B0E">
        <w:t>'</w:t>
      </w:r>
      <w:r w:rsidRPr="00E33B0E">
        <w:t>ici et de réajuster notre action collective à cet égard.</w:t>
      </w:r>
    </w:p>
    <w:p w14:paraId="4E26F36E" w14:textId="469D67A0" w:rsidR="00AE543B" w:rsidRPr="00E33B0E" w:rsidRDefault="00AE543B" w:rsidP="00AE543B">
      <w:r w:rsidRPr="00E33B0E">
        <w:t>Alors que l</w:t>
      </w:r>
      <w:r w:rsidR="00E86828" w:rsidRPr="00E33B0E">
        <w:t>'</w:t>
      </w:r>
      <w:r w:rsidRPr="00E33B0E">
        <w:t>année 2026 approche, il sera essentiel de maintenir cet élan.</w:t>
      </w:r>
    </w:p>
    <w:p w14:paraId="47559921" w14:textId="77777777" w:rsidR="00AE543B" w:rsidRPr="00E33B0E" w:rsidRDefault="00AE543B" w:rsidP="00AE543B">
      <w:r w:rsidRPr="00E33B0E">
        <w:t>Nous devons continuer à déployer des solutions, à renforcer les partenariats et à traduire les engagements internationaux en véritables retombées sur le terrain.</w:t>
      </w:r>
    </w:p>
    <w:p w14:paraId="7CBB3E7D" w14:textId="77777777" w:rsidR="00E91DBC" w:rsidRPr="00E33B0E" w:rsidRDefault="00AE543B" w:rsidP="00AE543B">
      <w:r w:rsidRPr="00E33B0E">
        <w:t>Je suis profondément reconnaissant à nos membres, à nos partenaires et à notre personnel pour leur engagement sans faille en vue de bâtir une UIT qui soit en adéquation avec sa mission et parée pour l'avenir.</w:t>
      </w:r>
    </w:p>
    <w:p w14:paraId="6F48BE30" w14:textId="0CCBAD12" w:rsidR="00AE543B" w:rsidRPr="00E33B0E" w:rsidRDefault="00AE543B" w:rsidP="00AE543B">
      <w:r w:rsidRPr="00E33B0E">
        <w:t>Depuis que nous nous sommes engagés ensemble dans cette transformation, en 2023, la recherche de gains d</w:t>
      </w:r>
      <w:r w:rsidR="00E86828" w:rsidRPr="00E33B0E">
        <w:t>'</w:t>
      </w:r>
      <w:r w:rsidRPr="00E33B0E">
        <w:t>efficacité et l</w:t>
      </w:r>
      <w:r w:rsidR="00E86828" w:rsidRPr="00E33B0E">
        <w:t>'</w:t>
      </w:r>
      <w:r w:rsidRPr="00E33B0E">
        <w:t>adaptation aux nouveaux défis ont été la clé de notre succès partagé.</w:t>
      </w:r>
    </w:p>
    <w:p w14:paraId="54B519AB" w14:textId="77777777" w:rsidR="00AE543B" w:rsidRPr="00E33B0E" w:rsidRDefault="00AE543B" w:rsidP="00AE543B">
      <w:r w:rsidRPr="00E33B0E">
        <w:t>Je vous invite à découvrir les réalisations collectives présentées dans ce rapport et à unir nos forces, alors que nous continuons, ensemble, à façonner notre avenir numérique commun.</w:t>
      </w:r>
    </w:p>
    <w:p w14:paraId="7CC42FD0" w14:textId="2D4A0D15" w:rsidR="00AE543B" w:rsidRPr="00E33B0E" w:rsidRDefault="00AE543B" w:rsidP="00AE543B">
      <w:pPr>
        <w:spacing w:before="840"/>
      </w:pPr>
      <w:r w:rsidRPr="00E33B0E">
        <w:t>Doreen Bogdan-Martin</w:t>
      </w:r>
      <w:r w:rsidRPr="00E33B0E">
        <w:br/>
        <w:t>Secrétaire générale de l</w:t>
      </w:r>
      <w:r w:rsidR="00E86828" w:rsidRPr="00E33B0E">
        <w:t>'</w:t>
      </w:r>
      <w:r w:rsidRPr="00E33B0E">
        <w:t>Union internationale des télécommunications</w:t>
      </w:r>
    </w:p>
    <w:p w14:paraId="661D1955" w14:textId="018FF72A" w:rsidR="00AE543B" w:rsidRPr="00E33B0E" w:rsidRDefault="00AE543B" w:rsidP="00AE543B">
      <w:r w:rsidRPr="00E33B0E">
        <w:br w:type="page"/>
      </w:r>
    </w:p>
    <w:p w14:paraId="0B09A788" w14:textId="5A12F707" w:rsidR="00AE543B" w:rsidRPr="00E33B0E" w:rsidRDefault="00AE543B" w:rsidP="00AE543B">
      <w:pPr>
        <w:pStyle w:val="Title4"/>
      </w:pPr>
      <w:r w:rsidRPr="00E33B0E">
        <w:lastRenderedPageBreak/>
        <w:t>Table des matières</w:t>
      </w:r>
    </w:p>
    <w:p w14:paraId="0F30A194" w14:textId="08410EE4" w:rsidR="00AE543B" w:rsidRPr="00E33B0E" w:rsidRDefault="00AE543B" w:rsidP="00AE543B">
      <w:pPr>
        <w:jc w:val="right"/>
        <w:rPr>
          <w:b/>
          <w:bCs/>
        </w:rPr>
      </w:pPr>
      <w:r w:rsidRPr="00E33B0E">
        <w:rPr>
          <w:b/>
          <w:bCs/>
        </w:rPr>
        <w:t>Page</w:t>
      </w:r>
    </w:p>
    <w:p w14:paraId="431B81D5" w14:textId="3D47D961" w:rsidR="009344CB" w:rsidRPr="00E33B0E" w:rsidRDefault="009344CB">
      <w:pPr>
        <w:pStyle w:val="TOC1"/>
        <w:rPr>
          <w:rFonts w:asciiTheme="minorHAnsi" w:eastAsiaTheme="minorEastAsia" w:hAnsiTheme="minorHAnsi" w:cstheme="minorBidi"/>
          <w:sz w:val="22"/>
          <w:szCs w:val="22"/>
        </w:rPr>
      </w:pPr>
      <w:r w:rsidRPr="00E33B0E">
        <w:fldChar w:fldCharType="begin"/>
      </w:r>
      <w:r w:rsidRPr="00E33B0E">
        <w:instrText xml:space="preserve"> TOC \o "2-3" \h \z \t "Heading 1;1;Heading_i;1" </w:instrText>
      </w:r>
      <w:r w:rsidRPr="00E33B0E">
        <w:fldChar w:fldCharType="separate"/>
      </w:r>
      <w:hyperlink w:anchor="_Toc199753872" w:history="1">
        <w:r w:rsidRPr="00E33B0E">
          <w:rPr>
            <w:rStyle w:val="Hyperlink"/>
          </w:rPr>
          <w:t>i</w:t>
        </w:r>
        <w:r w:rsidRPr="00E33B0E">
          <w:rPr>
            <w:rFonts w:asciiTheme="minorHAnsi" w:eastAsiaTheme="minorEastAsia" w:hAnsiTheme="minorHAnsi" w:cstheme="minorBidi"/>
            <w:sz w:val="22"/>
            <w:szCs w:val="22"/>
          </w:rPr>
          <w:tab/>
        </w:r>
        <w:r w:rsidRPr="00E33B0E">
          <w:rPr>
            <w:rStyle w:val="Hyperlink"/>
          </w:rPr>
          <w:t>Résumé analytique</w:t>
        </w:r>
        <w:r w:rsidRPr="00E33B0E">
          <w:rPr>
            <w:webHidden/>
          </w:rPr>
          <w:tab/>
        </w:r>
        <w:r w:rsidR="00102C2B" w:rsidRPr="00E33B0E">
          <w:rPr>
            <w:webHidden/>
          </w:rPr>
          <w:tab/>
        </w:r>
        <w:r w:rsidRPr="00E33B0E">
          <w:rPr>
            <w:webHidden/>
          </w:rPr>
          <w:fldChar w:fldCharType="begin"/>
        </w:r>
        <w:r w:rsidRPr="00E33B0E">
          <w:rPr>
            <w:webHidden/>
          </w:rPr>
          <w:instrText xml:space="preserve"> PAGEREF _Toc199753872 \h </w:instrText>
        </w:r>
        <w:r w:rsidRPr="00E33B0E">
          <w:rPr>
            <w:webHidden/>
          </w:rPr>
        </w:r>
        <w:r w:rsidRPr="00E33B0E">
          <w:rPr>
            <w:webHidden/>
          </w:rPr>
          <w:fldChar w:fldCharType="separate"/>
        </w:r>
        <w:r w:rsidRPr="00E33B0E">
          <w:rPr>
            <w:webHidden/>
          </w:rPr>
          <w:t>6</w:t>
        </w:r>
        <w:r w:rsidRPr="00E33B0E">
          <w:rPr>
            <w:webHidden/>
          </w:rPr>
          <w:fldChar w:fldCharType="end"/>
        </w:r>
      </w:hyperlink>
    </w:p>
    <w:p w14:paraId="1150A5D1" w14:textId="592C66ED" w:rsidR="009344CB" w:rsidRPr="00E33B0E" w:rsidRDefault="009344CB">
      <w:pPr>
        <w:pStyle w:val="TOC1"/>
        <w:rPr>
          <w:rFonts w:asciiTheme="minorHAnsi" w:eastAsiaTheme="minorEastAsia" w:hAnsiTheme="minorHAnsi" w:cstheme="minorBidi"/>
          <w:sz w:val="22"/>
          <w:szCs w:val="22"/>
        </w:rPr>
      </w:pPr>
      <w:hyperlink w:anchor="_Toc199753873" w:history="1">
        <w:r w:rsidRPr="00E33B0E">
          <w:rPr>
            <w:rStyle w:val="Hyperlink"/>
          </w:rPr>
          <w:t>ii</w:t>
        </w:r>
        <w:r w:rsidRPr="00E33B0E">
          <w:rPr>
            <w:rFonts w:asciiTheme="minorHAnsi" w:eastAsiaTheme="minorEastAsia" w:hAnsiTheme="minorHAnsi" w:cstheme="minorBidi"/>
            <w:sz w:val="22"/>
            <w:szCs w:val="22"/>
          </w:rPr>
          <w:tab/>
        </w:r>
        <w:r w:rsidRPr="00E33B0E">
          <w:rPr>
            <w:rStyle w:val="Hyperlink"/>
          </w:rPr>
          <w:t>Informations et points à retenir pour 2024</w:t>
        </w:r>
        <w:r w:rsidRPr="00E33B0E">
          <w:rPr>
            <w:webHidden/>
          </w:rPr>
          <w:tab/>
        </w:r>
        <w:r w:rsidR="00102C2B" w:rsidRPr="00E33B0E">
          <w:rPr>
            <w:webHidden/>
          </w:rPr>
          <w:tab/>
        </w:r>
        <w:r w:rsidRPr="00E33B0E">
          <w:rPr>
            <w:webHidden/>
          </w:rPr>
          <w:fldChar w:fldCharType="begin"/>
        </w:r>
        <w:r w:rsidRPr="00E33B0E">
          <w:rPr>
            <w:webHidden/>
          </w:rPr>
          <w:instrText xml:space="preserve"> PAGEREF _Toc199753873 \h </w:instrText>
        </w:r>
        <w:r w:rsidRPr="00E33B0E">
          <w:rPr>
            <w:webHidden/>
          </w:rPr>
        </w:r>
        <w:r w:rsidRPr="00E33B0E">
          <w:rPr>
            <w:webHidden/>
          </w:rPr>
          <w:fldChar w:fldCharType="separate"/>
        </w:r>
        <w:r w:rsidRPr="00E33B0E">
          <w:rPr>
            <w:webHidden/>
          </w:rPr>
          <w:t>8</w:t>
        </w:r>
        <w:r w:rsidRPr="00E33B0E">
          <w:rPr>
            <w:webHidden/>
          </w:rPr>
          <w:fldChar w:fldCharType="end"/>
        </w:r>
      </w:hyperlink>
    </w:p>
    <w:p w14:paraId="5DF609CE" w14:textId="1775736F" w:rsidR="009344CB" w:rsidRPr="00E33B0E" w:rsidRDefault="009344CB">
      <w:pPr>
        <w:pStyle w:val="TOC1"/>
        <w:rPr>
          <w:rFonts w:asciiTheme="minorHAnsi" w:eastAsiaTheme="minorEastAsia" w:hAnsiTheme="minorHAnsi" w:cstheme="minorBidi"/>
          <w:sz w:val="22"/>
          <w:szCs w:val="22"/>
        </w:rPr>
      </w:pPr>
      <w:hyperlink w:anchor="_Toc199753874" w:history="1">
        <w:r w:rsidRPr="00E33B0E">
          <w:rPr>
            <w:rStyle w:val="Hyperlink"/>
          </w:rPr>
          <w:t>1</w:t>
        </w:r>
        <w:r w:rsidRPr="00E33B0E">
          <w:rPr>
            <w:rFonts w:asciiTheme="minorHAnsi" w:eastAsiaTheme="minorEastAsia" w:hAnsiTheme="minorHAnsi" w:cstheme="minorBidi"/>
            <w:sz w:val="22"/>
            <w:szCs w:val="22"/>
          </w:rPr>
          <w:tab/>
        </w:r>
        <w:r w:rsidRPr="00E33B0E">
          <w:rPr>
            <w:rStyle w:val="Hyperlink"/>
          </w:rPr>
          <w:t>Introduction</w:t>
        </w:r>
        <w:r w:rsidRPr="00E33B0E">
          <w:rPr>
            <w:webHidden/>
          </w:rPr>
          <w:tab/>
        </w:r>
        <w:r w:rsidR="00102C2B" w:rsidRPr="00E33B0E">
          <w:rPr>
            <w:webHidden/>
          </w:rPr>
          <w:tab/>
        </w:r>
        <w:r w:rsidRPr="00E33B0E">
          <w:rPr>
            <w:webHidden/>
          </w:rPr>
          <w:fldChar w:fldCharType="begin"/>
        </w:r>
        <w:r w:rsidRPr="00E33B0E">
          <w:rPr>
            <w:webHidden/>
          </w:rPr>
          <w:instrText xml:space="preserve"> PAGEREF _Toc199753874 \h </w:instrText>
        </w:r>
        <w:r w:rsidRPr="00E33B0E">
          <w:rPr>
            <w:webHidden/>
          </w:rPr>
        </w:r>
        <w:r w:rsidRPr="00E33B0E">
          <w:rPr>
            <w:webHidden/>
          </w:rPr>
          <w:fldChar w:fldCharType="separate"/>
        </w:r>
        <w:r w:rsidRPr="00E33B0E">
          <w:rPr>
            <w:webHidden/>
          </w:rPr>
          <w:t>12</w:t>
        </w:r>
        <w:r w:rsidRPr="00E33B0E">
          <w:rPr>
            <w:webHidden/>
          </w:rPr>
          <w:fldChar w:fldCharType="end"/>
        </w:r>
      </w:hyperlink>
    </w:p>
    <w:p w14:paraId="42E31D98" w14:textId="086B2B91" w:rsidR="009344CB" w:rsidRPr="00E33B0E" w:rsidRDefault="009344CB">
      <w:pPr>
        <w:pStyle w:val="TOC1"/>
        <w:rPr>
          <w:rFonts w:asciiTheme="minorHAnsi" w:eastAsiaTheme="minorEastAsia" w:hAnsiTheme="minorHAnsi" w:cstheme="minorBidi"/>
          <w:sz w:val="22"/>
          <w:szCs w:val="22"/>
        </w:rPr>
      </w:pPr>
      <w:hyperlink w:anchor="_Toc199753875" w:history="1">
        <w:r w:rsidRPr="00E33B0E">
          <w:rPr>
            <w:rStyle w:val="Hyperlink"/>
          </w:rPr>
          <w:t>2</w:t>
        </w:r>
        <w:r w:rsidRPr="00E33B0E">
          <w:rPr>
            <w:rFonts w:asciiTheme="minorHAnsi" w:eastAsiaTheme="minorEastAsia" w:hAnsiTheme="minorHAnsi" w:cstheme="minorBidi"/>
            <w:sz w:val="22"/>
            <w:szCs w:val="22"/>
          </w:rPr>
          <w:tab/>
        </w:r>
        <w:r w:rsidRPr="00E33B0E">
          <w:rPr>
            <w:rStyle w:val="Hyperlink"/>
          </w:rPr>
          <w:t>Conférence statutaire mondiale de 2024</w:t>
        </w:r>
        <w:r w:rsidRPr="00E33B0E">
          <w:rPr>
            <w:webHidden/>
          </w:rPr>
          <w:tab/>
        </w:r>
        <w:r w:rsidR="00102C2B" w:rsidRPr="00E33B0E">
          <w:rPr>
            <w:webHidden/>
          </w:rPr>
          <w:tab/>
        </w:r>
        <w:r w:rsidRPr="00E33B0E">
          <w:rPr>
            <w:webHidden/>
          </w:rPr>
          <w:fldChar w:fldCharType="begin"/>
        </w:r>
        <w:r w:rsidRPr="00E33B0E">
          <w:rPr>
            <w:webHidden/>
          </w:rPr>
          <w:instrText xml:space="preserve"> PAGEREF _Toc199753875 \h </w:instrText>
        </w:r>
        <w:r w:rsidRPr="00E33B0E">
          <w:rPr>
            <w:webHidden/>
          </w:rPr>
        </w:r>
        <w:r w:rsidRPr="00E33B0E">
          <w:rPr>
            <w:webHidden/>
          </w:rPr>
          <w:fldChar w:fldCharType="separate"/>
        </w:r>
        <w:r w:rsidRPr="00E33B0E">
          <w:rPr>
            <w:webHidden/>
          </w:rPr>
          <w:t>13</w:t>
        </w:r>
        <w:r w:rsidRPr="00E33B0E">
          <w:rPr>
            <w:webHidden/>
          </w:rPr>
          <w:fldChar w:fldCharType="end"/>
        </w:r>
      </w:hyperlink>
    </w:p>
    <w:p w14:paraId="1DF3306E" w14:textId="12731E8A"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76" w:history="1">
        <w:r w:rsidRPr="00E33B0E">
          <w:rPr>
            <w:rStyle w:val="Hyperlink"/>
          </w:rPr>
          <w:t>2.1</w:t>
        </w:r>
        <w:r w:rsidRPr="00E33B0E">
          <w:rPr>
            <w:rFonts w:asciiTheme="minorHAnsi" w:eastAsiaTheme="minorEastAsia" w:hAnsiTheme="minorHAnsi" w:cstheme="minorBidi"/>
            <w:sz w:val="22"/>
            <w:szCs w:val="22"/>
          </w:rPr>
          <w:tab/>
        </w:r>
        <w:r w:rsidRPr="00E33B0E">
          <w:rPr>
            <w:rStyle w:val="Hyperlink"/>
          </w:rPr>
          <w:t>Assemblée mondiale de normalisation des télécommunications</w:t>
        </w:r>
        <w:r w:rsidRPr="00E33B0E">
          <w:rPr>
            <w:webHidden/>
          </w:rPr>
          <w:tab/>
        </w:r>
        <w:r w:rsidR="00102C2B" w:rsidRPr="00E33B0E">
          <w:rPr>
            <w:webHidden/>
          </w:rPr>
          <w:tab/>
        </w:r>
        <w:r w:rsidRPr="00E33B0E">
          <w:rPr>
            <w:webHidden/>
          </w:rPr>
          <w:fldChar w:fldCharType="begin"/>
        </w:r>
        <w:r w:rsidRPr="00E33B0E">
          <w:rPr>
            <w:webHidden/>
          </w:rPr>
          <w:instrText xml:space="preserve"> PAGEREF _Toc199753876 \h </w:instrText>
        </w:r>
        <w:r w:rsidRPr="00E33B0E">
          <w:rPr>
            <w:webHidden/>
          </w:rPr>
        </w:r>
        <w:r w:rsidRPr="00E33B0E">
          <w:rPr>
            <w:webHidden/>
          </w:rPr>
          <w:fldChar w:fldCharType="separate"/>
        </w:r>
        <w:r w:rsidRPr="00E33B0E">
          <w:rPr>
            <w:webHidden/>
          </w:rPr>
          <w:t>13</w:t>
        </w:r>
        <w:r w:rsidRPr="00E33B0E">
          <w:rPr>
            <w:webHidden/>
          </w:rPr>
          <w:fldChar w:fldCharType="end"/>
        </w:r>
      </w:hyperlink>
    </w:p>
    <w:p w14:paraId="1595A822" w14:textId="656744D6" w:rsidR="009344CB" w:rsidRPr="00E33B0E" w:rsidRDefault="009344CB">
      <w:pPr>
        <w:pStyle w:val="TOC1"/>
        <w:rPr>
          <w:rFonts w:asciiTheme="minorHAnsi" w:eastAsiaTheme="minorEastAsia" w:hAnsiTheme="minorHAnsi" w:cstheme="minorBidi"/>
          <w:sz w:val="22"/>
          <w:szCs w:val="22"/>
        </w:rPr>
      </w:pPr>
      <w:hyperlink w:anchor="_Toc199753877" w:history="1">
        <w:r w:rsidRPr="00E33B0E">
          <w:rPr>
            <w:rStyle w:val="Hyperlink"/>
          </w:rPr>
          <w:t>3</w:t>
        </w:r>
        <w:r w:rsidRPr="00E33B0E">
          <w:rPr>
            <w:rFonts w:asciiTheme="minorHAnsi" w:eastAsiaTheme="minorEastAsia" w:hAnsiTheme="minorHAnsi" w:cstheme="minorBidi"/>
            <w:sz w:val="22"/>
            <w:szCs w:val="22"/>
          </w:rPr>
          <w:tab/>
        </w:r>
        <w:r w:rsidRPr="00E33B0E">
          <w:rPr>
            <w:rStyle w:val="Hyperlink"/>
          </w:rPr>
          <w:t>Incidences des travaux de l'UIT</w:t>
        </w:r>
        <w:r w:rsidRPr="00E33B0E">
          <w:rPr>
            <w:webHidden/>
          </w:rPr>
          <w:tab/>
        </w:r>
        <w:r w:rsidR="00102C2B" w:rsidRPr="00E33B0E">
          <w:rPr>
            <w:webHidden/>
          </w:rPr>
          <w:tab/>
        </w:r>
        <w:r w:rsidRPr="00E33B0E">
          <w:rPr>
            <w:webHidden/>
          </w:rPr>
          <w:fldChar w:fldCharType="begin"/>
        </w:r>
        <w:r w:rsidRPr="00E33B0E">
          <w:rPr>
            <w:webHidden/>
          </w:rPr>
          <w:instrText xml:space="preserve"> PAGEREF _Toc199753877 \h </w:instrText>
        </w:r>
        <w:r w:rsidRPr="00E33B0E">
          <w:rPr>
            <w:webHidden/>
          </w:rPr>
        </w:r>
        <w:r w:rsidRPr="00E33B0E">
          <w:rPr>
            <w:webHidden/>
          </w:rPr>
          <w:fldChar w:fldCharType="separate"/>
        </w:r>
        <w:r w:rsidRPr="00E33B0E">
          <w:rPr>
            <w:webHidden/>
          </w:rPr>
          <w:t>14</w:t>
        </w:r>
        <w:r w:rsidRPr="00E33B0E">
          <w:rPr>
            <w:webHidden/>
          </w:rPr>
          <w:fldChar w:fldCharType="end"/>
        </w:r>
      </w:hyperlink>
    </w:p>
    <w:p w14:paraId="295FCE5C" w14:textId="45C8A221"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78" w:history="1">
        <w:r w:rsidRPr="00E33B0E">
          <w:rPr>
            <w:rStyle w:val="Hyperlink"/>
          </w:rPr>
          <w:t>3.1</w:t>
        </w:r>
        <w:r w:rsidRPr="00E33B0E">
          <w:rPr>
            <w:rFonts w:asciiTheme="minorHAnsi" w:eastAsiaTheme="minorEastAsia" w:hAnsiTheme="minorHAnsi" w:cstheme="minorBidi"/>
            <w:sz w:val="22"/>
            <w:szCs w:val="22"/>
          </w:rPr>
          <w:tab/>
        </w:r>
        <w:r w:rsidRPr="00E33B0E">
          <w:rPr>
            <w:rStyle w:val="Hyperlink"/>
          </w:rPr>
          <w:t>Connectivité universelle</w:t>
        </w:r>
        <w:r w:rsidRPr="00E33B0E">
          <w:rPr>
            <w:webHidden/>
          </w:rPr>
          <w:tab/>
        </w:r>
        <w:r w:rsidR="00102C2B" w:rsidRPr="00E33B0E">
          <w:rPr>
            <w:webHidden/>
          </w:rPr>
          <w:tab/>
        </w:r>
        <w:r w:rsidRPr="00E33B0E">
          <w:rPr>
            <w:webHidden/>
          </w:rPr>
          <w:fldChar w:fldCharType="begin"/>
        </w:r>
        <w:r w:rsidRPr="00E33B0E">
          <w:rPr>
            <w:webHidden/>
          </w:rPr>
          <w:instrText xml:space="preserve"> PAGEREF _Toc199753878 \h </w:instrText>
        </w:r>
        <w:r w:rsidRPr="00E33B0E">
          <w:rPr>
            <w:webHidden/>
          </w:rPr>
        </w:r>
        <w:r w:rsidRPr="00E33B0E">
          <w:rPr>
            <w:webHidden/>
          </w:rPr>
          <w:fldChar w:fldCharType="separate"/>
        </w:r>
        <w:r w:rsidRPr="00E33B0E">
          <w:rPr>
            <w:webHidden/>
          </w:rPr>
          <w:t>15</w:t>
        </w:r>
        <w:r w:rsidRPr="00E33B0E">
          <w:rPr>
            <w:webHidden/>
          </w:rPr>
          <w:fldChar w:fldCharType="end"/>
        </w:r>
      </w:hyperlink>
    </w:p>
    <w:p w14:paraId="5B7C6720" w14:textId="3D00A467"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79" w:history="1">
        <w:r w:rsidRPr="00E33B0E">
          <w:rPr>
            <w:rStyle w:val="Hyperlink"/>
          </w:rPr>
          <w:t>3.2</w:t>
        </w:r>
        <w:r w:rsidRPr="00E33B0E">
          <w:rPr>
            <w:rFonts w:asciiTheme="minorHAnsi" w:eastAsiaTheme="minorEastAsia" w:hAnsiTheme="minorHAnsi" w:cstheme="minorBidi"/>
            <w:sz w:val="22"/>
            <w:szCs w:val="22"/>
          </w:rPr>
          <w:tab/>
        </w:r>
        <w:r w:rsidRPr="00E33B0E">
          <w:rPr>
            <w:rStyle w:val="Hyperlink"/>
          </w:rPr>
          <w:t>Transformation numérique durable</w:t>
        </w:r>
        <w:r w:rsidRPr="00E33B0E">
          <w:rPr>
            <w:webHidden/>
          </w:rPr>
          <w:tab/>
        </w:r>
        <w:r w:rsidR="00102C2B" w:rsidRPr="00E33B0E">
          <w:rPr>
            <w:webHidden/>
          </w:rPr>
          <w:tab/>
        </w:r>
        <w:r w:rsidRPr="00E33B0E">
          <w:rPr>
            <w:webHidden/>
          </w:rPr>
          <w:fldChar w:fldCharType="begin"/>
        </w:r>
        <w:r w:rsidRPr="00E33B0E">
          <w:rPr>
            <w:webHidden/>
          </w:rPr>
          <w:instrText xml:space="preserve"> PAGEREF _Toc199753879 \h </w:instrText>
        </w:r>
        <w:r w:rsidRPr="00E33B0E">
          <w:rPr>
            <w:webHidden/>
          </w:rPr>
        </w:r>
        <w:r w:rsidRPr="00E33B0E">
          <w:rPr>
            <w:webHidden/>
          </w:rPr>
          <w:fldChar w:fldCharType="separate"/>
        </w:r>
        <w:r w:rsidRPr="00E33B0E">
          <w:rPr>
            <w:webHidden/>
          </w:rPr>
          <w:t>20</w:t>
        </w:r>
        <w:r w:rsidRPr="00E33B0E">
          <w:rPr>
            <w:webHidden/>
          </w:rPr>
          <w:fldChar w:fldCharType="end"/>
        </w:r>
      </w:hyperlink>
    </w:p>
    <w:p w14:paraId="4E8D304F" w14:textId="5CAFEA25" w:rsidR="009344CB" w:rsidRPr="00E33B0E" w:rsidRDefault="009344CB">
      <w:pPr>
        <w:pStyle w:val="TOC1"/>
        <w:rPr>
          <w:rFonts w:asciiTheme="minorHAnsi" w:eastAsiaTheme="minorEastAsia" w:hAnsiTheme="minorHAnsi" w:cstheme="minorBidi"/>
          <w:sz w:val="22"/>
          <w:szCs w:val="22"/>
        </w:rPr>
      </w:pPr>
      <w:hyperlink w:anchor="_Toc199753880" w:history="1">
        <w:r w:rsidRPr="00E33B0E">
          <w:rPr>
            <w:rStyle w:val="Hyperlink"/>
          </w:rPr>
          <w:t>4</w:t>
        </w:r>
        <w:r w:rsidRPr="00E33B0E">
          <w:rPr>
            <w:rFonts w:asciiTheme="minorHAnsi" w:eastAsiaTheme="minorEastAsia" w:hAnsiTheme="minorHAnsi" w:cstheme="minorBidi"/>
            <w:sz w:val="22"/>
            <w:szCs w:val="22"/>
          </w:rPr>
          <w:tab/>
        </w:r>
        <w:r w:rsidRPr="00E33B0E">
          <w:rPr>
            <w:rStyle w:val="Hyperlink"/>
          </w:rPr>
          <w:t>Produits et services</w:t>
        </w:r>
        <w:r w:rsidRPr="00E33B0E">
          <w:rPr>
            <w:webHidden/>
          </w:rPr>
          <w:tab/>
        </w:r>
        <w:r w:rsidR="00102C2B" w:rsidRPr="00E33B0E">
          <w:rPr>
            <w:webHidden/>
          </w:rPr>
          <w:tab/>
        </w:r>
        <w:r w:rsidRPr="00E33B0E">
          <w:rPr>
            <w:webHidden/>
          </w:rPr>
          <w:fldChar w:fldCharType="begin"/>
        </w:r>
        <w:r w:rsidRPr="00E33B0E">
          <w:rPr>
            <w:webHidden/>
          </w:rPr>
          <w:instrText xml:space="preserve"> PAGEREF _Toc199753880 \h </w:instrText>
        </w:r>
        <w:r w:rsidRPr="00E33B0E">
          <w:rPr>
            <w:webHidden/>
          </w:rPr>
        </w:r>
        <w:r w:rsidRPr="00E33B0E">
          <w:rPr>
            <w:webHidden/>
          </w:rPr>
          <w:fldChar w:fldCharType="separate"/>
        </w:r>
        <w:r w:rsidRPr="00E33B0E">
          <w:rPr>
            <w:webHidden/>
          </w:rPr>
          <w:t>25</w:t>
        </w:r>
        <w:r w:rsidRPr="00E33B0E">
          <w:rPr>
            <w:webHidden/>
          </w:rPr>
          <w:fldChar w:fldCharType="end"/>
        </w:r>
      </w:hyperlink>
    </w:p>
    <w:p w14:paraId="19831FF1" w14:textId="63B66867"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81" w:history="1">
        <w:r w:rsidRPr="00E33B0E">
          <w:rPr>
            <w:rStyle w:val="Hyperlink"/>
          </w:rPr>
          <w:t>4.1</w:t>
        </w:r>
        <w:r w:rsidRPr="00E33B0E">
          <w:rPr>
            <w:rFonts w:asciiTheme="minorHAnsi" w:eastAsiaTheme="minorEastAsia" w:hAnsiTheme="minorHAnsi" w:cstheme="minorBidi"/>
            <w:sz w:val="22"/>
            <w:szCs w:val="22"/>
          </w:rPr>
          <w:tab/>
        </w:r>
        <w:r w:rsidRPr="00E33B0E">
          <w:rPr>
            <w:rStyle w:val="Hyperlink"/>
          </w:rPr>
          <w:t>Élaboration et application des règlements administratifs de l'UIT</w:t>
        </w:r>
        <w:r w:rsidRPr="00E33B0E">
          <w:rPr>
            <w:webHidden/>
          </w:rPr>
          <w:tab/>
        </w:r>
        <w:r w:rsidR="00102C2B" w:rsidRPr="00E33B0E">
          <w:rPr>
            <w:webHidden/>
          </w:rPr>
          <w:tab/>
        </w:r>
        <w:r w:rsidRPr="00E33B0E">
          <w:rPr>
            <w:webHidden/>
          </w:rPr>
          <w:fldChar w:fldCharType="begin"/>
        </w:r>
        <w:r w:rsidRPr="00E33B0E">
          <w:rPr>
            <w:webHidden/>
          </w:rPr>
          <w:instrText xml:space="preserve"> PAGEREF _Toc199753881 \h </w:instrText>
        </w:r>
        <w:r w:rsidRPr="00E33B0E">
          <w:rPr>
            <w:webHidden/>
          </w:rPr>
        </w:r>
        <w:r w:rsidRPr="00E33B0E">
          <w:rPr>
            <w:webHidden/>
          </w:rPr>
          <w:fldChar w:fldCharType="separate"/>
        </w:r>
        <w:r w:rsidRPr="00E33B0E">
          <w:rPr>
            <w:webHidden/>
          </w:rPr>
          <w:t>25</w:t>
        </w:r>
        <w:r w:rsidRPr="00E33B0E">
          <w:rPr>
            <w:webHidden/>
          </w:rPr>
          <w:fldChar w:fldCharType="end"/>
        </w:r>
      </w:hyperlink>
    </w:p>
    <w:p w14:paraId="566D20D7" w14:textId="67D024E3"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2" w:history="1">
        <w:r w:rsidRPr="00E33B0E">
          <w:rPr>
            <w:rStyle w:val="Hyperlink"/>
          </w:rPr>
          <w:t>4.1.1</w:t>
        </w:r>
        <w:r w:rsidRPr="00E33B0E">
          <w:rPr>
            <w:rFonts w:asciiTheme="minorHAnsi" w:eastAsiaTheme="minorEastAsia" w:hAnsiTheme="minorHAnsi" w:cstheme="minorBidi"/>
            <w:sz w:val="22"/>
            <w:szCs w:val="22"/>
          </w:rPr>
          <w:tab/>
        </w:r>
        <w:r w:rsidRPr="00E33B0E">
          <w:rPr>
            <w:rStyle w:val="Hyperlink"/>
          </w:rPr>
          <w:t>Règlement des radiocommunications</w:t>
        </w:r>
        <w:r w:rsidRPr="00E33B0E">
          <w:rPr>
            <w:webHidden/>
          </w:rPr>
          <w:tab/>
        </w:r>
        <w:r w:rsidR="00102C2B" w:rsidRPr="00E33B0E">
          <w:rPr>
            <w:webHidden/>
          </w:rPr>
          <w:tab/>
        </w:r>
        <w:r w:rsidRPr="00E33B0E">
          <w:rPr>
            <w:webHidden/>
          </w:rPr>
          <w:fldChar w:fldCharType="begin"/>
        </w:r>
        <w:r w:rsidRPr="00E33B0E">
          <w:rPr>
            <w:webHidden/>
          </w:rPr>
          <w:instrText xml:space="preserve"> PAGEREF _Toc199753882 \h </w:instrText>
        </w:r>
        <w:r w:rsidRPr="00E33B0E">
          <w:rPr>
            <w:webHidden/>
          </w:rPr>
        </w:r>
        <w:r w:rsidRPr="00E33B0E">
          <w:rPr>
            <w:webHidden/>
          </w:rPr>
          <w:fldChar w:fldCharType="separate"/>
        </w:r>
        <w:r w:rsidRPr="00E33B0E">
          <w:rPr>
            <w:webHidden/>
          </w:rPr>
          <w:t>25</w:t>
        </w:r>
        <w:r w:rsidRPr="00E33B0E">
          <w:rPr>
            <w:webHidden/>
          </w:rPr>
          <w:fldChar w:fldCharType="end"/>
        </w:r>
      </w:hyperlink>
    </w:p>
    <w:p w14:paraId="3391AC1A" w14:textId="372400C4"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83" w:history="1">
        <w:r w:rsidRPr="00E33B0E">
          <w:rPr>
            <w:rStyle w:val="Hyperlink"/>
          </w:rPr>
          <w:t>4.2</w:t>
        </w:r>
        <w:r w:rsidRPr="00E33B0E">
          <w:rPr>
            <w:rFonts w:asciiTheme="minorHAnsi" w:eastAsiaTheme="minorEastAsia" w:hAnsiTheme="minorHAnsi" w:cstheme="minorBidi"/>
            <w:sz w:val="22"/>
            <w:szCs w:val="22"/>
          </w:rPr>
          <w:tab/>
        </w:r>
        <w:r w:rsidRPr="00E33B0E">
          <w:rPr>
            <w:rStyle w:val="Hyperlink"/>
          </w:rPr>
          <w:t>Attribution et gestion des ressources</w:t>
        </w:r>
        <w:r w:rsidRPr="00E33B0E">
          <w:rPr>
            <w:webHidden/>
          </w:rPr>
          <w:tab/>
        </w:r>
        <w:r w:rsidR="00102C2B" w:rsidRPr="00E33B0E">
          <w:rPr>
            <w:webHidden/>
          </w:rPr>
          <w:tab/>
        </w:r>
        <w:r w:rsidRPr="00E33B0E">
          <w:rPr>
            <w:webHidden/>
          </w:rPr>
          <w:fldChar w:fldCharType="begin"/>
        </w:r>
        <w:r w:rsidRPr="00E33B0E">
          <w:rPr>
            <w:webHidden/>
          </w:rPr>
          <w:instrText xml:space="preserve"> PAGEREF _Toc199753883 \h </w:instrText>
        </w:r>
        <w:r w:rsidRPr="00E33B0E">
          <w:rPr>
            <w:webHidden/>
          </w:rPr>
        </w:r>
        <w:r w:rsidRPr="00E33B0E">
          <w:rPr>
            <w:webHidden/>
          </w:rPr>
          <w:fldChar w:fldCharType="separate"/>
        </w:r>
        <w:r w:rsidRPr="00E33B0E">
          <w:rPr>
            <w:webHidden/>
          </w:rPr>
          <w:t>26</w:t>
        </w:r>
        <w:r w:rsidRPr="00E33B0E">
          <w:rPr>
            <w:webHidden/>
          </w:rPr>
          <w:fldChar w:fldCharType="end"/>
        </w:r>
      </w:hyperlink>
    </w:p>
    <w:p w14:paraId="76842CAC" w14:textId="5B32A055"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4" w:history="1">
        <w:r w:rsidRPr="00E33B0E">
          <w:rPr>
            <w:rStyle w:val="Hyperlink"/>
          </w:rPr>
          <w:t>4.2.1</w:t>
        </w:r>
        <w:r w:rsidRPr="00E33B0E">
          <w:rPr>
            <w:rFonts w:asciiTheme="minorHAnsi" w:eastAsiaTheme="minorEastAsia" w:hAnsiTheme="minorHAnsi" w:cstheme="minorBidi"/>
            <w:sz w:val="22"/>
            <w:szCs w:val="22"/>
          </w:rPr>
          <w:tab/>
        </w:r>
        <w:r w:rsidRPr="00E33B0E">
          <w:rPr>
            <w:rStyle w:val="Hyperlink"/>
          </w:rPr>
          <w:t>Utilisation du spectre pour les services spatiaux et les services</w:t>
        </w:r>
        <w:r w:rsidR="00102C2B" w:rsidRPr="00E33B0E">
          <w:rPr>
            <w:rStyle w:val="Hyperlink"/>
          </w:rPr>
          <w:t> </w:t>
        </w:r>
        <w:r w:rsidRPr="00E33B0E">
          <w:rPr>
            <w:rStyle w:val="Hyperlink"/>
          </w:rPr>
          <w:t>de Terre</w:t>
        </w:r>
        <w:r w:rsidRPr="00E33B0E">
          <w:rPr>
            <w:webHidden/>
          </w:rPr>
          <w:tab/>
        </w:r>
        <w:r w:rsidR="00102C2B" w:rsidRPr="00E33B0E">
          <w:rPr>
            <w:webHidden/>
          </w:rPr>
          <w:tab/>
        </w:r>
        <w:r w:rsidRPr="00E33B0E">
          <w:rPr>
            <w:webHidden/>
          </w:rPr>
          <w:fldChar w:fldCharType="begin"/>
        </w:r>
        <w:r w:rsidRPr="00E33B0E">
          <w:rPr>
            <w:webHidden/>
          </w:rPr>
          <w:instrText xml:space="preserve"> PAGEREF _Toc199753884 \h </w:instrText>
        </w:r>
        <w:r w:rsidRPr="00E33B0E">
          <w:rPr>
            <w:webHidden/>
          </w:rPr>
        </w:r>
        <w:r w:rsidRPr="00E33B0E">
          <w:rPr>
            <w:webHidden/>
          </w:rPr>
          <w:fldChar w:fldCharType="separate"/>
        </w:r>
        <w:r w:rsidRPr="00E33B0E">
          <w:rPr>
            <w:webHidden/>
          </w:rPr>
          <w:t>26</w:t>
        </w:r>
        <w:r w:rsidRPr="00E33B0E">
          <w:rPr>
            <w:webHidden/>
          </w:rPr>
          <w:fldChar w:fldCharType="end"/>
        </w:r>
      </w:hyperlink>
    </w:p>
    <w:p w14:paraId="47B2AA69" w14:textId="1C393704"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5" w:history="1">
        <w:r w:rsidRPr="00E33B0E">
          <w:rPr>
            <w:rStyle w:val="Hyperlink"/>
          </w:rPr>
          <w:t>4.2.2</w:t>
        </w:r>
        <w:r w:rsidRPr="00E33B0E">
          <w:rPr>
            <w:rFonts w:asciiTheme="minorHAnsi" w:eastAsiaTheme="minorEastAsia" w:hAnsiTheme="minorHAnsi" w:cstheme="minorBidi"/>
            <w:sz w:val="22"/>
            <w:szCs w:val="22"/>
          </w:rPr>
          <w:tab/>
        </w:r>
        <w:r w:rsidRPr="00E33B0E">
          <w:rPr>
            <w:rStyle w:val="Hyperlink"/>
          </w:rPr>
          <w:t>Ressources de numérotage, de nommage, d'adressage et d'identification (NNAI)</w:t>
        </w:r>
        <w:r w:rsidRPr="00E33B0E">
          <w:rPr>
            <w:webHidden/>
          </w:rPr>
          <w:tab/>
        </w:r>
        <w:r w:rsidR="00102C2B" w:rsidRPr="00E33B0E">
          <w:rPr>
            <w:webHidden/>
          </w:rPr>
          <w:tab/>
        </w:r>
        <w:r w:rsidRPr="00E33B0E">
          <w:rPr>
            <w:webHidden/>
          </w:rPr>
          <w:fldChar w:fldCharType="begin"/>
        </w:r>
        <w:r w:rsidRPr="00E33B0E">
          <w:rPr>
            <w:webHidden/>
          </w:rPr>
          <w:instrText xml:space="preserve"> PAGEREF _Toc199753885 \h </w:instrText>
        </w:r>
        <w:r w:rsidRPr="00E33B0E">
          <w:rPr>
            <w:webHidden/>
          </w:rPr>
        </w:r>
        <w:r w:rsidRPr="00E33B0E">
          <w:rPr>
            <w:webHidden/>
          </w:rPr>
          <w:fldChar w:fldCharType="separate"/>
        </w:r>
        <w:r w:rsidRPr="00E33B0E">
          <w:rPr>
            <w:webHidden/>
          </w:rPr>
          <w:t>28</w:t>
        </w:r>
        <w:r w:rsidRPr="00E33B0E">
          <w:rPr>
            <w:webHidden/>
          </w:rPr>
          <w:fldChar w:fldCharType="end"/>
        </w:r>
      </w:hyperlink>
    </w:p>
    <w:p w14:paraId="2C405596" w14:textId="403DD3F1"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86" w:history="1">
        <w:r w:rsidRPr="00E33B0E">
          <w:rPr>
            <w:rStyle w:val="Hyperlink"/>
          </w:rPr>
          <w:t>4.3</w:t>
        </w:r>
        <w:r w:rsidRPr="00E33B0E">
          <w:rPr>
            <w:rFonts w:asciiTheme="minorHAnsi" w:eastAsiaTheme="minorEastAsia" w:hAnsiTheme="minorHAnsi" w:cstheme="minorBidi"/>
            <w:sz w:val="22"/>
            <w:szCs w:val="22"/>
          </w:rPr>
          <w:tab/>
        </w:r>
        <w:r w:rsidRPr="00E33B0E">
          <w:rPr>
            <w:rStyle w:val="Hyperlink"/>
          </w:rPr>
          <w:t>Élaboration de normes internationales</w:t>
        </w:r>
        <w:r w:rsidRPr="00E33B0E">
          <w:rPr>
            <w:webHidden/>
          </w:rPr>
          <w:tab/>
        </w:r>
        <w:r w:rsidR="00102C2B" w:rsidRPr="00E33B0E">
          <w:rPr>
            <w:webHidden/>
          </w:rPr>
          <w:tab/>
        </w:r>
        <w:r w:rsidRPr="00E33B0E">
          <w:rPr>
            <w:webHidden/>
          </w:rPr>
          <w:fldChar w:fldCharType="begin"/>
        </w:r>
        <w:r w:rsidRPr="00E33B0E">
          <w:rPr>
            <w:webHidden/>
          </w:rPr>
          <w:instrText xml:space="preserve"> PAGEREF _Toc199753886 \h </w:instrText>
        </w:r>
        <w:r w:rsidRPr="00E33B0E">
          <w:rPr>
            <w:webHidden/>
          </w:rPr>
        </w:r>
        <w:r w:rsidRPr="00E33B0E">
          <w:rPr>
            <w:webHidden/>
          </w:rPr>
          <w:fldChar w:fldCharType="separate"/>
        </w:r>
        <w:r w:rsidRPr="00E33B0E">
          <w:rPr>
            <w:webHidden/>
          </w:rPr>
          <w:t>30</w:t>
        </w:r>
        <w:r w:rsidRPr="00E33B0E">
          <w:rPr>
            <w:webHidden/>
          </w:rPr>
          <w:fldChar w:fldCharType="end"/>
        </w:r>
      </w:hyperlink>
    </w:p>
    <w:p w14:paraId="3B20345C" w14:textId="1EF89015"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7" w:history="1">
        <w:r w:rsidRPr="00E33B0E">
          <w:rPr>
            <w:rStyle w:val="Hyperlink"/>
          </w:rPr>
          <w:t>4.3.1</w:t>
        </w:r>
        <w:r w:rsidRPr="00E33B0E">
          <w:rPr>
            <w:rFonts w:asciiTheme="minorHAnsi" w:eastAsiaTheme="minorEastAsia" w:hAnsiTheme="minorHAnsi" w:cstheme="minorBidi"/>
            <w:sz w:val="22"/>
            <w:szCs w:val="22"/>
          </w:rPr>
          <w:tab/>
        </w:r>
        <w:r w:rsidRPr="00E33B0E">
          <w:rPr>
            <w:rStyle w:val="Hyperlink"/>
          </w:rPr>
          <w:t>Recommandations UIT-T</w:t>
        </w:r>
        <w:r w:rsidRPr="00E33B0E">
          <w:rPr>
            <w:webHidden/>
          </w:rPr>
          <w:tab/>
        </w:r>
        <w:r w:rsidR="00102C2B" w:rsidRPr="00E33B0E">
          <w:rPr>
            <w:webHidden/>
          </w:rPr>
          <w:tab/>
        </w:r>
        <w:r w:rsidRPr="00E33B0E">
          <w:rPr>
            <w:webHidden/>
          </w:rPr>
          <w:fldChar w:fldCharType="begin"/>
        </w:r>
        <w:r w:rsidRPr="00E33B0E">
          <w:rPr>
            <w:webHidden/>
          </w:rPr>
          <w:instrText xml:space="preserve"> PAGEREF _Toc199753887 \h </w:instrText>
        </w:r>
        <w:r w:rsidRPr="00E33B0E">
          <w:rPr>
            <w:webHidden/>
          </w:rPr>
        </w:r>
        <w:r w:rsidRPr="00E33B0E">
          <w:rPr>
            <w:webHidden/>
          </w:rPr>
          <w:fldChar w:fldCharType="separate"/>
        </w:r>
        <w:r w:rsidRPr="00E33B0E">
          <w:rPr>
            <w:webHidden/>
          </w:rPr>
          <w:t>30</w:t>
        </w:r>
        <w:r w:rsidRPr="00E33B0E">
          <w:rPr>
            <w:webHidden/>
          </w:rPr>
          <w:fldChar w:fldCharType="end"/>
        </w:r>
      </w:hyperlink>
    </w:p>
    <w:p w14:paraId="5D85713B" w14:textId="40BC2CB4"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8" w:history="1">
        <w:r w:rsidRPr="00E33B0E">
          <w:rPr>
            <w:rStyle w:val="Hyperlink"/>
          </w:rPr>
          <w:t>4.3.2</w:t>
        </w:r>
        <w:r w:rsidRPr="00E33B0E">
          <w:rPr>
            <w:rFonts w:asciiTheme="minorHAnsi" w:eastAsiaTheme="minorEastAsia" w:hAnsiTheme="minorHAnsi" w:cstheme="minorBidi"/>
            <w:sz w:val="22"/>
            <w:szCs w:val="22"/>
          </w:rPr>
          <w:tab/>
        </w:r>
        <w:r w:rsidRPr="00E33B0E">
          <w:rPr>
            <w:rStyle w:val="Hyperlink"/>
          </w:rPr>
          <w:t>Recommandations UIT-R</w:t>
        </w:r>
        <w:r w:rsidRPr="00E33B0E">
          <w:rPr>
            <w:webHidden/>
          </w:rPr>
          <w:tab/>
        </w:r>
        <w:r w:rsidR="00102C2B" w:rsidRPr="00E33B0E">
          <w:rPr>
            <w:webHidden/>
          </w:rPr>
          <w:tab/>
        </w:r>
        <w:r w:rsidRPr="00E33B0E">
          <w:rPr>
            <w:webHidden/>
          </w:rPr>
          <w:fldChar w:fldCharType="begin"/>
        </w:r>
        <w:r w:rsidRPr="00E33B0E">
          <w:rPr>
            <w:webHidden/>
          </w:rPr>
          <w:instrText xml:space="preserve"> PAGEREF _Toc199753888 \h </w:instrText>
        </w:r>
        <w:r w:rsidRPr="00E33B0E">
          <w:rPr>
            <w:webHidden/>
          </w:rPr>
        </w:r>
        <w:r w:rsidRPr="00E33B0E">
          <w:rPr>
            <w:webHidden/>
          </w:rPr>
          <w:fldChar w:fldCharType="separate"/>
        </w:r>
        <w:r w:rsidRPr="00E33B0E">
          <w:rPr>
            <w:webHidden/>
          </w:rPr>
          <w:t>30</w:t>
        </w:r>
        <w:r w:rsidRPr="00E33B0E">
          <w:rPr>
            <w:webHidden/>
          </w:rPr>
          <w:fldChar w:fldCharType="end"/>
        </w:r>
      </w:hyperlink>
    </w:p>
    <w:p w14:paraId="6355CD08" w14:textId="0E0BBC47"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89" w:history="1">
        <w:r w:rsidRPr="00E33B0E">
          <w:rPr>
            <w:rStyle w:val="Hyperlink"/>
          </w:rPr>
          <w:t>4.3.3</w:t>
        </w:r>
        <w:r w:rsidRPr="00E33B0E">
          <w:rPr>
            <w:rFonts w:asciiTheme="minorHAnsi" w:eastAsiaTheme="minorEastAsia" w:hAnsiTheme="minorHAnsi" w:cstheme="minorBidi"/>
            <w:sz w:val="22"/>
            <w:szCs w:val="22"/>
          </w:rPr>
          <w:tab/>
        </w:r>
        <w:r w:rsidRPr="00E33B0E">
          <w:rPr>
            <w:rStyle w:val="Hyperlink"/>
          </w:rPr>
          <w:t>Réduction de l'écart en matière de normalisation</w:t>
        </w:r>
        <w:r w:rsidRPr="00E33B0E">
          <w:rPr>
            <w:webHidden/>
          </w:rPr>
          <w:tab/>
        </w:r>
        <w:r w:rsidR="00102C2B" w:rsidRPr="00E33B0E">
          <w:rPr>
            <w:webHidden/>
          </w:rPr>
          <w:tab/>
        </w:r>
        <w:r w:rsidRPr="00E33B0E">
          <w:rPr>
            <w:webHidden/>
          </w:rPr>
          <w:fldChar w:fldCharType="begin"/>
        </w:r>
        <w:r w:rsidRPr="00E33B0E">
          <w:rPr>
            <w:webHidden/>
          </w:rPr>
          <w:instrText xml:space="preserve"> PAGEREF _Toc199753889 \h </w:instrText>
        </w:r>
        <w:r w:rsidRPr="00E33B0E">
          <w:rPr>
            <w:webHidden/>
          </w:rPr>
        </w:r>
        <w:r w:rsidRPr="00E33B0E">
          <w:rPr>
            <w:webHidden/>
          </w:rPr>
          <w:fldChar w:fldCharType="separate"/>
        </w:r>
        <w:r w:rsidRPr="00E33B0E">
          <w:rPr>
            <w:webHidden/>
          </w:rPr>
          <w:t>31</w:t>
        </w:r>
        <w:r w:rsidRPr="00E33B0E">
          <w:rPr>
            <w:webHidden/>
          </w:rPr>
          <w:fldChar w:fldCharType="end"/>
        </w:r>
      </w:hyperlink>
    </w:p>
    <w:p w14:paraId="6DA79B9F" w14:textId="73429CD2"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90" w:history="1">
        <w:r w:rsidRPr="00E33B0E">
          <w:rPr>
            <w:rStyle w:val="Hyperlink"/>
          </w:rPr>
          <w:t>4.4</w:t>
        </w:r>
        <w:r w:rsidRPr="00E33B0E">
          <w:rPr>
            <w:rFonts w:asciiTheme="minorHAnsi" w:eastAsiaTheme="minorEastAsia" w:hAnsiTheme="minorHAnsi" w:cstheme="minorBidi"/>
            <w:sz w:val="22"/>
            <w:szCs w:val="22"/>
          </w:rPr>
          <w:tab/>
        </w:r>
        <w:r w:rsidRPr="00E33B0E">
          <w:rPr>
            <w:rStyle w:val="Hyperlink"/>
          </w:rPr>
          <w:t>Élaboration de cadres politiques et de supports d'information</w:t>
        </w:r>
        <w:r w:rsidRPr="00E33B0E">
          <w:rPr>
            <w:webHidden/>
          </w:rPr>
          <w:tab/>
        </w:r>
        <w:r w:rsidR="00102C2B" w:rsidRPr="00E33B0E">
          <w:rPr>
            <w:webHidden/>
          </w:rPr>
          <w:tab/>
        </w:r>
        <w:r w:rsidRPr="00E33B0E">
          <w:rPr>
            <w:webHidden/>
          </w:rPr>
          <w:fldChar w:fldCharType="begin"/>
        </w:r>
        <w:r w:rsidRPr="00E33B0E">
          <w:rPr>
            <w:webHidden/>
          </w:rPr>
          <w:instrText xml:space="preserve"> PAGEREF _Toc199753890 \h </w:instrText>
        </w:r>
        <w:r w:rsidRPr="00E33B0E">
          <w:rPr>
            <w:webHidden/>
          </w:rPr>
        </w:r>
        <w:r w:rsidRPr="00E33B0E">
          <w:rPr>
            <w:webHidden/>
          </w:rPr>
          <w:fldChar w:fldCharType="separate"/>
        </w:r>
        <w:r w:rsidRPr="00E33B0E">
          <w:rPr>
            <w:webHidden/>
          </w:rPr>
          <w:t>32</w:t>
        </w:r>
        <w:r w:rsidRPr="00E33B0E">
          <w:rPr>
            <w:webHidden/>
          </w:rPr>
          <w:fldChar w:fldCharType="end"/>
        </w:r>
      </w:hyperlink>
    </w:p>
    <w:p w14:paraId="520A1C4B" w14:textId="5D872ADC" w:rsidR="009344CB" w:rsidRPr="00E33B0E" w:rsidRDefault="009344CB" w:rsidP="000A681E">
      <w:pPr>
        <w:pStyle w:val="TOC3"/>
        <w:tabs>
          <w:tab w:val="clear" w:pos="964"/>
        </w:tabs>
        <w:ind w:left="2977"/>
        <w:rPr>
          <w:rStyle w:val="Hyperlink"/>
        </w:rPr>
      </w:pPr>
      <w:hyperlink w:anchor="_Toc199753891" w:history="1">
        <w:r w:rsidRPr="00E33B0E">
          <w:rPr>
            <w:rStyle w:val="Hyperlink"/>
          </w:rPr>
          <w:t>4.4.1</w:t>
        </w:r>
        <w:r w:rsidRPr="00E33B0E">
          <w:rPr>
            <w:rStyle w:val="Hyperlink"/>
          </w:rPr>
          <w:tab/>
          <w:t>Cybersécurité: instaurer la confiance et la sécurité dans l'utilisation des TIC</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_Toc199753891 \h </w:instrText>
        </w:r>
        <w:r w:rsidRPr="00E33B0E">
          <w:rPr>
            <w:rStyle w:val="Hyperlink"/>
            <w:webHidden/>
          </w:rPr>
        </w:r>
        <w:r w:rsidRPr="00E33B0E">
          <w:rPr>
            <w:rStyle w:val="Hyperlink"/>
            <w:webHidden/>
          </w:rPr>
          <w:fldChar w:fldCharType="separate"/>
        </w:r>
        <w:r w:rsidRPr="00E33B0E">
          <w:rPr>
            <w:rStyle w:val="Hyperlink"/>
            <w:webHidden/>
          </w:rPr>
          <w:t>32</w:t>
        </w:r>
        <w:r w:rsidRPr="00E33B0E">
          <w:rPr>
            <w:rStyle w:val="Hyperlink"/>
            <w:webHidden/>
          </w:rPr>
          <w:fldChar w:fldCharType="end"/>
        </w:r>
      </w:hyperlink>
    </w:p>
    <w:p w14:paraId="68EC5B0F" w14:textId="5284034C"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892" w:history="1">
        <w:r w:rsidRPr="00E33B0E">
          <w:rPr>
            <w:rStyle w:val="Hyperlink"/>
          </w:rPr>
          <w:t>4.4.2</w:t>
        </w:r>
        <w:r w:rsidRPr="00E33B0E">
          <w:rPr>
            <w:rStyle w:val="Hyperlink"/>
          </w:rPr>
          <w:tab/>
          <w:t>Technologies émergentes: élaborer des cadres propices à la</w:t>
        </w:r>
        <w:r w:rsidR="00102C2B" w:rsidRPr="00E33B0E">
          <w:rPr>
            <w:rStyle w:val="Hyperlink"/>
          </w:rPr>
          <w:t> </w:t>
        </w:r>
        <w:r w:rsidRPr="00E33B0E">
          <w:rPr>
            <w:rStyle w:val="Hyperlink"/>
          </w:rPr>
          <w:t>transformation</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_Toc199753892 \h </w:instrText>
        </w:r>
        <w:r w:rsidRPr="00E33B0E">
          <w:rPr>
            <w:rStyle w:val="Hyperlink"/>
            <w:webHidden/>
          </w:rPr>
        </w:r>
        <w:r w:rsidRPr="00E33B0E">
          <w:rPr>
            <w:rStyle w:val="Hyperlink"/>
            <w:webHidden/>
          </w:rPr>
          <w:fldChar w:fldCharType="separate"/>
        </w:r>
        <w:r w:rsidRPr="00E33B0E">
          <w:rPr>
            <w:rStyle w:val="Hyperlink"/>
            <w:webHidden/>
          </w:rPr>
          <w:t>32</w:t>
        </w:r>
        <w:r w:rsidRPr="00E33B0E">
          <w:rPr>
            <w:rStyle w:val="Hyperlink"/>
            <w:webHidden/>
          </w:rPr>
          <w:fldChar w:fldCharType="end"/>
        </w:r>
      </w:hyperlink>
    </w:p>
    <w:p w14:paraId="4E6E4B47" w14:textId="2D7F4DEE"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93" w:history="1">
        <w:r w:rsidRPr="00E33B0E">
          <w:rPr>
            <w:rStyle w:val="Hyperlink"/>
          </w:rPr>
          <w:t>4.5</w:t>
        </w:r>
        <w:r w:rsidRPr="00E33B0E">
          <w:rPr>
            <w:rFonts w:asciiTheme="minorHAnsi" w:eastAsiaTheme="minorEastAsia" w:hAnsiTheme="minorHAnsi" w:cstheme="minorBidi"/>
            <w:sz w:val="22"/>
            <w:szCs w:val="22"/>
          </w:rPr>
          <w:tab/>
        </w:r>
        <w:r w:rsidRPr="00E33B0E">
          <w:rPr>
            <w:rStyle w:val="Hyperlink"/>
          </w:rPr>
          <w:t>Fourniture de données et de statistiques</w:t>
        </w:r>
        <w:r w:rsidRPr="00E33B0E">
          <w:rPr>
            <w:webHidden/>
          </w:rPr>
          <w:tab/>
        </w:r>
        <w:r w:rsidR="00102C2B" w:rsidRPr="00E33B0E">
          <w:rPr>
            <w:webHidden/>
          </w:rPr>
          <w:tab/>
        </w:r>
        <w:r w:rsidRPr="00E33B0E">
          <w:rPr>
            <w:webHidden/>
          </w:rPr>
          <w:fldChar w:fldCharType="begin"/>
        </w:r>
        <w:r w:rsidRPr="00E33B0E">
          <w:rPr>
            <w:webHidden/>
          </w:rPr>
          <w:instrText xml:space="preserve"> PAGEREF _Toc199753893 \h </w:instrText>
        </w:r>
        <w:r w:rsidRPr="00E33B0E">
          <w:rPr>
            <w:webHidden/>
          </w:rPr>
        </w:r>
        <w:r w:rsidRPr="00E33B0E">
          <w:rPr>
            <w:webHidden/>
          </w:rPr>
          <w:fldChar w:fldCharType="separate"/>
        </w:r>
        <w:r w:rsidRPr="00E33B0E">
          <w:rPr>
            <w:webHidden/>
          </w:rPr>
          <w:t>37</w:t>
        </w:r>
        <w:r w:rsidRPr="00E33B0E">
          <w:rPr>
            <w:webHidden/>
          </w:rPr>
          <w:fldChar w:fldCharType="end"/>
        </w:r>
      </w:hyperlink>
    </w:p>
    <w:p w14:paraId="784AD428" w14:textId="07DD7CB4"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94" w:history="1">
        <w:r w:rsidRPr="00E33B0E">
          <w:rPr>
            <w:rStyle w:val="Hyperlink"/>
          </w:rPr>
          <w:t>4.6</w:t>
        </w:r>
        <w:r w:rsidRPr="00E33B0E">
          <w:rPr>
            <w:rFonts w:asciiTheme="minorHAnsi" w:eastAsiaTheme="minorEastAsia" w:hAnsiTheme="minorHAnsi" w:cstheme="minorBidi"/>
            <w:sz w:val="22"/>
            <w:szCs w:val="22"/>
          </w:rPr>
          <w:tab/>
        </w:r>
        <w:r w:rsidRPr="00E33B0E">
          <w:rPr>
            <w:rStyle w:val="Hyperlink"/>
          </w:rPr>
          <w:t>Renforcement des capacités</w:t>
        </w:r>
        <w:r w:rsidRPr="00E33B0E">
          <w:rPr>
            <w:webHidden/>
          </w:rPr>
          <w:tab/>
        </w:r>
        <w:r w:rsidR="00102C2B" w:rsidRPr="00E33B0E">
          <w:rPr>
            <w:webHidden/>
          </w:rPr>
          <w:tab/>
        </w:r>
        <w:r w:rsidRPr="00E33B0E">
          <w:rPr>
            <w:webHidden/>
          </w:rPr>
          <w:fldChar w:fldCharType="begin"/>
        </w:r>
        <w:r w:rsidRPr="00E33B0E">
          <w:rPr>
            <w:webHidden/>
          </w:rPr>
          <w:instrText xml:space="preserve"> PAGEREF _Toc199753894 \h </w:instrText>
        </w:r>
        <w:r w:rsidRPr="00E33B0E">
          <w:rPr>
            <w:webHidden/>
          </w:rPr>
        </w:r>
        <w:r w:rsidRPr="00E33B0E">
          <w:rPr>
            <w:webHidden/>
          </w:rPr>
          <w:fldChar w:fldCharType="separate"/>
        </w:r>
        <w:r w:rsidRPr="00E33B0E">
          <w:rPr>
            <w:webHidden/>
          </w:rPr>
          <w:t>38</w:t>
        </w:r>
        <w:r w:rsidRPr="00E33B0E">
          <w:rPr>
            <w:webHidden/>
          </w:rPr>
          <w:fldChar w:fldCharType="end"/>
        </w:r>
      </w:hyperlink>
    </w:p>
    <w:p w14:paraId="69B9FBEA" w14:textId="5705C5AE"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895" w:history="1">
        <w:r w:rsidRPr="00E33B0E">
          <w:rPr>
            <w:rStyle w:val="Hyperlink"/>
          </w:rPr>
          <w:t>4.7</w:t>
        </w:r>
        <w:r w:rsidRPr="00E33B0E">
          <w:rPr>
            <w:rFonts w:asciiTheme="minorHAnsi" w:eastAsiaTheme="minorEastAsia" w:hAnsiTheme="minorHAnsi" w:cstheme="minorBidi"/>
            <w:sz w:val="22"/>
            <w:szCs w:val="22"/>
          </w:rPr>
          <w:tab/>
        </w:r>
        <w:r w:rsidRPr="00E33B0E">
          <w:rPr>
            <w:rStyle w:val="Hyperlink"/>
          </w:rPr>
          <w:t>Fourniture d'une assistance technique</w:t>
        </w:r>
        <w:r w:rsidRPr="00E33B0E">
          <w:rPr>
            <w:webHidden/>
          </w:rPr>
          <w:tab/>
        </w:r>
        <w:r w:rsidR="00102C2B" w:rsidRPr="00E33B0E">
          <w:rPr>
            <w:webHidden/>
          </w:rPr>
          <w:tab/>
        </w:r>
        <w:r w:rsidRPr="00E33B0E">
          <w:rPr>
            <w:webHidden/>
          </w:rPr>
          <w:fldChar w:fldCharType="begin"/>
        </w:r>
        <w:r w:rsidRPr="00E33B0E">
          <w:rPr>
            <w:webHidden/>
          </w:rPr>
          <w:instrText xml:space="preserve"> PAGEREF _Toc199753895 \h </w:instrText>
        </w:r>
        <w:r w:rsidRPr="00E33B0E">
          <w:rPr>
            <w:webHidden/>
          </w:rPr>
        </w:r>
        <w:r w:rsidRPr="00E33B0E">
          <w:rPr>
            <w:webHidden/>
          </w:rPr>
          <w:fldChar w:fldCharType="separate"/>
        </w:r>
        <w:r w:rsidRPr="00E33B0E">
          <w:rPr>
            <w:webHidden/>
          </w:rPr>
          <w:t>39</w:t>
        </w:r>
        <w:r w:rsidRPr="00E33B0E">
          <w:rPr>
            <w:webHidden/>
          </w:rPr>
          <w:fldChar w:fldCharType="end"/>
        </w:r>
      </w:hyperlink>
    </w:p>
    <w:p w14:paraId="1F0223BD" w14:textId="137D7835" w:rsidR="009344CB" w:rsidRPr="00E33B0E" w:rsidRDefault="009344CB" w:rsidP="00102C2B">
      <w:pPr>
        <w:pStyle w:val="TOC2"/>
        <w:keepNext/>
        <w:keepLines/>
        <w:tabs>
          <w:tab w:val="clear" w:pos="964"/>
        </w:tabs>
        <w:ind w:left="1985"/>
        <w:rPr>
          <w:rFonts w:asciiTheme="minorHAnsi" w:eastAsiaTheme="minorEastAsia" w:hAnsiTheme="minorHAnsi" w:cstheme="minorBidi"/>
          <w:sz w:val="22"/>
          <w:szCs w:val="22"/>
        </w:rPr>
      </w:pPr>
      <w:hyperlink w:anchor="_Toc199753896" w:history="1">
        <w:r w:rsidRPr="00E33B0E">
          <w:rPr>
            <w:rStyle w:val="Hyperlink"/>
          </w:rPr>
          <w:t>4.8</w:t>
        </w:r>
        <w:r w:rsidRPr="00E33B0E">
          <w:rPr>
            <w:rFonts w:asciiTheme="minorHAnsi" w:eastAsiaTheme="minorEastAsia" w:hAnsiTheme="minorHAnsi" w:cstheme="minorBidi"/>
            <w:sz w:val="22"/>
            <w:szCs w:val="22"/>
          </w:rPr>
          <w:tab/>
        </w:r>
        <w:r w:rsidRPr="00E33B0E">
          <w:rPr>
            <w:rStyle w:val="Hyperlink"/>
          </w:rPr>
          <w:t>Plates-formes fédératrices</w:t>
        </w:r>
        <w:r w:rsidRPr="00E33B0E">
          <w:rPr>
            <w:webHidden/>
          </w:rPr>
          <w:tab/>
        </w:r>
        <w:r w:rsidR="00102C2B" w:rsidRPr="00E33B0E">
          <w:rPr>
            <w:webHidden/>
          </w:rPr>
          <w:tab/>
        </w:r>
        <w:r w:rsidRPr="00E33B0E">
          <w:rPr>
            <w:webHidden/>
          </w:rPr>
          <w:fldChar w:fldCharType="begin"/>
        </w:r>
        <w:r w:rsidRPr="00E33B0E">
          <w:rPr>
            <w:webHidden/>
          </w:rPr>
          <w:instrText xml:space="preserve"> PAGEREF _Toc199753896 \h </w:instrText>
        </w:r>
        <w:r w:rsidRPr="00E33B0E">
          <w:rPr>
            <w:webHidden/>
          </w:rPr>
        </w:r>
        <w:r w:rsidRPr="00E33B0E">
          <w:rPr>
            <w:webHidden/>
          </w:rPr>
          <w:fldChar w:fldCharType="separate"/>
        </w:r>
        <w:r w:rsidRPr="00E33B0E">
          <w:rPr>
            <w:webHidden/>
          </w:rPr>
          <w:t>41</w:t>
        </w:r>
        <w:r w:rsidRPr="00E33B0E">
          <w:rPr>
            <w:webHidden/>
          </w:rPr>
          <w:fldChar w:fldCharType="end"/>
        </w:r>
      </w:hyperlink>
    </w:p>
    <w:p w14:paraId="3021DA6F" w14:textId="41916A0A" w:rsidR="009344CB" w:rsidRPr="00E33B0E" w:rsidRDefault="009344CB" w:rsidP="00102C2B">
      <w:pPr>
        <w:pStyle w:val="TOC3"/>
        <w:keepNext/>
        <w:keepLines/>
        <w:tabs>
          <w:tab w:val="clear" w:pos="964"/>
        </w:tabs>
        <w:ind w:left="2977"/>
        <w:rPr>
          <w:rStyle w:val="Hyperlink"/>
        </w:rPr>
      </w:pPr>
      <w:hyperlink w:anchor="_Toc199753897" w:history="1">
        <w:r w:rsidRPr="00E33B0E">
          <w:rPr>
            <w:rStyle w:val="Hyperlink"/>
          </w:rPr>
          <w:t>4.8.1</w:t>
        </w:r>
        <w:r w:rsidRPr="00E33B0E">
          <w:rPr>
            <w:rStyle w:val="Hyperlink"/>
          </w:rPr>
          <w:tab/>
          <w:t>Processus du Sommet mondial sur la société de l'information</w:t>
        </w:r>
        <w:r w:rsidR="00102C2B" w:rsidRPr="00E33B0E">
          <w:rPr>
            <w:rStyle w:val="Hyperlink"/>
          </w:rPr>
          <w:t> </w:t>
        </w:r>
        <w:r w:rsidRPr="00E33B0E">
          <w:rPr>
            <w:rStyle w:val="Hyperlink"/>
          </w:rPr>
          <w:t>(SMSI)</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_Toc199753897 \h </w:instrText>
        </w:r>
        <w:r w:rsidRPr="00E33B0E">
          <w:rPr>
            <w:rStyle w:val="Hyperlink"/>
            <w:webHidden/>
          </w:rPr>
        </w:r>
        <w:r w:rsidRPr="00E33B0E">
          <w:rPr>
            <w:rStyle w:val="Hyperlink"/>
            <w:webHidden/>
          </w:rPr>
          <w:fldChar w:fldCharType="separate"/>
        </w:r>
        <w:r w:rsidRPr="00E33B0E">
          <w:rPr>
            <w:rStyle w:val="Hyperlink"/>
            <w:webHidden/>
          </w:rPr>
          <w:t>41</w:t>
        </w:r>
        <w:r w:rsidRPr="00E33B0E">
          <w:rPr>
            <w:rStyle w:val="Hyperlink"/>
            <w:webHidden/>
          </w:rPr>
          <w:fldChar w:fldCharType="end"/>
        </w:r>
      </w:hyperlink>
    </w:p>
    <w:p w14:paraId="1DC5A6D3" w14:textId="029DD3AF" w:rsidR="009344CB" w:rsidRPr="00E33B0E" w:rsidRDefault="009344CB" w:rsidP="000A681E">
      <w:pPr>
        <w:pStyle w:val="TOC3"/>
        <w:tabs>
          <w:tab w:val="clear" w:pos="964"/>
        </w:tabs>
        <w:ind w:left="2977"/>
        <w:rPr>
          <w:rStyle w:val="Hyperlink"/>
        </w:rPr>
      </w:pPr>
      <w:hyperlink w:anchor="_Toc199753898" w:history="1">
        <w:r w:rsidRPr="00E33B0E">
          <w:rPr>
            <w:rStyle w:val="Hyperlink"/>
          </w:rPr>
          <w:t>4.8.2</w:t>
        </w:r>
        <w:r w:rsidRPr="00E33B0E">
          <w:rPr>
            <w:rStyle w:val="Hyperlink"/>
          </w:rPr>
          <w:tab/>
          <w:t>L'intelligence artificielle au service du bien social</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_Toc199753898 \h </w:instrText>
        </w:r>
        <w:r w:rsidRPr="00E33B0E">
          <w:rPr>
            <w:rStyle w:val="Hyperlink"/>
            <w:webHidden/>
          </w:rPr>
        </w:r>
        <w:r w:rsidRPr="00E33B0E">
          <w:rPr>
            <w:rStyle w:val="Hyperlink"/>
            <w:webHidden/>
          </w:rPr>
          <w:fldChar w:fldCharType="separate"/>
        </w:r>
        <w:r w:rsidRPr="00E33B0E">
          <w:rPr>
            <w:rStyle w:val="Hyperlink"/>
            <w:webHidden/>
          </w:rPr>
          <w:t>43</w:t>
        </w:r>
        <w:r w:rsidRPr="00E33B0E">
          <w:rPr>
            <w:rStyle w:val="Hyperlink"/>
            <w:webHidden/>
          </w:rPr>
          <w:fldChar w:fldCharType="end"/>
        </w:r>
      </w:hyperlink>
    </w:p>
    <w:p w14:paraId="429D9F9B" w14:textId="7BCE9013" w:rsidR="009344CB" w:rsidRPr="00E33B0E" w:rsidRDefault="009344CB" w:rsidP="000A681E">
      <w:pPr>
        <w:pStyle w:val="TOC3"/>
        <w:tabs>
          <w:tab w:val="clear" w:pos="964"/>
        </w:tabs>
        <w:ind w:left="2977"/>
        <w:rPr>
          <w:rStyle w:val="Hyperlink"/>
        </w:rPr>
      </w:pPr>
      <w:hyperlink w:anchor="_Toc199753899" w:history="1">
        <w:r w:rsidRPr="00E33B0E">
          <w:rPr>
            <w:rStyle w:val="Hyperlink"/>
          </w:rPr>
          <w:t>4.8.3</w:t>
        </w:r>
        <w:r w:rsidRPr="00E33B0E">
          <w:rPr>
            <w:rStyle w:val="Hyperlink"/>
          </w:rPr>
          <w:tab/>
          <w:t>Colloque mondial sur la normalisation (GSS-24)</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_Toc199753899 \h </w:instrText>
        </w:r>
        <w:r w:rsidRPr="00E33B0E">
          <w:rPr>
            <w:rStyle w:val="Hyperlink"/>
            <w:webHidden/>
          </w:rPr>
        </w:r>
        <w:r w:rsidRPr="00E33B0E">
          <w:rPr>
            <w:rStyle w:val="Hyperlink"/>
            <w:webHidden/>
          </w:rPr>
          <w:fldChar w:fldCharType="separate"/>
        </w:r>
        <w:r w:rsidRPr="00E33B0E">
          <w:rPr>
            <w:rStyle w:val="Hyperlink"/>
            <w:webHidden/>
          </w:rPr>
          <w:t>44</w:t>
        </w:r>
        <w:r w:rsidRPr="00E33B0E">
          <w:rPr>
            <w:rStyle w:val="Hyperlink"/>
            <w:webHidden/>
          </w:rPr>
          <w:fldChar w:fldCharType="end"/>
        </w:r>
      </w:hyperlink>
    </w:p>
    <w:p w14:paraId="3400C491" w14:textId="3E7A2F40" w:rsidR="009344CB" w:rsidRPr="00E33B0E" w:rsidRDefault="009344CB" w:rsidP="000A681E">
      <w:pPr>
        <w:pStyle w:val="TOC3"/>
        <w:tabs>
          <w:tab w:val="clear" w:pos="964"/>
        </w:tabs>
        <w:ind w:left="2977"/>
        <w:rPr>
          <w:rStyle w:val="Hyperlink"/>
        </w:rPr>
      </w:pPr>
      <w:hyperlink w:anchor="_Toc199753900" w:history="1">
        <w:r w:rsidRPr="00E33B0E">
          <w:rPr>
            <w:rStyle w:val="Hyperlink"/>
          </w:rPr>
          <w:t>4.8.4</w:t>
        </w:r>
        <w:r w:rsidRPr="00E33B0E">
          <w:rPr>
            <w:rStyle w:val="Hyperlink"/>
          </w:rPr>
          <w:tab/>
          <w:t>Colloque mondial des régulateurs</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_Toc199753900 \h </w:instrText>
        </w:r>
        <w:r w:rsidRPr="00E33B0E">
          <w:rPr>
            <w:rStyle w:val="Hyperlink"/>
            <w:webHidden/>
          </w:rPr>
        </w:r>
        <w:r w:rsidRPr="00E33B0E">
          <w:rPr>
            <w:rStyle w:val="Hyperlink"/>
            <w:webHidden/>
          </w:rPr>
          <w:fldChar w:fldCharType="separate"/>
        </w:r>
        <w:r w:rsidRPr="00E33B0E">
          <w:rPr>
            <w:rStyle w:val="Hyperlink"/>
            <w:webHidden/>
          </w:rPr>
          <w:t>45</w:t>
        </w:r>
        <w:r w:rsidRPr="00E33B0E">
          <w:rPr>
            <w:rStyle w:val="Hyperlink"/>
            <w:webHidden/>
          </w:rPr>
          <w:fldChar w:fldCharType="end"/>
        </w:r>
      </w:hyperlink>
    </w:p>
    <w:p w14:paraId="1C81BE8D" w14:textId="70D0CE56" w:rsidR="009344CB" w:rsidRPr="00E33B0E" w:rsidRDefault="009344CB" w:rsidP="000A681E">
      <w:pPr>
        <w:pStyle w:val="TOC3"/>
        <w:tabs>
          <w:tab w:val="clear" w:pos="964"/>
        </w:tabs>
        <w:ind w:left="2977"/>
        <w:rPr>
          <w:rStyle w:val="Hyperlink"/>
        </w:rPr>
      </w:pPr>
      <w:hyperlink w:anchor="_Toc199753901" w:history="1">
        <w:r w:rsidRPr="00E33B0E">
          <w:rPr>
            <w:rStyle w:val="Hyperlink"/>
          </w:rPr>
          <w:t>4.8.5</w:t>
        </w:r>
        <w:r w:rsidRPr="00E33B0E">
          <w:rPr>
            <w:rStyle w:val="Hyperlink"/>
          </w:rPr>
          <w:tab/>
          <w:t>Participation des établissements universitaires aux travaux de</w:t>
        </w:r>
        <w:r w:rsidR="00102C2B" w:rsidRPr="00E33B0E">
          <w:rPr>
            <w:rStyle w:val="Hyperlink"/>
          </w:rPr>
          <w:t> </w:t>
        </w:r>
        <w:r w:rsidRPr="00E33B0E">
          <w:rPr>
            <w:rStyle w:val="Hyperlink"/>
          </w:rPr>
          <w:t>l'UIT</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_Toc199753901 \h </w:instrText>
        </w:r>
        <w:r w:rsidRPr="00E33B0E">
          <w:rPr>
            <w:rStyle w:val="Hyperlink"/>
            <w:webHidden/>
          </w:rPr>
        </w:r>
        <w:r w:rsidRPr="00E33B0E">
          <w:rPr>
            <w:rStyle w:val="Hyperlink"/>
            <w:webHidden/>
          </w:rPr>
          <w:fldChar w:fldCharType="separate"/>
        </w:r>
        <w:r w:rsidRPr="00E33B0E">
          <w:rPr>
            <w:rStyle w:val="Hyperlink"/>
            <w:webHidden/>
          </w:rPr>
          <w:t>45</w:t>
        </w:r>
        <w:r w:rsidRPr="00E33B0E">
          <w:rPr>
            <w:rStyle w:val="Hyperlink"/>
            <w:webHidden/>
          </w:rPr>
          <w:fldChar w:fldCharType="end"/>
        </w:r>
      </w:hyperlink>
    </w:p>
    <w:p w14:paraId="3877F2D3" w14:textId="1588A4FE" w:rsidR="009344CB" w:rsidRPr="00E33B0E" w:rsidRDefault="009344CB" w:rsidP="000A681E">
      <w:pPr>
        <w:pStyle w:val="TOC3"/>
        <w:tabs>
          <w:tab w:val="clear" w:pos="964"/>
        </w:tabs>
        <w:ind w:left="2977"/>
        <w:rPr>
          <w:rStyle w:val="Hyperlink"/>
        </w:rPr>
      </w:pPr>
      <w:hyperlink w:anchor="_Toc199753902" w:history="1">
        <w:r w:rsidRPr="00E33B0E">
          <w:rPr>
            <w:rStyle w:val="Hyperlink"/>
          </w:rPr>
          <w:t>4.8.6</w:t>
        </w:r>
        <w:r w:rsidRPr="00E33B0E">
          <w:rPr>
            <w:rStyle w:val="Hyperlink"/>
          </w:rPr>
          <w:tab/>
          <w:t>Journal de l'UIT</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_Toc199753902 \h </w:instrText>
        </w:r>
        <w:r w:rsidRPr="00E33B0E">
          <w:rPr>
            <w:rStyle w:val="Hyperlink"/>
            <w:webHidden/>
          </w:rPr>
        </w:r>
        <w:r w:rsidRPr="00E33B0E">
          <w:rPr>
            <w:rStyle w:val="Hyperlink"/>
            <w:webHidden/>
          </w:rPr>
          <w:fldChar w:fldCharType="separate"/>
        </w:r>
        <w:r w:rsidRPr="00E33B0E">
          <w:rPr>
            <w:rStyle w:val="Hyperlink"/>
            <w:webHidden/>
          </w:rPr>
          <w:t>45</w:t>
        </w:r>
        <w:r w:rsidRPr="00E33B0E">
          <w:rPr>
            <w:rStyle w:val="Hyperlink"/>
            <w:webHidden/>
          </w:rPr>
          <w:fldChar w:fldCharType="end"/>
        </w:r>
      </w:hyperlink>
    </w:p>
    <w:p w14:paraId="6CAB6D0E" w14:textId="362E5F8B" w:rsidR="009344CB" w:rsidRPr="00E33B0E" w:rsidRDefault="009344CB" w:rsidP="000A681E">
      <w:pPr>
        <w:pStyle w:val="TOC3"/>
        <w:tabs>
          <w:tab w:val="clear" w:pos="964"/>
        </w:tabs>
        <w:ind w:left="2977"/>
        <w:rPr>
          <w:rStyle w:val="Hyperlink"/>
        </w:rPr>
      </w:pPr>
      <w:hyperlink w:anchor="_Toc199753903" w:history="1">
        <w:r w:rsidRPr="00E33B0E">
          <w:rPr>
            <w:rStyle w:val="Hyperlink"/>
          </w:rPr>
          <w:t>4.8.7</w:t>
        </w:r>
        <w:r w:rsidRPr="00E33B0E">
          <w:rPr>
            <w:rStyle w:val="Hyperlink"/>
          </w:rPr>
          <w:tab/>
          <w:t>Conférence universitaire "Kaléidoscope"</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_Toc199753903 \h </w:instrText>
        </w:r>
        <w:r w:rsidRPr="00E33B0E">
          <w:rPr>
            <w:rStyle w:val="Hyperlink"/>
            <w:webHidden/>
          </w:rPr>
        </w:r>
        <w:r w:rsidRPr="00E33B0E">
          <w:rPr>
            <w:rStyle w:val="Hyperlink"/>
            <w:webHidden/>
          </w:rPr>
          <w:fldChar w:fldCharType="separate"/>
        </w:r>
        <w:r w:rsidRPr="00E33B0E">
          <w:rPr>
            <w:rStyle w:val="Hyperlink"/>
            <w:webHidden/>
          </w:rPr>
          <w:t>45</w:t>
        </w:r>
        <w:r w:rsidRPr="00E33B0E">
          <w:rPr>
            <w:rStyle w:val="Hyperlink"/>
            <w:webHidden/>
          </w:rPr>
          <w:fldChar w:fldCharType="end"/>
        </w:r>
      </w:hyperlink>
    </w:p>
    <w:p w14:paraId="07839B37" w14:textId="2C1424F9"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904" w:history="1">
        <w:r w:rsidRPr="00E33B0E">
          <w:rPr>
            <w:rStyle w:val="Hyperlink"/>
          </w:rPr>
          <w:t>4.8.8</w:t>
        </w:r>
        <w:r w:rsidRPr="00E33B0E">
          <w:rPr>
            <w:rStyle w:val="Hyperlink"/>
          </w:rPr>
          <w:tab/>
          <w:t>Séminaires et ateliers: Aller plus loin</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_Toc199753904 \h </w:instrText>
        </w:r>
        <w:r w:rsidRPr="00E33B0E">
          <w:rPr>
            <w:rStyle w:val="Hyperlink"/>
            <w:webHidden/>
          </w:rPr>
        </w:r>
        <w:r w:rsidRPr="00E33B0E">
          <w:rPr>
            <w:rStyle w:val="Hyperlink"/>
            <w:webHidden/>
          </w:rPr>
          <w:fldChar w:fldCharType="separate"/>
        </w:r>
        <w:r w:rsidRPr="00E33B0E">
          <w:rPr>
            <w:rStyle w:val="Hyperlink"/>
            <w:webHidden/>
          </w:rPr>
          <w:t>46</w:t>
        </w:r>
        <w:r w:rsidRPr="00E33B0E">
          <w:rPr>
            <w:rStyle w:val="Hyperlink"/>
            <w:webHidden/>
          </w:rPr>
          <w:fldChar w:fldCharType="end"/>
        </w:r>
      </w:hyperlink>
    </w:p>
    <w:p w14:paraId="5EE63A76" w14:textId="1BDB3741" w:rsidR="009344CB" w:rsidRPr="00E33B0E" w:rsidRDefault="009344CB">
      <w:pPr>
        <w:pStyle w:val="TOC1"/>
        <w:rPr>
          <w:rFonts w:asciiTheme="minorHAnsi" w:eastAsiaTheme="minorEastAsia" w:hAnsiTheme="minorHAnsi" w:cstheme="minorBidi"/>
          <w:sz w:val="22"/>
          <w:szCs w:val="22"/>
        </w:rPr>
      </w:pPr>
      <w:hyperlink w:anchor="_Toc199753905" w:history="1">
        <w:r w:rsidRPr="00E33B0E">
          <w:rPr>
            <w:rStyle w:val="Hyperlink"/>
          </w:rPr>
          <w:t>5</w:t>
        </w:r>
        <w:r w:rsidRPr="00E33B0E">
          <w:rPr>
            <w:rFonts w:asciiTheme="minorHAnsi" w:eastAsiaTheme="minorEastAsia" w:hAnsiTheme="minorHAnsi" w:cstheme="minorBidi"/>
            <w:sz w:val="22"/>
            <w:szCs w:val="22"/>
          </w:rPr>
          <w:tab/>
        </w:r>
        <w:r w:rsidRPr="00E33B0E">
          <w:rPr>
            <w:rStyle w:val="Hyperlink"/>
          </w:rPr>
          <w:t>Catalyseurs</w:t>
        </w:r>
        <w:r w:rsidRPr="00E33B0E">
          <w:rPr>
            <w:webHidden/>
          </w:rPr>
          <w:tab/>
        </w:r>
        <w:r w:rsidR="00102C2B" w:rsidRPr="00E33B0E">
          <w:rPr>
            <w:webHidden/>
          </w:rPr>
          <w:tab/>
        </w:r>
        <w:r w:rsidRPr="00E33B0E">
          <w:rPr>
            <w:webHidden/>
          </w:rPr>
          <w:fldChar w:fldCharType="begin"/>
        </w:r>
        <w:r w:rsidRPr="00E33B0E">
          <w:rPr>
            <w:webHidden/>
          </w:rPr>
          <w:instrText xml:space="preserve"> PAGEREF _Toc199753905 \h </w:instrText>
        </w:r>
        <w:r w:rsidRPr="00E33B0E">
          <w:rPr>
            <w:webHidden/>
          </w:rPr>
        </w:r>
        <w:r w:rsidRPr="00E33B0E">
          <w:rPr>
            <w:webHidden/>
          </w:rPr>
          <w:fldChar w:fldCharType="separate"/>
        </w:r>
        <w:r w:rsidRPr="00E33B0E">
          <w:rPr>
            <w:webHidden/>
          </w:rPr>
          <w:t>48</w:t>
        </w:r>
        <w:r w:rsidRPr="00E33B0E">
          <w:rPr>
            <w:webHidden/>
          </w:rPr>
          <w:fldChar w:fldCharType="end"/>
        </w:r>
      </w:hyperlink>
    </w:p>
    <w:p w14:paraId="415DA486" w14:textId="43E38770"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06" w:history="1">
        <w:r w:rsidRPr="00E33B0E">
          <w:rPr>
            <w:rStyle w:val="Hyperlink"/>
          </w:rPr>
          <w:t>5.1</w:t>
        </w:r>
        <w:r w:rsidRPr="00E33B0E">
          <w:rPr>
            <w:rFonts w:asciiTheme="minorHAnsi" w:eastAsiaTheme="minorEastAsia" w:hAnsiTheme="minorHAnsi" w:cstheme="minorBidi"/>
            <w:sz w:val="22"/>
            <w:szCs w:val="22"/>
          </w:rPr>
          <w:tab/>
        </w:r>
        <w:r w:rsidRPr="00E33B0E">
          <w:rPr>
            <w:rStyle w:val="Hyperlink"/>
          </w:rPr>
          <w:t>Une approche reposant sur les contributions des membres</w:t>
        </w:r>
        <w:r w:rsidRPr="00E33B0E">
          <w:rPr>
            <w:webHidden/>
          </w:rPr>
          <w:tab/>
        </w:r>
        <w:r w:rsidR="00102C2B" w:rsidRPr="00E33B0E">
          <w:rPr>
            <w:webHidden/>
          </w:rPr>
          <w:tab/>
        </w:r>
        <w:r w:rsidRPr="00E33B0E">
          <w:rPr>
            <w:webHidden/>
          </w:rPr>
          <w:fldChar w:fldCharType="begin"/>
        </w:r>
        <w:r w:rsidRPr="00E33B0E">
          <w:rPr>
            <w:webHidden/>
          </w:rPr>
          <w:instrText xml:space="preserve"> PAGEREF _Toc199753906 \h </w:instrText>
        </w:r>
        <w:r w:rsidRPr="00E33B0E">
          <w:rPr>
            <w:webHidden/>
          </w:rPr>
        </w:r>
        <w:r w:rsidRPr="00E33B0E">
          <w:rPr>
            <w:webHidden/>
          </w:rPr>
          <w:fldChar w:fldCharType="separate"/>
        </w:r>
        <w:r w:rsidRPr="00E33B0E">
          <w:rPr>
            <w:webHidden/>
          </w:rPr>
          <w:t>48</w:t>
        </w:r>
        <w:r w:rsidRPr="00E33B0E">
          <w:rPr>
            <w:webHidden/>
          </w:rPr>
          <w:fldChar w:fldCharType="end"/>
        </w:r>
      </w:hyperlink>
    </w:p>
    <w:p w14:paraId="407D727C" w14:textId="0ACFB0D4"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07" w:history="1">
        <w:r w:rsidRPr="00E33B0E">
          <w:rPr>
            <w:rStyle w:val="Hyperlink"/>
          </w:rPr>
          <w:t>5.2</w:t>
        </w:r>
        <w:r w:rsidRPr="00E33B0E">
          <w:rPr>
            <w:rFonts w:asciiTheme="minorHAnsi" w:eastAsiaTheme="minorEastAsia" w:hAnsiTheme="minorHAnsi" w:cstheme="minorBidi"/>
            <w:sz w:val="22"/>
            <w:szCs w:val="22"/>
          </w:rPr>
          <w:tab/>
        </w:r>
        <w:r w:rsidRPr="00E33B0E">
          <w:rPr>
            <w:rStyle w:val="Hyperlink"/>
          </w:rPr>
          <w:t>Présence régionale</w:t>
        </w:r>
        <w:r w:rsidRPr="00E33B0E">
          <w:rPr>
            <w:webHidden/>
          </w:rPr>
          <w:tab/>
        </w:r>
        <w:r w:rsidR="00102C2B" w:rsidRPr="00E33B0E">
          <w:rPr>
            <w:webHidden/>
          </w:rPr>
          <w:tab/>
        </w:r>
        <w:r w:rsidRPr="00E33B0E">
          <w:rPr>
            <w:webHidden/>
          </w:rPr>
          <w:fldChar w:fldCharType="begin"/>
        </w:r>
        <w:r w:rsidRPr="00E33B0E">
          <w:rPr>
            <w:webHidden/>
          </w:rPr>
          <w:instrText xml:space="preserve"> PAGEREF _Toc199753907 \h </w:instrText>
        </w:r>
        <w:r w:rsidRPr="00E33B0E">
          <w:rPr>
            <w:webHidden/>
          </w:rPr>
        </w:r>
        <w:r w:rsidRPr="00E33B0E">
          <w:rPr>
            <w:webHidden/>
          </w:rPr>
          <w:fldChar w:fldCharType="separate"/>
        </w:r>
        <w:r w:rsidRPr="00E33B0E">
          <w:rPr>
            <w:webHidden/>
          </w:rPr>
          <w:t>49</w:t>
        </w:r>
        <w:r w:rsidRPr="00E33B0E">
          <w:rPr>
            <w:webHidden/>
          </w:rPr>
          <w:fldChar w:fldCharType="end"/>
        </w:r>
      </w:hyperlink>
    </w:p>
    <w:p w14:paraId="279DD5AA" w14:textId="5CBF6006"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08" w:history="1">
        <w:r w:rsidRPr="00E33B0E">
          <w:rPr>
            <w:rStyle w:val="Hyperlink"/>
          </w:rPr>
          <w:t>5.3</w:t>
        </w:r>
        <w:r w:rsidRPr="00E33B0E">
          <w:rPr>
            <w:rFonts w:asciiTheme="minorHAnsi" w:eastAsiaTheme="minorEastAsia" w:hAnsiTheme="minorHAnsi" w:cstheme="minorBidi"/>
            <w:sz w:val="22"/>
            <w:szCs w:val="22"/>
          </w:rPr>
          <w:tab/>
        </w:r>
        <w:r w:rsidRPr="00E33B0E">
          <w:rPr>
            <w:rStyle w:val="Hyperlink"/>
          </w:rPr>
          <w:t>Réunir tout le monde à la table des discussions</w:t>
        </w:r>
        <w:r w:rsidRPr="00E33B0E">
          <w:rPr>
            <w:webHidden/>
          </w:rPr>
          <w:tab/>
        </w:r>
        <w:r w:rsidR="00102C2B" w:rsidRPr="00E33B0E">
          <w:rPr>
            <w:webHidden/>
          </w:rPr>
          <w:tab/>
        </w:r>
        <w:r w:rsidRPr="00E33B0E">
          <w:rPr>
            <w:webHidden/>
          </w:rPr>
          <w:fldChar w:fldCharType="begin"/>
        </w:r>
        <w:r w:rsidRPr="00E33B0E">
          <w:rPr>
            <w:webHidden/>
          </w:rPr>
          <w:instrText xml:space="preserve"> PAGEREF _Toc199753908 \h </w:instrText>
        </w:r>
        <w:r w:rsidRPr="00E33B0E">
          <w:rPr>
            <w:webHidden/>
          </w:rPr>
        </w:r>
        <w:r w:rsidRPr="00E33B0E">
          <w:rPr>
            <w:webHidden/>
          </w:rPr>
          <w:fldChar w:fldCharType="separate"/>
        </w:r>
        <w:r w:rsidRPr="00E33B0E">
          <w:rPr>
            <w:webHidden/>
          </w:rPr>
          <w:t>51</w:t>
        </w:r>
        <w:r w:rsidRPr="00E33B0E">
          <w:rPr>
            <w:webHidden/>
          </w:rPr>
          <w:fldChar w:fldCharType="end"/>
        </w:r>
      </w:hyperlink>
    </w:p>
    <w:p w14:paraId="6D1AB3B2" w14:textId="34D3AA0F" w:rsidR="009344CB" w:rsidRPr="00E33B0E" w:rsidRDefault="009344CB" w:rsidP="000A681E">
      <w:pPr>
        <w:pStyle w:val="TOC3"/>
        <w:tabs>
          <w:tab w:val="clear" w:pos="964"/>
        </w:tabs>
        <w:ind w:left="2977"/>
        <w:rPr>
          <w:rStyle w:val="Hyperlink"/>
        </w:rPr>
      </w:pPr>
      <w:hyperlink w:anchor="_Toc199753909" w:history="1">
        <w:r w:rsidRPr="00E33B0E">
          <w:rPr>
            <w:rStyle w:val="Hyperlink"/>
          </w:rPr>
          <w:t>5.3.1</w:t>
        </w:r>
        <w:r w:rsidRPr="00E33B0E">
          <w:rPr>
            <w:rStyle w:val="Hyperlink"/>
          </w:rPr>
          <w:tab/>
          <w:t>Égalité hommes-femmes</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_Toc199753909 \h </w:instrText>
        </w:r>
        <w:r w:rsidRPr="00E33B0E">
          <w:rPr>
            <w:rStyle w:val="Hyperlink"/>
            <w:webHidden/>
          </w:rPr>
        </w:r>
        <w:r w:rsidRPr="00E33B0E">
          <w:rPr>
            <w:rStyle w:val="Hyperlink"/>
            <w:webHidden/>
          </w:rPr>
          <w:fldChar w:fldCharType="separate"/>
        </w:r>
        <w:r w:rsidRPr="00E33B0E">
          <w:rPr>
            <w:rStyle w:val="Hyperlink"/>
            <w:webHidden/>
          </w:rPr>
          <w:t>51</w:t>
        </w:r>
        <w:r w:rsidRPr="00E33B0E">
          <w:rPr>
            <w:rStyle w:val="Hyperlink"/>
            <w:webHidden/>
          </w:rPr>
          <w:fldChar w:fldCharType="end"/>
        </w:r>
      </w:hyperlink>
    </w:p>
    <w:p w14:paraId="346CA4CF" w14:textId="372FE029" w:rsidR="009344CB" w:rsidRPr="00E33B0E" w:rsidRDefault="009344CB" w:rsidP="000A681E">
      <w:pPr>
        <w:pStyle w:val="TOC3"/>
        <w:tabs>
          <w:tab w:val="clear" w:pos="964"/>
        </w:tabs>
        <w:ind w:left="2977"/>
        <w:rPr>
          <w:rStyle w:val="Hyperlink"/>
        </w:rPr>
      </w:pPr>
      <w:hyperlink w:anchor="_Toc199753910" w:history="1">
        <w:r w:rsidRPr="00E33B0E">
          <w:rPr>
            <w:rStyle w:val="Hyperlink"/>
          </w:rPr>
          <w:t>5.3.2</w:t>
        </w:r>
        <w:r w:rsidRPr="00E33B0E">
          <w:rPr>
            <w:rStyle w:val="Hyperlink"/>
          </w:rPr>
          <w:tab/>
          <w:t>Autonomisation des jeunes</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_Toc199753910 \h </w:instrText>
        </w:r>
        <w:r w:rsidRPr="00E33B0E">
          <w:rPr>
            <w:rStyle w:val="Hyperlink"/>
            <w:webHidden/>
          </w:rPr>
        </w:r>
        <w:r w:rsidRPr="00E33B0E">
          <w:rPr>
            <w:rStyle w:val="Hyperlink"/>
            <w:webHidden/>
          </w:rPr>
          <w:fldChar w:fldCharType="separate"/>
        </w:r>
        <w:r w:rsidRPr="00E33B0E">
          <w:rPr>
            <w:rStyle w:val="Hyperlink"/>
            <w:webHidden/>
          </w:rPr>
          <w:t>52</w:t>
        </w:r>
        <w:r w:rsidRPr="00E33B0E">
          <w:rPr>
            <w:rStyle w:val="Hyperlink"/>
            <w:webHidden/>
          </w:rPr>
          <w:fldChar w:fldCharType="end"/>
        </w:r>
      </w:hyperlink>
    </w:p>
    <w:p w14:paraId="46FB5777" w14:textId="42B74F26" w:rsidR="009344CB" w:rsidRPr="00E33B0E" w:rsidRDefault="009344CB" w:rsidP="000A681E">
      <w:pPr>
        <w:pStyle w:val="TOC3"/>
        <w:tabs>
          <w:tab w:val="clear" w:pos="964"/>
        </w:tabs>
        <w:ind w:left="2977"/>
        <w:rPr>
          <w:rStyle w:val="Hyperlink"/>
        </w:rPr>
      </w:pPr>
      <w:hyperlink w:anchor="_Toc199753911" w:history="1">
        <w:r w:rsidRPr="00E33B0E">
          <w:rPr>
            <w:rStyle w:val="Hyperlink"/>
          </w:rPr>
          <w:t>5.3.3</w:t>
        </w:r>
        <w:r w:rsidRPr="00E33B0E">
          <w:rPr>
            <w:rStyle w:val="Hyperlink"/>
          </w:rPr>
          <w:tab/>
          <w:t>Accessibilité aux TIC</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_Toc199753911 \h </w:instrText>
        </w:r>
        <w:r w:rsidRPr="00E33B0E">
          <w:rPr>
            <w:rStyle w:val="Hyperlink"/>
            <w:webHidden/>
          </w:rPr>
        </w:r>
        <w:r w:rsidRPr="00E33B0E">
          <w:rPr>
            <w:rStyle w:val="Hyperlink"/>
            <w:webHidden/>
          </w:rPr>
          <w:fldChar w:fldCharType="separate"/>
        </w:r>
        <w:r w:rsidRPr="00E33B0E">
          <w:rPr>
            <w:rStyle w:val="Hyperlink"/>
            <w:webHidden/>
          </w:rPr>
          <w:t>54</w:t>
        </w:r>
        <w:r w:rsidRPr="00E33B0E">
          <w:rPr>
            <w:rStyle w:val="Hyperlink"/>
            <w:webHidden/>
          </w:rPr>
          <w:fldChar w:fldCharType="end"/>
        </w:r>
      </w:hyperlink>
    </w:p>
    <w:p w14:paraId="335747E6" w14:textId="0D643EDF"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912" w:history="1">
        <w:r w:rsidRPr="00E33B0E">
          <w:rPr>
            <w:rStyle w:val="Hyperlink"/>
          </w:rPr>
          <w:t>5.3.4</w:t>
        </w:r>
        <w:r w:rsidRPr="00E33B0E">
          <w:rPr>
            <w:rStyle w:val="Hyperlink"/>
          </w:rPr>
          <w:tab/>
          <w:t>Soutien aux personnes âgées</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_Toc199753912 \h </w:instrText>
        </w:r>
        <w:r w:rsidRPr="00E33B0E">
          <w:rPr>
            <w:rStyle w:val="Hyperlink"/>
            <w:webHidden/>
          </w:rPr>
        </w:r>
        <w:r w:rsidRPr="00E33B0E">
          <w:rPr>
            <w:rStyle w:val="Hyperlink"/>
            <w:webHidden/>
          </w:rPr>
          <w:fldChar w:fldCharType="separate"/>
        </w:r>
        <w:r w:rsidRPr="00E33B0E">
          <w:rPr>
            <w:rStyle w:val="Hyperlink"/>
            <w:webHidden/>
          </w:rPr>
          <w:t>55</w:t>
        </w:r>
        <w:r w:rsidRPr="00E33B0E">
          <w:rPr>
            <w:rStyle w:val="Hyperlink"/>
            <w:webHidden/>
          </w:rPr>
          <w:fldChar w:fldCharType="end"/>
        </w:r>
      </w:hyperlink>
    </w:p>
    <w:p w14:paraId="366E09F6" w14:textId="59CCB139"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13" w:history="1">
        <w:r w:rsidRPr="00E33B0E">
          <w:rPr>
            <w:rStyle w:val="Hyperlink"/>
          </w:rPr>
          <w:t>5.4</w:t>
        </w:r>
        <w:r w:rsidRPr="00E33B0E">
          <w:rPr>
            <w:rFonts w:asciiTheme="minorHAnsi" w:eastAsiaTheme="minorEastAsia" w:hAnsiTheme="minorHAnsi" w:cstheme="minorBidi"/>
            <w:sz w:val="22"/>
            <w:szCs w:val="22"/>
          </w:rPr>
          <w:tab/>
        </w:r>
        <w:r w:rsidRPr="00E33B0E">
          <w:rPr>
            <w:rStyle w:val="Hyperlink"/>
          </w:rPr>
          <w:t>Engagement en faveur de la durabilité environnementale</w:t>
        </w:r>
        <w:r w:rsidRPr="00E33B0E">
          <w:rPr>
            <w:webHidden/>
          </w:rPr>
          <w:tab/>
        </w:r>
        <w:r w:rsidR="00102C2B" w:rsidRPr="00E33B0E">
          <w:rPr>
            <w:webHidden/>
          </w:rPr>
          <w:tab/>
        </w:r>
        <w:r w:rsidRPr="00E33B0E">
          <w:rPr>
            <w:webHidden/>
          </w:rPr>
          <w:fldChar w:fldCharType="begin"/>
        </w:r>
        <w:r w:rsidRPr="00E33B0E">
          <w:rPr>
            <w:webHidden/>
          </w:rPr>
          <w:instrText xml:space="preserve"> PAGEREF _Toc199753913 \h </w:instrText>
        </w:r>
        <w:r w:rsidRPr="00E33B0E">
          <w:rPr>
            <w:webHidden/>
          </w:rPr>
        </w:r>
        <w:r w:rsidRPr="00E33B0E">
          <w:rPr>
            <w:webHidden/>
          </w:rPr>
          <w:fldChar w:fldCharType="separate"/>
        </w:r>
        <w:r w:rsidRPr="00E33B0E">
          <w:rPr>
            <w:webHidden/>
          </w:rPr>
          <w:t>55</w:t>
        </w:r>
        <w:r w:rsidRPr="00E33B0E">
          <w:rPr>
            <w:webHidden/>
          </w:rPr>
          <w:fldChar w:fldCharType="end"/>
        </w:r>
      </w:hyperlink>
    </w:p>
    <w:p w14:paraId="3681002E" w14:textId="1CB7CB19"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14" w:history="1">
        <w:r w:rsidRPr="00E33B0E">
          <w:rPr>
            <w:rStyle w:val="Hyperlink"/>
          </w:rPr>
          <w:t>5.5</w:t>
        </w:r>
        <w:r w:rsidRPr="00E33B0E">
          <w:rPr>
            <w:rFonts w:asciiTheme="minorHAnsi" w:eastAsiaTheme="minorEastAsia" w:hAnsiTheme="minorHAnsi" w:cstheme="minorBidi"/>
            <w:sz w:val="22"/>
            <w:szCs w:val="22"/>
          </w:rPr>
          <w:tab/>
        </w:r>
        <w:r w:rsidRPr="00E33B0E">
          <w:rPr>
            <w:rStyle w:val="Hyperlink"/>
          </w:rPr>
          <w:t>Partenariats et coopération internationale</w:t>
        </w:r>
        <w:r w:rsidRPr="00E33B0E">
          <w:rPr>
            <w:webHidden/>
          </w:rPr>
          <w:tab/>
        </w:r>
        <w:r w:rsidR="00102C2B" w:rsidRPr="00E33B0E">
          <w:rPr>
            <w:webHidden/>
          </w:rPr>
          <w:tab/>
        </w:r>
        <w:r w:rsidRPr="00E33B0E">
          <w:rPr>
            <w:webHidden/>
          </w:rPr>
          <w:fldChar w:fldCharType="begin"/>
        </w:r>
        <w:r w:rsidRPr="00E33B0E">
          <w:rPr>
            <w:webHidden/>
          </w:rPr>
          <w:instrText xml:space="preserve"> PAGEREF _Toc199753914 \h </w:instrText>
        </w:r>
        <w:r w:rsidRPr="00E33B0E">
          <w:rPr>
            <w:webHidden/>
          </w:rPr>
        </w:r>
        <w:r w:rsidRPr="00E33B0E">
          <w:rPr>
            <w:webHidden/>
          </w:rPr>
          <w:fldChar w:fldCharType="separate"/>
        </w:r>
        <w:r w:rsidRPr="00E33B0E">
          <w:rPr>
            <w:webHidden/>
          </w:rPr>
          <w:t>58</w:t>
        </w:r>
        <w:r w:rsidRPr="00E33B0E">
          <w:rPr>
            <w:webHidden/>
          </w:rPr>
          <w:fldChar w:fldCharType="end"/>
        </w:r>
      </w:hyperlink>
    </w:p>
    <w:p w14:paraId="0DF0A813" w14:textId="51F74D6E"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15" w:history="1">
        <w:r w:rsidRPr="00E33B0E">
          <w:rPr>
            <w:rStyle w:val="Hyperlink"/>
          </w:rPr>
          <w:t>5.6</w:t>
        </w:r>
        <w:r w:rsidRPr="00E33B0E">
          <w:rPr>
            <w:rFonts w:asciiTheme="minorHAnsi" w:eastAsiaTheme="minorEastAsia" w:hAnsiTheme="minorHAnsi" w:cstheme="minorBidi"/>
            <w:sz w:val="22"/>
            <w:szCs w:val="22"/>
          </w:rPr>
          <w:tab/>
        </w:r>
        <w:r w:rsidRPr="00E33B0E">
          <w:rPr>
            <w:rStyle w:val="Hyperlink"/>
          </w:rPr>
          <w:t>Mobilisation des ressources</w:t>
        </w:r>
        <w:r w:rsidRPr="00E33B0E">
          <w:rPr>
            <w:webHidden/>
          </w:rPr>
          <w:tab/>
        </w:r>
        <w:r w:rsidR="00102C2B" w:rsidRPr="00E33B0E">
          <w:rPr>
            <w:webHidden/>
          </w:rPr>
          <w:tab/>
        </w:r>
        <w:r w:rsidRPr="00E33B0E">
          <w:rPr>
            <w:webHidden/>
          </w:rPr>
          <w:fldChar w:fldCharType="begin"/>
        </w:r>
        <w:r w:rsidRPr="00E33B0E">
          <w:rPr>
            <w:webHidden/>
          </w:rPr>
          <w:instrText xml:space="preserve"> PAGEREF _Toc199753915 \h </w:instrText>
        </w:r>
        <w:r w:rsidRPr="00E33B0E">
          <w:rPr>
            <w:webHidden/>
          </w:rPr>
        </w:r>
        <w:r w:rsidRPr="00E33B0E">
          <w:rPr>
            <w:webHidden/>
          </w:rPr>
          <w:fldChar w:fldCharType="separate"/>
        </w:r>
        <w:r w:rsidRPr="00E33B0E">
          <w:rPr>
            <w:webHidden/>
          </w:rPr>
          <w:t>66</w:t>
        </w:r>
        <w:r w:rsidRPr="00E33B0E">
          <w:rPr>
            <w:webHidden/>
          </w:rPr>
          <w:fldChar w:fldCharType="end"/>
        </w:r>
      </w:hyperlink>
    </w:p>
    <w:p w14:paraId="646C9FB1" w14:textId="17625C84" w:rsidR="009344CB" w:rsidRPr="00E33B0E" w:rsidRDefault="009344CB" w:rsidP="000A681E">
      <w:pPr>
        <w:pStyle w:val="TOC2"/>
        <w:tabs>
          <w:tab w:val="clear" w:pos="964"/>
        </w:tabs>
        <w:ind w:left="1985"/>
        <w:rPr>
          <w:rFonts w:asciiTheme="minorHAnsi" w:eastAsiaTheme="minorEastAsia" w:hAnsiTheme="minorHAnsi" w:cstheme="minorBidi"/>
          <w:sz w:val="22"/>
          <w:szCs w:val="22"/>
        </w:rPr>
      </w:pPr>
      <w:hyperlink w:anchor="_Toc199753916" w:history="1">
        <w:r w:rsidRPr="00E33B0E">
          <w:rPr>
            <w:rStyle w:val="Hyperlink"/>
          </w:rPr>
          <w:t>5.7</w:t>
        </w:r>
        <w:r w:rsidRPr="00E33B0E">
          <w:rPr>
            <w:rFonts w:asciiTheme="minorHAnsi" w:eastAsiaTheme="minorEastAsia" w:hAnsiTheme="minorHAnsi" w:cstheme="minorBidi"/>
            <w:sz w:val="22"/>
            <w:szCs w:val="22"/>
          </w:rPr>
          <w:tab/>
        </w:r>
        <w:r w:rsidRPr="00E33B0E">
          <w:rPr>
            <w:rStyle w:val="Hyperlink"/>
          </w:rPr>
          <w:t>Excellence en matière de ressources humaines et d'innovation institutionnelle</w:t>
        </w:r>
        <w:r w:rsidRPr="00E33B0E">
          <w:rPr>
            <w:webHidden/>
          </w:rPr>
          <w:tab/>
        </w:r>
        <w:r w:rsidR="00102C2B" w:rsidRPr="00E33B0E">
          <w:rPr>
            <w:webHidden/>
          </w:rPr>
          <w:tab/>
        </w:r>
        <w:r w:rsidRPr="00E33B0E">
          <w:rPr>
            <w:webHidden/>
          </w:rPr>
          <w:fldChar w:fldCharType="begin"/>
        </w:r>
        <w:r w:rsidRPr="00E33B0E">
          <w:rPr>
            <w:webHidden/>
          </w:rPr>
          <w:instrText xml:space="preserve"> PAGEREF _Toc199753916 \h </w:instrText>
        </w:r>
        <w:r w:rsidRPr="00E33B0E">
          <w:rPr>
            <w:webHidden/>
          </w:rPr>
        </w:r>
        <w:r w:rsidRPr="00E33B0E">
          <w:rPr>
            <w:webHidden/>
          </w:rPr>
          <w:fldChar w:fldCharType="separate"/>
        </w:r>
        <w:r w:rsidRPr="00E33B0E">
          <w:rPr>
            <w:webHidden/>
          </w:rPr>
          <w:t>67</w:t>
        </w:r>
        <w:r w:rsidRPr="00E33B0E">
          <w:rPr>
            <w:webHidden/>
          </w:rPr>
          <w:fldChar w:fldCharType="end"/>
        </w:r>
      </w:hyperlink>
    </w:p>
    <w:p w14:paraId="36372B62" w14:textId="3383E87B" w:rsidR="009344CB" w:rsidRPr="00E33B0E" w:rsidRDefault="009344CB" w:rsidP="000A681E">
      <w:pPr>
        <w:pStyle w:val="TOC3"/>
        <w:tabs>
          <w:tab w:val="clear" w:pos="964"/>
        </w:tabs>
        <w:ind w:left="2977"/>
        <w:rPr>
          <w:rStyle w:val="Hyperlink"/>
        </w:rPr>
      </w:pPr>
      <w:hyperlink w:anchor="_Toc199753917" w:history="1">
        <w:r w:rsidRPr="00E33B0E">
          <w:rPr>
            <w:rStyle w:val="Hyperlink"/>
          </w:rPr>
          <w:t>5.7.1</w:t>
        </w:r>
        <w:r w:rsidRPr="00E33B0E">
          <w:rPr>
            <w:rStyle w:val="Hyperlink"/>
          </w:rPr>
          <w:tab/>
          <w:t>Ressources humaines</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_Toc199753917 \h </w:instrText>
        </w:r>
        <w:r w:rsidRPr="00E33B0E">
          <w:rPr>
            <w:rStyle w:val="Hyperlink"/>
            <w:webHidden/>
          </w:rPr>
        </w:r>
        <w:r w:rsidRPr="00E33B0E">
          <w:rPr>
            <w:rStyle w:val="Hyperlink"/>
            <w:webHidden/>
          </w:rPr>
          <w:fldChar w:fldCharType="separate"/>
        </w:r>
        <w:r w:rsidRPr="00E33B0E">
          <w:rPr>
            <w:rStyle w:val="Hyperlink"/>
            <w:webHidden/>
          </w:rPr>
          <w:t>67</w:t>
        </w:r>
        <w:r w:rsidRPr="00E33B0E">
          <w:rPr>
            <w:rStyle w:val="Hyperlink"/>
            <w:webHidden/>
          </w:rPr>
          <w:fldChar w:fldCharType="end"/>
        </w:r>
      </w:hyperlink>
    </w:p>
    <w:p w14:paraId="7D881F85" w14:textId="667A76D2" w:rsidR="009344CB" w:rsidRPr="00E33B0E" w:rsidRDefault="009344CB" w:rsidP="000A681E">
      <w:pPr>
        <w:pStyle w:val="TOC3"/>
        <w:tabs>
          <w:tab w:val="clear" w:pos="964"/>
        </w:tabs>
        <w:ind w:left="2977"/>
        <w:rPr>
          <w:rFonts w:asciiTheme="minorHAnsi" w:eastAsiaTheme="minorEastAsia" w:hAnsiTheme="minorHAnsi" w:cstheme="minorBidi"/>
          <w:sz w:val="22"/>
          <w:szCs w:val="22"/>
        </w:rPr>
      </w:pPr>
      <w:hyperlink w:anchor="_Toc199753918" w:history="1">
        <w:r w:rsidRPr="00E33B0E">
          <w:rPr>
            <w:rStyle w:val="Hyperlink"/>
          </w:rPr>
          <w:t>5.7.2</w:t>
        </w:r>
        <w:r w:rsidRPr="00E33B0E">
          <w:rPr>
            <w:rStyle w:val="Hyperlink"/>
          </w:rPr>
          <w:tab/>
          <w:t>Processus de transformation</w:t>
        </w:r>
        <w:r w:rsidRPr="00E33B0E">
          <w:rPr>
            <w:rStyle w:val="Hyperlink"/>
            <w:webHidden/>
          </w:rPr>
          <w:tab/>
        </w:r>
        <w:r w:rsidR="00102C2B" w:rsidRPr="00E33B0E">
          <w:rPr>
            <w:rStyle w:val="Hyperlink"/>
            <w:webHidden/>
          </w:rPr>
          <w:tab/>
        </w:r>
        <w:r w:rsidRPr="00E33B0E">
          <w:rPr>
            <w:rStyle w:val="Hyperlink"/>
            <w:webHidden/>
          </w:rPr>
          <w:fldChar w:fldCharType="begin"/>
        </w:r>
        <w:r w:rsidRPr="00E33B0E">
          <w:rPr>
            <w:rStyle w:val="Hyperlink"/>
            <w:webHidden/>
          </w:rPr>
          <w:instrText xml:space="preserve"> PAGEREF _Toc199753918 \h </w:instrText>
        </w:r>
        <w:r w:rsidRPr="00E33B0E">
          <w:rPr>
            <w:rStyle w:val="Hyperlink"/>
            <w:webHidden/>
          </w:rPr>
        </w:r>
        <w:r w:rsidRPr="00E33B0E">
          <w:rPr>
            <w:rStyle w:val="Hyperlink"/>
            <w:webHidden/>
          </w:rPr>
          <w:fldChar w:fldCharType="separate"/>
        </w:r>
        <w:r w:rsidRPr="00E33B0E">
          <w:rPr>
            <w:rStyle w:val="Hyperlink"/>
            <w:webHidden/>
          </w:rPr>
          <w:t>69</w:t>
        </w:r>
        <w:r w:rsidRPr="00E33B0E">
          <w:rPr>
            <w:rStyle w:val="Hyperlink"/>
            <w:webHidden/>
          </w:rPr>
          <w:fldChar w:fldCharType="end"/>
        </w:r>
      </w:hyperlink>
    </w:p>
    <w:p w14:paraId="6A2E381C" w14:textId="032D42B7" w:rsidR="009344CB" w:rsidRPr="00E33B0E" w:rsidRDefault="009344CB">
      <w:pPr>
        <w:pStyle w:val="TOC1"/>
        <w:rPr>
          <w:rFonts w:asciiTheme="minorHAnsi" w:eastAsiaTheme="minorEastAsia" w:hAnsiTheme="minorHAnsi" w:cstheme="minorBidi"/>
          <w:sz w:val="22"/>
          <w:szCs w:val="22"/>
        </w:rPr>
      </w:pPr>
      <w:hyperlink w:anchor="_Toc199753919" w:history="1">
        <w:r w:rsidRPr="00E33B0E">
          <w:rPr>
            <w:rStyle w:val="Hyperlink"/>
          </w:rPr>
          <w:t>6</w:t>
        </w:r>
        <w:r w:rsidRPr="00E33B0E">
          <w:rPr>
            <w:rFonts w:asciiTheme="minorHAnsi" w:eastAsiaTheme="minorEastAsia" w:hAnsiTheme="minorHAnsi" w:cstheme="minorBidi"/>
            <w:sz w:val="22"/>
            <w:szCs w:val="22"/>
          </w:rPr>
          <w:tab/>
        </w:r>
        <w:r w:rsidRPr="00E33B0E">
          <w:rPr>
            <w:rStyle w:val="Hyperlink"/>
          </w:rPr>
          <w:t>Mise en œuvre des Résolutions de la Conférence de plénipotentiaires</w:t>
        </w:r>
        <w:r w:rsidRPr="00E33B0E">
          <w:rPr>
            <w:webHidden/>
          </w:rPr>
          <w:tab/>
        </w:r>
        <w:r w:rsidR="00102C2B" w:rsidRPr="00E33B0E">
          <w:rPr>
            <w:webHidden/>
          </w:rPr>
          <w:tab/>
        </w:r>
        <w:r w:rsidRPr="00E33B0E">
          <w:rPr>
            <w:webHidden/>
          </w:rPr>
          <w:fldChar w:fldCharType="begin"/>
        </w:r>
        <w:r w:rsidRPr="00E33B0E">
          <w:rPr>
            <w:webHidden/>
          </w:rPr>
          <w:instrText xml:space="preserve"> PAGEREF _Toc199753919 \h </w:instrText>
        </w:r>
        <w:r w:rsidRPr="00E33B0E">
          <w:rPr>
            <w:webHidden/>
          </w:rPr>
        </w:r>
        <w:r w:rsidRPr="00E33B0E">
          <w:rPr>
            <w:webHidden/>
          </w:rPr>
          <w:fldChar w:fldCharType="separate"/>
        </w:r>
        <w:r w:rsidRPr="00E33B0E">
          <w:rPr>
            <w:webHidden/>
          </w:rPr>
          <w:t>70</w:t>
        </w:r>
        <w:r w:rsidRPr="00E33B0E">
          <w:rPr>
            <w:webHidden/>
          </w:rPr>
          <w:fldChar w:fldCharType="end"/>
        </w:r>
      </w:hyperlink>
    </w:p>
    <w:p w14:paraId="6260BE52" w14:textId="1A3EE225" w:rsidR="00AE543B" w:rsidRPr="00E33B0E" w:rsidRDefault="009344CB" w:rsidP="000A681E">
      <w:r w:rsidRPr="00E33B0E">
        <w:fldChar w:fldCharType="end"/>
      </w:r>
      <w:r w:rsidR="00AE543B" w:rsidRPr="00E33B0E">
        <w:br w:type="page"/>
      </w:r>
    </w:p>
    <w:p w14:paraId="3281C2B2" w14:textId="41CC6B24" w:rsidR="00E86828" w:rsidRPr="00E33B0E" w:rsidRDefault="00E86828" w:rsidP="00E86828">
      <w:pPr>
        <w:pStyle w:val="Heading1"/>
      </w:pPr>
      <w:bookmarkStart w:id="0" w:name="_Toc199753872"/>
      <w:r w:rsidRPr="00E33B0E">
        <w:lastRenderedPageBreak/>
        <w:t>i</w:t>
      </w:r>
      <w:r w:rsidRPr="00E33B0E">
        <w:tab/>
        <w:t>Résumé analytique</w:t>
      </w:r>
      <w:bookmarkEnd w:id="0"/>
    </w:p>
    <w:p w14:paraId="3716E9CD" w14:textId="66C83609" w:rsidR="00E86828" w:rsidRPr="00E33B0E" w:rsidRDefault="00E86828" w:rsidP="00E86828">
      <w:r w:rsidRPr="00E33B0E">
        <w:t>Le présent document contient le premier rapport annuel publié depuis l'entrée en vigueur du Plan stratégique actuel de l'UIT (2024-2027). Il s'appuie sur un cadre de présentation des résultats, qui établit un lien entre, d'une part, la fourniture de produits et de services, et d'autre part, les priorités thématiques, les résultats correspondants, les buts stratégiques de l'UIT, la mission de l'UIT et les objectifs de développement communs au niveau mondial.</w:t>
      </w:r>
    </w:p>
    <w:p w14:paraId="05142DBA" w14:textId="5B6E07B7" w:rsidR="00E86828" w:rsidRPr="00E33B0E" w:rsidRDefault="00E86828" w:rsidP="00E86828">
      <w:r w:rsidRPr="00E33B0E">
        <w:t>En 2024, les progrès se sont poursuivis, à l'échelle mondiale, sur la voie de la connectivité universelle et de la transformation numérique durable, deux buts stratégiques figurant dans le Plan stratégique pour la période 2024-2027.</w:t>
      </w:r>
    </w:p>
    <w:p w14:paraId="722ADA49" w14:textId="75CDA05D" w:rsidR="00E86828" w:rsidRPr="00E33B0E" w:rsidRDefault="00E86828" w:rsidP="00E86828">
      <w:r w:rsidRPr="00E33B0E">
        <w:t>Selon le dernier rapport "Faits et chiffres" de l'UIT, quelque 5,5 milliards de personnes (68% de la population mondiale) ont utilisé l'Internet en 2024, contre 65% en 2023. Aujourd'hui, 2,</w:t>
      </w:r>
      <w:r w:rsidR="00F55173" w:rsidRPr="00E33B0E">
        <w:t>6</w:t>
      </w:r>
      <w:r w:rsidRPr="00E33B0E">
        <w:t xml:space="preserve"> milliards de personnes ne sont toujours pas connectées. Dans les faits, près de 98% des ménages dans le monde ont désormais accès à l'Internet, mais des écarts subsistent en matière d'utilisation, en raison de l'inaccessibilité financière et de compétences insuffisantes, en particulier dans les pays les moins avancés.</w:t>
      </w:r>
    </w:p>
    <w:p w14:paraId="710518AE" w14:textId="77777777" w:rsidR="00E86828" w:rsidRPr="00E33B0E" w:rsidRDefault="00E86828" w:rsidP="00E86828">
      <w:pPr>
        <w:pStyle w:val="Headingb"/>
      </w:pPr>
      <w:r w:rsidRPr="00E33B0E">
        <w:t>Des normes pour tous</w:t>
      </w:r>
    </w:p>
    <w:p w14:paraId="6B90B648" w14:textId="5599E900" w:rsidR="00E86828" w:rsidRPr="00E33B0E" w:rsidRDefault="00E86828" w:rsidP="00E86828">
      <w:r w:rsidRPr="00E33B0E">
        <w:t>La dernière Conférence statutaire en date de l'UIT, à savoir l'Assemblée mondiale de normalisation des télécommunications (AMNT-24), tenue à New Delhi (Inde), a renforcé le mandat de l'organisation, qui est d'élaborer et de promouvoir des normes techniques dans l'intérêt de tous, dans le monde entier.</w:t>
      </w:r>
    </w:p>
    <w:p w14:paraId="166E15DC" w14:textId="77777777" w:rsidR="00E91DBC" w:rsidRPr="00E33B0E" w:rsidRDefault="00E86828" w:rsidP="00E86828">
      <w:r w:rsidRPr="00E33B0E">
        <w:t xml:space="preserve">Les nouvelles résolutions adoptées par la Conférence ont renforcé les travaux de normalisation de l'UIT visant à répondre à l'évolution rapide des besoins à travers le monde (voir le </w:t>
      </w:r>
      <w:hyperlink r:id="rId12" w:anchor="/fr" w:history="1">
        <w:r w:rsidRPr="00E33B0E">
          <w:rPr>
            <w:rStyle w:val="Hyperlink"/>
            <w:rFonts w:eastAsia="Times New Roman" w:cs="Times New Roman"/>
            <w:szCs w:val="20"/>
          </w:rPr>
          <w:t>rapport d'analyse de l'AMNT-24</w:t>
        </w:r>
      </w:hyperlink>
      <w:r w:rsidRPr="00E33B0E">
        <w:t>). Parmi les autres résultats figurent la nomination des présidents et vice-présidents de 10 commissions d'études du Secteur de la normalisation des télécommunications (UIT-T) et la fusion de deux commissions d'études en une seule et même commission d'études chargée des technologies pour le multimédia, la fourniture de contenus et la télévision par câble.</w:t>
      </w:r>
    </w:p>
    <w:p w14:paraId="0D39BFE2" w14:textId="36592F08" w:rsidR="00E86828" w:rsidRPr="00E33B0E" w:rsidRDefault="00E86828" w:rsidP="00E86828">
      <w:r w:rsidRPr="00E33B0E">
        <w:t>Dans une autre Résolution de l'AMNT-24, l'UIT réaffirme sa détermination en faveur de la réduction de l'écart en matière de normalisation, afin que les pays en développement puissent participer à l'élaboration et à la mise en œuvre des normes de l'UIT-T.</w:t>
      </w:r>
    </w:p>
    <w:p w14:paraId="7B82F540" w14:textId="77777777" w:rsidR="00E86828" w:rsidRPr="00E33B0E" w:rsidRDefault="00E86828" w:rsidP="00E86828">
      <w:pPr>
        <w:pStyle w:val="Headingb"/>
      </w:pPr>
      <w:r w:rsidRPr="00E33B0E">
        <w:t>Orientations et appui technique</w:t>
      </w:r>
    </w:p>
    <w:p w14:paraId="6A078245" w14:textId="39426EE6" w:rsidR="00E86828" w:rsidRPr="00E33B0E" w:rsidRDefault="00E86828" w:rsidP="00E86828">
      <w:r w:rsidRPr="00E33B0E">
        <w:t>L'UIT a traité plus de 5 000 demandes relatives aux services spatiaux entre 2019 et 2024, et 118 000 fiches de notification relatives aux services de Terre en 2024. À la suite des dernières mises à jour apportées au Règlement des radiocommunications, l'organisation a mis en place de nouveaux outils permettant de consulter ce traité essentiel, de trouver des informations sur les fréquences radioélectriques et de rechercher des fiches de notification pour les réseaux à satellite et les systèmes à satellites géostationnaires et non géostationnaires, les stations terriennes et les services de radioastronomie.</w:t>
      </w:r>
    </w:p>
    <w:p w14:paraId="3D1D922B" w14:textId="77777777" w:rsidR="00E86828" w:rsidRPr="00E33B0E" w:rsidRDefault="00E86828" w:rsidP="00E86828">
      <w:r w:rsidRPr="00E33B0E">
        <w:t>En 2024, l'UIT a publié 412 nouvelles normes relatives aux télécommunications (Recommandations UIT-T) et 24 nouvelles normes relatives aux radiocommunications (Recommandations UIT-R).</w:t>
      </w:r>
    </w:p>
    <w:p w14:paraId="4DEDE345" w14:textId="12E4795D" w:rsidR="00E91DBC" w:rsidRPr="00E33B0E" w:rsidRDefault="00E86828" w:rsidP="00E86828">
      <w:r w:rsidRPr="00E33B0E">
        <w:lastRenderedPageBreak/>
        <w:t>Dans le domaine essentiel de la promotion du développement par les technologies, l'UIT</w:t>
      </w:r>
      <w:r w:rsidR="00F55173" w:rsidRPr="00E33B0E">
        <w:t> </w:t>
      </w:r>
      <w:r w:rsidRPr="00E33B0E">
        <w:t>a</w:t>
      </w:r>
      <w:r w:rsidR="00F55173" w:rsidRPr="00E33B0E">
        <w:t> </w:t>
      </w:r>
      <w:r w:rsidRPr="00E33B0E">
        <w:t>participé à 105 projets représentant un montant de 91,8 millions CHF (environ</w:t>
      </w:r>
      <w:r w:rsidR="00F55173" w:rsidRPr="00E33B0E">
        <w:t> </w:t>
      </w:r>
      <w:r w:rsidRPr="00E33B0E">
        <w:t>107</w:t>
      </w:r>
      <w:r w:rsidR="00F55173" w:rsidRPr="00E33B0E">
        <w:t> </w:t>
      </w:r>
      <w:r w:rsidRPr="00E33B0E">
        <w:t>millions</w:t>
      </w:r>
      <w:r w:rsidR="00F55173" w:rsidRPr="00E33B0E">
        <w:t> </w:t>
      </w:r>
      <w:r w:rsidRPr="00E33B0E">
        <w:t>USD) et a signé des accords pour 37 nouveaux projets d'un montant de</w:t>
      </w:r>
      <w:r w:rsidR="00F55173" w:rsidRPr="00E33B0E">
        <w:t> </w:t>
      </w:r>
      <w:r w:rsidRPr="00E33B0E">
        <w:t>28,6 millions CHF au cours de l'année.</w:t>
      </w:r>
    </w:p>
    <w:p w14:paraId="0D1383BE" w14:textId="18494522" w:rsidR="00E86828" w:rsidRPr="00E33B0E" w:rsidRDefault="00E86828" w:rsidP="00E86828">
      <w:r w:rsidRPr="00E33B0E">
        <w:t>Les participants au Colloque mondial des régulateurs (GSR-24), manifestation annuelle qui s'est tenue à Kampala (Ouganda), ont souligné la nécessité de renforcer les capacités numériques, de fournir une assistance technique et d'instaurer une réglementation efficace.</w:t>
      </w:r>
    </w:p>
    <w:p w14:paraId="40B1BC62" w14:textId="77777777" w:rsidR="00E86828" w:rsidRPr="00E33B0E" w:rsidRDefault="00E86828" w:rsidP="00E86828">
      <w:pPr>
        <w:pStyle w:val="Headingb"/>
      </w:pPr>
      <w:r w:rsidRPr="00E33B0E">
        <w:t>Connectivité et résilience efficaces</w:t>
      </w:r>
    </w:p>
    <w:p w14:paraId="137305ED" w14:textId="18C563B4" w:rsidR="00E91DBC" w:rsidRPr="00E33B0E" w:rsidRDefault="00E86828" w:rsidP="00E86828">
      <w:r w:rsidRPr="00E33B0E">
        <w:t xml:space="preserve">Les travaux de l'UIT, aux multiples facettes, ont pour objectif constant de réduire la fracture numérique et de promouvoir un monde plus connecté. La Coalition pour le numérique </w:t>
      </w:r>
      <w:r w:rsidR="00A30E48" w:rsidRPr="00E33B0E">
        <w:t>"</w:t>
      </w:r>
      <w:r w:rsidRPr="00E33B0E">
        <w:t>Partner2Connect</w:t>
      </w:r>
      <w:r w:rsidR="00A30E48" w:rsidRPr="00E33B0E">
        <w:t>"</w:t>
      </w:r>
      <w:r w:rsidRPr="00E33B0E">
        <w:t>, dirigée par l'UIT, a continué de mobiliser des engagements publics et privés, pour un montant dépassant les 54 milliards USD fin 2024 et 73 milliards USD en mars 2025. De nouvelles initiatives lancées en 2024 visent également à développer l'infrastructure numérique et à améliorer la fourniture de services dans l'intérêt de tous.</w:t>
      </w:r>
    </w:p>
    <w:p w14:paraId="4F1B40C3" w14:textId="20B2F94A" w:rsidR="00E86828" w:rsidRPr="00E33B0E" w:rsidRDefault="00E86828" w:rsidP="00E86828">
      <w:r w:rsidRPr="00E33B0E">
        <w:t xml:space="preserve">La nouvelle </w:t>
      </w:r>
      <w:r w:rsidR="007754FA" w:rsidRPr="00E33B0E">
        <w:t>i</w:t>
      </w:r>
      <w:r w:rsidRPr="00E33B0E">
        <w:t>nitiative d'investissement dans l'infrastructure numérique (DIII), dirigée par l'UIT aux côtés des principales institutions de financement du développement, vise à combler le déficit d'investissement estimé à 1 600 milliards USD pour connecter efficacement toute la population d'ici à 2030. L'organe consultatif international sur la résilience des câbles sous</w:t>
      </w:r>
      <w:r w:rsidR="00F55173" w:rsidRPr="00E33B0E">
        <w:noBreakHyphen/>
      </w:r>
      <w:r w:rsidRPr="00E33B0E">
        <w:t>marins, nouvellement créé, encourage le dialogue et la coopération pour renforcer les infrastructures de communication sous-marine, qui jouent un rôle essentiel.</w:t>
      </w:r>
    </w:p>
    <w:p w14:paraId="11E73D83" w14:textId="13FF502D" w:rsidR="00E91DBC" w:rsidRPr="00E33B0E" w:rsidRDefault="00E86828" w:rsidP="00E86828">
      <w:r w:rsidRPr="00E33B0E">
        <w:t>L'UIT a également collaboré avec des partenaires des Nations Unies, la Banque mondiale et d'autres entités pour étudier la façon dont des infrastructures publiques numériques sûres, inclusives et interopérables peuvent permettre une fourniture de services plus efficace, favoriser l'innovation et renforcer la coopération numérique transfrontières. Dans le même temps, le premier Forum sur la durabilité spatiale organisé par l'UIT a réuni des parties prenantes du secteur spatial et des télécommunications, des experts du secteur privé, des gouvernements, des entités de la société civile et des institutions essentielles du système des Nations Unies, avec l'objectif commun de préserver la viabilité de l'espace extra</w:t>
      </w:r>
      <w:r w:rsidR="00F55173" w:rsidRPr="00E33B0E">
        <w:noBreakHyphen/>
      </w:r>
      <w:r w:rsidRPr="00E33B0E">
        <w:t>atmosphérique pour les générations futures.</w:t>
      </w:r>
    </w:p>
    <w:p w14:paraId="31733DE3" w14:textId="3EB71D2E" w:rsidR="00E86828" w:rsidRPr="00E33B0E" w:rsidRDefault="00E86828" w:rsidP="00E86828">
      <w:pPr>
        <w:pStyle w:val="Headingb"/>
      </w:pPr>
      <w:r w:rsidRPr="00E33B0E">
        <w:t>L'intelligence artificielle au service de l'humanité</w:t>
      </w:r>
    </w:p>
    <w:p w14:paraId="2D19F22D" w14:textId="7E32B6FB" w:rsidR="00E86828" w:rsidRPr="00E33B0E" w:rsidRDefault="00E86828" w:rsidP="00E86828">
      <w:r w:rsidRPr="00E33B0E">
        <w:t>L'initiative sur l'intelligence artificielle au service du bien social, menée par l'UIT, a continué de se développer et de fournir une vitrine mondiale de l'intelligence artificielle responsable, conformément aux priorités en matière de développement établies, notamment, dans le Programme de développement durable à l'horizon 2030. Les discussions tenues lors du Sommet annuel ont porté sur des questions importantes liées à la gouvernance de l'IA, et au passage crucial de la théorie à la pratique. En parallèle, les parties prenantes ont réfléchi à l'avenir de la coopération numérique dans le cadre du Sommet mondial sur la société de l'information (SMSI), dans l'attente de l'examen du SMSI+20 par l'Assemblée générale des Nations Unies, à la fin de 2025.</w:t>
      </w:r>
    </w:p>
    <w:p w14:paraId="576C717A" w14:textId="502994A4" w:rsidR="00E86828" w:rsidRPr="00E33B0E" w:rsidRDefault="00E86828" w:rsidP="00E86828">
      <w:pPr>
        <w:pStyle w:val="Headingb"/>
      </w:pPr>
      <w:r w:rsidRPr="00E33B0E">
        <w:t>Traiter la question de l'impact environnemental</w:t>
      </w:r>
    </w:p>
    <w:p w14:paraId="0E96663C" w14:textId="3506F325" w:rsidR="00E91DBC" w:rsidRPr="00E33B0E" w:rsidRDefault="00E86828" w:rsidP="00E86828">
      <w:r w:rsidRPr="00E33B0E">
        <w:t xml:space="preserve">L'UIT a continué de réunir ses partenaires dans le cadre des efforts déployés à l'échelle mondiale pour réduire les émissions liées aux technologies, promouvoir l'informatique verte, élaborer et adopter des normes écologiques, bâtir une économie numérique circulaire et </w:t>
      </w:r>
      <w:r w:rsidRPr="00E33B0E">
        <w:lastRenderedPageBreak/>
        <w:t>contribuer à tirer parti des radiocommunications pour la surveillance du climat et des solutions numériques évoluées pour les télécommunications d'urgence. Un sous-groupe dirigé par l'UIT est chargé de promouvoir les alertes en cas de catastrophe fondées sur l'intelligence artificielle dans le cadre de l'</w:t>
      </w:r>
      <w:r w:rsidR="00F55173" w:rsidRPr="00E33B0E">
        <w:t>I</w:t>
      </w:r>
      <w:r w:rsidRPr="00E33B0E">
        <w:t xml:space="preserve">nitiative </w:t>
      </w:r>
      <w:r w:rsidR="00A30E48" w:rsidRPr="00E33B0E">
        <w:t>"</w:t>
      </w:r>
      <w:r w:rsidRPr="00E33B0E">
        <w:t>Alertes précoces pour tous</w:t>
      </w:r>
      <w:r w:rsidR="00A30E48" w:rsidRPr="00E33B0E">
        <w:t>"</w:t>
      </w:r>
      <w:r w:rsidRPr="00E33B0E">
        <w:t>.</w:t>
      </w:r>
    </w:p>
    <w:p w14:paraId="189DF6F2" w14:textId="00206488" w:rsidR="00E86828" w:rsidRPr="00E33B0E" w:rsidRDefault="00E86828" w:rsidP="00E86828">
      <w:r w:rsidRPr="00E33B0E">
        <w:t>La Déclaration de la COP29 sur l'action numérique verte, largement approuvée, a contribué à placer les technologies numériques au premier plan des discussions tenues par les Nations</w:t>
      </w:r>
      <w:r w:rsidR="00357220" w:rsidRPr="00E33B0E">
        <w:t> </w:t>
      </w:r>
      <w:r w:rsidRPr="00E33B0E">
        <w:t>Unies sur les changements climatiques.</w:t>
      </w:r>
    </w:p>
    <w:p w14:paraId="7F176978" w14:textId="77777777" w:rsidR="00E86828" w:rsidRPr="00E33B0E" w:rsidRDefault="00E86828" w:rsidP="00E86828">
      <w:pPr>
        <w:pStyle w:val="Headingb"/>
      </w:pPr>
      <w:r w:rsidRPr="00E33B0E">
        <w:t>Veiller à ce que les voix soient entendues</w:t>
      </w:r>
    </w:p>
    <w:p w14:paraId="43E1983D" w14:textId="77777777" w:rsidR="00E91DBC" w:rsidRPr="00E33B0E" w:rsidRDefault="00E86828" w:rsidP="00E86828">
      <w:r w:rsidRPr="00E33B0E">
        <w:t>L'UIT demeure engagée en faveur de l'autonomisation des femmes dans le cadre de ses travaux et de l'ensemble du secteur des technologies au niveau mondial et mène des initiatives visant à remédier aux disparités persistantes entre les hommes et les femmes en matière d'emploi, de participation et de compétences numériques.</w:t>
      </w:r>
    </w:p>
    <w:p w14:paraId="7484473C" w14:textId="3ADCCE42" w:rsidR="00E86828" w:rsidRPr="00E33B0E" w:rsidRDefault="00E86828" w:rsidP="00E86828">
      <w:r w:rsidRPr="00E33B0E">
        <w:t>La création du premier Conseil consultatif des jeunes par la Secrétaire générale de l'UIT et l'ouverture du programme de jeunes professionnels, au début de 2024, témoignent de l'engagement de l'organisation en faveur d'une collaboration constructive avec les jeunes sur les questions déterminantes pour l'avenir numérique dans le monde.</w:t>
      </w:r>
    </w:p>
    <w:p w14:paraId="11ADBCA4" w14:textId="7565F0EE" w:rsidR="00E86828" w:rsidRPr="00E33B0E" w:rsidRDefault="00E86828" w:rsidP="00E86828">
      <w:pPr>
        <w:pStyle w:val="Headingb"/>
      </w:pPr>
      <w:r w:rsidRPr="00E33B0E">
        <w:t>Des jalons pour l'avenir</w:t>
      </w:r>
    </w:p>
    <w:p w14:paraId="512A8C29" w14:textId="5F65A699" w:rsidR="00E86828" w:rsidRPr="00E33B0E" w:rsidRDefault="00E86828" w:rsidP="00E86828">
      <w:r w:rsidRPr="00E33B0E">
        <w:t>L'organisation a également fait progresser sa feuille de route pour la transformation, en mettant l'accent sur les personnes et la culture, l'optimisation des ressources et l'amélioration de la gouvernance.</w:t>
      </w:r>
    </w:p>
    <w:p w14:paraId="743C5085" w14:textId="77777777" w:rsidR="00E91DBC" w:rsidRPr="00E33B0E" w:rsidRDefault="00E86828" w:rsidP="00E86828">
      <w:r w:rsidRPr="00E33B0E">
        <w:t>Tout au long de l'année, les technologies numériques se sont imposées comme une force fédératrice dans un monde fragmenté. Le Pacte numérique mondial – adopté en même temps que le Pacte pour l'avenir par l'Assemblée générale des Nations Unies, en septembre 2024 – fournit un cadre pour l'avenir de la coopération numérique et s'ajoute à d'autres cadres et processus existants.</w:t>
      </w:r>
    </w:p>
    <w:p w14:paraId="5AF74AEC" w14:textId="409A22F8" w:rsidR="00E86828" w:rsidRPr="00E33B0E" w:rsidRDefault="00E86828" w:rsidP="00E86828">
      <w:r w:rsidRPr="00E33B0E">
        <w:t>Dans une perspective d'avenir, le plan opérationnel de l'UIT pour la période 2025-2028 contient 43 produits spécifiques, alignés sur les objectifs des Nations Unies et les priorités mondiales en matière de développement.</w:t>
      </w:r>
    </w:p>
    <w:p w14:paraId="5C023838" w14:textId="2B68E71C" w:rsidR="00E86828" w:rsidRPr="00E33B0E" w:rsidRDefault="00E86828" w:rsidP="00E86828">
      <w:r w:rsidRPr="00E33B0E">
        <w:t>L'UIT, qui célébrera son 160ème anniversaire en 2025, continuera de coordonner les radiocommunications, d'établir des normes mondiales et de stimuler le développement numérique au service de l'humanité et de la planète.</w:t>
      </w:r>
    </w:p>
    <w:p w14:paraId="5C33992E" w14:textId="57486841" w:rsidR="00E86828" w:rsidRPr="00E33B0E" w:rsidRDefault="00E86828" w:rsidP="00D93169">
      <w:pPr>
        <w:pStyle w:val="Heading1"/>
      </w:pPr>
      <w:bookmarkStart w:id="1" w:name="_Toc199753873"/>
      <w:r w:rsidRPr="00E33B0E">
        <w:t>ii</w:t>
      </w:r>
      <w:r w:rsidRPr="00E33B0E">
        <w:tab/>
        <w:t>Informations et points à retenir pour 2024</w:t>
      </w:r>
      <w:bookmarkEnd w:id="1"/>
    </w:p>
    <w:p w14:paraId="42885593" w14:textId="75D72129" w:rsidR="00E86828" w:rsidRPr="00E33B0E" w:rsidRDefault="00E86828" w:rsidP="00D93169">
      <w:pPr>
        <w:pStyle w:val="enumlev1"/>
      </w:pPr>
      <w:r w:rsidRPr="00E33B0E">
        <w:t>•</w:t>
      </w:r>
      <w:r w:rsidRPr="00E33B0E">
        <w:tab/>
        <w:t>On estime que 79% des personnes âgées de 15 à 24 ans utilisaient l'Internet en 2024, contre 66% de l'ensemble de la population. D'importantes disparités subsistent également à l'échelle mondiale entre les zones urbaines (83% de personnes connectées) et les zones rurales (48% de personnes connectées).</w:t>
      </w:r>
    </w:p>
    <w:p w14:paraId="0347B668" w14:textId="60278515" w:rsidR="00E86828" w:rsidRPr="00E33B0E" w:rsidRDefault="00E86828" w:rsidP="00D93169">
      <w:pPr>
        <w:pStyle w:val="enumlev1"/>
      </w:pPr>
      <w:r w:rsidRPr="00E33B0E">
        <w:t>•</w:t>
      </w:r>
      <w:r w:rsidRPr="00E33B0E">
        <w:tab/>
        <w:t>À l'échelle mondiale, environ 70% des hommes et 65% des femmes ont utilisé l'Internet en 2024, la parité hommes-femmes s'améliorant, mais demeurant inégale.</w:t>
      </w:r>
    </w:p>
    <w:p w14:paraId="712D6AA0" w14:textId="77777777" w:rsidR="00E86828" w:rsidRPr="00E33B0E" w:rsidRDefault="00E86828" w:rsidP="00D93169">
      <w:pPr>
        <w:pStyle w:val="enumlev1"/>
      </w:pPr>
      <w:r w:rsidRPr="00E33B0E">
        <w:t>•</w:t>
      </w:r>
      <w:r w:rsidRPr="00E33B0E">
        <w:tab/>
        <w:t>Le prix médian du large bande mobile est passé de 1,3% à 1,1% du revenu national brut (RNB) par habitant, et celui du large bande fixe, de 2,8% à 2,5%.</w:t>
      </w:r>
    </w:p>
    <w:p w14:paraId="76607AD4" w14:textId="2814DF44" w:rsidR="00E86828" w:rsidRPr="00E33B0E" w:rsidRDefault="00E86828" w:rsidP="00D93169">
      <w:pPr>
        <w:pStyle w:val="enumlev1"/>
      </w:pPr>
      <w:r w:rsidRPr="00E33B0E">
        <w:lastRenderedPageBreak/>
        <w:t>•</w:t>
      </w:r>
      <w:r w:rsidRPr="00E33B0E">
        <w:tab/>
        <w:t>L'utilisation de la bande passante internationale mondiale a atteint 322,8 kbit/s (par</w:t>
      </w:r>
      <w:r w:rsidR="00A30E48" w:rsidRPr="00E33B0E">
        <w:t xml:space="preserve"> </w:t>
      </w:r>
      <w:r w:rsidRPr="00E33B0E">
        <w:t>internaute) en 2024, soit le double du débit enregistré depuis 2020. L'utilisation totale de la bande passante en 2024 était de 1,78 Tbits/s, soit une augmentation de près de</w:t>
      </w:r>
      <w:r w:rsidR="00A30E48" w:rsidRPr="00E33B0E">
        <w:t> </w:t>
      </w:r>
      <w:r w:rsidRPr="00E33B0E">
        <w:t>150% par rapport à 2020.</w:t>
      </w:r>
    </w:p>
    <w:p w14:paraId="6E550DC6" w14:textId="60ED74BF" w:rsidR="00E86828" w:rsidRPr="00E33B0E" w:rsidRDefault="00E86828" w:rsidP="00D93169">
      <w:pPr>
        <w:pStyle w:val="enumlev1"/>
      </w:pPr>
      <w:r w:rsidRPr="00E33B0E">
        <w:t>•</w:t>
      </w:r>
      <w:r w:rsidRPr="00E33B0E">
        <w:tab/>
        <w:t>Les progrès en matière de préparation dans le domaine de la cybersécurité sont manifestes, 132 pays ayant mis en place des équipes d'intervention en cas d'incident informatique (CIRT) en 2024, contre 109 en 2020</w:t>
      </w:r>
      <w:r w:rsidR="00E91DBC" w:rsidRPr="00E33B0E">
        <w:t>.</w:t>
      </w:r>
      <w:r w:rsidRPr="00E33B0E">
        <w:t xml:space="preserve"> En 2024, 127 pays disposaient de stratégies et de plans d'action nationaux en matière de cybersécurité, contre</w:t>
      </w:r>
      <w:r w:rsidR="00B17DD6" w:rsidRPr="00E33B0E">
        <w:t> </w:t>
      </w:r>
      <w:r w:rsidRPr="00E33B0E">
        <w:t>107</w:t>
      </w:r>
      <w:r w:rsidR="00B17DD6" w:rsidRPr="00E33B0E">
        <w:t> </w:t>
      </w:r>
      <w:r w:rsidRPr="00E33B0E">
        <w:t>en</w:t>
      </w:r>
      <w:r w:rsidR="00A30E48" w:rsidRPr="00E33B0E">
        <w:t> </w:t>
      </w:r>
      <w:r w:rsidRPr="00E33B0E">
        <w:t>2020</w:t>
      </w:r>
      <w:r w:rsidR="00A30E48" w:rsidRPr="00E33B0E">
        <w:t>.</w:t>
      </w:r>
    </w:p>
    <w:p w14:paraId="4FFE6163" w14:textId="3E4444BE" w:rsidR="00E86828" w:rsidRPr="00E33B0E" w:rsidRDefault="00E86828" w:rsidP="00D93169">
      <w:pPr>
        <w:pStyle w:val="enumlev1"/>
      </w:pPr>
      <w:r w:rsidRPr="00E33B0E">
        <w:t>•</w:t>
      </w:r>
      <w:r w:rsidRPr="00E33B0E">
        <w:tab/>
        <w:t>L'</w:t>
      </w:r>
      <w:r w:rsidRPr="00E33B0E">
        <w:rPr>
          <w:b/>
          <w:bCs/>
        </w:rPr>
        <w:t>AMNT-24</w:t>
      </w:r>
      <w:r w:rsidRPr="00E33B0E">
        <w:t>,</w:t>
      </w:r>
      <w:r w:rsidRPr="00E33B0E">
        <w:rPr>
          <w:b/>
          <w:bCs/>
        </w:rPr>
        <w:t xml:space="preserve"> conférence majeure de l'UIT sur la normalisation</w:t>
      </w:r>
      <w:r w:rsidRPr="00E33B0E">
        <w:t xml:space="preserve">, a réuni </w:t>
      </w:r>
      <w:r w:rsidRPr="00E33B0E">
        <w:rPr>
          <w:b/>
          <w:bCs/>
        </w:rPr>
        <w:t>3 700 délégués de 164 pays</w:t>
      </w:r>
      <w:r w:rsidRPr="00E33B0E">
        <w:t xml:space="preserve"> et comptait 27% de femmes parmi les participants.</w:t>
      </w:r>
    </w:p>
    <w:p w14:paraId="6CEAE190" w14:textId="21BFAE3D" w:rsidR="00E86828" w:rsidRPr="00E33B0E" w:rsidRDefault="00E86828" w:rsidP="00D93169">
      <w:pPr>
        <w:pStyle w:val="enumlev1"/>
      </w:pPr>
      <w:r w:rsidRPr="00E33B0E">
        <w:t>•</w:t>
      </w:r>
      <w:r w:rsidRPr="00E33B0E">
        <w:tab/>
      </w:r>
      <w:r w:rsidRPr="00E33B0E">
        <w:rPr>
          <w:b/>
          <w:bCs/>
        </w:rPr>
        <w:t>Trente-sept États Membres</w:t>
      </w:r>
      <w:r w:rsidRPr="00E33B0E">
        <w:t xml:space="preserve"> ont envoyé des ministres à l'AMNT-24.</w:t>
      </w:r>
    </w:p>
    <w:p w14:paraId="09DC3FE9" w14:textId="65499B46" w:rsidR="00E86828" w:rsidRPr="00E33B0E" w:rsidRDefault="00E86828" w:rsidP="00D93169">
      <w:pPr>
        <w:pStyle w:val="enumlev1"/>
      </w:pPr>
      <w:r w:rsidRPr="00E33B0E">
        <w:t>•</w:t>
      </w:r>
      <w:r w:rsidRPr="00E33B0E">
        <w:tab/>
      </w:r>
      <w:r w:rsidR="00BD17B6" w:rsidRPr="00E33B0E">
        <w:t xml:space="preserve">L'UIT a mis à jour le </w:t>
      </w:r>
      <w:r w:rsidR="00BD17B6" w:rsidRPr="00E33B0E">
        <w:rPr>
          <w:b/>
          <w:bCs/>
        </w:rPr>
        <w:t>Règlement des radiocommunications</w:t>
      </w:r>
      <w:r w:rsidR="00BD17B6" w:rsidRPr="00E33B0E">
        <w:t>, qui régit l'utilisation du spectre des fréquences radioélectriques et des orbites de satellites.</w:t>
      </w:r>
    </w:p>
    <w:p w14:paraId="618C8504" w14:textId="05E84CE6" w:rsidR="00E86828" w:rsidRPr="00E33B0E" w:rsidRDefault="00E86828" w:rsidP="00D93169">
      <w:pPr>
        <w:pStyle w:val="enumlev1"/>
      </w:pPr>
      <w:r w:rsidRPr="00E33B0E">
        <w:t>•</w:t>
      </w:r>
      <w:r w:rsidRPr="00E33B0E">
        <w:tab/>
        <w:t>En 2024, le Bureau des radiocommunications de l'UIT a publié une nouvelle édition du Règlement des radiocommunications, fondée sur les résultats de la dernière Conférence mondiale des radiocommunications en date, à savoir la CMR-23.</w:t>
      </w:r>
    </w:p>
    <w:p w14:paraId="66D7CD35" w14:textId="58C78FA4" w:rsidR="00E86828" w:rsidRPr="00E33B0E" w:rsidRDefault="00E86828" w:rsidP="00D93169">
      <w:pPr>
        <w:pStyle w:val="enumlev1"/>
      </w:pPr>
      <w:r w:rsidRPr="00E33B0E">
        <w:t>•</w:t>
      </w:r>
      <w:r w:rsidRPr="00E33B0E">
        <w:tab/>
      </w:r>
      <w:r w:rsidR="003421BA" w:rsidRPr="00E33B0E">
        <w:t>L</w:t>
      </w:r>
      <w:r w:rsidRPr="00E33B0E">
        <w:t>'</w:t>
      </w:r>
      <w:r w:rsidRPr="00E33B0E">
        <w:rPr>
          <w:b/>
          <w:bCs/>
        </w:rPr>
        <w:t>outil de consultation dans le Règlement des radiocommunications</w:t>
      </w:r>
      <w:r w:rsidRPr="00E33B0E">
        <w:t xml:space="preserve"> et l'</w:t>
      </w:r>
      <w:r w:rsidRPr="00E33B0E">
        <w:rPr>
          <w:b/>
          <w:bCs/>
        </w:rPr>
        <w:t>outil lié au Tableau d'attribution des bandes de fréquences</w:t>
      </w:r>
      <w:r w:rsidRPr="00E33B0E">
        <w:t xml:space="preserve"> figurant dans l'</w:t>
      </w:r>
      <w:r w:rsidRPr="00E33B0E">
        <w:rPr>
          <w:b/>
          <w:bCs/>
        </w:rPr>
        <w:t>Article 5 du RR</w:t>
      </w:r>
      <w:r w:rsidRPr="00E33B0E">
        <w:t xml:space="preserve"> ont été mis à jour sur la base des résultats de la CMR-23.</w:t>
      </w:r>
    </w:p>
    <w:p w14:paraId="7FE85386" w14:textId="77777777" w:rsidR="00E86828" w:rsidRPr="00E33B0E" w:rsidRDefault="00E86828" w:rsidP="00D93169">
      <w:pPr>
        <w:pStyle w:val="enumlev1"/>
      </w:pPr>
      <w:r w:rsidRPr="00E33B0E">
        <w:t>•</w:t>
      </w:r>
      <w:r w:rsidRPr="00E33B0E">
        <w:tab/>
        <w:t xml:space="preserve">La version la plus récente du </w:t>
      </w:r>
      <w:r w:rsidRPr="00E33B0E">
        <w:rPr>
          <w:b/>
          <w:bCs/>
        </w:rPr>
        <w:t>Manuel maritime</w:t>
      </w:r>
      <w:r w:rsidRPr="00E33B0E">
        <w:t>, publiée en décembre 2024, donne un aperçu des informations essentielles pour les communications maritimes et la sécurité en mer.</w:t>
      </w:r>
    </w:p>
    <w:p w14:paraId="0ED943C1" w14:textId="2FCBD4C0" w:rsidR="00E86828" w:rsidRPr="00E33B0E" w:rsidRDefault="00E86828" w:rsidP="00D93169">
      <w:pPr>
        <w:pStyle w:val="enumlev1"/>
      </w:pPr>
      <w:r w:rsidRPr="00E33B0E">
        <w:t>•</w:t>
      </w:r>
      <w:r w:rsidRPr="00E33B0E">
        <w:tab/>
        <w:t xml:space="preserve">Le </w:t>
      </w:r>
      <w:r w:rsidRPr="00E33B0E">
        <w:rPr>
          <w:b/>
          <w:bCs/>
        </w:rPr>
        <w:t>Secteur des radiocommunications de l'UIT (UIT-R)</w:t>
      </w:r>
      <w:r w:rsidRPr="00E33B0E">
        <w:t xml:space="preserve"> a traité plus de </w:t>
      </w:r>
      <w:r w:rsidRPr="00E33B0E">
        <w:rPr>
          <w:b/>
          <w:bCs/>
        </w:rPr>
        <w:t>1 100 cas de brouillages préjudiciables</w:t>
      </w:r>
      <w:r w:rsidRPr="00E33B0E">
        <w:t xml:space="preserve"> en 2024.</w:t>
      </w:r>
    </w:p>
    <w:p w14:paraId="4008F132" w14:textId="71299A66" w:rsidR="00E86828" w:rsidRPr="00E33B0E" w:rsidRDefault="00E86828" w:rsidP="00D93169">
      <w:pPr>
        <w:pStyle w:val="enumlev1"/>
      </w:pPr>
      <w:r w:rsidRPr="00E33B0E">
        <w:t>•</w:t>
      </w:r>
      <w:r w:rsidRPr="00E33B0E">
        <w:tab/>
        <w:t xml:space="preserve">Les services de mobile à mobile (M2M) et de l'Internet des objets (IoT) entraînent des besoins croissants en ce qui concerne les normes pour </w:t>
      </w:r>
      <w:r w:rsidRPr="00E33B0E">
        <w:rPr>
          <w:b/>
          <w:bCs/>
        </w:rPr>
        <w:t>le numérotage, le nommage, l'adressage et l'identification</w:t>
      </w:r>
      <w:r w:rsidRPr="00E33B0E">
        <w:t>, ainsi que la coordination de ces domaines par l'UIT.</w:t>
      </w:r>
    </w:p>
    <w:p w14:paraId="3219D9D7" w14:textId="6F88F7F7" w:rsidR="00E86828" w:rsidRPr="00E33B0E" w:rsidRDefault="00E86828" w:rsidP="00D93169">
      <w:pPr>
        <w:pStyle w:val="enumlev1"/>
      </w:pPr>
      <w:r w:rsidRPr="00E33B0E">
        <w:t>•</w:t>
      </w:r>
      <w:r w:rsidRPr="00E33B0E">
        <w:tab/>
        <w:t xml:space="preserve">En mai 2024, l'UIT a organisé la première </w:t>
      </w:r>
      <w:r w:rsidRPr="00E33B0E">
        <w:rPr>
          <w:b/>
          <w:bCs/>
        </w:rPr>
        <w:t>Journée de la gouvernance de l'intelligence artificielle</w:t>
      </w:r>
      <w:r w:rsidRPr="00E33B0E">
        <w:t>, à l'occasion du Sommet mondial sur l'intelligence artificielle au service du bien social.</w:t>
      </w:r>
    </w:p>
    <w:p w14:paraId="24C6DC4F" w14:textId="60A194B0" w:rsidR="00E86828" w:rsidRPr="00E33B0E" w:rsidRDefault="00E86828" w:rsidP="00D93169">
      <w:pPr>
        <w:pStyle w:val="enumlev1"/>
      </w:pPr>
      <w:r w:rsidRPr="00E33B0E">
        <w:t>•</w:t>
      </w:r>
      <w:r w:rsidRPr="00E33B0E">
        <w:tab/>
        <w:t xml:space="preserve">Le </w:t>
      </w:r>
      <w:r w:rsidRPr="00E33B0E">
        <w:rPr>
          <w:b/>
          <w:bCs/>
        </w:rPr>
        <w:t>Sommet mondial sur l'intelligence artificielle au service du bien social de 2024</w:t>
      </w:r>
      <w:r w:rsidRPr="00E33B0E">
        <w:t xml:space="preserve"> (associé à la manifestation de haut niveau du Forum SMSI+20) a attiré plus de</w:t>
      </w:r>
      <w:r w:rsidR="00D93169" w:rsidRPr="00E33B0E">
        <w:t> </w:t>
      </w:r>
      <w:r w:rsidRPr="00E33B0E">
        <w:rPr>
          <w:b/>
          <w:bCs/>
        </w:rPr>
        <w:t>5</w:t>
      </w:r>
      <w:r w:rsidR="00D93169" w:rsidRPr="00E33B0E">
        <w:rPr>
          <w:b/>
          <w:bCs/>
        </w:rPr>
        <w:t> </w:t>
      </w:r>
      <w:r w:rsidRPr="00E33B0E">
        <w:rPr>
          <w:b/>
          <w:bCs/>
        </w:rPr>
        <w:t>000</w:t>
      </w:r>
      <w:r w:rsidR="00D93169" w:rsidRPr="00E33B0E">
        <w:rPr>
          <w:b/>
          <w:bCs/>
        </w:rPr>
        <w:t> </w:t>
      </w:r>
      <w:r w:rsidRPr="00E33B0E">
        <w:rPr>
          <w:b/>
          <w:bCs/>
        </w:rPr>
        <w:t>participants sur place</w:t>
      </w:r>
      <w:r w:rsidRPr="00E33B0E">
        <w:t xml:space="preserve"> et a généré </w:t>
      </w:r>
      <w:r w:rsidRPr="00E33B0E">
        <w:rPr>
          <w:b/>
          <w:bCs/>
        </w:rPr>
        <w:t>900 000 vues</w:t>
      </w:r>
      <w:r w:rsidRPr="00E33B0E">
        <w:t xml:space="preserve"> en ligne.</w:t>
      </w:r>
    </w:p>
    <w:p w14:paraId="7BFE75F2" w14:textId="7A5CDDCE" w:rsidR="00E86828" w:rsidRPr="00E33B0E" w:rsidRDefault="00E86828" w:rsidP="00D93169">
      <w:pPr>
        <w:pStyle w:val="enumlev1"/>
      </w:pPr>
      <w:r w:rsidRPr="00E33B0E">
        <w:t>•</w:t>
      </w:r>
      <w:r w:rsidRPr="00E33B0E">
        <w:tab/>
        <w:t>Le Groupe spécialisé de l'UIT sur le métavers a élaboré une feuille de route pour les définitions et la normalisation.</w:t>
      </w:r>
    </w:p>
    <w:p w14:paraId="6BFFCE68" w14:textId="77777777" w:rsidR="00E86828" w:rsidRPr="00E33B0E" w:rsidRDefault="00E86828" w:rsidP="00D93169">
      <w:pPr>
        <w:pStyle w:val="enumlev1"/>
      </w:pPr>
      <w:r w:rsidRPr="00E33B0E">
        <w:t>•</w:t>
      </w:r>
      <w:r w:rsidRPr="00E33B0E">
        <w:tab/>
        <w:t xml:space="preserve">Le </w:t>
      </w:r>
      <w:r w:rsidRPr="00E33B0E">
        <w:rPr>
          <w:b/>
          <w:bCs/>
        </w:rPr>
        <w:t>Think-a-Thon 2024 sur le métavers</w:t>
      </w:r>
      <w:r w:rsidRPr="00E33B0E">
        <w:t xml:space="preserve"> a mis les participants au défi de concevoir des solutions pour des villes intelligentes et durables.</w:t>
      </w:r>
    </w:p>
    <w:p w14:paraId="4F9E519C" w14:textId="3988A613" w:rsidR="00E86828" w:rsidRPr="00E33B0E" w:rsidRDefault="00E86828" w:rsidP="00D93169">
      <w:pPr>
        <w:pStyle w:val="enumlev1"/>
      </w:pPr>
      <w:r w:rsidRPr="00E33B0E">
        <w:t>•</w:t>
      </w:r>
      <w:r w:rsidRPr="00E33B0E">
        <w:tab/>
        <w:t xml:space="preserve">Le </w:t>
      </w:r>
      <w:r w:rsidRPr="00E33B0E">
        <w:rPr>
          <w:b/>
          <w:bCs/>
        </w:rPr>
        <w:t>Colloque mondial sur la normalisation (GSS-24)</w:t>
      </w:r>
      <w:r w:rsidRPr="00E33B0E">
        <w:t xml:space="preserve"> organisé par l'UIT a réuni plus de</w:t>
      </w:r>
      <w:r w:rsidR="00D93169" w:rsidRPr="00E33B0E">
        <w:t> </w:t>
      </w:r>
      <w:r w:rsidRPr="00E33B0E">
        <w:rPr>
          <w:b/>
          <w:bCs/>
        </w:rPr>
        <w:t>1</w:t>
      </w:r>
      <w:r w:rsidR="00D93169" w:rsidRPr="00E33B0E">
        <w:rPr>
          <w:b/>
          <w:bCs/>
        </w:rPr>
        <w:t> </w:t>
      </w:r>
      <w:r w:rsidRPr="00E33B0E">
        <w:rPr>
          <w:b/>
          <w:bCs/>
        </w:rPr>
        <w:t>800 participants</w:t>
      </w:r>
      <w:r w:rsidRPr="00E33B0E">
        <w:t xml:space="preserve"> pour mener une discussion sur les nouvelles technologies et les nouvelles normes internationales en prévision de l'AMNT-24.</w:t>
      </w:r>
    </w:p>
    <w:p w14:paraId="07ADA1D2" w14:textId="4B2346CE" w:rsidR="00E86828" w:rsidRPr="00E33B0E" w:rsidRDefault="00E86828" w:rsidP="00D93169">
      <w:pPr>
        <w:pStyle w:val="enumlev1"/>
      </w:pPr>
      <w:r w:rsidRPr="00E33B0E">
        <w:lastRenderedPageBreak/>
        <w:t>•</w:t>
      </w:r>
      <w:r w:rsidRPr="00E33B0E">
        <w:tab/>
        <w:t>Les établissements universitaires participant aux travaux de l'UIT, le Journal de l'UIT et les conférences Kaléidoscope de l'UIT continuent de favoriser la collaboration entre les établissements universitaires et le secteur privé.</w:t>
      </w:r>
    </w:p>
    <w:p w14:paraId="2B25A818" w14:textId="387106C6" w:rsidR="00E86828" w:rsidRPr="00E33B0E" w:rsidRDefault="00E86828" w:rsidP="00D93169">
      <w:pPr>
        <w:pStyle w:val="enumlev1"/>
      </w:pPr>
      <w:r w:rsidRPr="00E33B0E">
        <w:t>•</w:t>
      </w:r>
      <w:r w:rsidRPr="00E33B0E">
        <w:tab/>
        <w:t xml:space="preserve">L'UIT a dépassé les </w:t>
      </w:r>
      <w:r w:rsidRPr="00E33B0E">
        <w:rPr>
          <w:b/>
          <w:bCs/>
        </w:rPr>
        <w:t>1 000 Membres de Secteur, Associés et établissements universitaires en 2024</w:t>
      </w:r>
      <w:r w:rsidRPr="00E33B0E">
        <w:t>, soit le nombre de membres le plus élevé jamais atteint.</w:t>
      </w:r>
    </w:p>
    <w:p w14:paraId="5EAE5A0A" w14:textId="6252A6D0" w:rsidR="00E86828" w:rsidRPr="00E33B0E" w:rsidRDefault="00E86828" w:rsidP="00D93169">
      <w:pPr>
        <w:pStyle w:val="enumlev1"/>
      </w:pPr>
      <w:r w:rsidRPr="00E33B0E">
        <w:t>•</w:t>
      </w:r>
      <w:r w:rsidRPr="00E33B0E">
        <w:tab/>
        <w:t xml:space="preserve">En 2024, la </w:t>
      </w:r>
      <w:r w:rsidRPr="00E33B0E">
        <w:rPr>
          <w:b/>
          <w:bCs/>
        </w:rPr>
        <w:t>République des Palaos</w:t>
      </w:r>
      <w:r w:rsidRPr="00E33B0E">
        <w:t xml:space="preserve"> est devenue le 194ème État Membre de l'UIT</w:t>
      </w:r>
      <w:r w:rsidR="00F52BD5" w:rsidRPr="00E33B0E">
        <w:t>.</w:t>
      </w:r>
    </w:p>
    <w:p w14:paraId="61C109BF" w14:textId="72D49D34" w:rsidR="00E86828" w:rsidRPr="00E33B0E" w:rsidRDefault="00E86828" w:rsidP="00D93169">
      <w:pPr>
        <w:pStyle w:val="enumlev1"/>
      </w:pPr>
      <w:r w:rsidRPr="00E33B0E">
        <w:t>•</w:t>
      </w:r>
      <w:r w:rsidRPr="00E33B0E">
        <w:tab/>
        <w:t xml:space="preserve">Les initiatives du </w:t>
      </w:r>
      <w:r w:rsidRPr="00E33B0E">
        <w:rPr>
          <w:b/>
          <w:bCs/>
        </w:rPr>
        <w:t>Réseau de femmes (NoW)</w:t>
      </w:r>
      <w:r w:rsidRPr="00E33B0E">
        <w:t xml:space="preserve"> de l'UIT ont permis d'accroître le nombre de femmes à des postes de direction, les femmes occupant 26% de ces fonctions à l'AMNT-24.</w:t>
      </w:r>
    </w:p>
    <w:p w14:paraId="4FA8B62C" w14:textId="48480040" w:rsidR="00E91DBC" w:rsidRPr="00E33B0E" w:rsidRDefault="00E86828" w:rsidP="00D93169">
      <w:pPr>
        <w:pStyle w:val="enumlev1"/>
      </w:pPr>
      <w:r w:rsidRPr="00E33B0E">
        <w:t>•</w:t>
      </w:r>
      <w:r w:rsidRPr="00E33B0E">
        <w:tab/>
        <w:t xml:space="preserve">Le </w:t>
      </w:r>
      <w:r w:rsidRPr="00E33B0E">
        <w:rPr>
          <w:b/>
          <w:bCs/>
        </w:rPr>
        <w:t>Groupe de travail pour la jeunesse</w:t>
      </w:r>
      <w:r w:rsidRPr="00E33B0E">
        <w:t xml:space="preserve"> et le </w:t>
      </w:r>
      <w:r w:rsidRPr="00E33B0E">
        <w:rPr>
          <w:b/>
          <w:bCs/>
        </w:rPr>
        <w:t>Programme de jeunes dirigeants de l'</w:t>
      </w:r>
      <w:r w:rsidR="00054011" w:rsidRPr="00E33B0E">
        <w:rPr>
          <w:b/>
          <w:bCs/>
        </w:rPr>
        <w:t>I</w:t>
      </w:r>
      <w:r w:rsidRPr="00E33B0E">
        <w:rPr>
          <w:b/>
          <w:bCs/>
        </w:rPr>
        <w:t>nitiative Generation Connect</w:t>
      </w:r>
      <w:r w:rsidRPr="00E33B0E">
        <w:t xml:space="preserve"> encouragent la mobilisation des jeunes et le développement des compétences numériques.</w:t>
      </w:r>
    </w:p>
    <w:p w14:paraId="1FD26065" w14:textId="48E9E2A5" w:rsidR="00E86828" w:rsidRPr="00E33B0E" w:rsidRDefault="00E86828" w:rsidP="00D93169">
      <w:pPr>
        <w:pStyle w:val="enumlev1"/>
      </w:pPr>
      <w:r w:rsidRPr="00E33B0E">
        <w:t>•</w:t>
      </w:r>
      <w:r w:rsidRPr="00E33B0E">
        <w:tab/>
        <w:t xml:space="preserve">Le nombre de pays dotés d'un cadre réglementaire sur l'accessibilité des technologies pour les personnes handicapées a augmenté de </w:t>
      </w:r>
      <w:r w:rsidRPr="00E33B0E">
        <w:rPr>
          <w:b/>
          <w:bCs/>
        </w:rPr>
        <w:t>8,5%</w:t>
      </w:r>
      <w:r w:rsidRPr="00E33B0E">
        <w:t xml:space="preserve">, pour atteindre </w:t>
      </w:r>
      <w:r w:rsidRPr="00E33B0E">
        <w:rPr>
          <w:b/>
          <w:bCs/>
        </w:rPr>
        <w:t>127 pays</w:t>
      </w:r>
      <w:r w:rsidRPr="00E33B0E">
        <w:t xml:space="preserve"> en</w:t>
      </w:r>
      <w:r w:rsidR="00D93169" w:rsidRPr="00E33B0E">
        <w:t> </w:t>
      </w:r>
      <w:r w:rsidRPr="00E33B0E">
        <w:t>2024.</w:t>
      </w:r>
    </w:p>
    <w:p w14:paraId="64C8C84C" w14:textId="39147E16" w:rsidR="00E86828" w:rsidRPr="00E33B0E" w:rsidRDefault="00E86828" w:rsidP="00D93169">
      <w:pPr>
        <w:pStyle w:val="enumlev1"/>
      </w:pPr>
      <w:r w:rsidRPr="00E33B0E">
        <w:t>•</w:t>
      </w:r>
      <w:r w:rsidRPr="00E33B0E">
        <w:tab/>
        <w:t xml:space="preserve">Les cours de formation en ligne de l'UIT ont été suivis par </w:t>
      </w:r>
      <w:r w:rsidRPr="00E33B0E">
        <w:rPr>
          <w:b/>
          <w:bCs/>
        </w:rPr>
        <w:t>1 055 participants</w:t>
      </w:r>
      <w:r w:rsidRPr="00E33B0E">
        <w:t xml:space="preserve"> de</w:t>
      </w:r>
      <w:r w:rsidR="00D93169" w:rsidRPr="00E33B0E">
        <w:t> </w:t>
      </w:r>
      <w:r w:rsidRPr="00E33B0E">
        <w:t>144</w:t>
      </w:r>
      <w:r w:rsidR="00D93169" w:rsidRPr="00E33B0E">
        <w:t> </w:t>
      </w:r>
      <w:r w:rsidRPr="00E33B0E">
        <w:t>pays.</w:t>
      </w:r>
    </w:p>
    <w:p w14:paraId="05B90200" w14:textId="10071497" w:rsidR="00E86828" w:rsidRPr="00E33B0E" w:rsidRDefault="00E86828" w:rsidP="00D93169">
      <w:pPr>
        <w:pStyle w:val="enumlev1"/>
      </w:pPr>
      <w:r w:rsidRPr="00E33B0E">
        <w:t>•</w:t>
      </w:r>
      <w:r w:rsidRPr="00E33B0E">
        <w:tab/>
        <w:t xml:space="preserve">L'UIT a continué de nouer des partenariats pour réduire les émissions liées aux technologies, promouvoir des normes écologiques et gérer les déchets d'équipements électriques et électroniques. La </w:t>
      </w:r>
      <w:r w:rsidRPr="00E33B0E">
        <w:rPr>
          <w:b/>
          <w:bCs/>
        </w:rPr>
        <w:t>Déclaration de la COP29 sur l'action du secteur du numérique pour l'environnement</w:t>
      </w:r>
      <w:r w:rsidRPr="00E33B0E">
        <w:t xml:space="preserve"> a été approuvée par plus de 80 pays et environ</w:t>
      </w:r>
      <w:r w:rsidR="00D93169" w:rsidRPr="00E33B0E">
        <w:t> </w:t>
      </w:r>
      <w:r w:rsidRPr="00E33B0E">
        <w:t>1</w:t>
      </w:r>
      <w:r w:rsidR="00D93169" w:rsidRPr="00E33B0E">
        <w:t> </w:t>
      </w:r>
      <w:r w:rsidRPr="00E33B0E">
        <w:t>800 entreprises, organisations et autres parties prenantes.</w:t>
      </w:r>
    </w:p>
    <w:p w14:paraId="258E6D2E" w14:textId="71A63DD5" w:rsidR="00E86828" w:rsidRPr="00E33B0E" w:rsidRDefault="00E86828" w:rsidP="00D93169">
      <w:pPr>
        <w:pStyle w:val="enumlev1"/>
      </w:pPr>
      <w:r w:rsidRPr="00E33B0E">
        <w:t>•</w:t>
      </w:r>
      <w:r w:rsidRPr="00E33B0E">
        <w:tab/>
        <w:t>L'</w:t>
      </w:r>
      <w:r w:rsidR="00BD17B6" w:rsidRPr="00E33B0E">
        <w:t>I</w:t>
      </w:r>
      <w:r w:rsidRPr="00E33B0E">
        <w:t>nitiative mondiale sur "</w:t>
      </w:r>
      <w:r w:rsidRPr="00E33B0E">
        <w:rPr>
          <w:b/>
          <w:bCs/>
        </w:rPr>
        <w:t>La résilience face aux risques naturels grâce aux solutions fondées sur l'intelligence artificielle</w:t>
      </w:r>
      <w:r w:rsidRPr="00E33B0E">
        <w:t>" vise à tirer parti de l'intelligence artificielle pour la gestion des catastrophes.</w:t>
      </w:r>
    </w:p>
    <w:p w14:paraId="63FF3382" w14:textId="72276935" w:rsidR="00E86828" w:rsidRPr="00E33B0E" w:rsidRDefault="00E86828" w:rsidP="00D93169">
      <w:pPr>
        <w:pStyle w:val="enumlev1"/>
      </w:pPr>
      <w:r w:rsidRPr="00E33B0E">
        <w:t>•</w:t>
      </w:r>
      <w:r w:rsidRPr="00E33B0E">
        <w:tab/>
        <w:t xml:space="preserve">Le </w:t>
      </w:r>
      <w:r w:rsidRPr="00E33B0E">
        <w:rPr>
          <w:b/>
          <w:bCs/>
        </w:rPr>
        <w:t>tableau de bord de l'UIT pour l'écologisation du numérique</w:t>
      </w:r>
      <w:r w:rsidRPr="00E33B0E">
        <w:t xml:space="preserve"> vise à suivre les incidences du secteur des technologies sur le climat.</w:t>
      </w:r>
    </w:p>
    <w:p w14:paraId="5067EC19" w14:textId="031DF79D" w:rsidR="00E86828" w:rsidRPr="00E33B0E" w:rsidRDefault="00E86828" w:rsidP="00D93169">
      <w:pPr>
        <w:pStyle w:val="enumlev1"/>
      </w:pPr>
      <w:r w:rsidRPr="00E33B0E">
        <w:t>•</w:t>
      </w:r>
      <w:r w:rsidRPr="00E33B0E">
        <w:tab/>
        <w:t xml:space="preserve">La </w:t>
      </w:r>
      <w:r w:rsidR="00BD17B6" w:rsidRPr="00E33B0E">
        <w:t>m</w:t>
      </w:r>
      <w:r w:rsidRPr="00E33B0E">
        <w:t xml:space="preserve">anifestation de haut niveau de 2024 du </w:t>
      </w:r>
      <w:r w:rsidRPr="00E33B0E">
        <w:rPr>
          <w:b/>
          <w:bCs/>
        </w:rPr>
        <w:t>Forum du SMSI+20</w:t>
      </w:r>
      <w:r w:rsidRPr="00E33B0E">
        <w:t xml:space="preserve"> a réuni 42 ministres et tenu 227 sessions sur 5 jours.</w:t>
      </w:r>
    </w:p>
    <w:p w14:paraId="3DD96E2C" w14:textId="55D51D20" w:rsidR="00E86828" w:rsidRPr="00E33B0E" w:rsidRDefault="00E86828" w:rsidP="00D93169">
      <w:pPr>
        <w:pStyle w:val="enumlev1"/>
      </w:pPr>
      <w:r w:rsidRPr="00E33B0E">
        <w:t>•</w:t>
      </w:r>
      <w:r w:rsidRPr="00E33B0E">
        <w:tab/>
        <w:t xml:space="preserve">En 2024, la </w:t>
      </w:r>
      <w:r w:rsidRPr="00E33B0E">
        <w:rPr>
          <w:b/>
          <w:bCs/>
        </w:rPr>
        <w:t xml:space="preserve">Commission UIT/UNESCO </w:t>
      </w:r>
      <w:r w:rsidR="00834728" w:rsidRPr="00E33B0E">
        <w:rPr>
          <w:b/>
          <w:bCs/>
        </w:rPr>
        <w:t>"</w:t>
      </w:r>
      <w:r w:rsidRPr="00E33B0E">
        <w:rPr>
          <w:b/>
          <w:bCs/>
        </w:rPr>
        <w:t>Le large bande au service du développement durable</w:t>
      </w:r>
      <w:r w:rsidR="00834728" w:rsidRPr="00E33B0E">
        <w:rPr>
          <w:b/>
          <w:bCs/>
        </w:rPr>
        <w:t>"</w:t>
      </w:r>
      <w:r w:rsidRPr="00E33B0E">
        <w:t xml:space="preserve"> a créé un nouveau groupe de travail sur la gouvernance des données.</w:t>
      </w:r>
    </w:p>
    <w:p w14:paraId="596467D2" w14:textId="1B44774B" w:rsidR="00E86828" w:rsidRPr="00E33B0E" w:rsidRDefault="00E86828" w:rsidP="00D93169">
      <w:pPr>
        <w:pStyle w:val="enumlev1"/>
      </w:pPr>
      <w:r w:rsidRPr="00E33B0E">
        <w:t>•</w:t>
      </w:r>
      <w:r w:rsidRPr="00E33B0E">
        <w:tab/>
        <w:t xml:space="preserve">Le </w:t>
      </w:r>
      <w:r w:rsidRPr="00E33B0E">
        <w:rPr>
          <w:b/>
          <w:bCs/>
        </w:rPr>
        <w:t>Partenariat mondial EQUALS</w:t>
      </w:r>
      <w:r w:rsidRPr="00E33B0E">
        <w:t xml:space="preserve"> a mobilisé plus de </w:t>
      </w:r>
      <w:r w:rsidRPr="00E33B0E">
        <w:rPr>
          <w:b/>
          <w:bCs/>
        </w:rPr>
        <w:t>100 partenaires</w:t>
      </w:r>
      <w:r w:rsidRPr="00E33B0E">
        <w:t xml:space="preserve"> pour promouvoir l'équilibre hommes-femmes dans le secteur des technologies.</w:t>
      </w:r>
    </w:p>
    <w:p w14:paraId="7BEFDB52" w14:textId="30ED299B" w:rsidR="00E86828" w:rsidRPr="00E33B0E" w:rsidRDefault="00E86828" w:rsidP="00D93169">
      <w:pPr>
        <w:pStyle w:val="enumlev1"/>
      </w:pPr>
      <w:r w:rsidRPr="00E33B0E">
        <w:t>•</w:t>
      </w:r>
      <w:r w:rsidRPr="00E33B0E">
        <w:tab/>
        <w:t>L'</w:t>
      </w:r>
      <w:r w:rsidR="00BD17B6" w:rsidRPr="00E33B0E">
        <w:rPr>
          <w:b/>
          <w:bCs/>
        </w:rPr>
        <w:t>I</w:t>
      </w:r>
      <w:r w:rsidRPr="00E33B0E">
        <w:rPr>
          <w:b/>
          <w:bCs/>
        </w:rPr>
        <w:t>nitiative Giga</w:t>
      </w:r>
      <w:r w:rsidRPr="00E33B0E">
        <w:t xml:space="preserve"> de l'UIT et de l'UNICEF, qui vise à connecter chaque école à l'Internet, a été étendue à 34 pays fin 2024 et continuera d'être développée en 2025.</w:t>
      </w:r>
    </w:p>
    <w:p w14:paraId="3BBDD88B" w14:textId="66AC25FF" w:rsidR="00E86828" w:rsidRPr="00E33B0E" w:rsidRDefault="00E86828" w:rsidP="00D93169">
      <w:pPr>
        <w:pStyle w:val="enumlev1"/>
      </w:pPr>
      <w:r w:rsidRPr="00E33B0E">
        <w:t>•</w:t>
      </w:r>
      <w:r w:rsidRPr="00E33B0E">
        <w:tab/>
        <w:t>Au 31 décembre 2024, la plate-forme de soumission des engagements au titre de l'</w:t>
      </w:r>
      <w:r w:rsidR="00BD17B6" w:rsidRPr="00E33B0E">
        <w:t>I</w:t>
      </w:r>
      <w:r w:rsidRPr="00E33B0E">
        <w:t xml:space="preserve">nitiative </w:t>
      </w:r>
      <w:r w:rsidRPr="00E33B0E">
        <w:rPr>
          <w:b/>
          <w:bCs/>
        </w:rPr>
        <w:t>Partner2Connect</w:t>
      </w:r>
      <w:r w:rsidRPr="00E33B0E">
        <w:t xml:space="preserve"> avait reçu </w:t>
      </w:r>
      <w:r w:rsidRPr="00E33B0E">
        <w:rPr>
          <w:b/>
          <w:bCs/>
        </w:rPr>
        <w:t>956 engagements</w:t>
      </w:r>
      <w:r w:rsidRPr="00E33B0E">
        <w:t xml:space="preserve"> d'une valeur de</w:t>
      </w:r>
      <w:r w:rsidR="00834728" w:rsidRPr="00E33B0E">
        <w:t> </w:t>
      </w:r>
      <w:r w:rsidRPr="00E33B0E">
        <w:rPr>
          <w:b/>
          <w:bCs/>
        </w:rPr>
        <w:t>54,27</w:t>
      </w:r>
      <w:r w:rsidR="00834728" w:rsidRPr="00E33B0E">
        <w:rPr>
          <w:b/>
          <w:bCs/>
        </w:rPr>
        <w:t> </w:t>
      </w:r>
      <w:r w:rsidRPr="00E33B0E">
        <w:rPr>
          <w:b/>
          <w:bCs/>
        </w:rPr>
        <w:t>milliards USD</w:t>
      </w:r>
      <w:r w:rsidRPr="00E33B0E">
        <w:t xml:space="preserve"> de la part de </w:t>
      </w:r>
      <w:r w:rsidRPr="00E33B0E">
        <w:rPr>
          <w:b/>
          <w:bCs/>
        </w:rPr>
        <w:t>452 entités</w:t>
      </w:r>
      <w:r w:rsidRPr="00E33B0E">
        <w:t xml:space="preserve"> dans </w:t>
      </w:r>
      <w:r w:rsidRPr="00E33B0E">
        <w:rPr>
          <w:b/>
          <w:bCs/>
        </w:rPr>
        <w:t>146 pays</w:t>
      </w:r>
      <w:r w:rsidRPr="00E33B0E">
        <w:t xml:space="preserve"> à travers le monde.</w:t>
      </w:r>
    </w:p>
    <w:p w14:paraId="7D291ACB" w14:textId="7CD2D0F8" w:rsidR="00E86828" w:rsidRPr="00E33B0E" w:rsidRDefault="00E86828" w:rsidP="00D93169">
      <w:pPr>
        <w:pStyle w:val="enumlev1"/>
      </w:pPr>
      <w:r w:rsidRPr="00E33B0E">
        <w:t>•</w:t>
      </w:r>
      <w:r w:rsidRPr="00E33B0E">
        <w:tab/>
        <w:t>Le secrétariat continue de mettre en œuvre une stratégie de mobilisation des ressources axée sur le renforcement de la participation des membres, la mise à profit des manifestation et l'augmentation des contributions volontaires.</w:t>
      </w:r>
    </w:p>
    <w:p w14:paraId="2CF5D6D5" w14:textId="652081F7" w:rsidR="00E86828" w:rsidRPr="00E33B0E" w:rsidRDefault="00E86828" w:rsidP="00A30E48">
      <w:pPr>
        <w:pStyle w:val="enumlev1"/>
        <w:keepNext/>
        <w:keepLines/>
      </w:pPr>
      <w:r w:rsidRPr="00E33B0E">
        <w:lastRenderedPageBreak/>
        <w:t>•</w:t>
      </w:r>
      <w:r w:rsidRPr="00E33B0E">
        <w:tab/>
        <w:t>L'</w:t>
      </w:r>
      <w:r w:rsidR="00BD17B6" w:rsidRPr="00E33B0E">
        <w:rPr>
          <w:b/>
          <w:bCs/>
        </w:rPr>
        <w:t>I</w:t>
      </w:r>
      <w:r w:rsidRPr="00E33B0E">
        <w:rPr>
          <w:b/>
          <w:bCs/>
        </w:rPr>
        <w:t>nitiative pour les investissements dans l'infrastructure numérique</w:t>
      </w:r>
      <w:r w:rsidRPr="00E33B0E">
        <w:t xml:space="preserve"> menée par l'UIT et les principales institutions de financement du développement a identifié les principaux catalyseurs permettant de combler un </w:t>
      </w:r>
      <w:r w:rsidRPr="00E33B0E">
        <w:rPr>
          <w:b/>
          <w:bCs/>
        </w:rPr>
        <w:t>déficit d'investissement</w:t>
      </w:r>
      <w:r w:rsidRPr="00E33B0E">
        <w:t xml:space="preserve"> estimé à</w:t>
      </w:r>
      <w:r w:rsidR="00F05C8B" w:rsidRPr="00E33B0E">
        <w:t> </w:t>
      </w:r>
      <w:r w:rsidRPr="00E33B0E">
        <w:rPr>
          <w:b/>
          <w:bCs/>
        </w:rPr>
        <w:t>1</w:t>
      </w:r>
      <w:r w:rsidR="00F05C8B" w:rsidRPr="00E33B0E">
        <w:rPr>
          <w:b/>
          <w:bCs/>
        </w:rPr>
        <w:t> </w:t>
      </w:r>
      <w:r w:rsidRPr="00E33B0E">
        <w:rPr>
          <w:b/>
          <w:bCs/>
        </w:rPr>
        <w:t xml:space="preserve">600 milliards USD </w:t>
      </w:r>
      <w:r w:rsidRPr="00E33B0E">
        <w:t>et de connecter véritablement toute la population d'ici à 2030.</w:t>
      </w:r>
    </w:p>
    <w:p w14:paraId="6E3F713C" w14:textId="5909EA32" w:rsidR="00E86828" w:rsidRPr="00E33B0E" w:rsidRDefault="00E86828" w:rsidP="00D93169">
      <w:pPr>
        <w:pStyle w:val="enumlev1"/>
      </w:pPr>
      <w:r w:rsidRPr="00E33B0E">
        <w:t>•</w:t>
      </w:r>
      <w:r w:rsidRPr="00E33B0E">
        <w:tab/>
        <w:t xml:space="preserve">Le nouvel </w:t>
      </w:r>
      <w:r w:rsidRPr="00E33B0E">
        <w:rPr>
          <w:b/>
          <w:bCs/>
        </w:rPr>
        <w:t>Organe consultatif international sur la résilience des câbles sous-marins</w:t>
      </w:r>
      <w:r w:rsidRPr="00E33B0E">
        <w:t xml:space="preserve"> rassemble 42 dirigeants et experts de haut niveau dont l'objectif est de renforcer les infrastructures sous-marines essentielles qui transportent plus de 99% des communications internationales.</w:t>
      </w:r>
    </w:p>
    <w:p w14:paraId="7E2CFB01" w14:textId="774ABEBF" w:rsidR="00AE543B" w:rsidRPr="00E33B0E" w:rsidRDefault="00E86828" w:rsidP="00377B11">
      <w:pPr>
        <w:pStyle w:val="enumlev1"/>
        <w:spacing w:after="120"/>
      </w:pPr>
      <w:r w:rsidRPr="00E33B0E">
        <w:t>•</w:t>
      </w:r>
      <w:r w:rsidRPr="00E33B0E">
        <w:tab/>
        <w:t>L'UIT a continué d'élargir la portée de ses travaux de normalisation dans le domaine de l'informatique quantique. Alors que l'année 2025 a été désignée comme l'</w:t>
      </w:r>
      <w:r w:rsidRPr="00E33B0E">
        <w:rPr>
          <w:b/>
          <w:bCs/>
        </w:rPr>
        <w:t>Année</w:t>
      </w:r>
      <w:r w:rsidRPr="00E33B0E">
        <w:t xml:space="preserve"> </w:t>
      </w:r>
      <w:r w:rsidRPr="00E33B0E">
        <w:rPr>
          <w:b/>
          <w:bCs/>
        </w:rPr>
        <w:t>internationale de la science et de la technologie quantiques</w:t>
      </w:r>
      <w:r w:rsidRPr="00E33B0E">
        <w:t>, l'Union noue des partenariats pour promouvoir l'informatique quantique au service du bien social.</w:t>
      </w:r>
    </w:p>
    <w:tbl>
      <w:tblPr>
        <w:tblStyle w:val="TableGrid"/>
        <w:tblW w:w="5000" w:type="pct"/>
        <w:tblInd w:w="-5" w:type="dxa"/>
        <w:tblLook w:val="04A0" w:firstRow="1" w:lastRow="0" w:firstColumn="1" w:lastColumn="0" w:noHBand="0" w:noVBand="1"/>
      </w:tblPr>
      <w:tblGrid>
        <w:gridCol w:w="9061"/>
      </w:tblGrid>
      <w:tr w:rsidR="00377B11" w:rsidRPr="00E33B0E" w14:paraId="5A4B08A0" w14:textId="77777777" w:rsidTr="00614844">
        <w:tc>
          <w:tcPr>
            <w:tcW w:w="5000" w:type="pct"/>
          </w:tcPr>
          <w:p w14:paraId="1B4B7B47" w14:textId="4F77E06B" w:rsidR="00377B11" w:rsidRPr="00E33B0E" w:rsidRDefault="00377B11" w:rsidP="008A294F">
            <w:pPr>
              <w:shd w:val="clear" w:color="auto" w:fill="C6D9F1" w:themeFill="text2" w:themeFillTint="33"/>
              <w:rPr>
                <w:b/>
                <w:bCs/>
              </w:rPr>
            </w:pPr>
            <w:r w:rsidRPr="00E33B0E">
              <w:rPr>
                <w:b/>
                <w:bCs/>
              </w:rPr>
              <w:t>L</w:t>
            </w:r>
            <w:r w:rsidR="008A294F" w:rsidRPr="00E33B0E">
              <w:rPr>
                <w:b/>
                <w:bCs/>
              </w:rPr>
              <w:t>'</w:t>
            </w:r>
            <w:r w:rsidRPr="00E33B0E">
              <w:rPr>
                <w:b/>
                <w:bCs/>
              </w:rPr>
              <w:t>avenir numérique commence ici!</w:t>
            </w:r>
          </w:p>
          <w:p w14:paraId="39C5055F" w14:textId="7E28C821" w:rsidR="00377B11" w:rsidRPr="00E33B0E" w:rsidRDefault="00377B11" w:rsidP="00377B11">
            <w:r w:rsidRPr="00E33B0E">
              <w:t>L</w:t>
            </w:r>
            <w:r w:rsidR="00357220" w:rsidRPr="00E33B0E">
              <w:t>'</w:t>
            </w:r>
            <w:r w:rsidRPr="00E33B0E">
              <w:t>UIT est déterminée à connecter toute la population, partout dans le monde. Notre objectif est d</w:t>
            </w:r>
            <w:r w:rsidR="00357220" w:rsidRPr="00E33B0E">
              <w:t>'</w:t>
            </w:r>
            <w:r w:rsidRPr="00E33B0E">
              <w:t>apporter une connectivité aux quelque 2,6 milliards de personnes qui ne sont toujours pas connectées, de stimuler l</w:t>
            </w:r>
            <w:r w:rsidR="00357220" w:rsidRPr="00E33B0E">
              <w:t>'</w:t>
            </w:r>
            <w:r w:rsidRPr="00E33B0E">
              <w:t>innovation au service du bien commun et de faire en sorte que l</w:t>
            </w:r>
            <w:r w:rsidR="00357220" w:rsidRPr="00E33B0E">
              <w:t>'</w:t>
            </w:r>
            <w:r w:rsidRPr="00E33B0E">
              <w:t>ère numérique qui s</w:t>
            </w:r>
            <w:r w:rsidR="00357220" w:rsidRPr="00E33B0E">
              <w:t>'</w:t>
            </w:r>
            <w:r w:rsidRPr="00E33B0E">
              <w:t>ouvre soit saine, sûre et prospère pour tous.</w:t>
            </w:r>
          </w:p>
          <w:p w14:paraId="566BD84A" w14:textId="79DAE090" w:rsidR="00377B11" w:rsidRPr="00E33B0E" w:rsidRDefault="00377B11" w:rsidP="00377B11">
            <w:r w:rsidRPr="00E33B0E">
              <w:t>Notre rétrospective de l</w:t>
            </w:r>
            <w:r w:rsidR="00357220" w:rsidRPr="00E33B0E">
              <w:t>'</w:t>
            </w:r>
            <w:r w:rsidRPr="00E33B0E">
              <w:t xml:space="preserve">année, consultable en ligne, met en évidence les nombreuses façons dont nous </w:t>
            </w:r>
            <w:hyperlink r:id="rId13" w:anchor="/fr" w:history="1">
              <w:r w:rsidRPr="00E33B0E">
                <w:rPr>
                  <w:rStyle w:val="Hyperlink"/>
                </w:rPr>
                <w:t>encourageons la connectivité</w:t>
              </w:r>
            </w:hyperlink>
            <w:r w:rsidRPr="00E33B0E">
              <w:t>, façonnons la transformation numérique et produisons des retombées dans le domaine du numérique. Les lecteurs pourront également redécouvrir les temps forts de l</w:t>
            </w:r>
            <w:r w:rsidR="00357220" w:rsidRPr="00E33B0E">
              <w:t>'</w:t>
            </w:r>
            <w:r w:rsidRPr="00E33B0E">
              <w:t>année</w:t>
            </w:r>
            <w:r w:rsidR="00BD17B6" w:rsidRPr="00E33B0E">
              <w:t> </w:t>
            </w:r>
            <w:r w:rsidRPr="00E33B0E">
              <w:t>2024 dans le Journal de bord de l</w:t>
            </w:r>
            <w:r w:rsidR="00357220" w:rsidRPr="00E33B0E">
              <w:t>'</w:t>
            </w:r>
            <w:r w:rsidRPr="00E33B0E">
              <w:t>UIT.</w:t>
            </w:r>
          </w:p>
          <w:p w14:paraId="30B9930C" w14:textId="5CE5E202" w:rsidR="00377B11" w:rsidRPr="00E33B0E" w:rsidRDefault="00377B11" w:rsidP="00377B11">
            <w:pPr>
              <w:spacing w:after="120"/>
            </w:pPr>
            <w:hyperlink r:id="rId14" w:anchor="/fr" w:history="1">
              <w:r w:rsidRPr="00E33B0E">
                <w:rPr>
                  <w:rStyle w:val="Hyperlink"/>
                </w:rPr>
                <w:t>Découvrez notre rétrospective de l'année 2024 à l'UIT</w:t>
              </w:r>
            </w:hyperlink>
            <w:r w:rsidR="00BD17B6" w:rsidRPr="00E33B0E">
              <w:rPr>
                <w:rStyle w:val="Hyperlink"/>
                <w:color w:val="auto"/>
              </w:rPr>
              <w:t>.</w:t>
            </w:r>
          </w:p>
        </w:tc>
      </w:tr>
    </w:tbl>
    <w:p w14:paraId="3FF0F9F2" w14:textId="40AF940A" w:rsidR="00614B10" w:rsidRPr="00E33B0E" w:rsidRDefault="00614B10" w:rsidP="00AE543B">
      <w:r w:rsidRPr="00E33B0E">
        <w:br w:type="page"/>
      </w:r>
    </w:p>
    <w:p w14:paraId="03B92B87" w14:textId="417BFE27" w:rsidR="00614B10" w:rsidRPr="00E33B0E" w:rsidRDefault="00614B10" w:rsidP="00614B10">
      <w:pPr>
        <w:pStyle w:val="Heading1"/>
      </w:pPr>
      <w:bookmarkStart w:id="2" w:name="_Toc199753874"/>
      <w:r w:rsidRPr="00E33B0E">
        <w:lastRenderedPageBreak/>
        <w:t>1</w:t>
      </w:r>
      <w:r w:rsidRPr="00E33B0E">
        <w:tab/>
        <w:t>Introduction</w:t>
      </w:r>
      <w:bookmarkEnd w:id="2"/>
    </w:p>
    <w:p w14:paraId="71C79EC0" w14:textId="23F421BB" w:rsidR="00614B10" w:rsidRPr="00E33B0E" w:rsidRDefault="00614B10" w:rsidP="00614B10">
      <w:r w:rsidRPr="00E33B0E">
        <w:t>Le présent rapport annuel, officiellement intitulé "Rapport annuel sur la mise en œuvre du Plan stratégique et les activités de l</w:t>
      </w:r>
      <w:r w:rsidR="00357220" w:rsidRPr="00E33B0E">
        <w:t>'</w:t>
      </w:r>
      <w:r w:rsidRPr="00E33B0E">
        <w:t>Union pour 2024", est le premier établi depuis l</w:t>
      </w:r>
      <w:r w:rsidR="00357220" w:rsidRPr="00E33B0E">
        <w:t>'</w:t>
      </w:r>
      <w:r w:rsidRPr="00E33B0E">
        <w:t>entrée en vigueur du Plan stratégique quadriennal actuel de l</w:t>
      </w:r>
      <w:r w:rsidR="00357220" w:rsidRPr="00E33B0E">
        <w:t>'</w:t>
      </w:r>
      <w:r w:rsidRPr="00E33B0E">
        <w:t>UIT (</w:t>
      </w:r>
      <w:hyperlink r:id="rId15" w:history="1">
        <w:r w:rsidRPr="00E33B0E">
          <w:rPr>
            <w:rStyle w:val="Hyperlink"/>
            <w:rFonts w:eastAsia="Times New Roman" w:cs="Times New Roman"/>
            <w:szCs w:val="20"/>
          </w:rPr>
          <w:t>Plan stratégique pour la période 2024-2027</w:t>
        </w:r>
      </w:hyperlink>
      <w:r w:rsidRPr="00E33B0E">
        <w:t>). Ce rapport, qui porte sur l</w:t>
      </w:r>
      <w:r w:rsidR="00357220" w:rsidRPr="00E33B0E">
        <w:t>'</w:t>
      </w:r>
      <w:r w:rsidRPr="00E33B0E">
        <w:t>exercice financier allant de janvier à décembre 2024, est fondé sur le cadre de résultats qui sous-tend le plan stratégique.</w:t>
      </w:r>
    </w:p>
    <w:p w14:paraId="2ACF23C4" w14:textId="416AA95E" w:rsidR="00AE543B" w:rsidRPr="00E33B0E" w:rsidRDefault="00614B10" w:rsidP="00A30E48">
      <w:r w:rsidRPr="00E33B0E">
        <w:t>Ce cadre de présentation des résultats établit un lien entre la fourniture de produits et de services et les priorités thématiques essentielles, les objectifs stratégiques, la mission et la vision de l</w:t>
      </w:r>
      <w:r w:rsidR="00357220" w:rsidRPr="00E33B0E">
        <w:t>'</w:t>
      </w:r>
      <w:r w:rsidRPr="00E33B0E">
        <w:t>UIT, ainsi que les buts et les priorités à l</w:t>
      </w:r>
      <w:r w:rsidR="00357220" w:rsidRPr="00E33B0E">
        <w:t>'</w:t>
      </w:r>
      <w:r w:rsidRPr="00E33B0E">
        <w:t>échelle mondiale tels que le Programme de développement durable à l</w:t>
      </w:r>
      <w:r w:rsidR="00357220" w:rsidRPr="00E33B0E">
        <w:t>'</w:t>
      </w:r>
      <w:r w:rsidRPr="00E33B0E">
        <w:t>horizon 2030 et les 17 Objectifs de développement durable:</w:t>
      </w:r>
    </w:p>
    <w:p w14:paraId="0C74519D" w14:textId="7662B48C" w:rsidR="006A11AE" w:rsidRPr="00E33B0E" w:rsidRDefault="008B4A17" w:rsidP="00A30E48">
      <w:pPr>
        <w:pStyle w:val="Figure"/>
        <w:spacing w:before="240"/>
      </w:pPr>
      <w:r w:rsidRPr="00E33B0E">
        <w:rPr>
          <w:noProof/>
        </w:rPr>
        <w:drawing>
          <wp:inline distT="0" distB="0" distL="0" distR="0" wp14:anchorId="15283BD8" wp14:editId="64D5BA8E">
            <wp:extent cx="5760085" cy="3425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425190"/>
                    </a:xfrm>
                    <a:prstGeom prst="rect">
                      <a:avLst/>
                    </a:prstGeom>
                  </pic:spPr>
                </pic:pic>
              </a:graphicData>
            </a:graphic>
          </wp:inline>
        </w:drawing>
      </w:r>
    </w:p>
    <w:p w14:paraId="526F1858" w14:textId="48514FAA" w:rsidR="008B4A17" w:rsidRPr="00E33B0E" w:rsidRDefault="008B4A17" w:rsidP="008B4A17">
      <w:r w:rsidRPr="00E33B0E">
        <w:t>La Section 2 fournit des informations sur la Conférence statutaire de l</w:t>
      </w:r>
      <w:r w:rsidR="00357220" w:rsidRPr="00E33B0E">
        <w:t>'</w:t>
      </w:r>
      <w:r w:rsidRPr="00E33B0E">
        <w:t>UIT qui s</w:t>
      </w:r>
      <w:r w:rsidR="00357220" w:rsidRPr="00E33B0E">
        <w:t>'</w:t>
      </w:r>
      <w:r w:rsidRPr="00E33B0E">
        <w:t>est tenue pendant la période considérée, à savoir l</w:t>
      </w:r>
      <w:r w:rsidR="00357220" w:rsidRPr="00E33B0E">
        <w:t>'</w:t>
      </w:r>
      <w:r w:rsidRPr="00E33B0E">
        <w:t>Assemblée mondiale de normalisation des télécommunications (AMNT-24), qui a eu lieu à New Delhi (Inde) du 15 au 24 octobre 2024.</w:t>
      </w:r>
    </w:p>
    <w:p w14:paraId="0B05CB1A" w14:textId="609DB9C5" w:rsidR="008B4A17" w:rsidRPr="00E33B0E" w:rsidRDefault="008B4A17" w:rsidP="008B4A17">
      <w:r w:rsidRPr="00E33B0E">
        <w:t>La Section 3 porte sur les travaux accomplis au regard de deux buts stratégiques essentiels de l</w:t>
      </w:r>
      <w:r w:rsidR="00357220" w:rsidRPr="00E33B0E">
        <w:t>'</w:t>
      </w:r>
      <w:r w:rsidRPr="00E33B0E">
        <w:t>UIT, à savoir la connectivité universelle et la transformation numérique durable. La Section 4 met l</w:t>
      </w:r>
      <w:r w:rsidR="00357220" w:rsidRPr="00E33B0E">
        <w:t>'</w:t>
      </w:r>
      <w:r w:rsidRPr="00E33B0E">
        <w:t>accent sur les résultats et les activités liés aux produits et services, tandis que la Section 5 porte sur les catalyseurs des travaux de l</w:t>
      </w:r>
      <w:r w:rsidR="00357220" w:rsidRPr="00E33B0E">
        <w:t>'</w:t>
      </w:r>
      <w:r w:rsidRPr="00E33B0E">
        <w:t>UIT et leurs retombées.</w:t>
      </w:r>
    </w:p>
    <w:p w14:paraId="784D63D5" w14:textId="02D0E85D" w:rsidR="008B4A17" w:rsidRPr="00E33B0E" w:rsidRDefault="008B4A17" w:rsidP="00614844">
      <w:pPr>
        <w:pStyle w:val="Heading1"/>
      </w:pPr>
      <w:bookmarkStart w:id="3" w:name="_Toc199753875"/>
      <w:r w:rsidRPr="00E33B0E">
        <w:lastRenderedPageBreak/>
        <w:t>2</w:t>
      </w:r>
      <w:r w:rsidRPr="00E33B0E">
        <w:tab/>
        <w:t>Conférence statutaire mondiale de 2024</w:t>
      </w:r>
      <w:bookmarkEnd w:id="3"/>
    </w:p>
    <w:p w14:paraId="4BFBD5D8" w14:textId="77777777" w:rsidR="008B4A17" w:rsidRPr="00E33B0E" w:rsidRDefault="008B4A17" w:rsidP="00614844">
      <w:pPr>
        <w:pStyle w:val="Heading2"/>
      </w:pPr>
      <w:bookmarkStart w:id="4" w:name="_Toc199753876"/>
      <w:r w:rsidRPr="00E33B0E">
        <w:t>2.1</w:t>
      </w:r>
      <w:r w:rsidRPr="00E33B0E">
        <w:tab/>
        <w:t>Assemblée mondiale de normalisation des télécommunications</w:t>
      </w:r>
      <w:bookmarkEnd w:id="4"/>
    </w:p>
    <w:p w14:paraId="174795DD" w14:textId="25FD2C1D" w:rsidR="008B4A17" w:rsidRPr="00E33B0E" w:rsidRDefault="008B4A17" w:rsidP="00614844">
      <w:pPr>
        <w:keepNext/>
        <w:keepLines/>
      </w:pPr>
      <w:r w:rsidRPr="00E33B0E">
        <w:t>L'</w:t>
      </w:r>
      <w:hyperlink r:id="rId17" w:anchor="/fr" w:history="1">
        <w:r w:rsidRPr="00E33B0E">
          <w:rPr>
            <w:rStyle w:val="Hyperlink"/>
            <w:rFonts w:eastAsia="Times New Roman" w:cs="Times New Roman"/>
            <w:szCs w:val="20"/>
          </w:rPr>
          <w:t>AMNT-24</w:t>
        </w:r>
      </w:hyperlink>
      <w:r w:rsidRPr="00E33B0E">
        <w:t xml:space="preserve"> s'est tenue du 15 au 24 octobre 2024 à New Delhi (Inde). Elle a été précédée du </w:t>
      </w:r>
      <w:hyperlink r:id="rId18" w:anchor="/fr" w:history="1">
        <w:r w:rsidRPr="00E33B0E">
          <w:rPr>
            <w:rStyle w:val="Hyperlink"/>
            <w:rFonts w:eastAsia="Times New Roman" w:cs="Times New Roman"/>
            <w:szCs w:val="20"/>
          </w:rPr>
          <w:t>GSS-24</w:t>
        </w:r>
      </w:hyperlink>
      <w:r w:rsidRPr="00E33B0E">
        <w:t xml:space="preserve"> (14 octobre 2024), et suivie d</w:t>
      </w:r>
      <w:r w:rsidR="00357220" w:rsidRPr="00E33B0E">
        <w:t>'</w:t>
      </w:r>
      <w:r w:rsidRPr="00E33B0E">
        <w:t>une formation sur les fonctions de direction qui a été proposée aux présidents et vice-présidents nouvellement nommés. La cérémonie d'ouverture de l'AMNT s'est déroulée en présence de S. E. M. Shri Narendra Modi, Premier ministre de l'Inde. L</w:t>
      </w:r>
      <w:r w:rsidR="00357220" w:rsidRPr="00E33B0E">
        <w:t>'</w:t>
      </w:r>
      <w:r w:rsidRPr="00E33B0E">
        <w:t>Assemblée était présidée par M. Ritu Ranjan Mittar (Inde). Avec 3 700 délégués de 164 pays, elle a réuni 27% de femmes, soit le taux le plus élevé jamais enregistré pour une conférence de l</w:t>
      </w:r>
      <w:r w:rsidR="00357220" w:rsidRPr="00E33B0E">
        <w:t>'</w:t>
      </w:r>
      <w:r w:rsidRPr="00E33B0E">
        <w:t>UIT-T organisée en dehors de Genève. L</w:t>
      </w:r>
      <w:r w:rsidR="00357220" w:rsidRPr="00E33B0E">
        <w:t>'</w:t>
      </w:r>
      <w:r w:rsidRPr="00E33B0E">
        <w:t>Assemblée a également enregistré le niveau de participation le plus élevé pour l</w:t>
      </w:r>
      <w:r w:rsidR="00357220" w:rsidRPr="00E33B0E">
        <w:t>'</w:t>
      </w:r>
      <w:r w:rsidRPr="00E33B0E">
        <w:t>UIT-T, 37 États Membres ayant envoyé des ministres. Plus de 20 manifestations parallèles se sont tenues en marge de l'AMNT-24.</w:t>
      </w:r>
    </w:p>
    <w:p w14:paraId="304D0352" w14:textId="0E747146" w:rsidR="008B4A17" w:rsidRPr="00E33B0E" w:rsidRDefault="008B4A17" w:rsidP="008B4A17">
      <w:r w:rsidRPr="00E33B0E">
        <w:t>Parmi les autres principaux résultats de l</w:t>
      </w:r>
      <w:r w:rsidR="00357220" w:rsidRPr="00E33B0E">
        <w:t>'</w:t>
      </w:r>
      <w:r w:rsidRPr="00E33B0E">
        <w:t>AMNT-24 figurent:</w:t>
      </w:r>
    </w:p>
    <w:p w14:paraId="158537EF" w14:textId="570EA175" w:rsidR="008B4A17" w:rsidRPr="00E33B0E" w:rsidRDefault="008B4A17" w:rsidP="008B4A17">
      <w:pPr>
        <w:pStyle w:val="enumlev1"/>
      </w:pPr>
      <w:r w:rsidRPr="00E33B0E">
        <w:t>•</w:t>
      </w:r>
      <w:r w:rsidRPr="00E33B0E">
        <w:tab/>
        <w:t xml:space="preserve">La fusion de la </w:t>
      </w:r>
      <w:hyperlink r:id="rId19" w:history="1">
        <w:r w:rsidRPr="00E33B0E">
          <w:rPr>
            <w:rStyle w:val="Hyperlink"/>
            <w:rFonts w:eastAsia="Times New Roman" w:cs="Times New Roman"/>
            <w:szCs w:val="20"/>
          </w:rPr>
          <w:t>CE 9</w:t>
        </w:r>
      </w:hyperlink>
      <w:r w:rsidRPr="00E33B0E">
        <w:t xml:space="preserve"> et de la </w:t>
      </w:r>
      <w:hyperlink r:id="rId20" w:history="1">
        <w:r w:rsidRPr="00E33B0E">
          <w:rPr>
            <w:rStyle w:val="Hyperlink"/>
            <w:rFonts w:eastAsia="Times New Roman" w:cs="Times New Roman"/>
            <w:szCs w:val="20"/>
          </w:rPr>
          <w:t>CE 16</w:t>
        </w:r>
      </w:hyperlink>
      <w:r w:rsidRPr="00E33B0E">
        <w:t xml:space="preserve"> de l'UIT-T pour créer la nouvelle Commission d</w:t>
      </w:r>
      <w:r w:rsidR="00357220" w:rsidRPr="00E33B0E">
        <w:t>'</w:t>
      </w:r>
      <w:r w:rsidRPr="00E33B0E">
        <w:t>études 21, intitulée "Technologies pour le multimédia, la fourniture de contenus et la télévision par câble".</w:t>
      </w:r>
    </w:p>
    <w:p w14:paraId="32BF88D1" w14:textId="188234EE" w:rsidR="008B4A17" w:rsidRPr="00E33B0E" w:rsidRDefault="008B4A17" w:rsidP="008B4A17">
      <w:pPr>
        <w:pStyle w:val="enumlev1"/>
      </w:pPr>
      <w:r w:rsidRPr="00E33B0E">
        <w:t>•</w:t>
      </w:r>
      <w:r w:rsidRPr="00E33B0E">
        <w:tab/>
        <w:t>La nomination des présidents et vice-présidents des commissions d'études de l'UIT-T, du Groupe consultatif de la normalisation des télécommunications et du Comité de normalisation pour le vocabulaire.</w:t>
      </w:r>
    </w:p>
    <w:p w14:paraId="78F08E38" w14:textId="41D26D27" w:rsidR="008B4A17" w:rsidRPr="00E33B0E" w:rsidRDefault="008B4A17" w:rsidP="008B4A17">
      <w:pPr>
        <w:pStyle w:val="enumlev1"/>
      </w:pPr>
      <w:r w:rsidRPr="00E33B0E">
        <w:t>•</w:t>
      </w:r>
      <w:r w:rsidRPr="00E33B0E">
        <w:tab/>
        <w:t>La mise à jour du mandat (Résolution 2) des commissions d'études de l'UIT-T et l</w:t>
      </w:r>
      <w:r w:rsidR="00357220" w:rsidRPr="00E33B0E">
        <w:t>'</w:t>
      </w:r>
      <w:r w:rsidRPr="00E33B0E">
        <w:t>adoption de nouvelles Questions.</w:t>
      </w:r>
    </w:p>
    <w:p w14:paraId="3F8CE172" w14:textId="0FDB0118" w:rsidR="008B4A17" w:rsidRPr="00E33B0E" w:rsidRDefault="008B4A17" w:rsidP="008B4A17">
      <w:pPr>
        <w:pStyle w:val="enumlev1"/>
      </w:pPr>
      <w:r w:rsidRPr="00E33B0E">
        <w:t>•</w:t>
      </w:r>
      <w:r w:rsidRPr="00E33B0E">
        <w:tab/>
        <w:t>L</w:t>
      </w:r>
      <w:r w:rsidR="00357220" w:rsidRPr="00E33B0E">
        <w:t>'</w:t>
      </w:r>
      <w:r w:rsidRPr="00E33B0E">
        <w:t>approbation de 8 nouvelles Résolutions.</w:t>
      </w:r>
    </w:p>
    <w:p w14:paraId="1AB1A9DC" w14:textId="2E78CF3C" w:rsidR="008B4A17" w:rsidRPr="00E33B0E" w:rsidRDefault="008B4A17" w:rsidP="008B4A17">
      <w:pPr>
        <w:pStyle w:val="enumlev1"/>
      </w:pPr>
      <w:r w:rsidRPr="00E33B0E">
        <w:t>•</w:t>
      </w:r>
      <w:r w:rsidRPr="00E33B0E">
        <w:tab/>
        <w:t xml:space="preserve">La modification de 44 </w:t>
      </w:r>
      <w:r w:rsidR="00E97A6F" w:rsidRPr="00E33B0E">
        <w:t>R</w:t>
      </w:r>
      <w:r w:rsidRPr="00E33B0E">
        <w:t>ésolutions.</w:t>
      </w:r>
    </w:p>
    <w:p w14:paraId="2CCE0F6D" w14:textId="209CBBAE" w:rsidR="008B4A17" w:rsidRPr="00E33B0E" w:rsidRDefault="008B4A17" w:rsidP="008B4A17">
      <w:pPr>
        <w:pStyle w:val="enumlev1"/>
      </w:pPr>
      <w:r w:rsidRPr="00E33B0E">
        <w:t>•</w:t>
      </w:r>
      <w:r w:rsidRPr="00E33B0E">
        <w:tab/>
        <w:t>L</w:t>
      </w:r>
      <w:r w:rsidR="00357220" w:rsidRPr="00E33B0E">
        <w:t>'</w:t>
      </w:r>
      <w:r w:rsidRPr="00E33B0E">
        <w:t>adoption d</w:t>
      </w:r>
      <w:r w:rsidR="00357220" w:rsidRPr="00E33B0E">
        <w:t>'</w:t>
      </w:r>
      <w:r w:rsidRPr="00E33B0E">
        <w:t>une Recommandation UIT-T révisée (A.25).</w:t>
      </w:r>
    </w:p>
    <w:p w14:paraId="78328C68" w14:textId="77777777" w:rsidR="008B4A17" w:rsidRPr="00E33B0E" w:rsidRDefault="008B4A17" w:rsidP="008B4A17">
      <w:r w:rsidRPr="00E33B0E">
        <w:t>Informations connexes:</w:t>
      </w:r>
    </w:p>
    <w:p w14:paraId="46415A62" w14:textId="5781AF7D" w:rsidR="008B4A17" w:rsidRPr="00E33B0E" w:rsidRDefault="008B4A17" w:rsidP="008B4A17">
      <w:pPr>
        <w:pStyle w:val="enumlev1"/>
      </w:pPr>
      <w:r w:rsidRPr="00E33B0E">
        <w:t>•</w:t>
      </w:r>
      <w:r w:rsidRPr="00E33B0E">
        <w:tab/>
      </w:r>
      <w:hyperlink r:id="rId21" w:anchor="/fr" w:history="1">
        <w:r w:rsidRPr="00E33B0E">
          <w:rPr>
            <w:rStyle w:val="Hyperlink"/>
            <w:rFonts w:eastAsia="Times New Roman" w:cs="Times New Roman"/>
            <w:szCs w:val="20"/>
          </w:rPr>
          <w:t>Site web de l'AMNT</w:t>
        </w:r>
      </w:hyperlink>
    </w:p>
    <w:p w14:paraId="54352AF5" w14:textId="4AEEE728" w:rsidR="008B4A17" w:rsidRPr="00E33B0E" w:rsidRDefault="008B4A17" w:rsidP="008B4A17">
      <w:pPr>
        <w:pStyle w:val="enumlev1"/>
      </w:pPr>
      <w:r w:rsidRPr="00E33B0E">
        <w:t>•</w:t>
      </w:r>
      <w:r w:rsidRPr="00E33B0E">
        <w:tab/>
      </w:r>
      <w:hyperlink r:id="rId22" w:history="1">
        <w:r w:rsidRPr="00E33B0E">
          <w:rPr>
            <w:rStyle w:val="Hyperlink"/>
            <w:rFonts w:eastAsia="Times New Roman" w:cs="Times New Roman"/>
            <w:szCs w:val="20"/>
          </w:rPr>
          <w:t>Actes de l'AMNT-24</w:t>
        </w:r>
      </w:hyperlink>
    </w:p>
    <w:p w14:paraId="16BDCC2D" w14:textId="13CF83CC" w:rsidR="008B4A17" w:rsidRPr="00E33B0E" w:rsidRDefault="008B4A17" w:rsidP="008B4A17">
      <w:pPr>
        <w:pStyle w:val="enumlev1"/>
      </w:pPr>
      <w:r w:rsidRPr="00E33B0E">
        <w:t>•</w:t>
      </w:r>
      <w:r w:rsidRPr="00E33B0E">
        <w:tab/>
      </w:r>
      <w:hyperlink r:id="rId23" w:anchor="/fr" w:history="1">
        <w:r w:rsidRPr="00E33B0E">
          <w:rPr>
            <w:rStyle w:val="Hyperlink"/>
            <w:rFonts w:eastAsia="Times New Roman" w:cs="Times New Roman"/>
            <w:szCs w:val="20"/>
          </w:rPr>
          <w:t>Rapport d'analyse de l</w:t>
        </w:r>
        <w:r w:rsidR="00357220" w:rsidRPr="00E33B0E">
          <w:rPr>
            <w:rStyle w:val="Hyperlink"/>
            <w:rFonts w:eastAsia="Times New Roman" w:cs="Times New Roman"/>
            <w:szCs w:val="20"/>
          </w:rPr>
          <w:t>'</w:t>
        </w:r>
        <w:r w:rsidRPr="00E33B0E">
          <w:rPr>
            <w:rStyle w:val="Hyperlink"/>
            <w:rFonts w:eastAsia="Times New Roman" w:cs="Times New Roman"/>
            <w:szCs w:val="20"/>
          </w:rPr>
          <w:t>AMNT-24</w:t>
        </w:r>
      </w:hyperlink>
    </w:p>
    <w:p w14:paraId="0A4EA5A7" w14:textId="23E27D07" w:rsidR="008B4A17" w:rsidRPr="00E33B0E" w:rsidRDefault="008B4A17" w:rsidP="008B4A17">
      <w:pPr>
        <w:pStyle w:val="enumlev1"/>
      </w:pPr>
      <w:r w:rsidRPr="00E33B0E">
        <w:t>•</w:t>
      </w:r>
      <w:r w:rsidRPr="00E33B0E">
        <w:tab/>
      </w:r>
      <w:hyperlink r:id="rId24" w:history="1">
        <w:r w:rsidRPr="00E33B0E">
          <w:rPr>
            <w:rStyle w:val="Hyperlink"/>
            <w:rFonts w:eastAsia="Times New Roman" w:cs="Times New Roman"/>
            <w:szCs w:val="20"/>
          </w:rPr>
          <w:t>Brochure de l</w:t>
        </w:r>
        <w:r w:rsidR="00480403" w:rsidRPr="00E33B0E">
          <w:rPr>
            <w:rStyle w:val="Hyperlink"/>
            <w:rFonts w:eastAsia="Times New Roman" w:cs="Times New Roman"/>
            <w:szCs w:val="20"/>
          </w:rPr>
          <w:t>'</w:t>
        </w:r>
        <w:r w:rsidRPr="00E33B0E">
          <w:rPr>
            <w:rStyle w:val="Hyperlink"/>
            <w:rFonts w:eastAsia="Times New Roman" w:cs="Times New Roman"/>
            <w:szCs w:val="20"/>
          </w:rPr>
          <w:t>AMNT-24</w:t>
        </w:r>
      </w:hyperlink>
    </w:p>
    <w:p w14:paraId="0635C034" w14:textId="406C7F6D" w:rsidR="008B4A17" w:rsidRPr="00E33B0E" w:rsidRDefault="008B4A17" w:rsidP="008B4A17">
      <w:pPr>
        <w:pStyle w:val="enumlev1"/>
      </w:pPr>
      <w:r w:rsidRPr="00E33B0E">
        <w:t>•</w:t>
      </w:r>
      <w:r w:rsidRPr="00E33B0E">
        <w:tab/>
      </w:r>
      <w:hyperlink r:id="rId25" w:anchor="/fr" w:history="1">
        <w:r w:rsidRPr="00E33B0E">
          <w:rPr>
            <w:rStyle w:val="Hyperlink"/>
            <w:rFonts w:eastAsia="Times New Roman" w:cs="Times New Roman"/>
            <w:szCs w:val="20"/>
          </w:rPr>
          <w:t>Manifestations connexes</w:t>
        </w:r>
      </w:hyperlink>
    </w:p>
    <w:p w14:paraId="571B37C6" w14:textId="6F02C7B7" w:rsidR="008B4A17" w:rsidRPr="00E33B0E" w:rsidRDefault="008B4A17" w:rsidP="008B4A17">
      <w:r w:rsidRPr="00E33B0E">
        <w:br w:type="page"/>
      </w:r>
    </w:p>
    <w:p w14:paraId="4A377933" w14:textId="6553B170" w:rsidR="008B4A17" w:rsidRPr="00E33B0E" w:rsidRDefault="008B4A17" w:rsidP="00063755">
      <w:pPr>
        <w:pStyle w:val="Heading1"/>
      </w:pPr>
      <w:bookmarkStart w:id="5" w:name="_Toc199753877"/>
      <w:r w:rsidRPr="00E33B0E">
        <w:lastRenderedPageBreak/>
        <w:t>3</w:t>
      </w:r>
      <w:r w:rsidRPr="00E33B0E">
        <w:tab/>
        <w:t>Incidences des travaux de l</w:t>
      </w:r>
      <w:r w:rsidR="00357220" w:rsidRPr="00E33B0E">
        <w:t>'</w:t>
      </w:r>
      <w:r w:rsidRPr="00E33B0E">
        <w:t>UIT</w:t>
      </w:r>
      <w:bookmarkEnd w:id="5"/>
    </w:p>
    <w:p w14:paraId="4D31844D" w14:textId="74FB6760" w:rsidR="008B4A17" w:rsidRPr="00E33B0E" w:rsidRDefault="008B4A17" w:rsidP="008B4A17">
      <w:r w:rsidRPr="00E33B0E">
        <w:t>La dernière édition du rapport de référence de l</w:t>
      </w:r>
      <w:r w:rsidR="00357220" w:rsidRPr="00E33B0E">
        <w:t>'</w:t>
      </w:r>
      <w:r w:rsidRPr="00E33B0E">
        <w:t xml:space="preserve">UIT intitulé </w:t>
      </w:r>
      <w:r w:rsidR="00CF35AF" w:rsidRPr="00E33B0E">
        <w:t>"</w:t>
      </w:r>
      <w:hyperlink r:id="rId26" w:history="1">
        <w:r w:rsidRPr="00E33B0E">
          <w:rPr>
            <w:rStyle w:val="Hyperlink"/>
            <w:rFonts w:eastAsia="Times New Roman" w:cs="Times New Roman"/>
            <w:szCs w:val="20"/>
          </w:rPr>
          <w:t>Mesurer le développement numérique: faits et chiffres pour 2024</w:t>
        </w:r>
      </w:hyperlink>
      <w:r w:rsidR="00CF35AF" w:rsidRPr="00E33B0E">
        <w:t>"</w:t>
      </w:r>
      <w:r w:rsidRPr="00E33B0E">
        <w:t xml:space="preserve"> montre que l</w:t>
      </w:r>
      <w:r w:rsidR="00357220" w:rsidRPr="00E33B0E">
        <w:t>'</w:t>
      </w:r>
      <w:r w:rsidRPr="00E33B0E">
        <w:t>utilisation de l</w:t>
      </w:r>
      <w:r w:rsidR="00357220" w:rsidRPr="00E33B0E">
        <w:t>'</w:t>
      </w:r>
      <w:r w:rsidRPr="00E33B0E">
        <w:t>Internet continue de croître progressivement, mais que l</w:t>
      </w:r>
      <w:r w:rsidR="00357220" w:rsidRPr="00E33B0E">
        <w:t>'</w:t>
      </w:r>
      <w:r w:rsidRPr="00E33B0E">
        <w:t>objectif d</w:t>
      </w:r>
      <w:r w:rsidR="00357220" w:rsidRPr="00E33B0E">
        <w:t>'</w:t>
      </w:r>
      <w:r w:rsidRPr="00E33B0E">
        <w:t>une connectivité universelle demeure hors d</w:t>
      </w:r>
      <w:r w:rsidR="00357220" w:rsidRPr="00E33B0E">
        <w:t>'</w:t>
      </w:r>
      <w:r w:rsidRPr="00E33B0E">
        <w:t>atteinte, en particulier dans les régions à faible revenu. En outre, aucun progrès n</w:t>
      </w:r>
      <w:r w:rsidR="00357220" w:rsidRPr="00E33B0E">
        <w:t>'</w:t>
      </w:r>
      <w:r w:rsidRPr="00E33B0E">
        <w:t>a été accompli au regard de la réduction des écarts entre les zones urbaines et les zones rurales, sauf dans les groupes aux revenus les plus faibles. Ce rapport permet de suivre l</w:t>
      </w:r>
      <w:r w:rsidR="00357220" w:rsidRPr="00E33B0E">
        <w:t>'</w:t>
      </w:r>
      <w:r w:rsidRPr="00E33B0E">
        <w:t>évolution de la connectivité mondiale à l</w:t>
      </w:r>
      <w:r w:rsidR="00357220" w:rsidRPr="00E33B0E">
        <w:t>'</w:t>
      </w:r>
      <w:r w:rsidRPr="00E33B0E">
        <w:t>aide d</w:t>
      </w:r>
      <w:r w:rsidR="00357220" w:rsidRPr="00E33B0E">
        <w:t>'</w:t>
      </w:r>
      <w:r w:rsidRPr="00E33B0E">
        <w:t>estimations selon des indicateurs fondamentaux, notamment ceux liés à l</w:t>
      </w:r>
      <w:r w:rsidR="00357220" w:rsidRPr="00E33B0E">
        <w:t>'</w:t>
      </w:r>
      <w:r w:rsidRPr="00E33B0E">
        <w:t>utilisation de l</w:t>
      </w:r>
      <w:r w:rsidR="00357220" w:rsidRPr="00E33B0E">
        <w:t>'</w:t>
      </w:r>
      <w:r w:rsidRPr="00E33B0E">
        <w:t>Internet, à l</w:t>
      </w:r>
      <w:r w:rsidR="00357220" w:rsidRPr="00E33B0E">
        <w:t>'</w:t>
      </w:r>
      <w:r w:rsidRPr="00E33B0E">
        <w:t>infrastructure, à l</w:t>
      </w:r>
      <w:r w:rsidR="00357220" w:rsidRPr="00E33B0E">
        <w:t>'</w:t>
      </w:r>
      <w:r w:rsidRPr="00E33B0E">
        <w:t>accessibilité financière, au trafic Internet, à l</w:t>
      </w:r>
      <w:r w:rsidR="00357220" w:rsidRPr="00E33B0E">
        <w:t>'</w:t>
      </w:r>
      <w:r w:rsidRPr="00E33B0E">
        <w:t>égalité hommes-femmes et à la localisation.</w:t>
      </w:r>
    </w:p>
    <w:p w14:paraId="43B54C54" w14:textId="52B6407E" w:rsidR="008B4A17" w:rsidRPr="00E33B0E" w:rsidRDefault="008B4A17" w:rsidP="00B80BBB">
      <w:pPr>
        <w:spacing w:after="120"/>
      </w:pPr>
      <w:r w:rsidRPr="00E33B0E">
        <w:t>Les résultats obtenus par l</w:t>
      </w:r>
      <w:r w:rsidR="00357220" w:rsidRPr="00E33B0E">
        <w:t>'</w:t>
      </w:r>
      <w:r w:rsidRPr="00E33B0E">
        <w:t>UIT au regard de ses buts stratégiques reposent sur les cibles et les indicateurs correspondants:</w:t>
      </w:r>
    </w:p>
    <w:tbl>
      <w:tblPr>
        <w:tblW w:w="4997" w:type="pct"/>
        <w:tblCellMar>
          <w:top w:w="15" w:type="dxa"/>
          <w:bottom w:w="15" w:type="dxa"/>
        </w:tblCellMar>
        <w:tblLook w:val="04A0" w:firstRow="1" w:lastRow="0" w:firstColumn="1" w:lastColumn="0" w:noHBand="0" w:noVBand="1"/>
      </w:tblPr>
      <w:tblGrid>
        <w:gridCol w:w="618"/>
        <w:gridCol w:w="4218"/>
        <w:gridCol w:w="4220"/>
      </w:tblGrid>
      <w:tr w:rsidR="00B80BBB" w:rsidRPr="00E33B0E" w14:paraId="68CC28B0" w14:textId="77777777" w:rsidTr="00E97A6F">
        <w:trPr>
          <w:trHeight w:val="300"/>
          <w:tblHeader/>
        </w:trPr>
        <w:tc>
          <w:tcPr>
            <w:tcW w:w="341" w:type="pct"/>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7DC550E4" w14:textId="77777777" w:rsidR="00B80BBB" w:rsidRPr="00E33B0E" w:rsidRDefault="00B80BBB" w:rsidP="00E97A6F">
            <w:pPr>
              <w:pStyle w:val="Tablehead"/>
              <w:rPr>
                <w:color w:val="FFFFFF" w:themeColor="background1"/>
              </w:rPr>
            </w:pPr>
            <w:r w:rsidRPr="00E33B0E">
              <w:rPr>
                <w:color w:val="FFFFFF" w:themeColor="background1"/>
              </w:rPr>
              <w:t>But</w:t>
            </w:r>
          </w:p>
        </w:tc>
        <w:tc>
          <w:tcPr>
            <w:tcW w:w="2329" w:type="pct"/>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15BD3244" w14:textId="77777777" w:rsidR="00B80BBB" w:rsidRPr="00E33B0E" w:rsidRDefault="00B80BBB" w:rsidP="00E97A6F">
            <w:pPr>
              <w:pStyle w:val="Tablehead"/>
              <w:rPr>
                <w:color w:val="FFFFFF" w:themeColor="background1"/>
              </w:rPr>
            </w:pPr>
            <w:r w:rsidRPr="00E33B0E">
              <w:rPr>
                <w:color w:val="FFFFFF" w:themeColor="background1"/>
              </w:rPr>
              <w:t>Cibles</w:t>
            </w:r>
          </w:p>
        </w:tc>
        <w:tc>
          <w:tcPr>
            <w:tcW w:w="2330" w:type="pct"/>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163E22DD" w14:textId="77777777" w:rsidR="00B80BBB" w:rsidRPr="00E33B0E" w:rsidRDefault="00B80BBB" w:rsidP="00E97A6F">
            <w:pPr>
              <w:pStyle w:val="Tablehead"/>
              <w:rPr>
                <w:color w:val="FFFFFF" w:themeColor="background1"/>
              </w:rPr>
            </w:pPr>
            <w:r w:rsidRPr="00E33B0E">
              <w:rPr>
                <w:color w:val="FFFFFF" w:themeColor="background1"/>
              </w:rPr>
              <w:t>Indicateurs de la cible</w:t>
            </w:r>
          </w:p>
        </w:tc>
      </w:tr>
      <w:tr w:rsidR="00B80BBB" w:rsidRPr="00E33B0E" w14:paraId="66BCFFC4" w14:textId="77777777" w:rsidTr="00E97A6F">
        <w:trPr>
          <w:trHeight w:val="679"/>
        </w:trPr>
        <w:tc>
          <w:tcPr>
            <w:tcW w:w="34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B41CED0" w14:textId="77777777" w:rsidR="00B80BBB" w:rsidRPr="00E33B0E" w:rsidRDefault="00B80BBB" w:rsidP="00B80BBB">
            <w:pPr>
              <w:pStyle w:val="Tabletext"/>
              <w:jc w:val="center"/>
              <w:rPr>
                <w:rFonts w:ascii="Aptos Narrow" w:hAnsi="Aptos Narrow"/>
                <w:b/>
                <w:bCs/>
                <w:sz w:val="18"/>
                <w:szCs w:val="18"/>
              </w:rPr>
            </w:pPr>
            <w:r w:rsidRPr="00E33B0E">
              <w:rPr>
                <w:b/>
                <w:bCs/>
              </w:rPr>
              <w:t>Connectivité universelle</w:t>
            </w:r>
          </w:p>
        </w:tc>
        <w:tc>
          <w:tcPr>
            <w:tcW w:w="2329" w:type="pct"/>
            <w:tcBorders>
              <w:top w:val="single" w:sz="4" w:space="0" w:color="auto"/>
              <w:left w:val="single" w:sz="4" w:space="0" w:color="auto"/>
              <w:bottom w:val="single" w:sz="4" w:space="0" w:color="auto"/>
              <w:right w:val="single" w:sz="4" w:space="0" w:color="auto"/>
            </w:tcBorders>
            <w:hideMark/>
          </w:tcPr>
          <w:p w14:paraId="26A7EA77" w14:textId="28E3664F" w:rsidR="00B80BBB" w:rsidRPr="00E33B0E" w:rsidRDefault="00B80BBB" w:rsidP="00B80BBB">
            <w:pPr>
              <w:pStyle w:val="Tabletext"/>
              <w:rPr>
                <w:rFonts w:ascii="Aptos Narrow" w:hAnsi="Aptos Narrow"/>
                <w:sz w:val="18"/>
                <w:szCs w:val="18"/>
              </w:rPr>
            </w:pPr>
            <w:r w:rsidRPr="00E33B0E">
              <w:t>1.1</w:t>
            </w:r>
            <w:r w:rsidR="00C91188" w:rsidRPr="00E33B0E">
              <w:t xml:space="preserve"> –</w:t>
            </w:r>
            <w:r w:rsidRPr="00E33B0E">
              <w:t xml:space="preserve"> Couverture large bande universelle</w:t>
            </w:r>
          </w:p>
        </w:tc>
        <w:tc>
          <w:tcPr>
            <w:tcW w:w="2330" w:type="pct"/>
            <w:tcBorders>
              <w:top w:val="single" w:sz="4" w:space="0" w:color="auto"/>
              <w:left w:val="single" w:sz="4" w:space="0" w:color="auto"/>
              <w:bottom w:val="single" w:sz="4" w:space="0" w:color="auto"/>
              <w:right w:val="single" w:sz="4" w:space="0" w:color="auto"/>
            </w:tcBorders>
            <w:hideMark/>
          </w:tcPr>
          <w:p w14:paraId="12DA9619" w14:textId="77777777" w:rsidR="00B80BBB" w:rsidRPr="00E33B0E" w:rsidRDefault="00B80BBB" w:rsidP="00B80BBB">
            <w:pPr>
              <w:pStyle w:val="Tabletext"/>
              <w:rPr>
                <w:rFonts w:ascii="Aptos Narrow" w:hAnsi="Aptos Narrow"/>
                <w:sz w:val="18"/>
                <w:szCs w:val="18"/>
              </w:rPr>
            </w:pPr>
            <w:r w:rsidRPr="00E33B0E">
              <w:t>Pourcentage de la population mondiale desservie par des services large bande (indicateur des ODD 9.1.c – l'UIT est l'organisme responsable pour cet indicateur)</w:t>
            </w:r>
          </w:p>
        </w:tc>
      </w:tr>
      <w:tr w:rsidR="00B80BBB" w:rsidRPr="00E33B0E" w14:paraId="0849045B" w14:textId="77777777" w:rsidTr="00E97A6F">
        <w:trPr>
          <w:trHeight w:val="692"/>
        </w:trPr>
        <w:tc>
          <w:tcPr>
            <w:tcW w:w="341" w:type="pct"/>
            <w:vMerge/>
            <w:tcBorders>
              <w:left w:val="single" w:sz="4" w:space="0" w:color="auto"/>
              <w:bottom w:val="single" w:sz="4" w:space="0" w:color="auto"/>
            </w:tcBorders>
            <w:noWrap/>
            <w:vAlign w:val="bottom"/>
            <w:hideMark/>
          </w:tcPr>
          <w:p w14:paraId="7BACF55D"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354DF7F5" w14:textId="2269F3FC" w:rsidR="00B80BBB" w:rsidRPr="00E33B0E" w:rsidRDefault="00B80BBB" w:rsidP="00B80BBB">
            <w:pPr>
              <w:pStyle w:val="Tabletext"/>
              <w:rPr>
                <w:rFonts w:ascii="Aptos Narrow" w:hAnsi="Aptos Narrow"/>
                <w:sz w:val="18"/>
                <w:szCs w:val="18"/>
              </w:rPr>
            </w:pPr>
            <w:r w:rsidRPr="00E33B0E">
              <w:t>1.2</w:t>
            </w:r>
            <w:r w:rsidR="00C91188" w:rsidRPr="00E33B0E">
              <w:t xml:space="preserve"> – </w:t>
            </w:r>
            <w:r w:rsidRPr="00E33B0E">
              <w:t>Services large bande pour tous à un coût abordable</w:t>
            </w:r>
          </w:p>
        </w:tc>
        <w:tc>
          <w:tcPr>
            <w:tcW w:w="2330" w:type="pct"/>
            <w:tcBorders>
              <w:top w:val="single" w:sz="4" w:space="0" w:color="auto"/>
              <w:left w:val="single" w:sz="4" w:space="0" w:color="auto"/>
              <w:bottom w:val="single" w:sz="4" w:space="0" w:color="auto"/>
              <w:right w:val="single" w:sz="4" w:space="0" w:color="auto"/>
            </w:tcBorders>
            <w:hideMark/>
          </w:tcPr>
          <w:p w14:paraId="0B2E3F8F" w14:textId="77777777" w:rsidR="00B80BBB" w:rsidRPr="00E33B0E" w:rsidRDefault="00B80BBB" w:rsidP="00B80BBB">
            <w:pPr>
              <w:pStyle w:val="Tabletext"/>
              <w:rPr>
                <w:rFonts w:ascii="Aptos Narrow" w:hAnsi="Aptos Narrow"/>
                <w:sz w:val="18"/>
                <w:szCs w:val="18"/>
              </w:rPr>
            </w:pPr>
            <w:r w:rsidRPr="00E33B0E">
              <w:t>Coût des services large bande d'entrée de gamme dans les pays en développement en pourcentage du revenu national brut (RNB) mensuel par habitant</w:t>
            </w:r>
          </w:p>
        </w:tc>
      </w:tr>
      <w:tr w:rsidR="00B80BBB" w:rsidRPr="00E33B0E" w14:paraId="3A37EF51" w14:textId="77777777" w:rsidTr="00E97A6F">
        <w:trPr>
          <w:trHeight w:val="360"/>
        </w:trPr>
        <w:tc>
          <w:tcPr>
            <w:tcW w:w="341" w:type="pct"/>
            <w:vMerge/>
            <w:tcBorders>
              <w:left w:val="single" w:sz="4" w:space="0" w:color="auto"/>
              <w:bottom w:val="single" w:sz="4" w:space="0" w:color="auto"/>
            </w:tcBorders>
            <w:noWrap/>
            <w:vAlign w:val="bottom"/>
            <w:hideMark/>
          </w:tcPr>
          <w:p w14:paraId="7438BB65"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3F7A1591" w14:textId="556E8A40" w:rsidR="00B80BBB" w:rsidRPr="00E33B0E" w:rsidRDefault="00B80BBB" w:rsidP="00B80BBB">
            <w:pPr>
              <w:pStyle w:val="Tabletext"/>
              <w:rPr>
                <w:rFonts w:ascii="Aptos Narrow" w:hAnsi="Aptos Narrow"/>
                <w:sz w:val="18"/>
                <w:szCs w:val="18"/>
              </w:rPr>
            </w:pPr>
            <w:r w:rsidRPr="00E33B0E">
              <w:t>1.3</w:t>
            </w:r>
            <w:r w:rsidR="00C91188" w:rsidRPr="00E33B0E">
              <w:t xml:space="preserve"> – </w:t>
            </w:r>
            <w:r w:rsidRPr="00E33B0E">
              <w:t>Accès de tous les ménages au large bande</w:t>
            </w:r>
          </w:p>
        </w:tc>
        <w:tc>
          <w:tcPr>
            <w:tcW w:w="2330" w:type="pct"/>
            <w:tcBorders>
              <w:top w:val="single" w:sz="4" w:space="0" w:color="auto"/>
              <w:left w:val="single" w:sz="4" w:space="0" w:color="auto"/>
              <w:bottom w:val="single" w:sz="4" w:space="0" w:color="auto"/>
              <w:right w:val="single" w:sz="4" w:space="0" w:color="auto"/>
            </w:tcBorders>
            <w:hideMark/>
          </w:tcPr>
          <w:p w14:paraId="499A2987" w14:textId="77777777" w:rsidR="00B80BBB" w:rsidRPr="00E33B0E" w:rsidRDefault="00B80BBB" w:rsidP="00B80BBB">
            <w:pPr>
              <w:pStyle w:val="Tabletext"/>
              <w:rPr>
                <w:rFonts w:ascii="Aptos Narrow" w:hAnsi="Aptos Narrow"/>
                <w:sz w:val="18"/>
                <w:szCs w:val="18"/>
              </w:rPr>
            </w:pPr>
            <w:r w:rsidRPr="00E33B0E">
              <w:t>Pourcentage de ménages ayant accès à l'Internet (par niveau de développement; zone urbaine/rurale)</w:t>
            </w:r>
          </w:p>
        </w:tc>
      </w:tr>
      <w:tr w:rsidR="00B80BBB" w:rsidRPr="00E33B0E" w14:paraId="37FC495F" w14:textId="77777777" w:rsidTr="00E97A6F">
        <w:trPr>
          <w:trHeight w:val="540"/>
        </w:trPr>
        <w:tc>
          <w:tcPr>
            <w:tcW w:w="341" w:type="pct"/>
            <w:vMerge/>
            <w:tcBorders>
              <w:left w:val="single" w:sz="4" w:space="0" w:color="auto"/>
              <w:bottom w:val="single" w:sz="4" w:space="0" w:color="auto"/>
            </w:tcBorders>
            <w:noWrap/>
            <w:vAlign w:val="bottom"/>
            <w:hideMark/>
          </w:tcPr>
          <w:p w14:paraId="0EE4D703"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7C1946BB" w14:textId="24104986" w:rsidR="00B80BBB" w:rsidRPr="00E33B0E" w:rsidRDefault="00B80BBB" w:rsidP="00B80BBB">
            <w:pPr>
              <w:pStyle w:val="Tabletext"/>
              <w:rPr>
                <w:rFonts w:ascii="Aptos Narrow" w:hAnsi="Aptos Narrow"/>
                <w:sz w:val="18"/>
                <w:szCs w:val="18"/>
              </w:rPr>
            </w:pPr>
            <w:r w:rsidRPr="00E33B0E">
              <w:t>1.4</w:t>
            </w:r>
            <w:r w:rsidR="00C91188" w:rsidRPr="00E33B0E">
              <w:t xml:space="preserve"> – </w:t>
            </w:r>
            <w:r w:rsidRPr="00E33B0E">
              <w:t>Possession de dispositifs utilisant l'Internet et accès à ces dispositifs</w:t>
            </w:r>
          </w:p>
        </w:tc>
        <w:tc>
          <w:tcPr>
            <w:tcW w:w="2330" w:type="pct"/>
            <w:tcBorders>
              <w:top w:val="single" w:sz="4" w:space="0" w:color="auto"/>
              <w:left w:val="single" w:sz="4" w:space="0" w:color="auto"/>
              <w:bottom w:val="single" w:sz="4" w:space="0" w:color="auto"/>
              <w:right w:val="single" w:sz="4" w:space="0" w:color="auto"/>
            </w:tcBorders>
            <w:hideMark/>
          </w:tcPr>
          <w:p w14:paraId="70BB806C" w14:textId="77777777" w:rsidR="00B80BBB" w:rsidRPr="00E33B0E" w:rsidRDefault="00B80BBB" w:rsidP="00B80BBB">
            <w:pPr>
              <w:pStyle w:val="Tabletext"/>
              <w:rPr>
                <w:rFonts w:ascii="Aptos Narrow" w:hAnsi="Aptos Narrow"/>
                <w:sz w:val="18"/>
                <w:szCs w:val="18"/>
              </w:rPr>
            </w:pPr>
            <w:r w:rsidRPr="00E33B0E">
              <w:t>Pourcentage de personnes utilisant un téléphone intelligent</w:t>
            </w:r>
          </w:p>
          <w:p w14:paraId="643A9F40" w14:textId="760A3F8C" w:rsidR="00B80BBB" w:rsidRPr="00E33B0E" w:rsidRDefault="00B80BBB" w:rsidP="00B80BBB">
            <w:pPr>
              <w:pStyle w:val="Tabletext"/>
              <w:rPr>
                <w:rFonts w:ascii="Aptos Narrow" w:hAnsi="Aptos Narrow"/>
                <w:sz w:val="18"/>
                <w:szCs w:val="18"/>
              </w:rPr>
            </w:pPr>
            <w:r w:rsidRPr="00E33B0E">
              <w:t>Pourcentage de personnes possédant un téléphone intelligent</w:t>
            </w:r>
          </w:p>
        </w:tc>
      </w:tr>
      <w:tr w:rsidR="00B80BBB" w:rsidRPr="00E33B0E" w14:paraId="5EFF0345" w14:textId="77777777" w:rsidTr="00E97A6F">
        <w:trPr>
          <w:trHeight w:val="476"/>
        </w:trPr>
        <w:tc>
          <w:tcPr>
            <w:tcW w:w="341" w:type="pct"/>
            <w:vMerge/>
            <w:tcBorders>
              <w:left w:val="single" w:sz="4" w:space="0" w:color="auto"/>
              <w:bottom w:val="single" w:sz="4" w:space="0" w:color="auto"/>
            </w:tcBorders>
            <w:noWrap/>
            <w:vAlign w:val="bottom"/>
            <w:hideMark/>
          </w:tcPr>
          <w:p w14:paraId="6497834C"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2394E6E2" w14:textId="6ABE26E9" w:rsidR="00B80BBB" w:rsidRPr="00E33B0E" w:rsidRDefault="00B80BBB" w:rsidP="00B80BBB">
            <w:pPr>
              <w:pStyle w:val="Tabletext"/>
              <w:rPr>
                <w:rFonts w:ascii="Aptos Narrow" w:hAnsi="Aptos Narrow"/>
                <w:sz w:val="18"/>
                <w:szCs w:val="18"/>
              </w:rPr>
            </w:pPr>
            <w:r w:rsidRPr="00E33B0E">
              <w:t>1.5</w:t>
            </w:r>
            <w:r w:rsidR="00C91188" w:rsidRPr="00E33B0E">
              <w:t xml:space="preserve"> – </w:t>
            </w:r>
            <w:r w:rsidRPr="00E33B0E">
              <w:t>Accès à l'Internet dans toutes les écoles</w:t>
            </w:r>
          </w:p>
        </w:tc>
        <w:tc>
          <w:tcPr>
            <w:tcW w:w="2330" w:type="pct"/>
            <w:tcBorders>
              <w:top w:val="single" w:sz="4" w:space="0" w:color="auto"/>
              <w:left w:val="single" w:sz="4" w:space="0" w:color="auto"/>
              <w:bottom w:val="single" w:sz="4" w:space="0" w:color="auto"/>
              <w:right w:val="single" w:sz="4" w:space="0" w:color="auto"/>
            </w:tcBorders>
            <w:hideMark/>
          </w:tcPr>
          <w:p w14:paraId="226A31A3" w14:textId="0E04E9ED" w:rsidR="00B80BBB" w:rsidRPr="00E33B0E" w:rsidRDefault="00B80BBB" w:rsidP="00B80BBB">
            <w:pPr>
              <w:pStyle w:val="Tabletext"/>
              <w:rPr>
                <w:rFonts w:ascii="Aptos Narrow" w:hAnsi="Aptos Narrow"/>
                <w:sz w:val="18"/>
                <w:szCs w:val="18"/>
              </w:rPr>
            </w:pPr>
            <w:r w:rsidRPr="00E33B0E">
              <w:t>Pourcentage d'écoles ayant accès à un service Internet d'entrée de gamme</w:t>
            </w:r>
            <w:r w:rsidR="00E97A6F" w:rsidRPr="00E33B0E">
              <w:t xml:space="preserve"> </w:t>
            </w:r>
            <w:r w:rsidRPr="00E33B0E">
              <w:t>(au</w:t>
            </w:r>
            <w:r w:rsidR="00E97A6F" w:rsidRPr="00E33B0E">
              <w:t> </w:t>
            </w:r>
            <w:r w:rsidRPr="00E33B0E">
              <w:t>moins 500</w:t>
            </w:r>
            <w:r w:rsidR="00001BFB" w:rsidRPr="00E33B0E">
              <w:t> </w:t>
            </w:r>
            <w:r w:rsidRPr="00E33B0E">
              <w:t>Mbit par mois)</w:t>
            </w:r>
          </w:p>
        </w:tc>
      </w:tr>
      <w:tr w:rsidR="00B80BBB" w:rsidRPr="00E33B0E" w14:paraId="5BABBD6B" w14:textId="77777777" w:rsidTr="00E97A6F">
        <w:trPr>
          <w:trHeight w:val="895"/>
        </w:trPr>
        <w:tc>
          <w:tcPr>
            <w:tcW w:w="341" w:type="pct"/>
            <w:vMerge/>
            <w:tcBorders>
              <w:left w:val="single" w:sz="4" w:space="0" w:color="auto"/>
              <w:bottom w:val="single" w:sz="4" w:space="0" w:color="auto"/>
            </w:tcBorders>
            <w:noWrap/>
            <w:vAlign w:val="bottom"/>
            <w:hideMark/>
          </w:tcPr>
          <w:p w14:paraId="782D4BB9"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7CBEFA5B" w14:textId="71E5AB51" w:rsidR="00B80BBB" w:rsidRPr="00E33B0E" w:rsidRDefault="00B80BBB" w:rsidP="00B80BBB">
            <w:pPr>
              <w:pStyle w:val="Tabletext"/>
              <w:rPr>
                <w:rFonts w:ascii="Aptos Narrow" w:hAnsi="Aptos Narrow"/>
                <w:sz w:val="18"/>
                <w:szCs w:val="18"/>
              </w:rPr>
            </w:pPr>
            <w:r w:rsidRPr="00E33B0E">
              <w:t>1.6</w:t>
            </w:r>
            <w:r w:rsidR="00C91188" w:rsidRPr="00E33B0E">
              <w:t xml:space="preserve"> – </w:t>
            </w:r>
            <w:r w:rsidRPr="00E33B0E">
              <w:t>Amélioration de l'état de préparation des pays en matière de cybersécurité (avec des capacités essentielles: existence d'une stratégie, d'équipes nationales d'intervention en cas d'incident/d'urgence informatique et d'une législation)</w:t>
            </w:r>
          </w:p>
        </w:tc>
        <w:tc>
          <w:tcPr>
            <w:tcW w:w="2330" w:type="pct"/>
            <w:tcBorders>
              <w:top w:val="single" w:sz="4" w:space="0" w:color="auto"/>
              <w:left w:val="single" w:sz="4" w:space="0" w:color="auto"/>
              <w:bottom w:val="single" w:sz="4" w:space="0" w:color="auto"/>
              <w:right w:val="single" w:sz="4" w:space="0" w:color="auto"/>
            </w:tcBorders>
            <w:hideMark/>
          </w:tcPr>
          <w:p w14:paraId="45976287" w14:textId="77777777" w:rsidR="00B80BBB" w:rsidRPr="00E33B0E" w:rsidRDefault="00B80BBB" w:rsidP="00B80BBB">
            <w:pPr>
              <w:pStyle w:val="Tabletext"/>
              <w:rPr>
                <w:rFonts w:ascii="Aptos Narrow" w:hAnsi="Aptos Narrow"/>
                <w:sz w:val="18"/>
                <w:szCs w:val="18"/>
              </w:rPr>
            </w:pPr>
            <w:r w:rsidRPr="00E33B0E">
              <w:t>Engagement plus important mesuré au regard des piliers de l'Indice mondial de cybersécurité (GCI)</w:t>
            </w:r>
          </w:p>
        </w:tc>
      </w:tr>
      <w:tr w:rsidR="00B80BBB" w:rsidRPr="00E33B0E" w14:paraId="0DFE38CB" w14:textId="77777777" w:rsidTr="00E97A6F">
        <w:trPr>
          <w:trHeight w:val="540"/>
        </w:trPr>
        <w:tc>
          <w:tcPr>
            <w:tcW w:w="341" w:type="pct"/>
            <w:vMerge/>
            <w:tcBorders>
              <w:left w:val="single" w:sz="4" w:space="0" w:color="auto"/>
              <w:bottom w:val="single" w:sz="4" w:space="0" w:color="auto"/>
            </w:tcBorders>
            <w:noWrap/>
            <w:vAlign w:val="bottom"/>
            <w:hideMark/>
          </w:tcPr>
          <w:p w14:paraId="668E8CAF"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hideMark/>
          </w:tcPr>
          <w:p w14:paraId="05B7F51D" w14:textId="3BB7B87D" w:rsidR="00B80BBB" w:rsidRPr="00E33B0E" w:rsidRDefault="00B80BBB" w:rsidP="00B80BBB">
            <w:pPr>
              <w:pStyle w:val="Tabletext"/>
              <w:rPr>
                <w:rFonts w:ascii="Aptos Narrow" w:hAnsi="Aptos Narrow"/>
                <w:sz w:val="18"/>
                <w:szCs w:val="18"/>
              </w:rPr>
            </w:pPr>
            <w:r w:rsidRPr="00E33B0E">
              <w:t>1.7</w:t>
            </w:r>
            <w:r w:rsidR="00C91188" w:rsidRPr="00E33B0E">
              <w:t xml:space="preserve"> – </w:t>
            </w:r>
            <w:r w:rsidRPr="00E33B0E">
              <w:t>Accès universel à l'Internet pour toutes les personnes</w:t>
            </w:r>
          </w:p>
        </w:tc>
        <w:tc>
          <w:tcPr>
            <w:tcW w:w="2330" w:type="pct"/>
            <w:tcBorders>
              <w:top w:val="single" w:sz="4" w:space="0" w:color="auto"/>
              <w:left w:val="single" w:sz="4" w:space="0" w:color="auto"/>
              <w:bottom w:val="single" w:sz="4" w:space="0" w:color="auto"/>
              <w:right w:val="single" w:sz="4" w:space="0" w:color="auto"/>
            </w:tcBorders>
            <w:vAlign w:val="center"/>
            <w:hideMark/>
          </w:tcPr>
          <w:p w14:paraId="7D42FD59" w14:textId="5862447C" w:rsidR="00B80BBB" w:rsidRPr="00E33B0E" w:rsidRDefault="00B80BBB" w:rsidP="00B80BBB">
            <w:pPr>
              <w:pStyle w:val="Tabletext"/>
              <w:rPr>
                <w:rFonts w:ascii="Aptos Narrow" w:hAnsi="Aptos Narrow"/>
                <w:sz w:val="18"/>
                <w:szCs w:val="18"/>
              </w:rPr>
            </w:pPr>
            <w:r w:rsidRPr="00E33B0E">
              <w:t>Pourcentage de personnes utilisant l'Internet (par zone urbaine/rurale; agrégé par région, niveau de développement) (indicateur des</w:t>
            </w:r>
            <w:r w:rsidR="00C12D5D" w:rsidRPr="00E33B0E">
              <w:t xml:space="preserve"> </w:t>
            </w:r>
            <w:r w:rsidRPr="00E33B0E">
              <w:t>ODD 17.8.1 – l'UIT est l'organisme responsable pour cet indicateur)</w:t>
            </w:r>
          </w:p>
        </w:tc>
      </w:tr>
      <w:tr w:rsidR="00B80BBB" w:rsidRPr="00E33B0E" w14:paraId="5A8CA9EB" w14:textId="77777777" w:rsidTr="00E97A6F">
        <w:trPr>
          <w:trHeight w:val="540"/>
        </w:trPr>
        <w:tc>
          <w:tcPr>
            <w:tcW w:w="341" w:type="pct"/>
            <w:vMerge w:val="restart"/>
            <w:tcBorders>
              <w:top w:val="single" w:sz="4" w:space="0" w:color="auto"/>
              <w:left w:val="single" w:sz="4" w:space="0" w:color="auto"/>
              <w:bottom w:val="single" w:sz="4" w:space="0" w:color="auto"/>
            </w:tcBorders>
            <w:noWrap/>
            <w:textDirection w:val="btLr"/>
            <w:vAlign w:val="center"/>
          </w:tcPr>
          <w:p w14:paraId="78764BF8" w14:textId="54517391" w:rsidR="00B80BBB" w:rsidRPr="00E33B0E" w:rsidRDefault="00B80BBB" w:rsidP="00B80BBB">
            <w:pPr>
              <w:pStyle w:val="Tabletext"/>
              <w:jc w:val="center"/>
              <w:rPr>
                <w:rFonts w:ascii="Aptos Narrow" w:hAnsi="Aptos Narrow"/>
                <w:b/>
                <w:bCs/>
                <w:sz w:val="18"/>
                <w:szCs w:val="18"/>
                <w:lang w:eastAsia="en-GB"/>
              </w:rPr>
            </w:pPr>
            <w:r w:rsidRPr="00E33B0E">
              <w:rPr>
                <w:b/>
                <w:bCs/>
              </w:rPr>
              <w:lastRenderedPageBreak/>
              <w:t>Transformation numérique durable</w:t>
            </w:r>
          </w:p>
        </w:tc>
        <w:tc>
          <w:tcPr>
            <w:tcW w:w="2329" w:type="pct"/>
            <w:tcBorders>
              <w:top w:val="single" w:sz="4" w:space="0" w:color="auto"/>
              <w:left w:val="single" w:sz="4" w:space="0" w:color="auto"/>
              <w:bottom w:val="single" w:sz="4" w:space="0" w:color="auto"/>
              <w:right w:val="single" w:sz="4" w:space="0" w:color="auto"/>
            </w:tcBorders>
          </w:tcPr>
          <w:p w14:paraId="6D4D55D0" w14:textId="4CCAA6CD" w:rsidR="00B80BBB" w:rsidRPr="00E33B0E" w:rsidRDefault="00B80BBB" w:rsidP="00E97A6F">
            <w:pPr>
              <w:pStyle w:val="Tabletext"/>
              <w:ind w:right="-43"/>
            </w:pPr>
            <w:r w:rsidRPr="00E33B0E">
              <w:t>2.1</w:t>
            </w:r>
            <w:r w:rsidR="00C91188" w:rsidRPr="00E33B0E">
              <w:t xml:space="preserve"> – </w:t>
            </w:r>
            <w:r w:rsidRPr="00E33B0E">
              <w:t>Réduction de toutes les fractures numériques (en particulier entre les hommes et les femmes, en fonction de l'âge et entre les zones urbaines et les zones rurales)</w:t>
            </w:r>
          </w:p>
        </w:tc>
        <w:tc>
          <w:tcPr>
            <w:tcW w:w="2330" w:type="pct"/>
            <w:tcBorders>
              <w:top w:val="single" w:sz="4" w:space="0" w:color="auto"/>
              <w:left w:val="single" w:sz="4" w:space="0" w:color="auto"/>
              <w:bottom w:val="single" w:sz="4" w:space="0" w:color="auto"/>
              <w:right w:val="single" w:sz="4" w:space="0" w:color="auto"/>
            </w:tcBorders>
          </w:tcPr>
          <w:p w14:paraId="4AE1FBFB" w14:textId="3F0FF664" w:rsidR="00B80BBB" w:rsidRPr="00E33B0E" w:rsidRDefault="00B80BBB" w:rsidP="00B80BBB">
            <w:pPr>
              <w:pStyle w:val="Tabletext"/>
            </w:pPr>
            <w:r w:rsidRPr="00E33B0E">
              <w:t>Pourcentage de personnes utilisant l'Internet (par sexe, par âge et par zone urbaine/rurale)</w:t>
            </w:r>
          </w:p>
        </w:tc>
      </w:tr>
      <w:tr w:rsidR="00B80BBB" w:rsidRPr="00E33B0E" w14:paraId="506002C9" w14:textId="77777777" w:rsidTr="00E97A6F">
        <w:trPr>
          <w:trHeight w:val="540"/>
        </w:trPr>
        <w:tc>
          <w:tcPr>
            <w:tcW w:w="341" w:type="pct"/>
            <w:vMerge/>
            <w:tcBorders>
              <w:left w:val="single" w:sz="4" w:space="0" w:color="auto"/>
              <w:bottom w:val="single" w:sz="4" w:space="0" w:color="auto"/>
            </w:tcBorders>
            <w:noWrap/>
          </w:tcPr>
          <w:p w14:paraId="615F7F20"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tcPr>
          <w:p w14:paraId="279CD7E7" w14:textId="7BF3BDF8" w:rsidR="00B80BBB" w:rsidRPr="00E33B0E" w:rsidRDefault="00B80BBB" w:rsidP="00B80BBB">
            <w:pPr>
              <w:pStyle w:val="Tabletext"/>
            </w:pPr>
            <w:r w:rsidRPr="00E33B0E">
              <w:t>2.2</w:t>
            </w:r>
            <w:r w:rsidR="00C91188" w:rsidRPr="00E33B0E">
              <w:t xml:space="preserve"> – </w:t>
            </w:r>
            <w:r w:rsidRPr="00E33B0E">
              <w:t>La majorité des personnes sont dotées de compétences numériques</w:t>
            </w:r>
          </w:p>
        </w:tc>
        <w:tc>
          <w:tcPr>
            <w:tcW w:w="2330" w:type="pct"/>
            <w:tcBorders>
              <w:top w:val="single" w:sz="4" w:space="0" w:color="auto"/>
              <w:left w:val="single" w:sz="4" w:space="0" w:color="auto"/>
              <w:bottom w:val="single" w:sz="4" w:space="0" w:color="auto"/>
              <w:right w:val="single" w:sz="4" w:space="0" w:color="auto"/>
            </w:tcBorders>
          </w:tcPr>
          <w:p w14:paraId="47137443" w14:textId="303D35AF" w:rsidR="00B80BBB" w:rsidRPr="00E33B0E" w:rsidRDefault="00B80BBB" w:rsidP="00B80BBB">
            <w:pPr>
              <w:pStyle w:val="Tabletext"/>
            </w:pPr>
            <w:r w:rsidRPr="00E33B0E">
              <w:t>Pourcentage de jeunes et d'adultes ayant des compétences dans le domaine des TIC, (par</w:t>
            </w:r>
            <w:r w:rsidR="00001BFB" w:rsidRPr="00E33B0E">
              <w:t> </w:t>
            </w:r>
            <w:r w:rsidRPr="00E33B0E">
              <w:t>type de compétence) (indicateur des ODD</w:t>
            </w:r>
            <w:r w:rsidR="00001BFB" w:rsidRPr="00E33B0E">
              <w:t> </w:t>
            </w:r>
            <w:r w:rsidRPr="00E33B0E">
              <w:t>4.4.1 – l'UIT est l'organisme responsable pour cet indicateur)</w:t>
            </w:r>
          </w:p>
        </w:tc>
      </w:tr>
      <w:tr w:rsidR="00B80BBB" w:rsidRPr="00E33B0E" w14:paraId="7188EBAF" w14:textId="77777777" w:rsidTr="00E97A6F">
        <w:trPr>
          <w:trHeight w:val="540"/>
        </w:trPr>
        <w:tc>
          <w:tcPr>
            <w:tcW w:w="341" w:type="pct"/>
            <w:vMerge/>
            <w:tcBorders>
              <w:left w:val="single" w:sz="4" w:space="0" w:color="auto"/>
              <w:bottom w:val="single" w:sz="4" w:space="0" w:color="auto"/>
            </w:tcBorders>
            <w:noWrap/>
          </w:tcPr>
          <w:p w14:paraId="0E57A7B3"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tcPr>
          <w:p w14:paraId="53C926DD" w14:textId="3810E9F0" w:rsidR="00B80BBB" w:rsidRPr="00E33B0E" w:rsidRDefault="00B80BBB" w:rsidP="00B80BBB">
            <w:pPr>
              <w:pStyle w:val="Tabletext"/>
            </w:pPr>
            <w:r w:rsidRPr="00E33B0E">
              <w:t>2.3</w:t>
            </w:r>
            <w:r w:rsidR="00C91188" w:rsidRPr="00E33B0E">
              <w:t xml:space="preserve">– </w:t>
            </w:r>
            <w:r w:rsidRPr="00E33B0E">
              <w:t>Utilisation universelle des services Internet par les entreprises</w:t>
            </w:r>
          </w:p>
        </w:tc>
        <w:tc>
          <w:tcPr>
            <w:tcW w:w="2330" w:type="pct"/>
            <w:tcBorders>
              <w:top w:val="single" w:sz="4" w:space="0" w:color="auto"/>
              <w:left w:val="single" w:sz="4" w:space="0" w:color="auto"/>
              <w:bottom w:val="single" w:sz="4" w:space="0" w:color="auto"/>
              <w:right w:val="single" w:sz="4" w:space="0" w:color="auto"/>
            </w:tcBorders>
          </w:tcPr>
          <w:p w14:paraId="66E4C5E6" w14:textId="6D21B506" w:rsidR="00B80BBB" w:rsidRPr="00E33B0E" w:rsidRDefault="00B80BBB" w:rsidP="00B80BBB">
            <w:pPr>
              <w:pStyle w:val="Tabletext"/>
            </w:pPr>
            <w:r w:rsidRPr="00E33B0E">
              <w:t>Pourcentage d'entreprises utilisant l'Internet (total et par taille de l'entreprise)</w:t>
            </w:r>
          </w:p>
        </w:tc>
      </w:tr>
      <w:tr w:rsidR="00B80BBB" w:rsidRPr="00E33B0E" w14:paraId="6DC0EBB0" w14:textId="77777777" w:rsidTr="00E97A6F">
        <w:trPr>
          <w:trHeight w:val="540"/>
        </w:trPr>
        <w:tc>
          <w:tcPr>
            <w:tcW w:w="341" w:type="pct"/>
            <w:vMerge/>
            <w:tcBorders>
              <w:left w:val="single" w:sz="4" w:space="0" w:color="auto"/>
              <w:bottom w:val="single" w:sz="4" w:space="0" w:color="auto"/>
            </w:tcBorders>
            <w:noWrap/>
          </w:tcPr>
          <w:p w14:paraId="2CC67E54"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tcPr>
          <w:p w14:paraId="55E929C4" w14:textId="02B051FF" w:rsidR="00B80BBB" w:rsidRPr="00E33B0E" w:rsidRDefault="00B80BBB" w:rsidP="00B80BBB">
            <w:pPr>
              <w:pStyle w:val="Tabletext"/>
            </w:pPr>
            <w:r w:rsidRPr="00E33B0E">
              <w:t>2.4</w:t>
            </w:r>
            <w:r w:rsidR="00C91188" w:rsidRPr="00E33B0E">
              <w:t xml:space="preserve"> – </w:t>
            </w:r>
            <w:r w:rsidRPr="00E33B0E">
              <w:t>La majorité des personnes ont accès aux services publics en ligne</w:t>
            </w:r>
          </w:p>
        </w:tc>
        <w:tc>
          <w:tcPr>
            <w:tcW w:w="2330" w:type="pct"/>
            <w:tcBorders>
              <w:top w:val="single" w:sz="4" w:space="0" w:color="auto"/>
              <w:left w:val="single" w:sz="4" w:space="0" w:color="auto"/>
              <w:bottom w:val="single" w:sz="4" w:space="0" w:color="auto"/>
              <w:right w:val="single" w:sz="4" w:space="0" w:color="auto"/>
            </w:tcBorders>
          </w:tcPr>
          <w:p w14:paraId="6CF42874" w14:textId="32A0EFA9" w:rsidR="00B80BBB" w:rsidRPr="00E33B0E" w:rsidRDefault="00B80BBB" w:rsidP="00B80BBB">
            <w:pPr>
              <w:pStyle w:val="Tabletext"/>
            </w:pPr>
            <w:r w:rsidRPr="00E33B0E">
              <w:t>Pourcentage de la population qui interagit avec les services publics en ligne</w:t>
            </w:r>
          </w:p>
        </w:tc>
      </w:tr>
      <w:tr w:rsidR="00B80BBB" w:rsidRPr="00E33B0E" w14:paraId="78FEE746" w14:textId="77777777" w:rsidTr="00E97A6F">
        <w:trPr>
          <w:trHeight w:val="540"/>
        </w:trPr>
        <w:tc>
          <w:tcPr>
            <w:tcW w:w="341" w:type="pct"/>
            <w:vMerge/>
            <w:tcBorders>
              <w:left w:val="single" w:sz="4" w:space="0" w:color="auto"/>
              <w:bottom w:val="single" w:sz="4" w:space="0" w:color="auto"/>
            </w:tcBorders>
            <w:noWrap/>
          </w:tcPr>
          <w:p w14:paraId="1D1EC164" w14:textId="77777777" w:rsidR="00B80BBB" w:rsidRPr="00E33B0E" w:rsidRDefault="00B80BBB" w:rsidP="00B80BBB">
            <w:pPr>
              <w:pStyle w:val="Tabletext"/>
              <w:rPr>
                <w:rFonts w:ascii="Aptos Narrow" w:hAnsi="Aptos Narrow"/>
                <w:sz w:val="18"/>
                <w:szCs w:val="18"/>
                <w:lang w:eastAsia="en-GB"/>
              </w:rPr>
            </w:pPr>
          </w:p>
        </w:tc>
        <w:tc>
          <w:tcPr>
            <w:tcW w:w="2329" w:type="pct"/>
            <w:tcBorders>
              <w:top w:val="single" w:sz="4" w:space="0" w:color="auto"/>
              <w:left w:val="single" w:sz="4" w:space="0" w:color="auto"/>
              <w:bottom w:val="single" w:sz="4" w:space="0" w:color="auto"/>
              <w:right w:val="single" w:sz="4" w:space="0" w:color="auto"/>
            </w:tcBorders>
          </w:tcPr>
          <w:p w14:paraId="3FEDD5F2" w14:textId="1A147629" w:rsidR="00B80BBB" w:rsidRPr="00E33B0E" w:rsidRDefault="00B80BBB" w:rsidP="00B80BBB">
            <w:pPr>
              <w:pStyle w:val="Tabletext"/>
            </w:pPr>
            <w:r w:rsidRPr="00E33B0E">
              <w:t>2.5</w:t>
            </w:r>
            <w:r w:rsidR="00C91188" w:rsidRPr="00E33B0E">
              <w:t xml:space="preserve"> – </w:t>
            </w:r>
            <w:r w:rsidRPr="00E33B0E">
              <w:t>Amélioration significative de la contribution des TIC à l'action en faveur du climat et de l'environnement</w:t>
            </w:r>
          </w:p>
        </w:tc>
        <w:tc>
          <w:tcPr>
            <w:tcW w:w="2330" w:type="pct"/>
            <w:tcBorders>
              <w:top w:val="single" w:sz="4" w:space="0" w:color="auto"/>
              <w:left w:val="single" w:sz="4" w:space="0" w:color="auto"/>
              <w:bottom w:val="single" w:sz="4" w:space="0" w:color="auto"/>
              <w:right w:val="single" w:sz="4" w:space="0" w:color="auto"/>
            </w:tcBorders>
          </w:tcPr>
          <w:p w14:paraId="22357CBB" w14:textId="29086F04" w:rsidR="00B80BBB" w:rsidRPr="00E33B0E" w:rsidRDefault="00B80BBB" w:rsidP="00E97A6F">
            <w:pPr>
              <w:pStyle w:val="Tabletext"/>
              <w:ind w:right="-73"/>
            </w:pPr>
            <w:r w:rsidRPr="00E33B0E">
              <w:t>Contribution des télécommunications/TIC aux émissions mondiales de gaz à effet de serre</w:t>
            </w:r>
          </w:p>
        </w:tc>
      </w:tr>
    </w:tbl>
    <w:p w14:paraId="7A08A55E" w14:textId="66A98E45" w:rsidR="002E57A2" w:rsidRPr="00E33B0E" w:rsidRDefault="002E57A2" w:rsidP="002E57A2">
      <w:pPr>
        <w:pStyle w:val="Heading2"/>
      </w:pPr>
      <w:bookmarkStart w:id="6" w:name="_Toc199753878"/>
      <w:r w:rsidRPr="00E33B0E">
        <w:t>3.1</w:t>
      </w:r>
      <w:r w:rsidRPr="00E33B0E">
        <w:tab/>
        <w:t>Connectivité universelle</w:t>
      </w:r>
      <w:bookmarkEnd w:id="6"/>
    </w:p>
    <w:p w14:paraId="3897FAA9" w14:textId="77757756" w:rsidR="00E91DBC" w:rsidRPr="00E33B0E" w:rsidRDefault="002E57A2" w:rsidP="002E57A2">
      <w:r w:rsidRPr="00E33B0E">
        <w:t>Les efforts déployés par l</w:t>
      </w:r>
      <w:r w:rsidR="00357220" w:rsidRPr="00E33B0E">
        <w:t>'</w:t>
      </w:r>
      <w:r w:rsidRPr="00E33B0E">
        <w:t>UIT en faveur de la connectivité universelle comprennent des cibles spécifiques pour le large bande, l</w:t>
      </w:r>
      <w:r w:rsidR="00357220" w:rsidRPr="00E33B0E">
        <w:t>'</w:t>
      </w:r>
      <w:r w:rsidRPr="00E33B0E">
        <w:t>accès à l</w:t>
      </w:r>
      <w:r w:rsidR="00357220" w:rsidRPr="00E33B0E">
        <w:t>'</w:t>
      </w:r>
      <w:r w:rsidRPr="00E33B0E">
        <w:t>Internet et la cybersécurité.</w:t>
      </w:r>
    </w:p>
    <w:p w14:paraId="45B3462C" w14:textId="166194D9" w:rsidR="002E57A2" w:rsidRPr="00E33B0E" w:rsidRDefault="002E57A2" w:rsidP="002E57A2">
      <w:pPr>
        <w:pStyle w:val="Headingb"/>
      </w:pPr>
      <w:r w:rsidRPr="00E33B0E">
        <w:t>Cible 1.1</w:t>
      </w:r>
      <w:r w:rsidR="00C91188" w:rsidRPr="00E33B0E">
        <w:t xml:space="preserve"> – </w:t>
      </w:r>
      <w:r w:rsidRPr="00E33B0E">
        <w:t>Couverture large bande universelle</w:t>
      </w:r>
    </w:p>
    <w:p w14:paraId="0997D15E" w14:textId="615793AB" w:rsidR="002E57A2" w:rsidRPr="00E33B0E" w:rsidRDefault="002E57A2" w:rsidP="002E57A2">
      <w:r w:rsidRPr="00E33B0E">
        <w:t>En 2024, 5,5 milliards de personnes, soit 68% de la population mondiale, étaient connectées, contre 65% en 2023. Malgré cette croissance, 2,6 milliards de personnes, soit un tiers de la population mondiale, ne sont toujours pas connectées, ce qui indique que l</w:t>
      </w:r>
      <w:r w:rsidR="00357220" w:rsidRPr="00E33B0E">
        <w:t>'</w:t>
      </w:r>
      <w:r w:rsidRPr="00E33B0E">
        <w:t>objectif d</w:t>
      </w:r>
      <w:r w:rsidR="00357220" w:rsidRPr="00E33B0E">
        <w:t>'</w:t>
      </w:r>
      <w:r w:rsidRPr="00E33B0E">
        <w:t>une connectivité universelle demeure un défi de taille.</w:t>
      </w:r>
    </w:p>
    <w:p w14:paraId="54E058CA" w14:textId="78A93BA4" w:rsidR="008B4A17" w:rsidRPr="00E33B0E" w:rsidRDefault="002E57A2" w:rsidP="00614844">
      <w:pPr>
        <w:pStyle w:val="Figuretitle"/>
        <w:keepNext w:val="0"/>
        <w:widowControl w:val="0"/>
        <w:spacing w:after="120"/>
      </w:pPr>
      <w:r w:rsidRPr="00E33B0E">
        <w:t>Pourcentage de personnes utilisant l'Internet, ventilé par niveau de développement</w:t>
      </w:r>
    </w:p>
    <w:p w14:paraId="4D7F56FE" w14:textId="453B023C" w:rsidR="008B4A17" w:rsidRPr="00E33B0E" w:rsidRDefault="0058473C" w:rsidP="00614844">
      <w:pPr>
        <w:pStyle w:val="Figure"/>
        <w:keepNext w:val="0"/>
        <w:keepLines w:val="0"/>
        <w:widowControl w:val="0"/>
      </w:pPr>
      <w:r w:rsidRPr="00E33B0E">
        <w:rPr>
          <w:noProof/>
        </w:rPr>
        <w:drawing>
          <wp:inline distT="0" distB="0" distL="0" distR="0" wp14:anchorId="109E626A" wp14:editId="29D346DE">
            <wp:extent cx="5581650" cy="271930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6" t="3727" r="852" b="893"/>
                    <a:stretch/>
                  </pic:blipFill>
                  <pic:spPr bwMode="auto">
                    <a:xfrm>
                      <a:off x="0" y="0"/>
                      <a:ext cx="5591670" cy="2724188"/>
                    </a:xfrm>
                    <a:prstGeom prst="rect">
                      <a:avLst/>
                    </a:prstGeom>
                    <a:noFill/>
                    <a:ln>
                      <a:noFill/>
                    </a:ln>
                    <a:extLst>
                      <a:ext uri="{53640926-AAD7-44D8-BBD7-CCE9431645EC}">
                        <a14:shadowObscured xmlns:a14="http://schemas.microsoft.com/office/drawing/2010/main"/>
                      </a:ext>
                    </a:extLst>
                  </pic:spPr>
                </pic:pic>
              </a:graphicData>
            </a:graphic>
          </wp:inline>
        </w:drawing>
      </w:r>
    </w:p>
    <w:p w14:paraId="038F197F" w14:textId="4BD57C12" w:rsidR="008B4A17" w:rsidRPr="00E33B0E" w:rsidRDefault="006353DE" w:rsidP="00E97A6F">
      <w:pPr>
        <w:pStyle w:val="Figurelegend"/>
        <w:widowControl w:val="0"/>
        <w:jc w:val="center"/>
      </w:pPr>
      <w:r w:rsidRPr="00E33B0E">
        <w:t xml:space="preserve">Adapté de </w:t>
      </w:r>
      <w:r w:rsidRPr="00E33B0E">
        <w:rPr>
          <w:b/>
          <w:bCs/>
        </w:rPr>
        <w:t>Faits et chiffres</w:t>
      </w:r>
      <w:r w:rsidRPr="00E33B0E">
        <w:t>.</w:t>
      </w:r>
      <w:r w:rsidR="00E7192B" w:rsidRPr="00E33B0E">
        <w:t xml:space="preserve"> Voir le</w:t>
      </w:r>
      <w:r w:rsidRPr="00E33B0E">
        <w:t xml:space="preserve"> </w:t>
      </w:r>
      <w:hyperlink r:id="rId28" w:anchor="chart-1" w:history="1">
        <w:r w:rsidR="00E7192B" w:rsidRPr="00E33B0E">
          <w:rPr>
            <w:rStyle w:val="Hyperlink"/>
            <w:rFonts w:eastAsia="Times New Roman" w:cs="Times New Roman"/>
            <w:szCs w:val="20"/>
          </w:rPr>
          <w:t>graphique interactif sur l'utilisation de l'Internet</w:t>
        </w:r>
      </w:hyperlink>
    </w:p>
    <w:p w14:paraId="63041D49" w14:textId="732D5CAB" w:rsidR="00A64305" w:rsidRPr="00E33B0E" w:rsidRDefault="00A64305" w:rsidP="00A64305">
      <w:pPr>
        <w:pStyle w:val="Headingb"/>
      </w:pPr>
      <w:r w:rsidRPr="00E33B0E">
        <w:lastRenderedPageBreak/>
        <w:t>Cible 1.2</w:t>
      </w:r>
      <w:r w:rsidR="00C91188" w:rsidRPr="00E33B0E">
        <w:t xml:space="preserve"> – </w:t>
      </w:r>
      <w:r w:rsidRPr="00E33B0E">
        <w:t>Services large bande pour tous à un coût abordable</w:t>
      </w:r>
    </w:p>
    <w:p w14:paraId="2FE455C2" w14:textId="74E8DB4E" w:rsidR="00A64305" w:rsidRPr="00E33B0E" w:rsidRDefault="00A64305" w:rsidP="00A64305">
      <w:r w:rsidRPr="00E33B0E">
        <w:t xml:space="preserve">En 2024, les paniers pour le large bande mobile axé sur les données uniquement et pour le large bande fixe sont devenus plus accessibles financièrement dans toutes les régions et pour toutes les tranches de revenus. </w:t>
      </w:r>
      <w:r w:rsidR="00151007" w:rsidRPr="00E33B0E">
        <w:t>À</w:t>
      </w:r>
      <w:r w:rsidRPr="00E33B0E">
        <w:t xml:space="preserve"> l</w:t>
      </w:r>
      <w:r w:rsidR="00357220" w:rsidRPr="00E33B0E">
        <w:t>'</w:t>
      </w:r>
      <w:r w:rsidRPr="00E33B0E">
        <w:t>échelle mondiale, le prix médian du panier pour le large bande mobile, mesuré en pourcentage du revenu national brut (RNB) par habitant, est passé de 1,3% à 1,1%. De même, le prix médian du panier pour le large bande fixe est passé de 2,8% à 2,5%.</w:t>
      </w:r>
    </w:p>
    <w:p w14:paraId="65BABDF4" w14:textId="0A4877DA" w:rsidR="00A64305" w:rsidRPr="00E33B0E" w:rsidRDefault="00A64305" w:rsidP="00A64305">
      <w:r w:rsidRPr="00E33B0E">
        <w:t>Toutefois, l</w:t>
      </w:r>
      <w:r w:rsidR="00357220" w:rsidRPr="00E33B0E">
        <w:t>'</w:t>
      </w:r>
      <w:r w:rsidRPr="00E33B0E">
        <w:t>accessibilité financière demeure un obstacle important pour l</w:t>
      </w:r>
      <w:r w:rsidR="00357220" w:rsidRPr="00E33B0E">
        <w:t>'</w:t>
      </w:r>
      <w:r w:rsidRPr="00E33B0E">
        <w:t>accès à l</w:t>
      </w:r>
      <w:r w:rsidR="00357220" w:rsidRPr="00E33B0E">
        <w:t>'</w:t>
      </w:r>
      <w:r w:rsidRPr="00E33B0E">
        <w:t>Internet, en particulier dans les pays à faible revenu. Malgré certains progrès accomplis, un écart considérable subsiste entre les pays à revenu élevé et les autres pays. Dans les pays à revenu intermédiaire de la tranche inférieure, les abonnés dépensent environ six fois plus que ceux situés dans les pays à revenu élevé pour le large bande mobile, tandis que les abonnés issus de pays à faible revenu paient 19 fois plus. En outre, dans les pays à faible revenu où le large bande fixe est disponible, le coût de l</w:t>
      </w:r>
      <w:r w:rsidR="00357220" w:rsidRPr="00E33B0E">
        <w:t>'</w:t>
      </w:r>
      <w:r w:rsidRPr="00E33B0E">
        <w:t>abonnement peut représenter près d</w:t>
      </w:r>
      <w:r w:rsidR="00357220" w:rsidRPr="00E33B0E">
        <w:t>'</w:t>
      </w:r>
      <w:r w:rsidRPr="00E33B0E">
        <w:t>un tiers du revenu moyen d</w:t>
      </w:r>
      <w:r w:rsidR="00357220" w:rsidRPr="00E33B0E">
        <w:t>'</w:t>
      </w:r>
      <w:r w:rsidRPr="00E33B0E">
        <w:t>une personne.</w:t>
      </w:r>
    </w:p>
    <w:p w14:paraId="69F0D4E4" w14:textId="7142A6C2" w:rsidR="006353DE" w:rsidRPr="00E33B0E" w:rsidRDefault="00A64305" w:rsidP="00C12D5D">
      <w:pPr>
        <w:pStyle w:val="Figuretitle"/>
        <w:spacing w:after="240"/>
      </w:pPr>
      <w:r w:rsidRPr="00E33B0E">
        <w:t>Prix du panier pour le large bande mobile axé uniquement sur les données (2</w:t>
      </w:r>
      <w:r w:rsidR="001C1623" w:rsidRPr="00E33B0E">
        <w:t xml:space="preserve"> </w:t>
      </w:r>
      <w:r w:rsidRPr="00E33B0E">
        <w:t>G</w:t>
      </w:r>
      <w:r w:rsidR="001C1623" w:rsidRPr="00E33B0E">
        <w:t>B</w:t>
      </w:r>
      <w:r w:rsidRPr="00E33B0E">
        <w:t xml:space="preserve">), </w:t>
      </w:r>
      <w:r w:rsidR="00F84825" w:rsidRPr="00E33B0E">
        <w:br/>
      </w:r>
      <w:r w:rsidRPr="00E33B0E">
        <w:t>en pourcentage du revenu national brut par habitant pour 2023-2024</w:t>
      </w:r>
    </w:p>
    <w:p w14:paraId="1D0892D0" w14:textId="64515FB4" w:rsidR="006353DE" w:rsidRPr="00E33B0E" w:rsidRDefault="00C12D5D" w:rsidP="002E3FED">
      <w:pPr>
        <w:pStyle w:val="Figure"/>
      </w:pPr>
      <w:r w:rsidRPr="00E33B0E">
        <w:rPr>
          <w:noProof/>
        </w:rPr>
        <w:drawing>
          <wp:inline distT="0" distB="0" distL="0" distR="0" wp14:anchorId="07095456" wp14:editId="275B5319">
            <wp:extent cx="5760085" cy="3301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3301365"/>
                    </a:xfrm>
                    <a:prstGeom prst="rect">
                      <a:avLst/>
                    </a:prstGeom>
                    <a:noFill/>
                    <a:ln>
                      <a:noFill/>
                    </a:ln>
                  </pic:spPr>
                </pic:pic>
              </a:graphicData>
            </a:graphic>
          </wp:inline>
        </w:drawing>
      </w:r>
    </w:p>
    <w:p w14:paraId="5EB48C63" w14:textId="5C198A0D" w:rsidR="002004E6" w:rsidRPr="00E33B0E" w:rsidRDefault="002004E6" w:rsidP="002004E6">
      <w:pPr>
        <w:pStyle w:val="Figurelegend"/>
        <w:jc w:val="center"/>
      </w:pPr>
      <w:r w:rsidRPr="00E33B0E">
        <w:t xml:space="preserve">Adapté de </w:t>
      </w:r>
      <w:r w:rsidRPr="00E33B0E">
        <w:rPr>
          <w:b/>
          <w:bCs/>
        </w:rPr>
        <w:t>Faits et chiffres</w:t>
      </w:r>
      <w:r w:rsidRPr="00E33B0E">
        <w:t>.</w:t>
      </w:r>
      <w:r w:rsidR="00E7192B" w:rsidRPr="00E33B0E">
        <w:t xml:space="preserve"> Voir le</w:t>
      </w:r>
      <w:r w:rsidRPr="00E33B0E">
        <w:t xml:space="preserve"> </w:t>
      </w:r>
      <w:hyperlink r:id="rId30" w:history="1">
        <w:r w:rsidR="00E7192B" w:rsidRPr="00E33B0E">
          <w:rPr>
            <w:rStyle w:val="Hyperlink"/>
            <w:rFonts w:eastAsia="Times New Roman" w:cs="Times New Roman"/>
            <w:szCs w:val="20"/>
          </w:rPr>
          <w:t>graphique interactif sur l'utilisation de l'Internet</w:t>
        </w:r>
      </w:hyperlink>
    </w:p>
    <w:p w14:paraId="0BB0E9E5" w14:textId="35CE1320" w:rsidR="006353DE" w:rsidRPr="00E33B0E" w:rsidRDefault="002004E6" w:rsidP="00C12D5D">
      <w:pPr>
        <w:pStyle w:val="Figuretitle"/>
        <w:spacing w:after="240"/>
      </w:pPr>
      <w:r w:rsidRPr="00E33B0E">
        <w:lastRenderedPageBreak/>
        <w:t xml:space="preserve">Prix du panier pour le large bande fixe, en pourcentage </w:t>
      </w:r>
      <w:r w:rsidR="009E74EB" w:rsidRPr="00E33B0E">
        <w:br/>
      </w:r>
      <w:r w:rsidRPr="00E33B0E">
        <w:t>du revenu national brut par habitant pour 2023-2024</w:t>
      </w:r>
    </w:p>
    <w:p w14:paraId="14E76C01" w14:textId="5A5366FC" w:rsidR="006353DE" w:rsidRPr="00E33B0E" w:rsidRDefault="00C12D5D" w:rsidP="00754282">
      <w:pPr>
        <w:pStyle w:val="Figure"/>
      </w:pPr>
      <w:r w:rsidRPr="00E33B0E">
        <w:rPr>
          <w:noProof/>
        </w:rPr>
        <w:drawing>
          <wp:inline distT="0" distB="0" distL="0" distR="0" wp14:anchorId="227EDB31" wp14:editId="798CAD9B">
            <wp:extent cx="5760085" cy="3910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910965"/>
                    </a:xfrm>
                    <a:prstGeom prst="rect">
                      <a:avLst/>
                    </a:prstGeom>
                    <a:noFill/>
                    <a:ln>
                      <a:noFill/>
                    </a:ln>
                  </pic:spPr>
                </pic:pic>
              </a:graphicData>
            </a:graphic>
          </wp:inline>
        </w:drawing>
      </w:r>
    </w:p>
    <w:p w14:paraId="32F8C2B0" w14:textId="6AD87E50" w:rsidR="006353DE" w:rsidRPr="00E33B0E" w:rsidRDefault="00B07E5A" w:rsidP="00B07E5A">
      <w:pPr>
        <w:pStyle w:val="Figurelegend"/>
        <w:jc w:val="center"/>
      </w:pPr>
      <w:r w:rsidRPr="00E33B0E">
        <w:t xml:space="preserve">Adapté de </w:t>
      </w:r>
      <w:r w:rsidRPr="00E33B0E">
        <w:rPr>
          <w:b/>
          <w:bCs/>
        </w:rPr>
        <w:t>Faits et chiffres</w:t>
      </w:r>
      <w:r w:rsidRPr="00E33B0E">
        <w:t>.</w:t>
      </w:r>
      <w:r w:rsidR="00E7192B" w:rsidRPr="00E33B0E">
        <w:t xml:space="preserve"> Voir le</w:t>
      </w:r>
      <w:r w:rsidRPr="00E33B0E">
        <w:t xml:space="preserve"> </w:t>
      </w:r>
      <w:hyperlink r:id="rId32" w:history="1">
        <w:r w:rsidR="00E7192B" w:rsidRPr="00E33B0E">
          <w:rPr>
            <w:rStyle w:val="Hyperlink"/>
            <w:rFonts w:eastAsia="Times New Roman" w:cs="Times New Roman"/>
            <w:szCs w:val="20"/>
          </w:rPr>
          <w:t>graphique interactif sur l'utilisation de l'Internet</w:t>
        </w:r>
      </w:hyperlink>
    </w:p>
    <w:p w14:paraId="46B1CA6C" w14:textId="6A981089" w:rsidR="00B07E5A" w:rsidRPr="00E33B0E" w:rsidRDefault="00C91188" w:rsidP="00B07E5A">
      <w:pPr>
        <w:pStyle w:val="Headingb"/>
      </w:pPr>
      <w:r w:rsidRPr="00E33B0E">
        <w:t xml:space="preserve">Cible </w:t>
      </w:r>
      <w:r w:rsidR="00B07E5A" w:rsidRPr="00E33B0E">
        <w:t>1.3</w:t>
      </w:r>
      <w:r w:rsidRPr="00E33B0E">
        <w:t xml:space="preserve"> – </w:t>
      </w:r>
      <w:r w:rsidR="00B07E5A" w:rsidRPr="00E33B0E">
        <w:t>Accès de tous les ménages au large bande</w:t>
      </w:r>
    </w:p>
    <w:p w14:paraId="2DAF73EB" w14:textId="1BF2EECE" w:rsidR="00B07E5A" w:rsidRPr="00E33B0E" w:rsidRDefault="00B07E5A" w:rsidP="00B07E5A">
      <w:r w:rsidRPr="00E33B0E">
        <w:t>L</w:t>
      </w:r>
      <w:r w:rsidR="00357220" w:rsidRPr="00E33B0E">
        <w:t>'</w:t>
      </w:r>
      <w:r w:rsidRPr="00E33B0E">
        <w:t>utilisation de la bande passante internationale mondiale a considérablement augmenté ces dernières années, pour atteindre 322,8 kbit/s (par internaute) en 2024, soit plus du double</w:t>
      </w:r>
      <w:r w:rsidR="00794B3B" w:rsidRPr="00E33B0E">
        <w:t> </w:t>
      </w:r>
      <w:r w:rsidRPr="00E33B0E">
        <w:t>qu</w:t>
      </w:r>
      <w:r w:rsidR="00357220" w:rsidRPr="00E33B0E">
        <w:t>'</w:t>
      </w:r>
      <w:r w:rsidRPr="00E33B0E">
        <w:t>en 2020. Cette utilisation est très concentrée dans les pays à revenu élevé, où la demande est passée de 399,3 à 858,3 kbit/s (par internaute) au cours des quatre</w:t>
      </w:r>
      <w:r w:rsidR="00F72250" w:rsidRPr="00E33B0E">
        <w:t> </w:t>
      </w:r>
      <w:r w:rsidRPr="00E33B0E">
        <w:t>dernières</w:t>
      </w:r>
      <w:r w:rsidR="00F72250" w:rsidRPr="00E33B0E">
        <w:t> </w:t>
      </w:r>
      <w:r w:rsidRPr="00E33B0E">
        <w:t>années, sous l</w:t>
      </w:r>
      <w:r w:rsidR="00357220" w:rsidRPr="00E33B0E">
        <w:t>'</w:t>
      </w:r>
      <w:r w:rsidRPr="00E33B0E">
        <w:t>effet d</w:t>
      </w:r>
      <w:r w:rsidR="00357220" w:rsidRPr="00E33B0E">
        <w:t>'</w:t>
      </w:r>
      <w:r w:rsidRPr="00E33B0E">
        <w:t>infrastructures numériques évoluées et d</w:t>
      </w:r>
      <w:r w:rsidR="00357220" w:rsidRPr="00E33B0E">
        <w:t>'</w:t>
      </w:r>
      <w:r w:rsidRPr="00E33B0E">
        <w:t>applications gourmandes en données. En revanche, les pays à faible revenu, malgré une croissance remarquable, représentent encore une part très faible de la largeur de bande mondiale, qui est passée de</w:t>
      </w:r>
      <w:r w:rsidR="00E9064D" w:rsidRPr="00E33B0E">
        <w:t> </w:t>
      </w:r>
      <w:r w:rsidRPr="00E33B0E">
        <w:t>28,3 à 60,9 kbit/s (par internaute) dans ces pays. L</w:t>
      </w:r>
      <w:r w:rsidR="00357220" w:rsidRPr="00E33B0E">
        <w:t>'</w:t>
      </w:r>
      <w:r w:rsidRPr="00E33B0E">
        <w:t>utilisation totale de la bande passante en 2024 était de 1,78 Tbits/s, soit une augmentation de près de 150% par rapport à 2020.</w:t>
      </w:r>
    </w:p>
    <w:p w14:paraId="3EFEBA50" w14:textId="77777777" w:rsidR="00B07E5A" w:rsidRPr="00E33B0E" w:rsidRDefault="00B07E5A" w:rsidP="00B07E5A">
      <w:r w:rsidRPr="00E33B0E">
        <w:t>En 2024, 167 pays avaient mis en place des plans ou des stratégies numériques pour le large bande, un chiffre qui stagne depuis 2019 et qui est en baisse par rapport à 2022 (170 pays). Afin de faire progresser la connectivité mondiale, des efforts supplémentaires sont nécessaires pour encourager les quelque 20 à 30 pays restants à élaborer et à adopter leurs plans nationaux pour le large bande.</w:t>
      </w:r>
    </w:p>
    <w:p w14:paraId="339EBFA8" w14:textId="1F71DC0D" w:rsidR="006353DE" w:rsidRPr="00E33B0E" w:rsidRDefault="00B07E5A" w:rsidP="00C12D5D">
      <w:pPr>
        <w:pStyle w:val="Figuretitle"/>
        <w:spacing w:after="240"/>
      </w:pPr>
      <w:r w:rsidRPr="00E33B0E">
        <w:lastRenderedPageBreak/>
        <w:t>Pourcentage de particuliers utilisant l</w:t>
      </w:r>
      <w:r w:rsidR="00357220" w:rsidRPr="00E33B0E">
        <w:t>'</w:t>
      </w:r>
      <w:r w:rsidRPr="00E33B0E">
        <w:t>Internet par région</w:t>
      </w:r>
      <w:r w:rsidR="00E9064D" w:rsidRPr="00E33B0E">
        <w:t xml:space="preserve"> </w:t>
      </w:r>
      <w:r w:rsidRPr="00E33B0E">
        <w:t xml:space="preserve">et </w:t>
      </w:r>
      <w:r w:rsidR="009E74EB" w:rsidRPr="00E33B0E">
        <w:br/>
      </w:r>
      <w:r w:rsidRPr="00E33B0E">
        <w:t>niveau de développement pour 2019-2024</w:t>
      </w:r>
    </w:p>
    <w:p w14:paraId="598C160B" w14:textId="7D1BC373" w:rsidR="006353DE" w:rsidRPr="00E33B0E" w:rsidRDefault="0012336A" w:rsidP="00854825">
      <w:pPr>
        <w:pStyle w:val="Figure"/>
      </w:pPr>
      <w:r w:rsidRPr="00E33B0E">
        <w:rPr>
          <w:noProof/>
        </w:rPr>
        <w:drawing>
          <wp:inline distT="0" distB="0" distL="0" distR="0" wp14:anchorId="34BB76DA" wp14:editId="6BA42B79">
            <wp:extent cx="5760085" cy="2903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2903855"/>
                    </a:xfrm>
                    <a:prstGeom prst="rect">
                      <a:avLst/>
                    </a:prstGeom>
                    <a:noFill/>
                    <a:ln>
                      <a:noFill/>
                    </a:ln>
                  </pic:spPr>
                </pic:pic>
              </a:graphicData>
            </a:graphic>
          </wp:inline>
        </w:drawing>
      </w:r>
    </w:p>
    <w:p w14:paraId="6BD801C6" w14:textId="4D3FC9EA" w:rsidR="006353DE" w:rsidRPr="00E33B0E" w:rsidRDefault="00E7192B" w:rsidP="00E7192B">
      <w:pPr>
        <w:pStyle w:val="Figurelegend"/>
        <w:jc w:val="center"/>
      </w:pPr>
      <w:r w:rsidRPr="00E33B0E">
        <w:t xml:space="preserve">Adapté de </w:t>
      </w:r>
      <w:r w:rsidRPr="00E33B0E">
        <w:rPr>
          <w:b/>
          <w:bCs/>
        </w:rPr>
        <w:t>Faits et chiffres</w:t>
      </w:r>
      <w:r w:rsidRPr="00E33B0E">
        <w:t xml:space="preserve">. Voir le </w:t>
      </w:r>
      <w:hyperlink r:id="rId34" w:anchor="chart-2" w:history="1">
        <w:r w:rsidRPr="00E33B0E">
          <w:rPr>
            <w:rStyle w:val="Hyperlink"/>
            <w:rFonts w:eastAsia="Times New Roman" w:cs="Times New Roman"/>
            <w:szCs w:val="20"/>
          </w:rPr>
          <w:t>graphique interactif sur l'utilisation de l'Internet</w:t>
        </w:r>
      </w:hyperlink>
    </w:p>
    <w:p w14:paraId="64086BD3" w14:textId="33C2345B" w:rsidR="005853B8" w:rsidRPr="00E33B0E" w:rsidRDefault="005853B8" w:rsidP="005853B8">
      <w:r w:rsidRPr="00E33B0E">
        <w:t>Par ailleurs, la population couverte par un réseau cellulaire mobile (non limité au large bande) a continué d</w:t>
      </w:r>
      <w:r w:rsidR="00357220" w:rsidRPr="00E33B0E">
        <w:t>'</w:t>
      </w:r>
      <w:r w:rsidRPr="00E33B0E">
        <w:t>augmenter pour atteindre 97,9% en 2024. Les pays à revenu élevé ont maintenu une couverture quasi universelle, avec un taux de couverture dépassant 99,6% depuis 2020. En revanche, malgré une amélioration continue, les économies à faible revenu, accusent un retard important, le taux de couverture étant passée de 88,0% en 2020 à 91,1% en 2024.</w:t>
      </w:r>
    </w:p>
    <w:p w14:paraId="321D777D" w14:textId="556D031B" w:rsidR="005853B8" w:rsidRPr="00E33B0E" w:rsidRDefault="005853B8" w:rsidP="00F72250">
      <w:r w:rsidRPr="00E33B0E">
        <w:t>L</w:t>
      </w:r>
      <w:r w:rsidR="00357220" w:rsidRPr="00E33B0E">
        <w:t>'</w:t>
      </w:r>
      <w:r w:rsidRPr="00E33B0E">
        <w:t>utilisation de l</w:t>
      </w:r>
      <w:r w:rsidR="00357220" w:rsidRPr="00E33B0E">
        <w:t>'</w:t>
      </w:r>
      <w:r w:rsidRPr="00E33B0E">
        <w:t>Internet est étroitement liée au niveau de développement. Dans les pays à revenu élevé, le taux de pénétration de l</w:t>
      </w:r>
      <w:r w:rsidR="00357220" w:rsidRPr="00E33B0E">
        <w:t>'</w:t>
      </w:r>
      <w:r w:rsidRPr="00E33B0E">
        <w:t>Internet a atteint 93% en 2024, tandis que dans les pays à faible revenu, il n</w:t>
      </w:r>
      <w:r w:rsidR="00357220" w:rsidRPr="00E33B0E">
        <w:t>'</w:t>
      </w:r>
      <w:r w:rsidRPr="00E33B0E">
        <w:t>était que de 27%. Bien que ces pays aient enregistré un taux de croissance annuel de 8,5% en 2024, soit une hausse plus importante que tout autre groupe ou toute autre région, cette croissance est insuffisante pour combler l</w:t>
      </w:r>
      <w:r w:rsidR="00357220" w:rsidRPr="00E33B0E">
        <w:t>'</w:t>
      </w:r>
      <w:r w:rsidRPr="00E33B0E">
        <w:t>écart en matière de connectivité dans un futur proche.</w:t>
      </w:r>
    </w:p>
    <w:p w14:paraId="2F7DB739" w14:textId="2AAD870F" w:rsidR="005853B8" w:rsidRPr="00E33B0E" w:rsidRDefault="005853B8" w:rsidP="005853B8">
      <w:pPr>
        <w:pStyle w:val="Headingb"/>
      </w:pPr>
      <w:r w:rsidRPr="00E33B0E">
        <w:t>Cible 1.4</w:t>
      </w:r>
      <w:r w:rsidR="00C91188" w:rsidRPr="00E33B0E">
        <w:t xml:space="preserve"> – </w:t>
      </w:r>
      <w:r w:rsidRPr="00E33B0E">
        <w:t>Possession de dispositifs utilisant l'Internet et accès à ces dispositifs</w:t>
      </w:r>
    </w:p>
    <w:p w14:paraId="04EAE41F" w14:textId="1E7AD636" w:rsidR="005853B8" w:rsidRPr="00E33B0E" w:rsidRDefault="005853B8" w:rsidP="005853B8">
      <w:r w:rsidRPr="00E33B0E">
        <w:t>À l</w:t>
      </w:r>
      <w:r w:rsidR="00357220" w:rsidRPr="00E33B0E">
        <w:t>'</w:t>
      </w:r>
      <w:r w:rsidRPr="00E33B0E">
        <w:t>échelle mondiale, quatre personnes sur cinq âgées de plus de 10 ans possèdent un téléphone mobile, et les pays à revenu élevé atteignent l</w:t>
      </w:r>
      <w:r w:rsidR="00357220" w:rsidRPr="00E33B0E">
        <w:t>'</w:t>
      </w:r>
      <w:r w:rsidRPr="00E33B0E">
        <w:t>objectif d</w:t>
      </w:r>
      <w:r w:rsidR="00357220" w:rsidRPr="00E33B0E">
        <w:t>'</w:t>
      </w:r>
      <w:r w:rsidRPr="00E33B0E">
        <w:t>universalité, caractérisé par un taux de pénétration supérieur à 95%. En revanche, dans les pays à faible revenu, seulement 56% des personnes âgées de plus de 10 ans possèdent un téléphone mobile.</w:t>
      </w:r>
    </w:p>
    <w:p w14:paraId="2FC71943" w14:textId="538BA8B9" w:rsidR="006353DE" w:rsidRPr="00E33B0E" w:rsidRDefault="005853B8" w:rsidP="00AC4EB9">
      <w:pPr>
        <w:pStyle w:val="Figuretitle"/>
        <w:spacing w:after="240"/>
      </w:pPr>
      <w:r w:rsidRPr="00E33B0E">
        <w:lastRenderedPageBreak/>
        <w:t>Pourcentage de personnes possédant un téléphone mobile et utilisant l</w:t>
      </w:r>
      <w:r w:rsidR="00357220" w:rsidRPr="00E33B0E">
        <w:t>'</w:t>
      </w:r>
      <w:r w:rsidRPr="00E33B0E">
        <w:t>Internet pour 2024</w:t>
      </w:r>
    </w:p>
    <w:p w14:paraId="7B5B410D" w14:textId="0D7473D6" w:rsidR="006353DE" w:rsidRPr="00E33B0E" w:rsidRDefault="001A1B7E" w:rsidP="005853B8">
      <w:pPr>
        <w:pStyle w:val="Figure"/>
      </w:pPr>
      <w:r w:rsidRPr="00E33B0E">
        <w:rPr>
          <w:noProof/>
        </w:rPr>
        <w:drawing>
          <wp:inline distT="0" distB="0" distL="0" distR="0" wp14:anchorId="17055141" wp14:editId="0DD83BA2">
            <wp:extent cx="5760085" cy="3777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777615"/>
                    </a:xfrm>
                    <a:prstGeom prst="rect">
                      <a:avLst/>
                    </a:prstGeom>
                    <a:noFill/>
                    <a:ln>
                      <a:noFill/>
                    </a:ln>
                  </pic:spPr>
                </pic:pic>
              </a:graphicData>
            </a:graphic>
          </wp:inline>
        </w:drawing>
      </w:r>
    </w:p>
    <w:p w14:paraId="1E3169B9" w14:textId="10705969" w:rsidR="005853B8" w:rsidRPr="00E33B0E" w:rsidRDefault="005853B8" w:rsidP="005853B8">
      <w:pPr>
        <w:pStyle w:val="Figurelegend"/>
        <w:jc w:val="center"/>
      </w:pPr>
      <w:r w:rsidRPr="00E33B0E">
        <w:t xml:space="preserve">Adapté de </w:t>
      </w:r>
      <w:r w:rsidRPr="00E33B0E">
        <w:rPr>
          <w:b/>
          <w:bCs/>
        </w:rPr>
        <w:t>Faits et chiffres</w:t>
      </w:r>
      <w:r w:rsidRPr="00E33B0E">
        <w:t xml:space="preserve">. Voir le </w:t>
      </w:r>
      <w:hyperlink r:id="rId36" w:anchor="chart-1" w:history="1">
        <w:r w:rsidRPr="00E33B0E">
          <w:rPr>
            <w:rStyle w:val="Hyperlink"/>
            <w:rFonts w:eastAsia="Times New Roman" w:cs="Times New Roman"/>
            <w:szCs w:val="20"/>
          </w:rPr>
          <w:t>graphique interactif sur l'utilisation de l'Internet</w:t>
        </w:r>
      </w:hyperlink>
    </w:p>
    <w:p w14:paraId="68B19C9F" w14:textId="03E17D5B" w:rsidR="005853B8" w:rsidRPr="00E33B0E" w:rsidRDefault="002A28ED" w:rsidP="005853B8">
      <w:pPr>
        <w:pStyle w:val="Headingb"/>
      </w:pPr>
      <w:r w:rsidRPr="00E33B0E">
        <w:t xml:space="preserve">Cible </w:t>
      </w:r>
      <w:r w:rsidR="005853B8" w:rsidRPr="00E33B0E">
        <w:t>1.5</w:t>
      </w:r>
      <w:r w:rsidR="00C91188" w:rsidRPr="00E33B0E">
        <w:t xml:space="preserve"> – </w:t>
      </w:r>
      <w:r w:rsidR="005853B8" w:rsidRPr="00E33B0E">
        <w:t>Accès à l'Internet dans toutes les écoles</w:t>
      </w:r>
    </w:p>
    <w:p w14:paraId="00D270DF" w14:textId="379C1DC3" w:rsidR="005853B8" w:rsidRPr="00E33B0E" w:rsidRDefault="005853B8" w:rsidP="005853B8">
      <w:r w:rsidRPr="00E33B0E">
        <w:t>Ces données sont collectées par l'Organisation des Nations Unies pour l'éducation, la science et la culture (UNESCO). Dans le tableau de bord de l</w:t>
      </w:r>
      <w:r w:rsidR="00357220" w:rsidRPr="00E33B0E">
        <w:t>'</w:t>
      </w:r>
      <w:r w:rsidRPr="00E33B0E">
        <w:t xml:space="preserve">UNESCO (accessible </w:t>
      </w:r>
      <w:hyperlink r:id="rId37" w:history="1">
        <w:r w:rsidRPr="00E33B0E">
          <w:rPr>
            <w:rStyle w:val="Hyperlink"/>
            <w:rFonts w:eastAsia="Times New Roman" w:cs="Times New Roman"/>
            <w:szCs w:val="20"/>
          </w:rPr>
          <w:t>ici</w:t>
        </w:r>
      </w:hyperlink>
      <w:r w:rsidRPr="00E33B0E">
        <w:t>), on peut trouver (sous l</w:t>
      </w:r>
      <w:r w:rsidR="00357220" w:rsidRPr="00E33B0E">
        <w:t>'</w:t>
      </w:r>
      <w:r w:rsidRPr="00E33B0E">
        <w:t>indicateur 4a correspondant à la cible 4a.1):</w:t>
      </w:r>
    </w:p>
    <w:p w14:paraId="2440C26D" w14:textId="2F1F6E8C" w:rsidR="005853B8" w:rsidRPr="00E33B0E" w:rsidRDefault="005853B8" w:rsidP="00BC12D7">
      <w:pPr>
        <w:pStyle w:val="enumlev1"/>
      </w:pPr>
      <w:r w:rsidRPr="00E33B0E">
        <w:t>•</w:t>
      </w:r>
      <w:r w:rsidRPr="00E33B0E">
        <w:tab/>
      </w:r>
      <w:r w:rsidR="00E91DBC" w:rsidRPr="00E33B0E">
        <w:t>l</w:t>
      </w:r>
      <w:r w:rsidRPr="00E33B0E">
        <w:t>e pourcentage d</w:t>
      </w:r>
      <w:r w:rsidR="00357220" w:rsidRPr="00E33B0E">
        <w:t>'</w:t>
      </w:r>
      <w:r w:rsidRPr="00E33B0E">
        <w:t>écoles ayant accès à l</w:t>
      </w:r>
      <w:r w:rsidR="00357220" w:rsidRPr="00E33B0E">
        <w:t>'</w:t>
      </w:r>
      <w:r w:rsidRPr="00E33B0E">
        <w:t>Internet à des fins pédagogiques</w:t>
      </w:r>
      <w:r w:rsidR="00E91DBC" w:rsidRPr="00E33B0E">
        <w:t>;</w:t>
      </w:r>
      <w:r w:rsidRPr="00E33B0E">
        <w:t xml:space="preserve"> et</w:t>
      </w:r>
    </w:p>
    <w:p w14:paraId="636F97E7" w14:textId="3F6BA21E" w:rsidR="005853B8" w:rsidRPr="00E33B0E" w:rsidRDefault="005853B8" w:rsidP="00BC12D7">
      <w:pPr>
        <w:pStyle w:val="enumlev1"/>
      </w:pPr>
      <w:r w:rsidRPr="00E33B0E">
        <w:t>•</w:t>
      </w:r>
      <w:r w:rsidRPr="00E33B0E">
        <w:tab/>
      </w:r>
      <w:r w:rsidR="00E91DBC" w:rsidRPr="00E33B0E">
        <w:t>l</w:t>
      </w:r>
      <w:r w:rsidRPr="00E33B0E">
        <w:t>e pourcentage d</w:t>
      </w:r>
      <w:r w:rsidR="00357220" w:rsidRPr="00E33B0E">
        <w:t>'</w:t>
      </w:r>
      <w:r w:rsidRPr="00E33B0E">
        <w:t>écoles ayant accès à un ordinateur à des fins pédagogiques</w:t>
      </w:r>
      <w:r w:rsidR="00E91DBC" w:rsidRPr="00E33B0E">
        <w:t>.</w:t>
      </w:r>
    </w:p>
    <w:p w14:paraId="4B23691F" w14:textId="027A9215" w:rsidR="005853B8" w:rsidRPr="00E33B0E" w:rsidRDefault="005853B8" w:rsidP="005853B8">
      <w:r w:rsidRPr="00E33B0E">
        <w:t>Ces pourcentages sont ventilés par pays et par niveau (enseignement primaire; secondaire inférieur, secondaire supérieur et secondaire).</w:t>
      </w:r>
    </w:p>
    <w:p w14:paraId="2884B782" w14:textId="22439E1D" w:rsidR="005853B8" w:rsidRPr="00E33B0E" w:rsidRDefault="005853B8" w:rsidP="005853B8">
      <w:r w:rsidRPr="00E33B0E">
        <w:t>Les données existantes ne permettent pas encore de tirer des conclusions sur l</w:t>
      </w:r>
      <w:r w:rsidR="00357220" w:rsidRPr="00E33B0E">
        <w:t>'</w:t>
      </w:r>
      <w:r w:rsidRPr="00E33B0E">
        <w:t>évolution des moyennes au niveau mondial.</w:t>
      </w:r>
    </w:p>
    <w:p w14:paraId="0680C9A0" w14:textId="045A3789" w:rsidR="005853B8" w:rsidRPr="00E33B0E" w:rsidRDefault="005853B8" w:rsidP="002A28ED">
      <w:pPr>
        <w:pStyle w:val="Headingb"/>
      </w:pPr>
      <w:r w:rsidRPr="00E33B0E">
        <w:t>Cible 1.6</w:t>
      </w:r>
      <w:r w:rsidR="00C91188" w:rsidRPr="00E33B0E">
        <w:t xml:space="preserve"> – </w:t>
      </w:r>
      <w:r w:rsidRPr="00E33B0E">
        <w:t>Amélioration de l'état de préparation des pays en matière de cybersécurité</w:t>
      </w:r>
    </w:p>
    <w:p w14:paraId="15C3B8F9" w14:textId="7BE01F08" w:rsidR="005853B8" w:rsidRPr="00E33B0E" w:rsidRDefault="005853B8" w:rsidP="005853B8">
      <w:r w:rsidRPr="00E33B0E">
        <w:t>En ce qui concerne l</w:t>
      </w:r>
      <w:r w:rsidR="00357220" w:rsidRPr="00E33B0E">
        <w:t>'</w:t>
      </w:r>
      <w:r w:rsidRPr="00E33B0E">
        <w:t>amélioration de l</w:t>
      </w:r>
      <w:r w:rsidR="00357220" w:rsidRPr="00E33B0E">
        <w:t>'</w:t>
      </w:r>
      <w:r w:rsidRPr="00E33B0E">
        <w:t>état de préparation des pays en matière de cybersécurité, des progrès notables ont été enregistrés. En 2024, 132 pays avaient mis en place des équipes d</w:t>
      </w:r>
      <w:r w:rsidR="00357220" w:rsidRPr="00E33B0E">
        <w:t>'</w:t>
      </w:r>
      <w:r w:rsidRPr="00E33B0E">
        <w:t>intervention en cas d</w:t>
      </w:r>
      <w:r w:rsidR="00357220" w:rsidRPr="00E33B0E">
        <w:t>'</w:t>
      </w:r>
      <w:r w:rsidRPr="00E33B0E">
        <w:t xml:space="preserve">incident informatique (CIRT), contre 109 en 2020. De plus, 127 pays ont mis en </w:t>
      </w:r>
      <w:r w:rsidR="002A28ED" w:rsidRPr="00E33B0E">
        <w:t>œuvre</w:t>
      </w:r>
      <w:r w:rsidRPr="00E33B0E">
        <w:t xml:space="preserve"> des stratégies et des plans d</w:t>
      </w:r>
      <w:r w:rsidR="00357220" w:rsidRPr="00E33B0E">
        <w:t>'</w:t>
      </w:r>
      <w:r w:rsidRPr="00E33B0E">
        <w:t>action nationaux en matière de cybersécurité, contre 107 en 2020.</w:t>
      </w:r>
    </w:p>
    <w:p w14:paraId="109BE4A1" w14:textId="20009F5A" w:rsidR="005853B8" w:rsidRPr="00E33B0E" w:rsidRDefault="005853B8" w:rsidP="00794B3B">
      <w:pPr>
        <w:pStyle w:val="Headingb"/>
      </w:pPr>
      <w:r w:rsidRPr="00E33B0E">
        <w:lastRenderedPageBreak/>
        <w:t>Cible 1.7</w:t>
      </w:r>
      <w:r w:rsidR="00C91188" w:rsidRPr="00E33B0E">
        <w:t xml:space="preserve"> – </w:t>
      </w:r>
      <w:r w:rsidRPr="00E33B0E">
        <w:t>Accès universel à l'Internet pour toutes les personnes</w:t>
      </w:r>
    </w:p>
    <w:p w14:paraId="479EA27E" w14:textId="48647743" w:rsidR="005853B8" w:rsidRPr="00E33B0E" w:rsidRDefault="005853B8" w:rsidP="00794B3B">
      <w:pPr>
        <w:keepNext/>
        <w:keepLines/>
      </w:pPr>
      <w:r w:rsidRPr="00E33B0E">
        <w:t>En 2024, le nombre d</w:t>
      </w:r>
      <w:r w:rsidR="00357220" w:rsidRPr="00E33B0E">
        <w:t>'</w:t>
      </w:r>
      <w:r w:rsidRPr="00E33B0E">
        <w:t>abonnements actifs au large bande mobile dans le monde a atteint</w:t>
      </w:r>
      <w:r w:rsidR="002A28ED" w:rsidRPr="00E33B0E">
        <w:t> </w:t>
      </w:r>
      <w:r w:rsidRPr="00E33B0E">
        <w:t>94,6 pour 100 habitants, ce qui témoigne d</w:t>
      </w:r>
      <w:r w:rsidR="00357220" w:rsidRPr="00E33B0E">
        <w:t>'</w:t>
      </w:r>
      <w:r w:rsidRPr="00E33B0E">
        <w:t>une croissance constante. Les pays à revenu élevé sont parvenus à une couverture quasi-universelle, avec un taux de 152,7%, alors que les pays à faible revenu, malgré une croissance rapide, n</w:t>
      </w:r>
      <w:r w:rsidR="00357220" w:rsidRPr="00E33B0E">
        <w:t>'</w:t>
      </w:r>
      <w:r w:rsidRPr="00E33B0E">
        <w:t>ont atteint que 40,1%. Cette fracture numérique persistante met en évidence le défi que représente la réalisation de la connectivité universelle.</w:t>
      </w:r>
    </w:p>
    <w:p w14:paraId="5DB20580" w14:textId="4F7B2424" w:rsidR="006353DE" w:rsidRPr="00E33B0E" w:rsidRDefault="005853B8" w:rsidP="00794B3B">
      <w:pPr>
        <w:pStyle w:val="Figuretitle"/>
        <w:spacing w:after="120"/>
      </w:pPr>
      <w:r w:rsidRPr="00E33B0E">
        <w:t xml:space="preserve">Pourcentage de personnes utilisant l'Internet (par zone urbaine/rurale; </w:t>
      </w:r>
      <w:r w:rsidR="00086364" w:rsidRPr="00E33B0E">
        <w:br/>
      </w:r>
      <w:r w:rsidRPr="00E33B0E">
        <w:t>agrégé par niveau de développement pour 2021-2024)</w:t>
      </w:r>
    </w:p>
    <w:p w14:paraId="70EDAA11" w14:textId="34D7A5A3" w:rsidR="006353DE" w:rsidRPr="00E33B0E" w:rsidRDefault="003F4489" w:rsidP="003F4489">
      <w:pPr>
        <w:pStyle w:val="Figure"/>
      </w:pPr>
      <w:r w:rsidRPr="00E33B0E">
        <w:rPr>
          <w:noProof/>
        </w:rPr>
        <w:drawing>
          <wp:inline distT="0" distB="0" distL="0" distR="0" wp14:anchorId="409AE366" wp14:editId="79A75CA2">
            <wp:extent cx="5760085" cy="2677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677160"/>
                    </a:xfrm>
                    <a:prstGeom prst="rect">
                      <a:avLst/>
                    </a:prstGeom>
                    <a:noFill/>
                    <a:ln>
                      <a:noFill/>
                    </a:ln>
                  </pic:spPr>
                </pic:pic>
              </a:graphicData>
            </a:graphic>
          </wp:inline>
        </w:drawing>
      </w:r>
    </w:p>
    <w:p w14:paraId="4978D03D" w14:textId="40663E8D" w:rsidR="00126A67" w:rsidRPr="00E33B0E" w:rsidRDefault="00126A67" w:rsidP="00126A67">
      <w:pPr>
        <w:pStyle w:val="Figurelegend"/>
        <w:jc w:val="center"/>
      </w:pPr>
      <w:r w:rsidRPr="00E33B0E">
        <w:t xml:space="preserve">Adapté de </w:t>
      </w:r>
      <w:r w:rsidRPr="00E33B0E">
        <w:rPr>
          <w:b/>
          <w:bCs/>
        </w:rPr>
        <w:t>Faits et chiffres</w:t>
      </w:r>
      <w:r w:rsidRPr="00E33B0E">
        <w:t xml:space="preserve">. Voir le </w:t>
      </w:r>
      <w:hyperlink r:id="rId39" w:anchor="chart-1" w:history="1">
        <w:r w:rsidRPr="00E33B0E">
          <w:rPr>
            <w:rStyle w:val="Hyperlink"/>
            <w:rFonts w:eastAsia="Times New Roman" w:cs="Times New Roman"/>
            <w:szCs w:val="20"/>
          </w:rPr>
          <w:t>graphique interactif sur l'utilisation de l'Internet</w:t>
        </w:r>
      </w:hyperlink>
    </w:p>
    <w:p w14:paraId="3AD983F6" w14:textId="77777777" w:rsidR="00126A67" w:rsidRPr="00E33B0E" w:rsidRDefault="00126A67" w:rsidP="00126A67">
      <w:pPr>
        <w:pStyle w:val="Heading2"/>
      </w:pPr>
      <w:bookmarkStart w:id="7" w:name="_Toc199753879"/>
      <w:r w:rsidRPr="00E33B0E">
        <w:t>3.2</w:t>
      </w:r>
      <w:r w:rsidRPr="00E33B0E">
        <w:tab/>
        <w:t>Transformation numérique durable</w:t>
      </w:r>
      <w:bookmarkEnd w:id="7"/>
    </w:p>
    <w:p w14:paraId="45A83900" w14:textId="23876F2C" w:rsidR="00126A67" w:rsidRPr="00E33B0E" w:rsidRDefault="00126A67" w:rsidP="00126A67">
      <w:r w:rsidRPr="00E33B0E">
        <w:t>Les initiatives de l</w:t>
      </w:r>
      <w:r w:rsidR="00357220" w:rsidRPr="00E33B0E">
        <w:t>'</w:t>
      </w:r>
      <w:r w:rsidRPr="00E33B0E">
        <w:t>UIT en faveur de la transformation numérique comprennent des cibles précises visant à combler toutes les fractures numériques, à renforcer les compétences numériques, à améliorer les services en ligne (des entreprises et des pouvoirs publics) et à renforcer l</w:t>
      </w:r>
      <w:r w:rsidR="00357220" w:rsidRPr="00E33B0E">
        <w:t>'</w:t>
      </w:r>
      <w:r w:rsidRPr="00E33B0E">
        <w:t>action en faveur du climat et de l</w:t>
      </w:r>
      <w:r w:rsidR="00357220" w:rsidRPr="00E33B0E">
        <w:t>'</w:t>
      </w:r>
      <w:r w:rsidRPr="00E33B0E">
        <w:t>environnement grâce aux technologies numériques.</w:t>
      </w:r>
    </w:p>
    <w:p w14:paraId="619F9D86" w14:textId="5AD9EE39" w:rsidR="00126A67" w:rsidRPr="00E33B0E" w:rsidRDefault="00126A67" w:rsidP="00E245AD">
      <w:pPr>
        <w:pStyle w:val="Headingb"/>
        <w:keepNext w:val="0"/>
        <w:keepLines w:val="0"/>
        <w:widowControl w:val="0"/>
        <w:tabs>
          <w:tab w:val="clear" w:pos="567"/>
        </w:tabs>
        <w:ind w:left="0" w:firstLine="0"/>
      </w:pPr>
      <w:r w:rsidRPr="00E33B0E">
        <w:t>Cible 2.1</w:t>
      </w:r>
      <w:r w:rsidR="00C91188" w:rsidRPr="00E33B0E">
        <w:t xml:space="preserve"> – </w:t>
      </w:r>
      <w:r w:rsidRPr="00E33B0E">
        <w:t>Réduction de toutes les fractures numériques (en particulier entre les hommes et les femmes, en fonction de l'âge et entre les zones urbaines et les zones rurales)</w:t>
      </w:r>
    </w:p>
    <w:p w14:paraId="34AE7C1C" w14:textId="66A4C096" w:rsidR="006353DE" w:rsidRPr="00E33B0E" w:rsidRDefault="00126A67" w:rsidP="00E245AD">
      <w:pPr>
        <w:widowControl w:val="0"/>
      </w:pPr>
      <w:r w:rsidRPr="00E33B0E">
        <w:t>Cette cible, qui vise à réduire toutes les fractures numériques, enregistre des progrès inégaux selon les critères d</w:t>
      </w:r>
      <w:r w:rsidR="00357220" w:rsidRPr="00E33B0E">
        <w:t>'</w:t>
      </w:r>
      <w:r w:rsidRPr="00E33B0E">
        <w:t>agrégation retenus, tels que le sexe, l</w:t>
      </w:r>
      <w:r w:rsidR="00357220" w:rsidRPr="00E33B0E">
        <w:t>'</w:t>
      </w:r>
      <w:r w:rsidRPr="00E33B0E">
        <w:t>âge et le type de zone (rurale ou urbaine). Cela indique que les progrès réalisés dans le domaine de l</w:t>
      </w:r>
      <w:r w:rsidR="00357220" w:rsidRPr="00E33B0E">
        <w:t>'</w:t>
      </w:r>
      <w:r w:rsidRPr="00E33B0E">
        <w:t>accès au numérique ne sont pas uniformes, d</w:t>
      </w:r>
      <w:r w:rsidR="00357220" w:rsidRPr="00E33B0E">
        <w:t>'</w:t>
      </w:r>
      <w:r w:rsidRPr="00E33B0E">
        <w:t>où la nécessité d</w:t>
      </w:r>
      <w:r w:rsidR="00357220" w:rsidRPr="00E33B0E">
        <w:t>'</w:t>
      </w:r>
      <w:r w:rsidRPr="00E33B0E">
        <w:t>élaborer des stratégies ciblées pour combler certaines lacunes. À titre d</w:t>
      </w:r>
      <w:r w:rsidR="00357220" w:rsidRPr="00E33B0E">
        <w:t>'</w:t>
      </w:r>
      <w:r w:rsidRPr="00E33B0E">
        <w:t>exemple, en 2024, 70% des hommes et 65% des femmes utilisaient l'Internet à l</w:t>
      </w:r>
      <w:r w:rsidR="00357220" w:rsidRPr="00E33B0E">
        <w:t>'</w:t>
      </w:r>
      <w:r w:rsidRPr="00E33B0E">
        <w:t>échelle mondiale, ce qui signifie que le nombre d</w:t>
      </w:r>
      <w:r w:rsidR="00357220" w:rsidRPr="00E33B0E">
        <w:t>'</w:t>
      </w:r>
      <w:r w:rsidRPr="00E33B0E">
        <w:t>internautes hommes était supérieur de 189 millions au nombre de femmes utilisant l</w:t>
      </w:r>
      <w:r w:rsidR="00357220" w:rsidRPr="00E33B0E">
        <w:t>'</w:t>
      </w:r>
      <w:r w:rsidRPr="00E33B0E">
        <w:t>Internet. On parle de parité hommes-femmes lorsque l'indice de parité, défini comme le pourcentage de femmes divisé par le pourcentage d'hommes, se situe entre 0,98 et 1,02. Comme c</w:t>
      </w:r>
      <w:r w:rsidR="00357220" w:rsidRPr="00E33B0E">
        <w:t>'</w:t>
      </w:r>
      <w:r w:rsidRPr="00E33B0E">
        <w:t>est le cas pour l</w:t>
      </w:r>
      <w:r w:rsidR="00357220" w:rsidRPr="00E33B0E">
        <w:t>'</w:t>
      </w:r>
      <w:r w:rsidRPr="00E33B0E">
        <w:t>utilisation de l</w:t>
      </w:r>
      <w:r w:rsidR="00357220" w:rsidRPr="00E33B0E">
        <w:t>'</w:t>
      </w:r>
      <w:r w:rsidRPr="00E33B0E">
        <w:t>Internet en général, la parité hommes</w:t>
      </w:r>
      <w:r w:rsidR="00357220" w:rsidRPr="00E33B0E">
        <w:t>-</w:t>
      </w:r>
      <w:r w:rsidRPr="00E33B0E">
        <w:t xml:space="preserve">femmes est étroitement corrélée avec le niveau de développement (voir le rapport </w:t>
      </w:r>
      <w:hyperlink r:id="rId40" w:history="1">
        <w:r w:rsidR="007A6E7B" w:rsidRPr="00E33B0E">
          <w:rPr>
            <w:rStyle w:val="Hyperlink"/>
            <w:rFonts w:eastAsia="Times New Roman" w:cs="Times New Roman"/>
            <w:szCs w:val="20"/>
          </w:rPr>
          <w:t>"</w:t>
        </w:r>
        <w:r w:rsidRPr="00E33B0E">
          <w:rPr>
            <w:rStyle w:val="Hyperlink"/>
            <w:rFonts w:eastAsia="Times New Roman" w:cs="Times New Roman"/>
            <w:szCs w:val="20"/>
          </w:rPr>
          <w:t>Faits et chiffres</w:t>
        </w:r>
        <w:r w:rsidR="007A6E7B" w:rsidRPr="00E33B0E">
          <w:rPr>
            <w:rStyle w:val="Hyperlink"/>
            <w:rFonts w:eastAsia="Times New Roman" w:cs="Times New Roman"/>
            <w:szCs w:val="20"/>
          </w:rPr>
          <w:t>"</w:t>
        </w:r>
        <w:r w:rsidRPr="00E33B0E">
          <w:rPr>
            <w:rStyle w:val="Hyperlink"/>
            <w:rFonts w:eastAsia="Times New Roman" w:cs="Times New Roman"/>
            <w:szCs w:val="20"/>
          </w:rPr>
          <w:t xml:space="preserve"> pour 2024</w:t>
        </w:r>
      </w:hyperlink>
      <w:r w:rsidRPr="00E33B0E">
        <w:t>).</w:t>
      </w:r>
    </w:p>
    <w:p w14:paraId="272B03F3" w14:textId="2638F566" w:rsidR="006353DE" w:rsidRPr="00E33B0E" w:rsidRDefault="00126A67" w:rsidP="00AC4EB9">
      <w:pPr>
        <w:pStyle w:val="Figuretitle"/>
        <w:spacing w:after="240"/>
      </w:pPr>
      <w:r w:rsidRPr="00E33B0E">
        <w:lastRenderedPageBreak/>
        <w:t xml:space="preserve">Pourcentage de personnes qui utilisent l'Internet, ventilé par sexe et </w:t>
      </w:r>
      <w:r w:rsidR="007A6E7B" w:rsidRPr="00E33B0E">
        <w:br/>
      </w:r>
      <w:r w:rsidRPr="00E33B0E">
        <w:t>agrégé par niveau de développement pour 2019-2024</w:t>
      </w:r>
    </w:p>
    <w:p w14:paraId="08621E39" w14:textId="496C4CA8" w:rsidR="006353DE" w:rsidRPr="00E33B0E" w:rsidRDefault="00BA75DB" w:rsidP="00BA75DB">
      <w:pPr>
        <w:pStyle w:val="Figure"/>
      </w:pPr>
      <w:r w:rsidRPr="00E33B0E">
        <w:rPr>
          <w:noProof/>
        </w:rPr>
        <w:drawing>
          <wp:inline distT="0" distB="0" distL="0" distR="0" wp14:anchorId="1C3D9E9F" wp14:editId="33C41ED6">
            <wp:extent cx="5760085" cy="271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2717800"/>
                    </a:xfrm>
                    <a:prstGeom prst="rect">
                      <a:avLst/>
                    </a:prstGeom>
                    <a:noFill/>
                    <a:ln>
                      <a:noFill/>
                    </a:ln>
                  </pic:spPr>
                </pic:pic>
              </a:graphicData>
            </a:graphic>
          </wp:inline>
        </w:drawing>
      </w:r>
    </w:p>
    <w:p w14:paraId="79AB7547" w14:textId="3C7B8ADE" w:rsidR="007A6E7B" w:rsidRPr="00E33B0E" w:rsidRDefault="0054558B" w:rsidP="0054558B">
      <w:pPr>
        <w:pStyle w:val="Figurelegend"/>
        <w:jc w:val="center"/>
      </w:pPr>
      <w:r w:rsidRPr="00E33B0E">
        <w:t xml:space="preserve">Adapté de </w:t>
      </w:r>
      <w:r w:rsidRPr="00E33B0E">
        <w:rPr>
          <w:b/>
          <w:bCs/>
        </w:rPr>
        <w:t>Faits et chiffres</w:t>
      </w:r>
      <w:r w:rsidRPr="00E33B0E">
        <w:t xml:space="preserve">. Voir le </w:t>
      </w:r>
      <w:hyperlink r:id="rId42" w:anchor="chart-3" w:history="1">
        <w:r w:rsidRPr="00E33B0E">
          <w:rPr>
            <w:rStyle w:val="Hyperlink"/>
            <w:rFonts w:eastAsia="Times New Roman" w:cs="Times New Roman"/>
            <w:szCs w:val="20"/>
          </w:rPr>
          <w:t>graphique interactif sur l'utilisation de l'Internet</w:t>
        </w:r>
      </w:hyperlink>
    </w:p>
    <w:p w14:paraId="5BA22BE7" w14:textId="244B093F" w:rsidR="007A6E7B" w:rsidRPr="00E33B0E" w:rsidRDefault="0042094A" w:rsidP="00AC4EB9">
      <w:pPr>
        <w:pStyle w:val="Figuretitle"/>
        <w:spacing w:after="240"/>
      </w:pPr>
      <w:r w:rsidRPr="00E33B0E">
        <w:t>Pourcentage de particuliers utilisant l'Internet, ventilé</w:t>
      </w:r>
      <w:r w:rsidR="00E245AD" w:rsidRPr="00E33B0E">
        <w:br/>
      </w:r>
      <w:r w:rsidRPr="00E33B0E">
        <w:t>par sexe et agrégé par région pour 2021-2024</w:t>
      </w:r>
    </w:p>
    <w:p w14:paraId="487DFE24" w14:textId="738937E3" w:rsidR="007A6E7B" w:rsidRPr="00E33B0E" w:rsidRDefault="00B758F3" w:rsidP="00B758F3">
      <w:pPr>
        <w:pStyle w:val="Figure"/>
      </w:pPr>
      <w:r w:rsidRPr="00E33B0E">
        <w:rPr>
          <w:noProof/>
        </w:rPr>
        <w:drawing>
          <wp:inline distT="0" distB="0" distL="0" distR="0" wp14:anchorId="576EB6FC" wp14:editId="05DFB4AA">
            <wp:extent cx="5760085" cy="2914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2914650"/>
                    </a:xfrm>
                    <a:prstGeom prst="rect">
                      <a:avLst/>
                    </a:prstGeom>
                    <a:noFill/>
                    <a:ln>
                      <a:noFill/>
                    </a:ln>
                  </pic:spPr>
                </pic:pic>
              </a:graphicData>
            </a:graphic>
          </wp:inline>
        </w:drawing>
      </w:r>
    </w:p>
    <w:p w14:paraId="76217041" w14:textId="0222DFB3" w:rsidR="007279B0" w:rsidRPr="00E33B0E" w:rsidRDefault="007279B0" w:rsidP="007279B0">
      <w:pPr>
        <w:pStyle w:val="Figurelegend"/>
        <w:jc w:val="center"/>
      </w:pPr>
      <w:r w:rsidRPr="00E33B0E">
        <w:t xml:space="preserve">Adapté de </w:t>
      </w:r>
      <w:r w:rsidRPr="00E33B0E">
        <w:rPr>
          <w:b/>
          <w:bCs/>
        </w:rPr>
        <w:t>Faits et chiffres</w:t>
      </w:r>
      <w:r w:rsidRPr="00E33B0E">
        <w:t xml:space="preserve">. Voir le </w:t>
      </w:r>
      <w:hyperlink r:id="rId44" w:anchor="chart-1%22" w:history="1">
        <w:r w:rsidRPr="00E33B0E">
          <w:rPr>
            <w:rStyle w:val="Hyperlink"/>
            <w:rFonts w:eastAsia="Times New Roman" w:cs="Times New Roman"/>
            <w:szCs w:val="20"/>
          </w:rPr>
          <w:t>graphique interactif sur l'utilisation de l'Internet</w:t>
        </w:r>
      </w:hyperlink>
    </w:p>
    <w:p w14:paraId="7BDC6725" w14:textId="27832934" w:rsidR="007279B0" w:rsidRPr="00E33B0E" w:rsidRDefault="007279B0" w:rsidP="007279B0">
      <w:r w:rsidRPr="00E33B0E">
        <w:t>Récemment, la tendance mondiale s</w:t>
      </w:r>
      <w:r w:rsidR="00357220" w:rsidRPr="00E33B0E">
        <w:t>'</w:t>
      </w:r>
      <w:r w:rsidRPr="00E33B0E">
        <w:t>est progressivement orientée vers la parité</w:t>
      </w:r>
      <w:r w:rsidR="005B615C" w:rsidRPr="00E33B0E">
        <w:t xml:space="preserve"> </w:t>
      </w:r>
      <w:r w:rsidRPr="00E33B0E">
        <w:t>hommes</w:t>
      </w:r>
      <w:r w:rsidR="005B615C" w:rsidRPr="00E33B0E">
        <w:noBreakHyphen/>
      </w:r>
      <w:r w:rsidRPr="00E33B0E">
        <w:t>femmes, le score de parité passant de 0,91 en 2019 à 0,94 en 2024. Cette amélioration s</w:t>
      </w:r>
      <w:r w:rsidR="00357220" w:rsidRPr="00E33B0E">
        <w:t>'</w:t>
      </w:r>
      <w:r w:rsidRPr="00E33B0E">
        <w:t>observe dans différentes régions et différents groupes de pays, à l</w:t>
      </w:r>
      <w:r w:rsidR="00357220" w:rsidRPr="00E33B0E">
        <w:t>'</w:t>
      </w:r>
      <w:r w:rsidRPr="00E33B0E">
        <w:t>exception des pays les moins avancés (PMA), où la parité hommes-femmes a reculé, passant de</w:t>
      </w:r>
      <w:r w:rsidR="005B615C" w:rsidRPr="00E33B0E">
        <w:t> </w:t>
      </w:r>
      <w:r w:rsidRPr="00E33B0E">
        <w:t>0,74</w:t>
      </w:r>
      <w:r w:rsidR="005B615C" w:rsidRPr="00E33B0E">
        <w:t> </w:t>
      </w:r>
      <w:r w:rsidRPr="00E33B0E">
        <w:t>en 2019 à 0,70 en 2024.</w:t>
      </w:r>
    </w:p>
    <w:p w14:paraId="516DE842" w14:textId="506CDBB1" w:rsidR="007279B0" w:rsidRPr="00E33B0E" w:rsidRDefault="007279B0" w:rsidP="00E245AD">
      <w:pPr>
        <w:keepLines/>
      </w:pPr>
      <w:r w:rsidRPr="00E33B0E">
        <w:lastRenderedPageBreak/>
        <w:t>Dans le groupe des petits États insulaires en développement (PEID), le score de parité hommes-femmes a légèrement diminué, s</w:t>
      </w:r>
      <w:r w:rsidR="00357220" w:rsidRPr="00E33B0E">
        <w:t>'</w:t>
      </w:r>
      <w:r w:rsidRPr="00E33B0E">
        <w:t>établissant légèrement en-dessous de 1, ce qui indique que les femmes sont plus nombreuses que les hommes à utiliser l</w:t>
      </w:r>
      <w:r w:rsidR="00357220" w:rsidRPr="00E33B0E">
        <w:t>'</w:t>
      </w:r>
      <w:r w:rsidRPr="00E33B0E">
        <w:t>Internet, à exactement 1 en 2024, ce qui reflète une parité parfaite entre les hommes et les femmes. Il est à noter que les PEID constituent un exemple d</w:t>
      </w:r>
      <w:r w:rsidR="00357220" w:rsidRPr="00E33B0E">
        <w:t>'</w:t>
      </w:r>
      <w:r w:rsidRPr="00E33B0E">
        <w:t>exception positive à la corrélation que l</w:t>
      </w:r>
      <w:r w:rsidR="00357220" w:rsidRPr="00E33B0E">
        <w:t>'</w:t>
      </w:r>
      <w:r w:rsidRPr="00E33B0E">
        <w:t>on constate habituellement entre la parité hommes-femmes et l</w:t>
      </w:r>
      <w:r w:rsidR="00357220" w:rsidRPr="00E33B0E">
        <w:t>'</w:t>
      </w:r>
      <w:r w:rsidRPr="00E33B0E">
        <w:t>utilisation générale de l</w:t>
      </w:r>
      <w:r w:rsidR="00357220" w:rsidRPr="00E33B0E">
        <w:t>'</w:t>
      </w:r>
      <w:r w:rsidRPr="00E33B0E">
        <w:t>Internet, car ces pays ont atteint la parité alors que moins des deux tiers de leur population ont accès à l</w:t>
      </w:r>
      <w:r w:rsidR="00357220" w:rsidRPr="00E33B0E">
        <w:t>'</w:t>
      </w:r>
      <w:r w:rsidRPr="00E33B0E">
        <w:t>Internet.</w:t>
      </w:r>
    </w:p>
    <w:p w14:paraId="00740286" w14:textId="41922709" w:rsidR="007279B0" w:rsidRPr="00E33B0E" w:rsidRDefault="007279B0" w:rsidP="007279B0">
      <w:r w:rsidRPr="00E33B0E">
        <w:t>Parmi les six régions du monde de l</w:t>
      </w:r>
      <w:r w:rsidR="00357220" w:rsidRPr="00E33B0E">
        <w:t>'</w:t>
      </w:r>
      <w:r w:rsidRPr="00E33B0E">
        <w:t xml:space="preserve">UIT, la parité hommes-femmes a été atteinte dans la région Amériques, en Europe et dans la Communauté des </w:t>
      </w:r>
      <w:r w:rsidR="005C0222" w:rsidRPr="00E33B0E">
        <w:t>États</w:t>
      </w:r>
      <w:r w:rsidRPr="00E33B0E">
        <w:t xml:space="preserve"> indépendants (CEI). La région</w:t>
      </w:r>
      <w:r w:rsidR="005B615C" w:rsidRPr="00E33B0E">
        <w:t> </w:t>
      </w:r>
      <w:r w:rsidRPr="00E33B0E">
        <w:t>Asie-Pacifique progresse rapidement, son score de parité hommes-femmes étant passé de</w:t>
      </w:r>
      <w:r w:rsidR="009E74EB" w:rsidRPr="00E33B0E">
        <w:t> </w:t>
      </w:r>
      <w:r w:rsidRPr="00E33B0E">
        <w:t>0,89 en 2019 à 0,95 en 2024. En revanche, les États arabes n</w:t>
      </w:r>
      <w:r w:rsidR="00357220" w:rsidRPr="00E33B0E">
        <w:t>'</w:t>
      </w:r>
      <w:r w:rsidRPr="00E33B0E">
        <w:t>ont pas connu d</w:t>
      </w:r>
      <w:r w:rsidR="00357220" w:rsidRPr="00E33B0E">
        <w:t>'</w:t>
      </w:r>
      <w:r w:rsidRPr="00E33B0E">
        <w:t>amélioration et ont maintenu un score de 0,86 au cours de cette période. Bien que la région Afrique enregistre des progrès, elle accuse encore un retard considérable par rapport aux autres régions.</w:t>
      </w:r>
    </w:p>
    <w:p w14:paraId="7D917A49" w14:textId="5EA637FB" w:rsidR="007279B0" w:rsidRPr="00E33B0E" w:rsidRDefault="007279B0" w:rsidP="005B615C">
      <w:r w:rsidRPr="00E33B0E">
        <w:t>S</w:t>
      </w:r>
      <w:r w:rsidR="00357220" w:rsidRPr="00E33B0E">
        <w:t>'</w:t>
      </w:r>
      <w:r w:rsidRPr="00E33B0E">
        <w:t>agissant de l</w:t>
      </w:r>
      <w:r w:rsidR="00357220" w:rsidRPr="00E33B0E">
        <w:t>'</w:t>
      </w:r>
      <w:r w:rsidRPr="00E33B0E">
        <w:t>utilisation de l</w:t>
      </w:r>
      <w:r w:rsidR="00357220" w:rsidRPr="00E33B0E">
        <w:t>'</w:t>
      </w:r>
      <w:r w:rsidRPr="00E33B0E">
        <w:t>Internet par tranche d</w:t>
      </w:r>
      <w:r w:rsidR="00357220" w:rsidRPr="00E33B0E">
        <w:t>'</w:t>
      </w:r>
      <w:r w:rsidRPr="00E33B0E">
        <w:t>âge, 79% des personnes âgées de</w:t>
      </w:r>
      <w:r w:rsidR="005B615C" w:rsidRPr="00E33B0E">
        <w:t> </w:t>
      </w:r>
      <w:r w:rsidRPr="00E33B0E">
        <w:t>15</w:t>
      </w:r>
      <w:r w:rsidR="005B615C" w:rsidRPr="00E33B0E">
        <w:t> </w:t>
      </w:r>
      <w:r w:rsidRPr="00E33B0E">
        <w:t>à</w:t>
      </w:r>
      <w:r w:rsidR="005C0222" w:rsidRPr="00E33B0E">
        <w:t> </w:t>
      </w:r>
      <w:r w:rsidRPr="00E33B0E">
        <w:t>24 ans sont connectées, soit 13 points de pourcentage de plus que pour l</w:t>
      </w:r>
      <w:r w:rsidR="00357220" w:rsidRPr="00E33B0E">
        <w:t>'</w:t>
      </w:r>
      <w:r w:rsidRPr="00E33B0E">
        <w:t>ensemble de la population (66%). Cette disparité existe dans toutes les régions, mais elle s</w:t>
      </w:r>
      <w:r w:rsidR="00357220" w:rsidRPr="00E33B0E">
        <w:t>'</w:t>
      </w:r>
      <w:r w:rsidRPr="00E33B0E">
        <w:t>est progressivement atténuée au cours des quatre dernières années.</w:t>
      </w:r>
    </w:p>
    <w:p w14:paraId="510D37C8" w14:textId="1E2CAD36" w:rsidR="007279B0" w:rsidRPr="00E33B0E" w:rsidRDefault="007279B0" w:rsidP="005B615C">
      <w:r w:rsidRPr="00E33B0E">
        <w:t>Dans les pays à faible revenu, les jeunes âgés de 15 à 24 ans ont 1,9 fois plus de chances d</w:t>
      </w:r>
      <w:r w:rsidR="00357220" w:rsidRPr="00E33B0E">
        <w:t>'</w:t>
      </w:r>
      <w:r w:rsidRPr="00E33B0E">
        <w:t>utiliser l</w:t>
      </w:r>
      <w:r w:rsidR="00357220" w:rsidRPr="00E33B0E">
        <w:t>'</w:t>
      </w:r>
      <w:r w:rsidRPr="00E33B0E">
        <w:t>Internet que les autres individus. Bien qu</w:t>
      </w:r>
      <w:r w:rsidR="00357220" w:rsidRPr="00E33B0E">
        <w:t>'</w:t>
      </w:r>
      <w:r w:rsidRPr="00E33B0E">
        <w:t>il s</w:t>
      </w:r>
      <w:r w:rsidR="00357220" w:rsidRPr="00E33B0E">
        <w:t>'</w:t>
      </w:r>
      <w:r w:rsidRPr="00E33B0E">
        <w:t>agisse de l</w:t>
      </w:r>
      <w:r w:rsidR="00357220" w:rsidRPr="00E33B0E">
        <w:t>'</w:t>
      </w:r>
      <w:r w:rsidRPr="00E33B0E">
        <w:t>écart le plus important parmi tous les groupes de revenus, il s</w:t>
      </w:r>
      <w:r w:rsidR="00357220" w:rsidRPr="00E33B0E">
        <w:t>'</w:t>
      </w:r>
      <w:r w:rsidRPr="00E33B0E">
        <w:t>agit d</w:t>
      </w:r>
      <w:r w:rsidR="00357220" w:rsidRPr="00E33B0E">
        <w:t>'</w:t>
      </w:r>
      <w:r w:rsidRPr="00E33B0E">
        <w:t>une légère amélioration par rapport à 2021, où cette probabilité était de 2,2.</w:t>
      </w:r>
    </w:p>
    <w:p w14:paraId="0321E361" w14:textId="2FCC1FFC" w:rsidR="007279B0" w:rsidRPr="00E33B0E" w:rsidRDefault="007279B0" w:rsidP="005B615C">
      <w:r w:rsidRPr="00E33B0E">
        <w:t>D</w:t>
      </w:r>
      <w:r w:rsidR="00357220" w:rsidRPr="00E33B0E">
        <w:t>'</w:t>
      </w:r>
      <w:r w:rsidRPr="00E33B0E">
        <w:t>importantes disparités subsistent en matière d</w:t>
      </w:r>
      <w:r w:rsidR="00357220" w:rsidRPr="00E33B0E">
        <w:t>'</w:t>
      </w:r>
      <w:r w:rsidRPr="00E33B0E">
        <w:t>utilisation de l</w:t>
      </w:r>
      <w:r w:rsidR="00357220" w:rsidRPr="00E33B0E">
        <w:t>'</w:t>
      </w:r>
      <w:r w:rsidRPr="00E33B0E">
        <w:t>Internet entre les zones urbaines et les zones rurales. En 2024, 83% des personnes vivant en milieu urbaine utilisaient l</w:t>
      </w:r>
      <w:r w:rsidR="00357220" w:rsidRPr="00E33B0E">
        <w:t>'</w:t>
      </w:r>
      <w:r w:rsidRPr="00E33B0E">
        <w:t>Internet, tandis que moins de la moitié de la population rurale (48%) était connectée. Parmi les 2,6 milliards de personnes qui n</w:t>
      </w:r>
      <w:r w:rsidR="00357220" w:rsidRPr="00E33B0E">
        <w:t>'</w:t>
      </w:r>
      <w:r w:rsidRPr="00E33B0E">
        <w:t>utilisent pas l</w:t>
      </w:r>
      <w:r w:rsidR="00357220" w:rsidRPr="00E33B0E">
        <w:t>'</w:t>
      </w:r>
      <w:r w:rsidRPr="00E33B0E">
        <w:t>Internet, 1,8 milliard vivent dans les zones rurales, contre 800 millions dans les zones urbaines.</w:t>
      </w:r>
    </w:p>
    <w:p w14:paraId="461CAD0C" w14:textId="46716D45" w:rsidR="007279B0" w:rsidRPr="00E33B0E" w:rsidRDefault="007279B0" w:rsidP="007279B0">
      <w:r w:rsidRPr="00E33B0E">
        <w:t>Au cours des quatre dernières années, l</w:t>
      </w:r>
      <w:r w:rsidR="00357220" w:rsidRPr="00E33B0E">
        <w:t>'</w:t>
      </w:r>
      <w:r w:rsidRPr="00E33B0E">
        <w:t>écart entre les zones urbaines et zones rurales en matière d</w:t>
      </w:r>
      <w:r w:rsidR="00357220" w:rsidRPr="00E33B0E">
        <w:t>'</w:t>
      </w:r>
      <w:r w:rsidRPr="00E33B0E">
        <w:t>utilisation de l</w:t>
      </w:r>
      <w:r w:rsidR="00357220" w:rsidRPr="00E33B0E">
        <w:t>'</w:t>
      </w:r>
      <w:r w:rsidRPr="00E33B0E">
        <w:t>Internet, quantifié comme le rapport entre le nombre d</w:t>
      </w:r>
      <w:r w:rsidR="00357220" w:rsidRPr="00E33B0E">
        <w:t>'</w:t>
      </w:r>
      <w:r w:rsidRPr="00E33B0E">
        <w:t>internautes urbain et le nombre d</w:t>
      </w:r>
      <w:r w:rsidR="00357220" w:rsidRPr="00E33B0E">
        <w:t>'</w:t>
      </w:r>
      <w:r w:rsidRPr="00E33B0E">
        <w:t>internautes ruraux, est resté stable, s</w:t>
      </w:r>
      <w:r w:rsidR="00357220" w:rsidRPr="00E33B0E">
        <w:t>'</w:t>
      </w:r>
      <w:r w:rsidRPr="00E33B0E">
        <w:t>établissant à 1,7. Cet écart est plus faible dans les régions à fort taux de pénétration de l</w:t>
      </w:r>
      <w:r w:rsidR="00357220" w:rsidRPr="00E33B0E">
        <w:t>'</w:t>
      </w:r>
      <w:r w:rsidRPr="00E33B0E">
        <w:t>Internet, comme l</w:t>
      </w:r>
      <w:r w:rsidR="00357220" w:rsidRPr="00E33B0E">
        <w:t>'</w:t>
      </w:r>
      <w:r w:rsidRPr="00E33B0E">
        <w:t>Europe, où le ratio n</w:t>
      </w:r>
      <w:r w:rsidR="00357220" w:rsidRPr="00E33B0E">
        <w:t>'</w:t>
      </w:r>
      <w:r w:rsidRPr="00E33B0E">
        <w:t>est que de 1,1, alors qu</w:t>
      </w:r>
      <w:r w:rsidR="00357220" w:rsidRPr="00E33B0E">
        <w:t>'</w:t>
      </w:r>
      <w:r w:rsidRPr="00E33B0E">
        <w:t>en Afrique, il est nettement plus important (2,5). Dans l</w:t>
      </w:r>
      <w:r w:rsidR="00357220" w:rsidRPr="00E33B0E">
        <w:t>'</w:t>
      </w:r>
      <w:r w:rsidRPr="00E33B0E">
        <w:t>ensemble, les progrès vers la réduction de cet écart ont été modestes dans toutes les régions, la région Asie-Pacifique enregistrant une légère augmentation de l</w:t>
      </w:r>
      <w:r w:rsidR="00357220" w:rsidRPr="00E33B0E">
        <w:t>'</w:t>
      </w:r>
      <w:r w:rsidRPr="00E33B0E">
        <w:t>écart (de</w:t>
      </w:r>
      <w:r w:rsidR="00CF1A2F" w:rsidRPr="00E33B0E">
        <w:t> </w:t>
      </w:r>
      <w:r w:rsidRPr="00E33B0E">
        <w:t>1,6</w:t>
      </w:r>
      <w:r w:rsidR="00CF1A2F" w:rsidRPr="00E33B0E">
        <w:t> </w:t>
      </w:r>
      <w:r w:rsidRPr="00E33B0E">
        <w:t>à</w:t>
      </w:r>
      <w:r w:rsidR="005C0222" w:rsidRPr="00E33B0E">
        <w:t> </w:t>
      </w:r>
      <w:r w:rsidRPr="00E33B0E">
        <w:t>1,7).</w:t>
      </w:r>
    </w:p>
    <w:p w14:paraId="1582D38C" w14:textId="43CA6BD4" w:rsidR="007A6E7B" w:rsidRPr="00E33B0E" w:rsidRDefault="007279B0" w:rsidP="007279B0">
      <w:r w:rsidRPr="00E33B0E">
        <w:t>En revanche, dans les pays à revenu élevé, l</w:t>
      </w:r>
      <w:r w:rsidR="00357220" w:rsidRPr="00E33B0E">
        <w:t>'</w:t>
      </w:r>
      <w:r w:rsidRPr="00E33B0E">
        <w:t>écart est presque inexistant, avec un ratio moyen de 1,1. Dans les pays à faible revenu, en revanche, il reste très important, avec seulement un habitant sur six (16%) utilisant Internet dans les zones rurale, soit à peine un tiers du chiffre pour les habitants des zones urbaines.</w:t>
      </w:r>
    </w:p>
    <w:p w14:paraId="4FAABFDF" w14:textId="77777777" w:rsidR="0045595F" w:rsidRPr="00E33B0E" w:rsidRDefault="0045595F" w:rsidP="00794B3B">
      <w:pPr>
        <w:pStyle w:val="Headingb"/>
      </w:pPr>
      <w:r w:rsidRPr="00E33B0E">
        <w:lastRenderedPageBreak/>
        <w:t>Cible 2.2 – La majorité des personnes sont dotées de compétences numériques</w:t>
      </w:r>
    </w:p>
    <w:p w14:paraId="648F9D22" w14:textId="77777777" w:rsidR="0045595F" w:rsidRPr="00E33B0E" w:rsidRDefault="0045595F" w:rsidP="00794B3B">
      <w:pPr>
        <w:keepNext/>
        <w:keepLines/>
      </w:pPr>
      <w:r w:rsidRPr="00E33B0E">
        <w:t>Compétences numériques: si l'importance des compétences numériques pour mettre les technologies de l'information et de la communication (TIC) au service de la prospérité économique et du bien-être social n'est plus à prouver, les données restent très rares. Seuls 90 pays ont soumis des données depuis 2020, ces données portant rarement sur tous les domaines de compétence, et à peine 40 pays ont fourni des données comparables sur les niveaux de compétence en matière de TIC.</w:t>
      </w:r>
    </w:p>
    <w:p w14:paraId="748C1A5C" w14:textId="77777777" w:rsidR="0045595F" w:rsidRPr="00E33B0E" w:rsidRDefault="0045595F" w:rsidP="0045595F">
      <w:r w:rsidRPr="00E33B0E">
        <w:t>Concernant les progrès relatifs à la Cible 2.2 (La majorité des personnes sont dotées de compétences numériques), on observe l'apparition de nouvelles tendances en ce qui concerne les compétences en matière de TIC, malgré les écarts existants. Dans les pays ayant communiqué des données sur les compétences en matière de communication et de collaboration, plus de 80% des internautes possèdent au moins des compétences de communication de base, indépendamment du niveau d'utilisation global de l'Internet dans leurs pays respectifs.</w:t>
      </w:r>
    </w:p>
    <w:p w14:paraId="3DDC22AC" w14:textId="77777777" w:rsidR="0045595F" w:rsidRPr="00E33B0E" w:rsidRDefault="0045595F" w:rsidP="0045595F">
      <w:pPr>
        <w:pStyle w:val="Headingb"/>
      </w:pPr>
      <w:r w:rsidRPr="00E33B0E">
        <w:t>Cible 2.3 – Utilisation universelle des services Internet par les entreprises</w:t>
      </w:r>
    </w:p>
    <w:p w14:paraId="412B0603" w14:textId="77777777" w:rsidR="0045595F" w:rsidRPr="00E33B0E" w:rsidRDefault="0045595F" w:rsidP="0045595F">
      <w:r w:rsidRPr="00E33B0E">
        <w:t>La Conférence des Nations Unies sur le commerce et le développement (CNUCED) est responsable de cet indicateur. Toutefois, on ne dispose pas actuellement de moyennes mondiales en raison du manque de données.</w:t>
      </w:r>
    </w:p>
    <w:p w14:paraId="2A927FA7" w14:textId="77777777" w:rsidR="0045595F" w:rsidRPr="00E33B0E" w:rsidRDefault="0045595F" w:rsidP="0045595F">
      <w:pPr>
        <w:pStyle w:val="Headingb"/>
      </w:pPr>
      <w:r w:rsidRPr="00E33B0E">
        <w:t>Cible 2.4 – La majorité des personnes ont accès aux services publics en ligne</w:t>
      </w:r>
    </w:p>
    <w:p w14:paraId="5137E5FC" w14:textId="77777777" w:rsidR="0045595F" w:rsidRPr="00E33B0E" w:rsidRDefault="0045595F" w:rsidP="0045595F">
      <w:r w:rsidRPr="00E33B0E">
        <w:t>L'UIT est responsable de cet indicateur, mais on ne dispose pas encore de moyennes mondiales en raison du manque de données.</w:t>
      </w:r>
    </w:p>
    <w:p w14:paraId="687ED6DA" w14:textId="77777777" w:rsidR="0045595F" w:rsidRPr="00E33B0E" w:rsidRDefault="0045595F" w:rsidP="0045595F">
      <w:pPr>
        <w:pStyle w:val="Headingb"/>
      </w:pPr>
      <w:r w:rsidRPr="00E33B0E">
        <w:t>Cible 2.5 – Action en faveur du climat et de l'environnement</w:t>
      </w:r>
    </w:p>
    <w:p w14:paraId="65054F05" w14:textId="4114A363" w:rsidR="0045595F" w:rsidRPr="00E33B0E" w:rsidRDefault="0045595F" w:rsidP="0045595F">
      <w:r w:rsidRPr="00E33B0E">
        <w:t>Cette cible concerne principalement l'amélioration de la contribution des technologies à l'action climatique et environnementale, et met l'accent sur le besoin urgent d'assurer une gestion responsable des déchets d'équipements électriques et électroniques (DEEE), d'autant plus face à l'accélération de l'innovation dans le domaine du numérique. Selon le Rapport mondial sur les déchets d'équipements électriques et électroniques 2024, on prévoit que 82 milliards de kg de DEEE seront produits chaque année d'ici à 2030. L'UIT aide activement plusieurs pays des régions Amériques, Afrique et Asie-Pacifique à élaborer et à mettre en œuvre une réglementation sur la responsabilité des producteurs vis-à-vis des DEEE. En 2010, environ 24% du total des DEEE ont été recyclés. En 2022, la production de DEEE dans le monde a atteint le chiffre record de 62 milliards de kg, soit une moyenne de 7,8 kg par habitant et par an. Seuls 22,3% de cette masse de DEEE ont été collectés et recyclés de manière écologiquement rationnelle selon les voies officielles d'après les rapports. Sur les 81 pays ayant adopté une politique, une loi ou un règlement sur les DEEE, 67 ont également pris des mesures pour faire respecter la responsabilité élargie des producteurs, 46 ont inscrit des objectifs nationaux de collecte des DEEE dans leur cadre réglementaire et 36 ont fait de même pour les objectifs de recyclage des DEEE au niveau national.</w:t>
      </w:r>
    </w:p>
    <w:p w14:paraId="17B56D41" w14:textId="3414E5BD" w:rsidR="0045595F" w:rsidRPr="00E33B0E" w:rsidRDefault="00A0156F" w:rsidP="0045595F">
      <w:pPr>
        <w:pStyle w:val="Figure"/>
      </w:pPr>
      <w:r w:rsidRPr="00E33B0E">
        <w:rPr>
          <w:noProof/>
        </w:rPr>
        <w:lastRenderedPageBreak/>
        <w:drawing>
          <wp:inline distT="0" distB="0" distL="0" distR="0" wp14:anchorId="6BF4324E" wp14:editId="0817DAB7">
            <wp:extent cx="5169600" cy="29155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8403" t="9653" r="7513" b="16062"/>
                    <a:stretch/>
                  </pic:blipFill>
                  <pic:spPr bwMode="auto">
                    <a:xfrm>
                      <a:off x="0" y="0"/>
                      <a:ext cx="5169600" cy="2915526"/>
                    </a:xfrm>
                    <a:prstGeom prst="rect">
                      <a:avLst/>
                    </a:prstGeom>
                    <a:noFill/>
                    <a:ln>
                      <a:noFill/>
                    </a:ln>
                    <a:extLst>
                      <a:ext uri="{53640926-AAD7-44D8-BBD7-CCE9431645EC}">
                        <a14:shadowObscured xmlns:a14="http://schemas.microsoft.com/office/drawing/2010/main"/>
                      </a:ext>
                    </a:extLst>
                  </pic:spPr>
                </pic:pic>
              </a:graphicData>
            </a:graphic>
          </wp:inline>
        </w:drawing>
      </w:r>
    </w:p>
    <w:p w14:paraId="262D0273" w14:textId="77777777" w:rsidR="0045595F" w:rsidRPr="00E33B0E" w:rsidRDefault="0045595F" w:rsidP="0045595F">
      <w:pPr>
        <w:pStyle w:val="Figuretitle"/>
        <w:spacing w:before="0" w:after="240"/>
        <w:rPr>
          <w:b w:val="0"/>
          <w:bCs/>
        </w:rPr>
      </w:pPr>
      <w:r w:rsidRPr="00E33B0E">
        <w:rPr>
          <w:b w:val="0"/>
          <w:bCs/>
        </w:rPr>
        <w:t xml:space="preserve">Figure adaptée du </w:t>
      </w:r>
      <w:hyperlink r:id="rId46" w:history="1">
        <w:r w:rsidRPr="00E33B0E">
          <w:rPr>
            <w:rStyle w:val="Hyperlink"/>
            <w:rFonts w:eastAsia="Times New Roman" w:cs="Times New Roman"/>
            <w:b w:val="0"/>
            <w:bCs/>
            <w:szCs w:val="20"/>
          </w:rPr>
          <w:t>Rapport mondial sur les déchets d'équipements</w:t>
        </w:r>
        <w:r w:rsidRPr="00E33B0E">
          <w:rPr>
            <w:rStyle w:val="Hyperlink"/>
            <w:rFonts w:eastAsia="Times New Roman" w:cs="Times New Roman"/>
            <w:b w:val="0"/>
            <w:bCs/>
            <w:szCs w:val="20"/>
          </w:rPr>
          <w:br/>
          <w:t>électriques et électroniques 2024</w:t>
        </w:r>
      </w:hyperlink>
      <w:r w:rsidRPr="00E33B0E">
        <w:rPr>
          <w:b w:val="0"/>
          <w:bCs/>
        </w:rPr>
        <w:t xml:space="preserve"> de l'UIT et de l'UNITAR</w:t>
      </w:r>
    </w:p>
    <w:p w14:paraId="27C3B338" w14:textId="77777777" w:rsidR="0045595F" w:rsidRPr="00E33B0E" w:rsidRDefault="0045595F" w:rsidP="0045595F">
      <w:r w:rsidRPr="00E33B0E">
        <w:t>En outre, l'UIT a progressé dans l'étude de la consommation d'énergie et des émissions de gaz à effet de serre (GES) dans le secteur mondial des technologies. Dans le cadre de la série de rapports "</w:t>
      </w:r>
      <w:hyperlink r:id="rId47" w:anchor="/fr" w:history="1">
        <w:r w:rsidRPr="00E33B0E">
          <w:rPr>
            <w:rStyle w:val="Hyperlink"/>
            <w:rFonts w:eastAsia="Times New Roman" w:cs="Times New Roman"/>
            <w:szCs w:val="20"/>
          </w:rPr>
          <w:t>Greening Digital Companies</w:t>
        </w:r>
      </w:hyperlink>
      <w:r w:rsidRPr="00E33B0E">
        <w:t>" (Pour des entreprises numériques plus écologiques), le nouveau "Tableau de bord du verdissement du numérique" permet à l'UIT et à ses partenaires de suivre plus efficacement les incidences des activités du secteur des TIC sur le climat. Ce rapport vise à analyser les émissions de GES et la consommation énergétique de 200 entreprises du secteur du numérique. Il montre que les 166 de ces entreprises communiquant des données climatiques (générant à elles seules 98% du chiffre d'affaires des 200 entreprises) ont émis 293 millions de tonnes de CO</w:t>
      </w:r>
      <w:r w:rsidRPr="00E33B0E">
        <w:rPr>
          <w:vertAlign w:val="subscript"/>
        </w:rPr>
        <w:t>2</w:t>
      </w:r>
      <w:r w:rsidRPr="00E33B0E">
        <w:t xml:space="preserve"> en 2022, soit 0,8% du total des émissions liées à la consommation énergétique dans le monde (qui était de 36,8 gigatonnes en 2022).</w:t>
      </w:r>
    </w:p>
    <w:p w14:paraId="19BF4316" w14:textId="77777777" w:rsidR="0045595F" w:rsidRPr="00E33B0E" w:rsidRDefault="0045595F" w:rsidP="0045595F">
      <w:r w:rsidRPr="00E33B0E">
        <w:t>Il reste difficile de mesurer les incidences positives des TIC sur la réduction de l'empreinte environnementale des autres secteurs.</w:t>
      </w:r>
    </w:p>
    <w:p w14:paraId="597D715E" w14:textId="77777777" w:rsidR="0045595F" w:rsidRPr="00E33B0E" w:rsidRDefault="0045595F" w:rsidP="0045595F">
      <w:pPr>
        <w:tabs>
          <w:tab w:val="clear" w:pos="567"/>
          <w:tab w:val="clear" w:pos="1134"/>
          <w:tab w:val="clear" w:pos="1701"/>
          <w:tab w:val="clear" w:pos="2268"/>
          <w:tab w:val="clear" w:pos="2835"/>
        </w:tabs>
        <w:overflowPunct/>
        <w:autoSpaceDE/>
        <w:autoSpaceDN/>
        <w:adjustRightInd/>
        <w:spacing w:before="0"/>
        <w:textAlignment w:val="auto"/>
      </w:pPr>
      <w:r w:rsidRPr="00E33B0E">
        <w:br w:type="page"/>
      </w:r>
    </w:p>
    <w:p w14:paraId="3C72FCD7" w14:textId="77777777" w:rsidR="0045595F" w:rsidRPr="00E33B0E" w:rsidRDefault="0045595F" w:rsidP="0045595F">
      <w:pPr>
        <w:pStyle w:val="Heading1"/>
      </w:pPr>
      <w:bookmarkStart w:id="8" w:name="_Toc199753880"/>
      <w:r w:rsidRPr="00E33B0E">
        <w:lastRenderedPageBreak/>
        <w:t>4</w:t>
      </w:r>
      <w:r w:rsidRPr="00E33B0E">
        <w:tab/>
        <w:t>Produits et services</w:t>
      </w:r>
      <w:bookmarkEnd w:id="8"/>
    </w:p>
    <w:p w14:paraId="225A87D8" w14:textId="77777777" w:rsidR="0045595F" w:rsidRPr="00E33B0E" w:rsidRDefault="0045595F" w:rsidP="0045595F">
      <w:pPr>
        <w:pStyle w:val="Heading2"/>
      </w:pPr>
      <w:bookmarkStart w:id="9" w:name="_Toc199753881"/>
      <w:r w:rsidRPr="00E33B0E">
        <w:t>4.1</w:t>
      </w:r>
      <w:r w:rsidRPr="00E33B0E">
        <w:tab/>
        <w:t>Élaboration et application des règlements administratifs de l'UIT</w:t>
      </w:r>
      <w:bookmarkEnd w:id="9"/>
    </w:p>
    <w:p w14:paraId="061A24BE" w14:textId="77777777" w:rsidR="0045595F" w:rsidRPr="00E33B0E" w:rsidRDefault="0045595F" w:rsidP="0045595F">
      <w:pPr>
        <w:pStyle w:val="Heading3"/>
      </w:pPr>
      <w:bookmarkStart w:id="10" w:name="_Toc199753882"/>
      <w:r w:rsidRPr="00E33B0E">
        <w:t>4.1.1</w:t>
      </w:r>
      <w:r w:rsidRPr="00E33B0E">
        <w:tab/>
        <w:t>Règlement des radiocommunications</w:t>
      </w:r>
      <w:bookmarkEnd w:id="10"/>
    </w:p>
    <w:p w14:paraId="34003423" w14:textId="77777777" w:rsidR="0045595F" w:rsidRPr="00E33B0E" w:rsidRDefault="0045595F" w:rsidP="0045595F">
      <w:r w:rsidRPr="00E33B0E">
        <w:t xml:space="preserve">L'UIT tient à jour le </w:t>
      </w:r>
      <w:hyperlink r:id="rId48" w:history="1">
        <w:r w:rsidRPr="00E33B0E">
          <w:rPr>
            <w:rStyle w:val="Hyperlink"/>
            <w:rFonts w:eastAsia="Times New Roman" w:cs="Times New Roman"/>
            <w:szCs w:val="20"/>
          </w:rPr>
          <w:t>Règlement des radiocommunications</w:t>
        </w:r>
      </w:hyperlink>
      <w:r w:rsidRPr="00E33B0E">
        <w:t>, traité international régissant l'utilisation du spectre des fréquences radioélectriques et des orbites de satellites pour tous les types de communications hertziennes. En faisant respecter la réglementation et en facilitant la coopération internationale en la matière, l'organisation favorise l'accès équitable au spectre et aux orbites et leur utilisation rationnelle, dans la mesure où il s'agit de ressources naturelles limitées. Dans le cadre que l'UIT leur offre, les administrations s'entendent sur l'attribution et la gestion des fréquences radioélectriques, mais aussi sur les procédures de coordination destinées à éviter les brouillages radioélectriques préjudiciables. L'UIT et son Bureau des radiocommunications (BR) mènent à bien ces activités, en fournissant aux États Membres du monde entier des compétences spécialisées sur les communications sur terre, en mer, dans les airs et dans l'espace.</w:t>
      </w:r>
    </w:p>
    <w:p w14:paraId="06DCF584" w14:textId="77777777" w:rsidR="0045595F" w:rsidRPr="00E33B0E" w:rsidRDefault="0045595F" w:rsidP="0045595F">
      <w:r w:rsidRPr="00E33B0E">
        <w:t xml:space="preserve">En 2024, le BR a mis en œuvre les résultats de la </w:t>
      </w:r>
      <w:hyperlink r:id="rId49" w:anchor="/fr" w:history="1">
        <w:r w:rsidRPr="00E33B0E">
          <w:rPr>
            <w:rStyle w:val="Hyperlink"/>
            <w:rFonts w:eastAsia="Times New Roman" w:cs="Times New Roman"/>
            <w:szCs w:val="20"/>
          </w:rPr>
          <w:t>CMR-23</w:t>
        </w:r>
      </w:hyperlink>
      <w:r w:rsidRPr="00E33B0E">
        <w:t>, notamment en menant à bien les activités suivantes:</w:t>
      </w:r>
    </w:p>
    <w:p w14:paraId="65C3716A" w14:textId="77777777" w:rsidR="0045595F" w:rsidRPr="00E33B0E" w:rsidRDefault="0045595F" w:rsidP="0045595F">
      <w:pPr>
        <w:pStyle w:val="enumlev1"/>
      </w:pPr>
      <w:r w:rsidRPr="00E33B0E">
        <w:t>•</w:t>
      </w:r>
      <w:r w:rsidRPr="00E33B0E">
        <w:tab/>
        <w:t xml:space="preserve">La nouvelle édition du Règlement des radiocommunications contenant les Actes finals adoptés par la CMR-23 a été </w:t>
      </w:r>
      <w:hyperlink r:id="rId50" w:history="1">
        <w:r w:rsidRPr="00E33B0E">
          <w:rPr>
            <w:rStyle w:val="Hyperlink"/>
            <w:rFonts w:eastAsia="Times New Roman" w:cs="Times New Roman"/>
            <w:szCs w:val="20"/>
          </w:rPr>
          <w:t>publiée en 2024</w:t>
        </w:r>
      </w:hyperlink>
      <w:r w:rsidRPr="00E33B0E">
        <w:t>. Le Règlement des radiocommunications peut être téléchargé gratuitement depuis le site web de l'UIT.</w:t>
      </w:r>
    </w:p>
    <w:p w14:paraId="15E2CCA6" w14:textId="77777777" w:rsidR="0045595F" w:rsidRPr="00E33B0E" w:rsidRDefault="0045595F" w:rsidP="0045595F">
      <w:pPr>
        <w:pStyle w:val="enumlev1"/>
      </w:pPr>
      <w:r w:rsidRPr="00E33B0E">
        <w:t>•</w:t>
      </w:r>
      <w:r w:rsidRPr="00E33B0E">
        <w:tab/>
        <w:t>Le BR continue d'actualiser et de tenir à jour les outils logiciels pour faciliter l'utilisation et l'analyse du Règlement des radiocommunications (RR). L'outil de navigation dans le RR est actuellement mis à jour de sorte à inclure l'édition de 2024. L'outil relatif au Tableau d'attribution des bandes de fréquences de l'Article 5 du RR a été mis à jour compte tenu des résultats de la CMR-23 et de l'édition de 2024 du RR, afin d'apporter les changements concernant les attributions de fréquences, les renvois relatifs à des pays et les références connexes aux Résolutions et aux Recommandations concernées, ainsi que la version la plus récente des Règles de procédure, mais aussi de permettre l'extraction des tableaux nationaux d'attributions.</w:t>
      </w:r>
    </w:p>
    <w:p w14:paraId="38D1A750" w14:textId="77777777" w:rsidR="0045595F" w:rsidRPr="00E33B0E" w:rsidRDefault="0045595F" w:rsidP="0045595F">
      <w:pPr>
        <w:pStyle w:val="enumlev1"/>
      </w:pPr>
      <w:r w:rsidRPr="00E33B0E">
        <w:t>•</w:t>
      </w:r>
      <w:r w:rsidRPr="00E33B0E">
        <w:tab/>
        <w:t>Le Manuel à l'usage des services mobile maritime et mobile maritime par satellite (Manuel maritime), publié en décembre 2024, donne un aperçu complet des communications maritimes.</w:t>
      </w:r>
    </w:p>
    <w:p w14:paraId="5E0C8BF1" w14:textId="77777777" w:rsidR="0045595F" w:rsidRPr="00E33B0E" w:rsidRDefault="0045595F" w:rsidP="0045595F">
      <w:pPr>
        <w:pStyle w:val="enumlev1"/>
      </w:pPr>
      <w:r w:rsidRPr="00E33B0E">
        <w:t>•</w:t>
      </w:r>
      <w:r w:rsidRPr="00E33B0E">
        <w:tab/>
        <w:t>Le BR a également lancé les travaux préparatoires à l'échelle du Secteur des radiocommunications de l'UIT (UIT-R) en vue de la prochaine Conférence mondiale des radiocommunications, qui aura lieu en 2027. À cet égard, l'ordre du jour de la CMR-27 a été adopté par le Conseil à sa session de 2024, puis approuvé par la majorité des États Membres de l'UIT. Les groupes responsables et les groupes contributeurs pour chaque point de l'ordre du jour de la CMR-27, qui ont été identifiés par la RPC27</w:t>
      </w:r>
      <w:r w:rsidRPr="00E33B0E">
        <w:noBreakHyphen/>
        <w:t>1, ont entamé les études préparatoires en vue de la CMR-27.</w:t>
      </w:r>
    </w:p>
    <w:p w14:paraId="22617B43" w14:textId="77777777" w:rsidR="0045595F" w:rsidRPr="00E33B0E" w:rsidRDefault="0045595F" w:rsidP="0045595F">
      <w:pPr>
        <w:pStyle w:val="Heading2"/>
      </w:pPr>
      <w:bookmarkStart w:id="11" w:name="_Toc199753883"/>
      <w:r w:rsidRPr="00E33B0E">
        <w:lastRenderedPageBreak/>
        <w:t>4.2</w:t>
      </w:r>
      <w:r w:rsidRPr="00E33B0E">
        <w:tab/>
        <w:t>Attribution et gestion des ressources</w:t>
      </w:r>
      <w:bookmarkEnd w:id="11"/>
    </w:p>
    <w:p w14:paraId="10C28399" w14:textId="77777777" w:rsidR="0045595F" w:rsidRPr="00E33B0E" w:rsidRDefault="0045595F" w:rsidP="0045595F">
      <w:pPr>
        <w:pStyle w:val="Heading3"/>
      </w:pPr>
      <w:bookmarkStart w:id="12" w:name="_Toc199753884"/>
      <w:r w:rsidRPr="00E33B0E">
        <w:t>4.2.1</w:t>
      </w:r>
      <w:r w:rsidRPr="00E33B0E">
        <w:tab/>
        <w:t>Utilisation du spectre pour les services spatiaux et les services de Terre</w:t>
      </w:r>
      <w:bookmarkEnd w:id="12"/>
    </w:p>
    <w:p w14:paraId="113F3849" w14:textId="77777777" w:rsidR="0045595F" w:rsidRPr="00E33B0E" w:rsidRDefault="0045595F" w:rsidP="0045595F">
      <w:pPr>
        <w:pStyle w:val="Headingb"/>
      </w:pPr>
      <w:r w:rsidRPr="00E33B0E">
        <w:t>Rôle de l'UIT dans la réglementation et la gestion du spectre et des orbites</w:t>
      </w:r>
    </w:p>
    <w:p w14:paraId="415F08BC" w14:textId="77777777" w:rsidR="0045595F" w:rsidRPr="00E33B0E" w:rsidRDefault="0045595F" w:rsidP="0045595F">
      <w:pPr>
        <w:pStyle w:val="Headingb"/>
        <w:tabs>
          <w:tab w:val="clear" w:pos="567"/>
          <w:tab w:val="left" w:pos="0"/>
        </w:tabs>
        <w:ind w:left="0" w:firstLine="0"/>
      </w:pPr>
      <w:r w:rsidRPr="00E33B0E">
        <w:t>Principaux résultats du traitement des fiches de notification (services spatiaux et services de Terre) et des activités connexes</w:t>
      </w:r>
    </w:p>
    <w:p w14:paraId="75DEE152" w14:textId="77777777" w:rsidR="0045595F" w:rsidRPr="00E33B0E" w:rsidRDefault="0045595F" w:rsidP="0045595F">
      <w:r w:rsidRPr="00E33B0E">
        <w:t xml:space="preserve">Le </w:t>
      </w:r>
      <w:hyperlink r:id="rId51" w:history="1">
        <w:r w:rsidRPr="00E33B0E">
          <w:rPr>
            <w:rStyle w:val="Hyperlink"/>
            <w:rFonts w:eastAsia="Times New Roman" w:cs="Times New Roman"/>
            <w:szCs w:val="20"/>
          </w:rPr>
          <w:t>Bureau des radiocommunications</w:t>
        </w:r>
      </w:hyperlink>
      <w:r w:rsidRPr="00E33B0E">
        <w:t xml:space="preserve"> de l'UIT continue de mettre au point des applications logicielles et des bases de données pour faciliter au mieux l'utilisation des produits du </w:t>
      </w:r>
      <w:hyperlink r:id="rId52" w:history="1">
        <w:r w:rsidRPr="00E33B0E">
          <w:rPr>
            <w:rStyle w:val="Hyperlink"/>
            <w:rFonts w:eastAsia="Times New Roman" w:cs="Times New Roman"/>
            <w:szCs w:val="20"/>
          </w:rPr>
          <w:t>Secteur des radiocommunications de l'UIT (UIT-R)</w:t>
        </w:r>
      </w:hyperlink>
      <w:r w:rsidRPr="00E33B0E">
        <w:t xml:space="preserve"> par les membres de l'UIT. En 2024, le Bureau s'est concentré sur les mises à jour logicielles, conformément aux décisions de la CMR-23.</w:t>
      </w:r>
    </w:p>
    <w:p w14:paraId="0276FC81" w14:textId="77777777" w:rsidR="0045595F" w:rsidRPr="00E33B0E" w:rsidRDefault="0045595F" w:rsidP="0045595F">
      <w:pPr>
        <w:pStyle w:val="Headingb"/>
      </w:pPr>
      <w:r w:rsidRPr="00E33B0E">
        <w:t>Progrès accomplis concernant les services spatiaux</w:t>
      </w:r>
    </w:p>
    <w:p w14:paraId="29C1A221" w14:textId="77777777" w:rsidR="0045595F" w:rsidRPr="00E33B0E" w:rsidRDefault="0045595F" w:rsidP="0045595F">
      <w:r w:rsidRPr="00E33B0E">
        <w:t>L'UIT-R a traité et géré les renseignements pour la publication anticipée, les demandes de coordination et les fiches de notification pour les services spatiaux non planifiés, ainsi que les plans du service de radiodiffusion par satellite et du service fixe par satellite et les liaisons de connexion associées. Entre 2019 et 2024, le BR a traité à ce titre plus de 5 000 demandes de coordination et de notification et géré plus de 500 inscriptions dans les plans du service de radiodiffusion par satellite et du service fixe par satellite. Ces efforts permettent de garantir le respect des dispositions réglementaires et Résolutions pertinentes et de favoriser l'utilisation efficace des ressources spectrales et orbitales.</w:t>
      </w:r>
    </w:p>
    <w:p w14:paraId="0475877D" w14:textId="77777777" w:rsidR="0045595F" w:rsidRPr="00E33B0E" w:rsidRDefault="0045595F" w:rsidP="0045595F">
      <w:pPr>
        <w:pStyle w:val="Headingb"/>
      </w:pPr>
      <w:r w:rsidRPr="00E33B0E">
        <w:t>Progrès accomplis concernant les services de Terre</w:t>
      </w:r>
    </w:p>
    <w:p w14:paraId="2BDB7312" w14:textId="77777777" w:rsidR="0045595F" w:rsidRPr="00E33B0E" w:rsidRDefault="0045595F" w:rsidP="0045595F">
      <w:r w:rsidRPr="00E33B0E">
        <w:t>En ce qui concerne les services de Terre, en 2024, plus de 118 000 fiches de notification ont été inscrites dans le Fichier de référence international des fréquences et les Plans, plus de 1 800 notifications de stations côtières et de stations de navire ont été traitées en vue de leur inscription dans la base de données de l'UIT sur le service maritime, et plus de 1 100 cas de brouillages préjudiciables signalés ont été traités Ce travail permet de garantir une gestion fiable du spectre, de promouvoir l'utilisation efficace et exempte de brouillages des ressources que sont les fréquences radioélectriques et de soutenir la croissance et le développement de l'infrastructure des télécommunications.</w:t>
      </w:r>
    </w:p>
    <w:p w14:paraId="1CDA36E8" w14:textId="77777777" w:rsidR="0045595F" w:rsidRPr="00E33B0E" w:rsidRDefault="0045595F" w:rsidP="0045595F">
      <w:pPr>
        <w:pStyle w:val="Headingb"/>
      </w:pPr>
      <w:r w:rsidRPr="00E33B0E">
        <w:t>Amélioration des logiciels et outils destinés aux services spatiaux</w:t>
      </w:r>
    </w:p>
    <w:p w14:paraId="7A79330D" w14:textId="77777777" w:rsidR="0045595F" w:rsidRPr="00E33B0E" w:rsidRDefault="0045595F" w:rsidP="0045595F">
      <w:r w:rsidRPr="00E33B0E">
        <w:t xml:space="preserve">L'application </w:t>
      </w:r>
      <w:hyperlink r:id="rId53" w:history="1">
        <w:r w:rsidRPr="00E33B0E">
          <w:rPr>
            <w:rStyle w:val="Hyperlink"/>
            <w:rFonts w:eastAsia="Times New Roman" w:cs="Times New Roman"/>
            <w:szCs w:val="20"/>
          </w:rPr>
          <w:t>BR IFIC (services spatiaux)</w:t>
        </w:r>
      </w:hyperlink>
      <w:r w:rsidRPr="00E33B0E">
        <w:t xml:space="preserve"> en ligne (nouveau format de la Circulaire internationale d'information sur les fréquences du BR de l'UIT, qui existe depuis longtemps) a été lancée officiellement le 23 janvier 2024 sur un serveur sécurisé offrant un accès 24 heures sur 24, sept jours sur sept. Cette interface permet aux utilisateurs de parcourir en ligne le contenu de la BR IFIC (services spatiaux) et de télécharger les informations pertinentes (publications et bases de données). Depuis le 1er janvier 2025, la BR IFIC est principalement publiée sur le web sous la forme d'un fichier d'image ISO et sur l'application BR IFIC en ligne. Les administrations et abonnés ne reçoivent plus la BR IFIC sur DVD-ROM, sauf s'ils en font expressément la demande. Les administrations des États Membres disposent désormais d'un accès en ligne illimité à la BR IFIC. Les abonnements payants permettent à un utilisateur désigné d'avoir accès à l'application BR IFIC en ligne et au fichier ISO disponible en ligne.</w:t>
      </w:r>
    </w:p>
    <w:p w14:paraId="16A87296" w14:textId="77777777" w:rsidR="0045595F" w:rsidRPr="00E33B0E" w:rsidRDefault="0045595F" w:rsidP="0045595F">
      <w:r w:rsidRPr="00E33B0E">
        <w:lastRenderedPageBreak/>
        <w:t xml:space="preserve">Mise en œuvre du point 2 du </w:t>
      </w:r>
      <w:r w:rsidRPr="00E33B0E">
        <w:rPr>
          <w:i/>
          <w:iCs/>
        </w:rPr>
        <w:t>charge le Directeur du Bureau des radiocommunications</w:t>
      </w:r>
      <w:r w:rsidRPr="00E33B0E">
        <w:t xml:space="preserve"> de la Résolution </w:t>
      </w:r>
      <w:r w:rsidRPr="00E33B0E">
        <w:rPr>
          <w:b/>
          <w:bCs/>
        </w:rPr>
        <w:t>186 (Rév. Dubaï, 2018)</w:t>
      </w:r>
      <w:r w:rsidRPr="00E33B0E">
        <w:t xml:space="preserve"> de la Conférence de plénipotentiaires: l'application web ITU Space Explorer a été mise en production le 18 décembre 2024.</w:t>
      </w:r>
    </w:p>
    <w:p w14:paraId="57409784" w14:textId="77777777" w:rsidR="0045595F" w:rsidRPr="00E33B0E" w:rsidRDefault="0045595F" w:rsidP="0045595F">
      <w:pPr>
        <w:pStyle w:val="Headingb"/>
        <w:tabs>
          <w:tab w:val="clear" w:pos="567"/>
          <w:tab w:val="left" w:pos="0"/>
        </w:tabs>
        <w:ind w:left="0" w:firstLine="0"/>
      </w:pPr>
      <w:r w:rsidRPr="00E33B0E">
        <w:t>Modernisation de la plate-forme de base de données consacrée aux assignations de fréquence des services spatiaux de radiocommunication</w:t>
      </w:r>
    </w:p>
    <w:p w14:paraId="6401978A" w14:textId="77777777" w:rsidR="0045595F" w:rsidRPr="00E33B0E" w:rsidRDefault="0045595F" w:rsidP="0045595F">
      <w:r w:rsidRPr="00E33B0E">
        <w:t>Le BR de l'UIT a examiné et mis à jour la plupart des applications logicielles pour les services spatiaux utilisées pour la saisie, le traitement et la publication des soumissions de réseaux à satellite, y compris des changements apportés à la structure des bases de données et aux tableaux de référence, aux fonctions de collecte de données, ainsi qu'aux modules logiciels de validation et d'examen. Le logiciel administratif externe a été publié le 10 décembre 2024 sous le nom BR Soft v10, et le nouveau format de base de données v10 ainsi que la version 10 du logiciel d'examen technique externe ont été publiés le 7 janvier 2025.</w:t>
      </w:r>
    </w:p>
    <w:p w14:paraId="2C1F7B40" w14:textId="77777777" w:rsidR="0045595F" w:rsidRPr="00E33B0E" w:rsidRDefault="0045595F" w:rsidP="0045595F">
      <w:r w:rsidRPr="00E33B0E">
        <w:t xml:space="preserve">Mise en œuvre de la Résolution </w:t>
      </w:r>
      <w:r w:rsidRPr="00E33B0E">
        <w:rPr>
          <w:b/>
          <w:bCs/>
        </w:rPr>
        <w:t>55 (Rév.CMR-23)</w:t>
      </w:r>
      <w:r w:rsidRPr="00E33B0E">
        <w:t>: le BR veille au fonctionnement fiable et continu du système de soumission électronique et du système de communications électroniques, ce qui a incité un nombre croissant d'administrations à s'inscrire pour utiliser ces systèmes tout au long de 2024.</w:t>
      </w:r>
    </w:p>
    <w:p w14:paraId="4EC8123A" w14:textId="77777777" w:rsidR="0045595F" w:rsidRPr="00E33B0E" w:rsidRDefault="0045595F" w:rsidP="0045595F">
      <w:r w:rsidRPr="00E33B0E">
        <w:t>Le 20 décembre 2024, une nouvelle version améliorée du système de soumission électronique a été mise à disposition pour permettre aux administrations et aux exploitations de transmettre les fiches de notification des réseaux à satellite au format SNS v10, y compris les nouveaux types de fiches introduits à la CMR-23.</w:t>
      </w:r>
    </w:p>
    <w:p w14:paraId="6C701BF3" w14:textId="77777777" w:rsidR="0045595F" w:rsidRPr="00E33B0E" w:rsidRDefault="0045595F" w:rsidP="0045595F">
      <w:r w:rsidRPr="00E33B0E">
        <w:t>En outre, les nouvelles fonctions permettant d'intégrer les systèmes de soumission électronique et de communications électroniques ont été introduites le 6 mars 2024. Grâce à cette amélioration, les administrations et les organisations intergouvernementales de télécommunication par satellite peuvent examiner encore plus efficacement les fiches de notification des réseaux à satellite soumises par le biais du système de soumission électronique et gérer les correspondances entre l'administration notificatrice et le Bureau des radiocommunications de l'UIT ou d'autres administrations transmises via le système de communications électroniques.</w:t>
      </w:r>
    </w:p>
    <w:p w14:paraId="23ED3429" w14:textId="77777777" w:rsidR="0045595F" w:rsidRPr="00E33B0E" w:rsidRDefault="0045595F" w:rsidP="0045595F">
      <w:pPr>
        <w:pStyle w:val="Headingb"/>
      </w:pPr>
      <w:r w:rsidRPr="00E33B0E">
        <w:t>Amélioration des logiciels et outils destinés aux services de Terre</w:t>
      </w:r>
    </w:p>
    <w:p w14:paraId="5DF6DE89" w14:textId="77777777" w:rsidR="0045595F" w:rsidRPr="00E33B0E" w:rsidRDefault="0045595F" w:rsidP="0045595F">
      <w:r w:rsidRPr="00E33B0E">
        <w:t>L'élaboration des modules logiciels et des outils associés s'est poursuivie pendant la période considérée, où le Bureau des radiocommunications de l'UIT a notamment mené les activités suivantes:</w:t>
      </w:r>
    </w:p>
    <w:p w14:paraId="62C41F36" w14:textId="77777777" w:rsidR="0045595F" w:rsidRPr="00E33B0E" w:rsidRDefault="0045595F" w:rsidP="0045595F">
      <w:pPr>
        <w:pStyle w:val="enumlev1"/>
      </w:pPr>
      <w:r w:rsidRPr="00E33B0E">
        <w:t>•</w:t>
      </w:r>
      <w:r w:rsidRPr="00E33B0E">
        <w:tab/>
        <w:t>traitement des demandes de coordination au titre du numéro 9.21 du RR et des notifications de stations HAPS;</w:t>
      </w:r>
    </w:p>
    <w:p w14:paraId="18EE349C" w14:textId="77777777" w:rsidR="0045595F" w:rsidRPr="00E33B0E" w:rsidRDefault="0045595F" w:rsidP="0045595F">
      <w:pPr>
        <w:pStyle w:val="enumlev1"/>
      </w:pPr>
      <w:r w:rsidRPr="00E33B0E">
        <w:t>•</w:t>
      </w:r>
      <w:r w:rsidRPr="00E33B0E">
        <w:tab/>
        <w:t>restructuration du logiciel HFBC;</w:t>
      </w:r>
    </w:p>
    <w:p w14:paraId="0564FDEC" w14:textId="77777777" w:rsidR="0045595F" w:rsidRPr="00E33B0E" w:rsidRDefault="0045595F" w:rsidP="0045595F">
      <w:pPr>
        <w:pStyle w:val="enumlev1"/>
      </w:pPr>
      <w:r w:rsidRPr="00E33B0E">
        <w:t>•</w:t>
      </w:r>
      <w:r w:rsidRPr="00E33B0E">
        <w:tab/>
        <w:t>modernisation de la plate-forme de base de données consacrée aux assignations de fréquence des services de Terre;</w:t>
      </w:r>
    </w:p>
    <w:p w14:paraId="0E6DF186" w14:textId="77777777" w:rsidR="0045595F" w:rsidRPr="00E33B0E" w:rsidRDefault="0045595F" w:rsidP="0045595F">
      <w:pPr>
        <w:pStyle w:val="enumlev1"/>
      </w:pPr>
      <w:r w:rsidRPr="00E33B0E">
        <w:t>•</w:t>
      </w:r>
      <w:r w:rsidRPr="00E33B0E">
        <w:tab/>
        <w:t>application BR IFIC (services de Terre) en ligne;</w:t>
      </w:r>
    </w:p>
    <w:p w14:paraId="2AD74A4B" w14:textId="77777777" w:rsidR="0045595F" w:rsidRPr="00E33B0E" w:rsidRDefault="0045595F" w:rsidP="0045595F">
      <w:pPr>
        <w:pStyle w:val="enumlev1"/>
      </w:pPr>
      <w:r w:rsidRPr="00E33B0E">
        <w:t>•</w:t>
      </w:r>
      <w:r w:rsidRPr="00E33B0E">
        <w:tab/>
        <w:t>systèmes d'information géographique (SIG) et Groupe d'action sur les SIG;</w:t>
      </w:r>
    </w:p>
    <w:p w14:paraId="2049E3F5" w14:textId="77777777" w:rsidR="0045595F" w:rsidRPr="00E33B0E" w:rsidRDefault="0045595F" w:rsidP="0045595F">
      <w:pPr>
        <w:pStyle w:val="enumlev1"/>
      </w:pPr>
      <w:r w:rsidRPr="00E33B0E">
        <w:t>•</w:t>
      </w:r>
      <w:r w:rsidRPr="00E33B0E">
        <w:tab/>
        <w:t>poursuite de l'élaboration des outils web relatifs aux services de Terre et intégration de ces outils dans un portail unique;</w:t>
      </w:r>
    </w:p>
    <w:p w14:paraId="4DBAF722" w14:textId="77777777" w:rsidR="0045595F" w:rsidRPr="00E33B0E" w:rsidRDefault="0045595F" w:rsidP="0045595F">
      <w:pPr>
        <w:pStyle w:val="enumlev1"/>
      </w:pPr>
      <w:r w:rsidRPr="00E33B0E">
        <w:lastRenderedPageBreak/>
        <w:t>•</w:t>
      </w:r>
      <w:r w:rsidRPr="00E33B0E">
        <w:tab/>
        <w:t>projet de publications relatives au service maritime: plate-forme de vente en ligne et application de bureau contenant trois publications au format numérique (Liste IV, Liste V et Manuel maritime); et</w:t>
      </w:r>
    </w:p>
    <w:p w14:paraId="18A7B7FC" w14:textId="77777777" w:rsidR="0045595F" w:rsidRPr="00E33B0E" w:rsidRDefault="0045595F" w:rsidP="0045595F">
      <w:pPr>
        <w:pStyle w:val="enumlev1"/>
      </w:pPr>
      <w:r w:rsidRPr="00E33B0E">
        <w:t>•</w:t>
      </w:r>
      <w:r w:rsidRPr="00E33B0E">
        <w:tab/>
        <w:t>brouillages préjudiciables causés aux services de Terre (HITS): nouvelle plate-forme en ligne destinée au traitement des rapports sur les brouillages préjudiciables et les infractions.</w:t>
      </w:r>
    </w:p>
    <w:p w14:paraId="7549EFD9" w14:textId="77777777" w:rsidR="0045595F" w:rsidRPr="00E33B0E" w:rsidRDefault="0045595F" w:rsidP="0045595F">
      <w:r w:rsidRPr="00E33B0E">
        <w:t xml:space="preserve">Pour en savoir plus sur les </w:t>
      </w:r>
      <w:hyperlink r:id="rId54" w:history="1">
        <w:r w:rsidRPr="00E33B0E">
          <w:rPr>
            <w:rStyle w:val="Hyperlink"/>
            <w:rFonts w:eastAsia="Times New Roman" w:cs="Times New Roman"/>
            <w:szCs w:val="20"/>
          </w:rPr>
          <w:t>progrès accomplis concernant les services de Terre</w:t>
        </w:r>
      </w:hyperlink>
      <w:r w:rsidRPr="00E33B0E">
        <w:t>, consulter les pages web de l'UIT-R.</w:t>
      </w:r>
    </w:p>
    <w:p w14:paraId="3083459A" w14:textId="77777777" w:rsidR="0045595F" w:rsidRPr="00E33B0E" w:rsidRDefault="0045595F" w:rsidP="0045595F">
      <w:r w:rsidRPr="00E33B0E">
        <w:t>Le BR a achevé la mise à jour du logiciel utilisé pour le traitement et la publication des fiches de notification relatives aux services de Terre, pour une utilisation tant interne (TerRaSys) qu'externe (BR IFIC (services de Terre)). Il s'agissait notamment d'apporter des changements dans les bases de données des services de Terre, les logiciels de validation et d'examen, et les tableaux de référence pour les bandes de fréquences utilisées en partage avec des services spatiaux, assujetties au numéro 9.21 du RR, identifiées pour les IMT, etc. Toutes les modifications nécessaires ont été mises en œuvre et l'intégration devrait être pleinement effective dans le courant de l'année 2025.</w:t>
      </w:r>
    </w:p>
    <w:p w14:paraId="371202D5" w14:textId="77777777" w:rsidR="0045595F" w:rsidRPr="00E33B0E" w:rsidRDefault="0045595F" w:rsidP="0045595F">
      <w:r w:rsidRPr="00E33B0E">
        <w:t xml:space="preserve">En outre, le Bureau a élaboré les modules logiciels pour le traitement des notifications de stations HIBS (outils de validation, d'examen et de publication). Cette tâche comprenait aussi l'élaboration de modules de calcul permettant de vérifier le respect des conditions techniques qui sont précisées dans les Résolutions </w:t>
      </w:r>
      <w:r w:rsidRPr="00E33B0E">
        <w:rPr>
          <w:b/>
          <w:bCs/>
        </w:rPr>
        <w:t>213 (CMR-23)</w:t>
      </w:r>
      <w:r w:rsidRPr="00E33B0E">
        <w:t xml:space="preserve">, </w:t>
      </w:r>
      <w:r w:rsidRPr="00E33B0E">
        <w:rPr>
          <w:b/>
          <w:bCs/>
        </w:rPr>
        <w:t>221 (Rév.CMR-23)</w:t>
      </w:r>
      <w:r w:rsidRPr="00E33B0E">
        <w:t xml:space="preserve"> et </w:t>
      </w:r>
      <w:r w:rsidRPr="00E33B0E">
        <w:rPr>
          <w:b/>
          <w:bCs/>
        </w:rPr>
        <w:t>218 (CMR-23)</w:t>
      </w:r>
      <w:r w:rsidRPr="00E33B0E">
        <w:t>, les changements dans la base de données et la structure des notifications.</w:t>
      </w:r>
    </w:p>
    <w:p w14:paraId="49036FB5" w14:textId="77777777" w:rsidR="0045595F" w:rsidRPr="00E33B0E" w:rsidRDefault="0045595F" w:rsidP="0045595F">
      <w:pPr>
        <w:pStyle w:val="Heading3"/>
      </w:pPr>
      <w:bookmarkStart w:id="13" w:name="_Toc199753885"/>
      <w:r w:rsidRPr="00E33B0E">
        <w:t>4.2.2</w:t>
      </w:r>
      <w:r w:rsidRPr="00E33B0E">
        <w:tab/>
        <w:t>Ressources de numérotage, de nommage, d'adressage et d'identification (NNAI)</w:t>
      </w:r>
      <w:bookmarkEnd w:id="13"/>
    </w:p>
    <w:p w14:paraId="23E153CA" w14:textId="77777777" w:rsidR="0045595F" w:rsidRPr="00E33B0E" w:rsidRDefault="0045595F" w:rsidP="0045595F">
      <w:pPr>
        <w:pStyle w:val="Headingb"/>
      </w:pPr>
      <w:r w:rsidRPr="00E33B0E">
        <w:t>Amélioration de la connectivité mondiale: évolution de la gestion des ressources NNAI</w:t>
      </w:r>
    </w:p>
    <w:p w14:paraId="1658287A" w14:textId="77777777" w:rsidR="0045595F" w:rsidRPr="00E33B0E" w:rsidRDefault="0045595F" w:rsidP="0045595F">
      <w:r w:rsidRPr="00E33B0E">
        <w:t>Ces dernières années, la demande de ressources internationales de numérotage, de nommage, d'adressage et d'identification (NNAI) pour les télécommunications internationales a augmenté, principalement en raison de l'essor des services reposant sur les communications machine à machine (M2M) et l'Internet des objets (IoT). En outre, la portée des assignations de numérotage a été élargie pour inclure les services fournis via des satellites en orbite terrestre basse (LEO) en plus des satellites géostationnaires (OSG) classiques. Ces ressources NNAI sont de plus en plus utilisées comme identificateur mondial pour un large éventail d'utilisateurs et de services, qui vont bien au-delà des applications de télécommunication classiques.</w:t>
      </w:r>
    </w:p>
    <w:p w14:paraId="4F159DB8" w14:textId="77777777" w:rsidR="0045595F" w:rsidRPr="00E33B0E" w:rsidRDefault="0045595F" w:rsidP="0045595F">
      <w:r w:rsidRPr="00E33B0E">
        <w:t>Le caractère dynamique des numéros d'identité internationale d'abonné mobile, d'autant plus avec l'introduction des cartes SIM intégrées (eSIM), met en évidence la nécessité d'accroître la flexibilité et l'adaptabilité dans le contexte de la gestion des ressources. Il est essentiel de promouvoir l'innovation et de favoriser un environnement propice à l'adoption et à l'utilisation efficace des technologies numériques nouvelles et émergentes. Pour cela, il faut mettre en place une infrastructure solide pour la gestion des télécommunications internationales à l'appui de ces avancées.</w:t>
      </w:r>
    </w:p>
    <w:p w14:paraId="0B508E0A" w14:textId="77777777" w:rsidR="0045595F" w:rsidRPr="00E33B0E" w:rsidRDefault="0045595F" w:rsidP="0045595F">
      <w:r w:rsidRPr="00E33B0E">
        <w:t xml:space="preserve">À l'AMNT-24 tenue en octobre 2024, la plupart des Résolutions relatives aux ressources internationales de numérotage des télécommunications ont été révisées afin de répondre aux enjeux susmentionnés. La Commission d'études 2 de l'UIT-T joue un rôle fondamental en tant que commission directrice responsables de l'examen des aspects complexes du </w:t>
      </w:r>
      <w:r w:rsidRPr="00E33B0E">
        <w:lastRenderedPageBreak/>
        <w:t>numérotage, du nommage, de l'adressage et de l'identification. Afin de répondre à l'évolution de la demande, cette commission s'est employée activement à réviser les Recommandations pertinentes et a élaboré de nouvelles Recommandations définissant des procédures pour les demandeurs, ainsi que pour le Directeur du Bureau de la normalisation des télécommunications de l'UIT et les commissions d'études concernées de l'UIT-T, ce qui a renforcé la transparence du processus de demande. En outre, ces nouvelles Recommandations décrivent les rôles, les responsabilités et les mécanismes d'audit relatifs aux ressources attribuées à l'échelle internationale. Ces audits sont conçus comme un mécanisme additionnel qui vient compléter les principes existants concernant les identificateurs et le signalement des utilisations abusives, tels qu'ils sont définis dans les Recommandations UIT-T de la série E.</w:t>
      </w:r>
    </w:p>
    <w:p w14:paraId="2C65C237" w14:textId="77777777" w:rsidR="0045595F" w:rsidRPr="00E33B0E" w:rsidRDefault="0045595F" w:rsidP="0045595F">
      <w:r w:rsidRPr="00E33B0E">
        <w:t>Ce processus de révision et d'amélioration continues des Recommandations et des Résolutions permet de faire en sorte que la gestion des ressources NNAI reste solide, transparente et adaptée aux évolutions technologiques qui façonnent le paysage mondial des télécommunications.</w:t>
      </w:r>
    </w:p>
    <w:p w14:paraId="56D894BE" w14:textId="77777777" w:rsidR="0045595F" w:rsidRPr="00E33B0E" w:rsidRDefault="0045595F" w:rsidP="0045595F">
      <w:pPr>
        <w:pStyle w:val="Headingb"/>
        <w:tabs>
          <w:tab w:val="clear" w:pos="567"/>
          <w:tab w:val="left" w:pos="0"/>
        </w:tabs>
        <w:ind w:left="0" w:firstLine="0"/>
      </w:pPr>
      <w:r w:rsidRPr="00E33B0E">
        <w:t>Lutte contre l'utilisation abusive des ressources de numérotage: résolutions révisées et initiatives lancées à l'occasion de l'AMNT-24</w:t>
      </w:r>
    </w:p>
    <w:p w14:paraId="4DCF11EB" w14:textId="77777777" w:rsidR="0045595F" w:rsidRPr="00E33B0E" w:rsidRDefault="0045595F" w:rsidP="0045595F">
      <w:r w:rsidRPr="00E33B0E">
        <w:t>Afin d'encourager le signalement de l'utilisation abusive et du détournement des ressources de numérotage, la Résolution 61 de l'AMNT intitulée "Lutter contre le détournement et l'utilisation abusive des ressources internationales de numérotage, de nommage, d'adressage et d'identification des télécommunications" a été révisée. En outre, par cette Résolution, l'AMNT a décidé d'inviter les États Membres à examiner et à actualiser périodiquement leur réglementation nationale, à échanger des bonnes pratiques et à organiser des campagnes de sensibilisation du public. L'utilisation de technologies d'usurpation du numéro CPN et de l'identification CLI, d'interception de services de messages courts (SMS), de clonage de la voix, etc., ne cesse de progresser et, par conséquent, les protocoles de signalisation et les réseaux de télécommunication de la génération précédente doivent être adaptés aux nouveaux besoins. En conséquence, la Résolution 65 de l'AMNT intitulée "Acheminement des informations relatives au numéro de l'appelant, à l'identification de la ligne appelante et à l'identification de l'origine" a été révisée.</w:t>
      </w:r>
    </w:p>
    <w:p w14:paraId="1BEF367F" w14:textId="77777777" w:rsidR="0045595F" w:rsidRPr="00E33B0E" w:rsidRDefault="0045595F" w:rsidP="0045595F">
      <w:pPr>
        <w:pStyle w:val="Headingb"/>
      </w:pPr>
      <w:r w:rsidRPr="00E33B0E">
        <w:t>Améliorations concernant la diffusion d'informations</w:t>
      </w:r>
    </w:p>
    <w:p w14:paraId="430A5C9C" w14:textId="77777777" w:rsidR="0045595F" w:rsidRPr="00E33B0E" w:rsidRDefault="0045595F" w:rsidP="0045595F">
      <w:r w:rsidRPr="00E33B0E">
        <w:t>Créé en 1966, le Bulletin d'exploitation de l'UIT facilite l'exécution des missions définies dans la Constitution et la Convention de l'UIT, dans le Règlement des télécommunications internationales et dans les Recommandations de l'UIT-T, en ce qu'il permet la diffusion d'informations approuvées par les administrations nationales, y compris des notifications sur les mises à jour, les attributions et les retraits de ressources nationales et internationales de numérotage/d'identification. Publié deux fois par mois dans les six langues officielles de l'UIT, le Bulletin est désormais disponible aux formats PDF et Word. Dans le droit fil des initiatives en faveur de la transformation numérique, le Bureau de la normalisation des télécommunications (TSB) s'efforce d'améliorer la lisibilité des numéros du Bulletin d'exploitation de l'UIT et de les publier de manière plus efficace.</w:t>
      </w:r>
    </w:p>
    <w:p w14:paraId="7F8FA888" w14:textId="77777777" w:rsidR="0045595F" w:rsidRPr="00E33B0E" w:rsidRDefault="0045595F" w:rsidP="0045595F">
      <w:r w:rsidRPr="00E33B0E">
        <w:t xml:space="preserve">En application de la Résolution 91 de l'AMNT intitulée "Améliorer l'accès à un répertoire électronique d'informations sur les plans de numérotage" le TSB a créé, à l'échelle de l'UIT, un répertoire des plans de numérotage nationaux (NNP) fondé sur les méthodes exposées </w:t>
      </w:r>
      <w:r w:rsidRPr="00E33B0E">
        <w:lastRenderedPageBreak/>
        <w:t>dans la Recommandation UIT-T E.129. Le nouveau site web de l'UIT consacré aux plans de numérotage nationaux sera amené à évoluer sur la base des contributions et des commentaires des utilisateurs. Par sa Résolution 91 révisée, l'AMNT encourage les États Membres, les Membres de Secteur, les Associés et les établissements universitaires à participer activement aux travaux de la Commission d'études 2 de l'UIT-T et du Groupe consultatif de la normalisation des télécommunications, en contribuant aux discussions sur les exigences concernant l'accès électronique au répertoire des ressources de numérotage nationales tenu à jour par l'UIT-T.</w:t>
      </w:r>
    </w:p>
    <w:p w14:paraId="45415DC5" w14:textId="77777777" w:rsidR="0045595F" w:rsidRPr="00E33B0E" w:rsidRDefault="0045595F" w:rsidP="0045595F">
      <w:pPr>
        <w:pStyle w:val="Heading2"/>
      </w:pPr>
      <w:bookmarkStart w:id="14" w:name="_Toc199753886"/>
      <w:r w:rsidRPr="00E33B0E">
        <w:t>4.3</w:t>
      </w:r>
      <w:r w:rsidRPr="00E33B0E">
        <w:tab/>
        <w:t>Élaboration de normes internationales</w:t>
      </w:r>
      <w:bookmarkEnd w:id="14"/>
    </w:p>
    <w:p w14:paraId="77B72BD9" w14:textId="77777777" w:rsidR="0045595F" w:rsidRPr="00E33B0E" w:rsidRDefault="0045595F" w:rsidP="0045595F">
      <w:pPr>
        <w:pStyle w:val="Headingb"/>
      </w:pPr>
      <w:r w:rsidRPr="00E33B0E">
        <w:t>Normalisation: les fondements des technologies d'aujourd'hui et de demain</w:t>
      </w:r>
    </w:p>
    <w:p w14:paraId="491A2981" w14:textId="77777777" w:rsidR="0045595F" w:rsidRPr="00E33B0E" w:rsidRDefault="0045595F" w:rsidP="0045595F">
      <w:r w:rsidRPr="00E33B0E">
        <w:t>Si elles sont accessibles et élaborées conformément à des spécifications universelles, les technologies peuvent fonctionner efficacement pour tous. Grâce à un engagement résolu en faveur de l'interopérabilité, de l'accessibilité, de la sécurité, de l'accessibilité financière et de la résilience, l'UIT élabore des normes de l'UIT qui profitent tous partout dans le monde. À l'aide des normes techniques de l'UIT, les dispositifs locaux sont reliés en toute compatibilité aux réseaux mondiaux. Des connexions sûres, à la portée de tous, permettent aux communautés d'accéder à des informations essentielles et contribuent à atténuer les effets des changements climatiques.</w:t>
      </w:r>
    </w:p>
    <w:p w14:paraId="0BB71581" w14:textId="77777777" w:rsidR="0045595F" w:rsidRPr="00E33B0E" w:rsidRDefault="0045595F" w:rsidP="0045595F">
      <w:r w:rsidRPr="00E33B0E">
        <w:t xml:space="preserve">Les normes de l'UIT sont élaborées par le Secteur de la normalisation des télécommunications (UIT-T) et le Secteur des radiocommunications (UIT-R) et publiées respectivement sous forme de </w:t>
      </w:r>
      <w:hyperlink r:id="rId55" w:history="1">
        <w:r w:rsidRPr="00E33B0E">
          <w:rPr>
            <w:rStyle w:val="Hyperlink"/>
            <w:rFonts w:eastAsia="Times New Roman" w:cs="Times New Roman"/>
            <w:szCs w:val="20"/>
          </w:rPr>
          <w:t>Recommandations UIT-T</w:t>
        </w:r>
      </w:hyperlink>
      <w:r w:rsidRPr="00E33B0E">
        <w:t xml:space="preserve"> et de </w:t>
      </w:r>
      <w:hyperlink r:id="rId56" w:history="1">
        <w:r w:rsidRPr="00E33B0E">
          <w:rPr>
            <w:rStyle w:val="Hyperlink"/>
            <w:rFonts w:eastAsia="Times New Roman" w:cs="Times New Roman"/>
            <w:szCs w:val="20"/>
          </w:rPr>
          <w:t>Recommandations UIT-R</w:t>
        </w:r>
      </w:hyperlink>
      <w:r w:rsidRPr="00E33B0E">
        <w:t>.</w:t>
      </w:r>
    </w:p>
    <w:p w14:paraId="09C0AEF6" w14:textId="77777777" w:rsidR="0045595F" w:rsidRPr="00E33B0E" w:rsidRDefault="0045595F" w:rsidP="0045595F">
      <w:pPr>
        <w:pStyle w:val="Heading3"/>
      </w:pPr>
      <w:bookmarkStart w:id="15" w:name="_Toc199753887"/>
      <w:r w:rsidRPr="00E33B0E">
        <w:t>4.3.1</w:t>
      </w:r>
      <w:r w:rsidRPr="00E33B0E">
        <w:tab/>
        <w:t>Recommandations UIT-T</w:t>
      </w:r>
      <w:bookmarkEnd w:id="15"/>
    </w:p>
    <w:p w14:paraId="4004D694" w14:textId="77777777" w:rsidR="0045595F" w:rsidRPr="00E33B0E" w:rsidRDefault="0045595F" w:rsidP="0045595F">
      <w:r w:rsidRPr="00E33B0E">
        <w:t xml:space="preserve">L'UIT a approuvé 412 Recommandations nouvelles ou révisées et textes connexes du Secteur de la normalisation des télécommunications (UIT-T) pendant la période considérée (374 pendant la </w:t>
      </w:r>
      <w:hyperlink r:id="rId57" w:history="1">
        <w:r w:rsidRPr="00E33B0E">
          <w:rPr>
            <w:rStyle w:val="Hyperlink"/>
            <w:rFonts w:eastAsia="Times New Roman" w:cs="Times New Roman"/>
            <w:szCs w:val="20"/>
          </w:rPr>
          <w:t>période d'études 2022-2024</w:t>
        </w:r>
      </w:hyperlink>
      <w:r w:rsidRPr="00E33B0E">
        <w:t xml:space="preserve"> (entre le 1er janvier et le 24 octobre 2024) et 38 pendant la </w:t>
      </w:r>
      <w:hyperlink r:id="rId58" w:history="1">
        <w:r w:rsidRPr="00E33B0E">
          <w:rPr>
            <w:rStyle w:val="Hyperlink"/>
            <w:rFonts w:eastAsia="Times New Roman" w:cs="Times New Roman"/>
            <w:szCs w:val="20"/>
          </w:rPr>
          <w:t>période d'études 2025-2028</w:t>
        </w:r>
      </w:hyperlink>
      <w:r w:rsidRPr="00E33B0E">
        <w:t xml:space="preserve"> (entre le 25 octobre et le 31 décembre 2024)). Pour consulter toutes les décisions actuellement en vigueur, voir le </w:t>
      </w:r>
      <w:hyperlink r:id="rId59" w:history="1">
        <w:r w:rsidRPr="00E33B0E">
          <w:rPr>
            <w:rStyle w:val="Hyperlink"/>
            <w:rFonts w:eastAsia="Times New Roman" w:cs="Times New Roman"/>
            <w:szCs w:val="20"/>
          </w:rPr>
          <w:t>catalogue des Recommandations UIT-T</w:t>
        </w:r>
      </w:hyperlink>
      <w:r w:rsidRPr="00E33B0E">
        <w:t xml:space="preserve">. Les résumés analytiques des réunions des commissions d'études peuvent être consultés sur la </w:t>
      </w:r>
      <w:hyperlink r:id="rId60" w:anchor="/fr" w:history="1">
        <w:r w:rsidRPr="00E33B0E">
          <w:rPr>
            <w:rStyle w:val="Hyperlink"/>
            <w:rFonts w:eastAsia="Times New Roman" w:cs="Times New Roman"/>
            <w:szCs w:val="20"/>
          </w:rPr>
          <w:t>page d'accueil</w:t>
        </w:r>
      </w:hyperlink>
      <w:r w:rsidRPr="00E33B0E">
        <w:t xml:space="preserve"> des commissions d'études de l'UIT-T.</w:t>
      </w:r>
    </w:p>
    <w:p w14:paraId="14A8C2FC" w14:textId="77777777" w:rsidR="0045595F" w:rsidRPr="00E33B0E" w:rsidRDefault="0045595F" w:rsidP="0045595F">
      <w:r w:rsidRPr="00E33B0E">
        <w:t xml:space="preserve">Sept groupes spécialisés de l'UIT-T étaient en activité pendant la période considérée. Les groupes spécialisés jettent les bases des travaux de normalisation relatifs aux domaines dont ils s'occupent qui seront menés au sein des commissions d'études de l'UIT-T. Des informations sur les activités de ces groupes spécialisés et leurs produits sont disponibles sur la </w:t>
      </w:r>
      <w:hyperlink r:id="rId61" w:anchor="/fr" w:history="1">
        <w:r w:rsidRPr="00E33B0E">
          <w:rPr>
            <w:rStyle w:val="Hyperlink"/>
            <w:rFonts w:eastAsia="Times New Roman" w:cs="Times New Roman"/>
            <w:szCs w:val="20"/>
          </w:rPr>
          <w:t>page d'accueil</w:t>
        </w:r>
      </w:hyperlink>
      <w:r w:rsidRPr="00E33B0E">
        <w:t xml:space="preserve"> des groupes spécialisés de l'UIT-T.</w:t>
      </w:r>
    </w:p>
    <w:p w14:paraId="294D0182" w14:textId="77777777" w:rsidR="0045595F" w:rsidRPr="00E33B0E" w:rsidRDefault="0045595F" w:rsidP="0045595F">
      <w:pPr>
        <w:pStyle w:val="Heading3"/>
      </w:pPr>
      <w:bookmarkStart w:id="16" w:name="_Toc199753888"/>
      <w:r w:rsidRPr="00E33B0E">
        <w:t>4.3.2</w:t>
      </w:r>
      <w:r w:rsidRPr="00E33B0E">
        <w:tab/>
        <w:t>Recommandations UIT-R</w:t>
      </w:r>
      <w:bookmarkEnd w:id="16"/>
    </w:p>
    <w:p w14:paraId="0A3FA867" w14:textId="77777777" w:rsidR="0045595F" w:rsidRPr="00E33B0E" w:rsidRDefault="0045595F" w:rsidP="0045595F">
      <w:r w:rsidRPr="00E33B0E">
        <w:t xml:space="preserve">De janvier à décembre 2024, le Secteur des radiocommunications de l'UIT (UIT-R) a approuvé plus de 24 normes nouvelles ou révisées, appelées </w:t>
      </w:r>
      <w:hyperlink r:id="rId62" w:history="1">
        <w:r w:rsidRPr="00E33B0E">
          <w:rPr>
            <w:rStyle w:val="Hyperlink"/>
            <w:rFonts w:eastAsia="Times New Roman" w:cs="Times New Roman"/>
            <w:szCs w:val="20"/>
          </w:rPr>
          <w:t>Recommandations UIT-R</w:t>
        </w:r>
      </w:hyperlink>
      <w:r w:rsidRPr="00E33B0E">
        <w:t xml:space="preserve">. Voir l'ensemble des </w:t>
      </w:r>
      <w:hyperlink r:id="rId63" w:history="1">
        <w:r w:rsidRPr="00E33B0E">
          <w:rPr>
            <w:rStyle w:val="Hyperlink"/>
            <w:rFonts w:eastAsia="Times New Roman" w:cs="Times New Roman"/>
            <w:szCs w:val="20"/>
          </w:rPr>
          <w:t>Recommandations UIT-R</w:t>
        </w:r>
      </w:hyperlink>
      <w:r w:rsidRPr="00E33B0E">
        <w:t>. En février 2025, on recensait 1 203 Recommandations UIT-R en vigueur.</w:t>
      </w:r>
    </w:p>
    <w:p w14:paraId="472C3888" w14:textId="77777777" w:rsidR="0045595F" w:rsidRPr="00E33B0E" w:rsidRDefault="0045595F" w:rsidP="0045595F">
      <w:pPr>
        <w:pStyle w:val="Heading3"/>
      </w:pPr>
      <w:bookmarkStart w:id="17" w:name="_Toc199753889"/>
      <w:r w:rsidRPr="00E33B0E">
        <w:lastRenderedPageBreak/>
        <w:t>4.3.3</w:t>
      </w:r>
      <w:r w:rsidRPr="00E33B0E">
        <w:tab/>
        <w:t>Réduction de l'écart en matière de normalisation</w:t>
      </w:r>
      <w:bookmarkEnd w:id="17"/>
    </w:p>
    <w:p w14:paraId="06818D54" w14:textId="77777777" w:rsidR="0045595F" w:rsidRPr="00E33B0E" w:rsidRDefault="0045595F" w:rsidP="0045595F">
      <w:r w:rsidRPr="00E33B0E">
        <w:t xml:space="preserve">La </w:t>
      </w:r>
      <w:hyperlink r:id="rId64" w:history="1">
        <w:r w:rsidRPr="00E33B0E">
          <w:rPr>
            <w:rStyle w:val="Hyperlink"/>
            <w:rFonts w:eastAsia="Times New Roman" w:cs="Times New Roman"/>
            <w:szCs w:val="20"/>
          </w:rPr>
          <w:t>Résolution 44 de l'AMNT</w:t>
        </w:r>
      </w:hyperlink>
      <w:r w:rsidRPr="00E33B0E">
        <w:t xml:space="preserve">, intitulée "Réduire l'écart en matière de normalisation entre pays en développement et pays développés", a été mise à jour à l'AMNT-24 afin de réaffirmer et de clarifier le plan d'action pour les quatre années à venir. Le </w:t>
      </w:r>
      <w:hyperlink r:id="rId65" w:anchor="/fr" w:history="1">
        <w:r w:rsidRPr="00E33B0E">
          <w:rPr>
            <w:rStyle w:val="Hyperlink"/>
            <w:rFonts w:eastAsia="Times New Roman" w:cs="Times New Roman"/>
            <w:szCs w:val="20"/>
          </w:rPr>
          <w:t>programme de l'UIT visant à réduire l'écart en matière de normalisation (BSG)</w:t>
        </w:r>
      </w:hyperlink>
      <w:r w:rsidRPr="00E33B0E">
        <w:t xml:space="preserve"> vise à améliorer la capacité de tous les pays, en particulier les pays en développement, de participer à l'élaboration et à la mise en œuvre des normes de l'UIT-T.</w:t>
      </w:r>
    </w:p>
    <w:p w14:paraId="331793C7" w14:textId="77777777" w:rsidR="0045595F" w:rsidRPr="00E33B0E" w:rsidRDefault="0045595F" w:rsidP="0045595F">
      <w:r w:rsidRPr="00E33B0E">
        <w:t>Depuis l'AMNT-24, le TSB a continué de s'appuyer sur les travaux menés précédemment, en axant ses efforts sur les points suivants:</w:t>
      </w:r>
    </w:p>
    <w:p w14:paraId="2A8CFEFA" w14:textId="77777777" w:rsidR="0045595F" w:rsidRPr="00E33B0E" w:rsidRDefault="0045595F" w:rsidP="0045595F">
      <w:pPr>
        <w:pStyle w:val="enumlev1"/>
      </w:pPr>
      <w:r w:rsidRPr="00E33B0E">
        <w:t>1)</w:t>
      </w:r>
      <w:r w:rsidRPr="00E33B0E">
        <w:tab/>
        <w:t xml:space="preserve">Améliorer le contenu et la fourniture des formations afin de mieux répondre aux besoins des nouveaux délégués et des délégués expérimentés, y compris ceux qui occupent ou souhaitent occuper des fonctions de direction. Les formations sont dispensées en ligne et en présentiel lors des manifestations autonomes, des réunions de commissions d'études et des réunions de groupes régionaux, l'accent étant davantage mis sur les compétences pratiques et l'apprentissage interactif; des supports de formation sont également mis à disposition en vue d'un accès sur demande via la page web sur les </w:t>
      </w:r>
      <w:hyperlink r:id="rId66" w:anchor="/fr" w:history="1">
        <w:r w:rsidRPr="00E33B0E">
          <w:rPr>
            <w:rStyle w:val="Hyperlink"/>
            <w:rFonts w:eastAsia="Times New Roman" w:cs="Times New Roman"/>
            <w:szCs w:val="20"/>
          </w:rPr>
          <w:t>ressources de l'UIT-T</w:t>
        </w:r>
      </w:hyperlink>
      <w:r w:rsidRPr="00E33B0E">
        <w:t>, dans les six langues lorsque cela est possible.</w:t>
      </w:r>
    </w:p>
    <w:p w14:paraId="7E1E93CF" w14:textId="77777777" w:rsidR="0045595F" w:rsidRPr="00E33B0E" w:rsidRDefault="0045595F" w:rsidP="0045595F">
      <w:pPr>
        <w:pStyle w:val="enumlev1"/>
      </w:pPr>
      <w:r w:rsidRPr="00E33B0E">
        <w:tab/>
        <w:t xml:space="preserve">Ces activités de formation et de renforcement des capacités sont menées en étroite collaboration avec les entités menant des travaux sur les Résolutions </w:t>
      </w:r>
      <w:hyperlink r:id="rId67" w:history="1">
        <w:r w:rsidRPr="00E33B0E">
          <w:rPr>
            <w:rStyle w:val="Hyperlink"/>
            <w:rFonts w:eastAsia="Times New Roman" w:cs="Times New Roman"/>
            <w:szCs w:val="20"/>
          </w:rPr>
          <w:t>55</w:t>
        </w:r>
      </w:hyperlink>
      <w:r w:rsidRPr="00E33B0E">
        <w:t xml:space="preserve"> (égalité hommes-femmes) et </w:t>
      </w:r>
      <w:hyperlink r:id="rId68" w:history="1">
        <w:r w:rsidRPr="00E33B0E">
          <w:rPr>
            <w:rStyle w:val="Hyperlink"/>
            <w:rFonts w:eastAsia="Times New Roman" w:cs="Times New Roman"/>
            <w:szCs w:val="20"/>
          </w:rPr>
          <w:t>107</w:t>
        </w:r>
      </w:hyperlink>
      <w:r w:rsidRPr="00E33B0E">
        <w:t xml:space="preserve"> (prochaine génération d'experts) de l'AMNT.</w:t>
      </w:r>
    </w:p>
    <w:p w14:paraId="761967FA" w14:textId="77777777" w:rsidR="0045595F" w:rsidRPr="00E33B0E" w:rsidRDefault="0045595F" w:rsidP="0045595F">
      <w:pPr>
        <w:pStyle w:val="enumlev1"/>
      </w:pPr>
      <w:r w:rsidRPr="00E33B0E">
        <w:t>2)</w:t>
      </w:r>
      <w:r w:rsidRPr="00E33B0E">
        <w:tab/>
        <w:t xml:space="preserve">Renforcer les méthodes de travail électroniques pour faciliter la participation des délégués de pays en développement, essentiellement par l'intermédiaire du </w:t>
      </w:r>
      <w:hyperlink r:id="rId69" w:anchor="/Home" w:history="1">
        <w:r w:rsidRPr="00E33B0E">
          <w:rPr>
            <w:rStyle w:val="Hyperlink"/>
            <w:rFonts w:eastAsia="Times New Roman" w:cs="Times New Roman"/>
            <w:szCs w:val="20"/>
          </w:rPr>
          <w:t>portail MyWorkspace</w:t>
        </w:r>
      </w:hyperlink>
      <w:r w:rsidRPr="00E33B0E">
        <w:t xml:space="preserve">, et l'amélioration des services linguistiques, tels que la traduction automatique à la demande des documents de réunion officiels (DMS). Ces améliorations aident l'UIT à mettre en œuvre les Résolutions </w:t>
      </w:r>
      <w:hyperlink r:id="rId70" w:history="1">
        <w:r w:rsidRPr="00E33B0E">
          <w:rPr>
            <w:rStyle w:val="Hyperlink"/>
            <w:rFonts w:eastAsia="Times New Roman" w:cs="Times New Roman"/>
            <w:szCs w:val="20"/>
          </w:rPr>
          <w:t>32</w:t>
        </w:r>
      </w:hyperlink>
      <w:r w:rsidRPr="00E33B0E">
        <w:t xml:space="preserve"> (renforcement des méthodes de travail électroniques) et </w:t>
      </w:r>
      <w:hyperlink r:id="rId71" w:history="1">
        <w:r w:rsidRPr="00E33B0E">
          <w:rPr>
            <w:rStyle w:val="Hyperlink"/>
            <w:rFonts w:eastAsia="Times New Roman" w:cs="Times New Roman"/>
            <w:szCs w:val="20"/>
          </w:rPr>
          <w:t>67</w:t>
        </w:r>
      </w:hyperlink>
      <w:r w:rsidRPr="00E33B0E">
        <w:t xml:space="preserve"> (utilisation de toutes les langues officielles sur un pied d'égalité) de l'AMNT.</w:t>
      </w:r>
    </w:p>
    <w:p w14:paraId="47B6E4B8" w14:textId="77777777" w:rsidR="0045595F" w:rsidRPr="00E33B0E" w:rsidRDefault="0045595F" w:rsidP="0045595F">
      <w:pPr>
        <w:pStyle w:val="enumlev1"/>
      </w:pPr>
      <w:r w:rsidRPr="00E33B0E">
        <w:t>3)</w:t>
      </w:r>
      <w:r w:rsidRPr="00E33B0E">
        <w:tab/>
        <w:t>Collaboration étroite entre le TSB et le Bureau de développement des télécommunications (BDT) de l'UIT et les bureaux régionaux et les partenaires de l'UIT pour mieux faire connaître et renforcer les capacités régionales. À titre d'exemple, le Ministère japonais des affaires intérieures et des communications appuie un projet visant à renforcer les capacités concernant les technologies d'IA et la normalisation de ces technologies dans la région Asie-Pacifique.</w:t>
      </w:r>
    </w:p>
    <w:p w14:paraId="4E714D45" w14:textId="77777777" w:rsidR="0045595F" w:rsidRPr="00E33B0E" w:rsidRDefault="0045595F" w:rsidP="0045595F">
      <w:pPr>
        <w:pStyle w:val="enumlev1"/>
      </w:pPr>
      <w:r w:rsidRPr="00E33B0E">
        <w:tab/>
        <w:t>Dans sa Résolution 44, l'AMNT invite toutes les parties prenantes à faire des contributions volontaires afin de faciliter les efforts déployés par l'UIT-T pour réduire l'écart en matière de normalisation.</w:t>
      </w:r>
    </w:p>
    <w:p w14:paraId="6BAE3584" w14:textId="77777777" w:rsidR="0045595F" w:rsidRPr="00E33B0E" w:rsidRDefault="0045595F" w:rsidP="0045595F">
      <w:pPr>
        <w:pStyle w:val="enumlev1"/>
      </w:pPr>
      <w:r w:rsidRPr="00E33B0E">
        <w:t>4)</w:t>
      </w:r>
      <w:r w:rsidRPr="00E33B0E">
        <w:tab/>
        <w:t>Rationalisation et harmonisation de l'analyse des données internes, des méthodes de travail et de l'intégration des délégués afin d'aider ces derniers, en particulier ceux issus des pays en développement, à contribuer efficacement aux manifestations de l'UIT-T et de rendre compte des progrès accomplis dans la mise en œuvre de la Résolution 44 de l'AMNT au Conseil, à l'AMNT et au Groupe consultatif de la normalisation des télécommunications.</w:t>
      </w:r>
    </w:p>
    <w:p w14:paraId="154806E9" w14:textId="77777777" w:rsidR="0045595F" w:rsidRPr="00E33B0E" w:rsidRDefault="0045595F" w:rsidP="0045595F">
      <w:pPr>
        <w:pStyle w:val="Heading2"/>
      </w:pPr>
      <w:bookmarkStart w:id="18" w:name="_Toc199753890"/>
      <w:r w:rsidRPr="00E33B0E">
        <w:lastRenderedPageBreak/>
        <w:t>4.4</w:t>
      </w:r>
      <w:r w:rsidRPr="00E33B0E">
        <w:tab/>
        <w:t>Élaboration de cadres politiques et de supports d'information</w:t>
      </w:r>
      <w:bookmarkEnd w:id="18"/>
    </w:p>
    <w:p w14:paraId="073DD929" w14:textId="77777777" w:rsidR="0045595F" w:rsidRPr="00E33B0E" w:rsidRDefault="0045595F" w:rsidP="0045595F">
      <w:r w:rsidRPr="00E33B0E">
        <w:t>Par l'intermédiaire de ses commissions d'études, l'UIT élabore des manuels, des rapports techniques et des documents pour fournir une assistance à ses membres sur les questions de télécommunication/TIC (voir par exemple le § 4.3 ci-dessus). Elle recueille des bonnes pratiques auprès des États Membres, du secteur privé, des instituts de recherche et des établissements universitaires et les communiquent à ses États Membres. Elle fournit également des produits et des outils de partage des connaissances qui facilitent le dialogue et améliorent la coopération, aidant ainsi les pays à faire en sorte que tout un chacun tire le meilleur parti du numérique, et fournissant des informations essentielles pour leur permettre de mieux comprendre et gérer les défis et les possibilités qui découlent de la promotion de la connectivité et de la transformation numérique.</w:t>
      </w:r>
    </w:p>
    <w:p w14:paraId="6AC0BC6E" w14:textId="77777777" w:rsidR="0045595F" w:rsidRPr="00E33B0E" w:rsidRDefault="0045595F" w:rsidP="0045595F">
      <w:pPr>
        <w:pStyle w:val="Heading3"/>
      </w:pPr>
      <w:bookmarkStart w:id="19" w:name="_Toc199753891"/>
      <w:r w:rsidRPr="00E33B0E">
        <w:t>4.4.1</w:t>
      </w:r>
      <w:r w:rsidRPr="00E33B0E">
        <w:tab/>
        <w:t>Cybersécurité: instaurer la confiance et la sécurité dans l'utilisation des TIC</w:t>
      </w:r>
      <w:bookmarkEnd w:id="19"/>
    </w:p>
    <w:p w14:paraId="7F09AD2F" w14:textId="77777777" w:rsidR="0045595F" w:rsidRPr="00E33B0E" w:rsidRDefault="0045595F" w:rsidP="0045595F">
      <w:r w:rsidRPr="00E33B0E">
        <w:t>L'UIT s'emploie à instaurer la confiance et la sécurité dans l'utilisation des technologies nouvelles et émergentes, notamment en aidant les pays à élaborer des stratégies nationales et à mettre sur pied des équipes d'intervention en cas d'incident informatique (CIRT). Le programme de l'UIT pour la protection en ligne des enfants contribue à sensibiliser l'opinion aux dangers de l'Internet et à créer un environnement sûr pour les jeunes utilisateurs des technologies numériques.</w:t>
      </w:r>
    </w:p>
    <w:p w14:paraId="3145F37D" w14:textId="77777777" w:rsidR="0045595F" w:rsidRPr="00E33B0E" w:rsidRDefault="0045595F" w:rsidP="0045595F">
      <w:r w:rsidRPr="00E33B0E">
        <w:t xml:space="preserve">Le </w:t>
      </w:r>
      <w:hyperlink r:id="rId72" w:history="1">
        <w:r w:rsidRPr="00E33B0E">
          <w:rPr>
            <w:rStyle w:val="Hyperlink"/>
            <w:rFonts w:eastAsia="Times New Roman" w:cs="Times New Roman"/>
            <w:szCs w:val="20"/>
          </w:rPr>
          <w:t>Document C25/18</w:t>
        </w:r>
      </w:hyperlink>
      <w:r w:rsidRPr="00E33B0E">
        <w:t xml:space="preserve"> sur la mise en œuvre de la Résolution 130 (Rév. Bucarest, 2022) de la Conférence de plénipotentiaires contient un résumé des activités menées par l'UIT en 2024</w:t>
      </w:r>
      <w:r w:rsidRPr="00E33B0E">
        <w:noBreakHyphen/>
        <w:t xml:space="preserve">2025 au titre de la Résolution 130, du rôle de l'UIT en tant que coordonnateur unique pour la grande orientation C5 du SMSI et des autres décisions prises par les membres concernant le renforcement du rôle de l'UIT dans l'instauration de la confiance et de la sécurité dans l'utilisation des technologies. Voir également les </w:t>
      </w:r>
      <w:hyperlink r:id="rId73" w:history="1">
        <w:r w:rsidRPr="00E33B0E">
          <w:rPr>
            <w:rStyle w:val="Hyperlink"/>
            <w:rFonts w:eastAsia="Times New Roman" w:cs="Times New Roman"/>
            <w:szCs w:val="20"/>
          </w:rPr>
          <w:t>activités de l'UIT en matière de cybersécurité</w:t>
        </w:r>
      </w:hyperlink>
      <w:r w:rsidRPr="00E33B0E">
        <w:t>.</w:t>
      </w:r>
    </w:p>
    <w:p w14:paraId="639ACF5C" w14:textId="77777777" w:rsidR="0045595F" w:rsidRPr="00E33B0E" w:rsidRDefault="0045595F" w:rsidP="0045595F">
      <w:r w:rsidRPr="00E33B0E">
        <w:t>Des progrès ont été constatés en ce qui concerne l'état de préparation des administrations face aux cybermenaces (132 pays disposaient d'une équipe CIRT en 2024, contre 109 en 2020; et 127 pays disposaient de stratégies et de plans d'action nationaux en matière de cybersécurité, contre 107 en 2020).</w:t>
      </w:r>
    </w:p>
    <w:p w14:paraId="4511EB2A" w14:textId="77777777" w:rsidR="0045595F" w:rsidRPr="00E33B0E" w:rsidRDefault="0045595F" w:rsidP="0045595F">
      <w:pPr>
        <w:pStyle w:val="Heading3"/>
      </w:pPr>
      <w:bookmarkStart w:id="20" w:name="_Toc199753892"/>
      <w:r w:rsidRPr="00E33B0E">
        <w:t>4.4.2</w:t>
      </w:r>
      <w:r w:rsidRPr="00E33B0E">
        <w:tab/>
        <w:t>Technologies émergentes: élaborer des cadres propices à la transformation</w:t>
      </w:r>
      <w:bookmarkEnd w:id="20"/>
    </w:p>
    <w:p w14:paraId="5B7795EE" w14:textId="77777777" w:rsidR="0045595F" w:rsidRPr="00E33B0E" w:rsidRDefault="0045595F" w:rsidP="0045595F">
      <w:r w:rsidRPr="00E33B0E">
        <w:t>Les travaux de l'UIT ont continué d'être axés essentiellement sur la gestion du spectre des fréquences radioélectriques dans le monde, la définition de technologies émergentes et de normes au service de l'humanité et la prise en compte des incidences climatiques et environnementales de l'adoption de plus en plus rapide des technologies. Les projets et initiatives actuellement menés par l'UIT visent à renforcer la coopération dans le domaine de la cybersécurité, à assurer un accès au numérique pour tous et à établir des partenariats efficaces pour répondre aux besoins mondiaux en matière de développement socio</w:t>
      </w:r>
      <w:r w:rsidRPr="00E33B0E">
        <w:noBreakHyphen/>
        <w:t>économique. Une grande partie de ce travail est effectuée dans le cadre d'ateliers très poussés ainsi que de réunions internationales de haut niveau.</w:t>
      </w:r>
    </w:p>
    <w:p w14:paraId="15BFA5FA" w14:textId="77777777" w:rsidR="0045595F" w:rsidRPr="00E33B0E" w:rsidRDefault="0045595F" w:rsidP="0045595F">
      <w:r w:rsidRPr="00E33B0E">
        <w:t>Dans le cadre de ses travaux visant à accélérer le développement technologique, l'UIT s'intéresse de près à l'intelligence artificielle (IA), aux technologies d'information quantique et au potentiel du métavers, ou des mondes virtuels, pour promouvoir une transformation numérique profitant à tous, partout dans le monde.</w:t>
      </w:r>
    </w:p>
    <w:p w14:paraId="744F2B7A" w14:textId="77777777" w:rsidR="0045595F" w:rsidRPr="00E33B0E" w:rsidRDefault="0045595F" w:rsidP="0045595F">
      <w:pPr>
        <w:pStyle w:val="Headingb"/>
      </w:pPr>
      <w:r w:rsidRPr="00E33B0E">
        <w:lastRenderedPageBreak/>
        <w:t>Intelligence artificielle</w:t>
      </w:r>
    </w:p>
    <w:p w14:paraId="1C43E859" w14:textId="77777777" w:rsidR="0045595F" w:rsidRPr="00E33B0E" w:rsidRDefault="0045595F" w:rsidP="0045595F">
      <w:r w:rsidRPr="00E33B0E">
        <w:t>Depuis 2017, l'UIT se tient à l'avant-garde de l'intelligence artificielle et aspire à faire en sorte que cette technologie accélère un développement socio-économique bénéfique à l'échelle mondiale et permette de parvenir à une connectivité universelle et à une transformation numérique durable.</w:t>
      </w:r>
    </w:p>
    <w:p w14:paraId="74357013" w14:textId="77777777" w:rsidR="0045595F" w:rsidRPr="00E33B0E" w:rsidRDefault="0045595F" w:rsidP="0045595F">
      <w:r w:rsidRPr="00E33B0E">
        <w:t xml:space="preserve">L'UIT mène les </w:t>
      </w:r>
      <w:hyperlink r:id="rId74" w:history="1">
        <w:r w:rsidRPr="00E33B0E">
          <w:rPr>
            <w:rStyle w:val="Hyperlink"/>
            <w:rFonts w:eastAsia="Times New Roman" w:cs="Times New Roman"/>
            <w:szCs w:val="20"/>
          </w:rPr>
          <w:t>activités suivantes</w:t>
        </w:r>
      </w:hyperlink>
      <w:r w:rsidRPr="00E33B0E">
        <w:t xml:space="preserve"> dans le domaine de l'IA:</w:t>
      </w:r>
    </w:p>
    <w:p w14:paraId="41198FA0" w14:textId="77777777" w:rsidR="0045595F" w:rsidRPr="00E33B0E" w:rsidRDefault="0045595F" w:rsidP="0045595F">
      <w:pPr>
        <w:pStyle w:val="enumlev1"/>
      </w:pPr>
      <w:r w:rsidRPr="00E33B0E">
        <w:t>•</w:t>
      </w:r>
      <w:r w:rsidRPr="00E33B0E">
        <w:tab/>
        <w:t>L'</w:t>
      </w:r>
      <w:hyperlink r:id="rId75" w:anchor="/fr" w:history="1">
        <w:r w:rsidRPr="00E33B0E">
          <w:rPr>
            <w:rStyle w:val="Hyperlink"/>
            <w:rFonts w:eastAsia="Times New Roman" w:cs="Times New Roman"/>
            <w:szCs w:val="20"/>
          </w:rPr>
          <w:t>IA au service du bien social</w:t>
        </w:r>
      </w:hyperlink>
      <w:r w:rsidRPr="00E33B0E">
        <w:t>: il s'agit de la principale tribune tournée vers l'action des Nations Unies, qui encourage l'utilisation de l'IA pour progresser dans les domaines de la santé, de l'éducation et de l'infrastructure, ainsi que sur d'autres priorités de développement au niveau mondial. Cette manifestation est organisée en partenariat avec 40 autres institutions des Nations Unies et conjointement avec le Gouvernement de la Suisse.</w:t>
      </w:r>
    </w:p>
    <w:p w14:paraId="0CA7B762" w14:textId="77777777" w:rsidR="0045595F" w:rsidRPr="00E33B0E" w:rsidRDefault="0045595F" w:rsidP="0045595F">
      <w:pPr>
        <w:pStyle w:val="enumlev1"/>
      </w:pPr>
      <w:r w:rsidRPr="00E33B0E">
        <w:t>•</w:t>
      </w:r>
      <w:r w:rsidRPr="00E33B0E">
        <w:tab/>
        <w:t xml:space="preserve">La </w:t>
      </w:r>
      <w:hyperlink r:id="rId76" w:anchor="/fr" w:history="1">
        <w:r w:rsidRPr="00E33B0E">
          <w:rPr>
            <w:rStyle w:val="Hyperlink"/>
            <w:rFonts w:eastAsia="Times New Roman" w:cs="Times New Roman"/>
            <w:szCs w:val="20"/>
          </w:rPr>
          <w:t>AI Skills Coalition</w:t>
        </w:r>
      </w:hyperlink>
      <w:r w:rsidRPr="00E33B0E">
        <w:t xml:space="preserve"> (Coalition pour les compétences en matière d'IA): cette coalition, créée en complément de la manifestation "l'IA au service du bien social", dans le cadre de l'Initiative "AI for Good Impact", vise à offrir une tribune ouverte et fiable pour l'enseignement et le renforcement des capacités en matière d'IA à l'échelle mondiale.</w:t>
      </w:r>
    </w:p>
    <w:p w14:paraId="1932DE4E" w14:textId="77777777" w:rsidR="0045595F" w:rsidRPr="00E33B0E" w:rsidRDefault="0045595F" w:rsidP="0045595F">
      <w:pPr>
        <w:pStyle w:val="enumlev1"/>
      </w:pPr>
      <w:r w:rsidRPr="00E33B0E">
        <w:t>•</w:t>
      </w:r>
      <w:r w:rsidRPr="00E33B0E">
        <w:tab/>
        <w:t xml:space="preserve">L'AMNT-24 a adopté la </w:t>
      </w:r>
      <w:hyperlink r:id="rId77" w:history="1">
        <w:r w:rsidRPr="00E33B0E">
          <w:rPr>
            <w:rStyle w:val="Hyperlink"/>
            <w:rFonts w:eastAsia="Times New Roman" w:cs="Times New Roman"/>
            <w:szCs w:val="20"/>
          </w:rPr>
          <w:t>Résolution 101 (New Delhi, 2024)</w:t>
        </w:r>
      </w:hyperlink>
      <w:r w:rsidRPr="00E33B0E">
        <w:t>, qui met l'accent sur le rôle reconnu de l'UIT dans l'établissement de normes fiables en matière d'IA.</w:t>
      </w:r>
    </w:p>
    <w:p w14:paraId="4F87168D" w14:textId="77777777" w:rsidR="0045595F" w:rsidRPr="00E33B0E" w:rsidRDefault="0045595F" w:rsidP="0045595F">
      <w:pPr>
        <w:pStyle w:val="enumlev1"/>
      </w:pPr>
      <w:r w:rsidRPr="00E33B0E">
        <w:t>•</w:t>
      </w:r>
      <w:r w:rsidRPr="00E33B0E">
        <w:tab/>
        <w:t>Nouveaux groupes menant des travaux préalables à la normalisation:</w:t>
      </w:r>
    </w:p>
    <w:p w14:paraId="0C78EC41" w14:textId="77777777" w:rsidR="0045595F" w:rsidRPr="00E33B0E" w:rsidRDefault="0045595F" w:rsidP="0045595F">
      <w:pPr>
        <w:pStyle w:val="enumlev2"/>
      </w:pPr>
      <w:r w:rsidRPr="00E33B0E">
        <w:t>–</w:t>
      </w:r>
      <w:r w:rsidRPr="00E33B0E">
        <w:tab/>
      </w:r>
      <w:hyperlink r:id="rId78" w:anchor="/fr" w:history="1">
        <w:r w:rsidRPr="00E33B0E">
          <w:rPr>
            <w:rStyle w:val="Hyperlink"/>
            <w:rFonts w:eastAsia="Times New Roman" w:cs="Times New Roman"/>
            <w:szCs w:val="20"/>
          </w:rPr>
          <w:t>Groupe spécialisé de l'UIT-T sur les réseaux fondés sur l'IA native (FG AI-Native)</w:t>
        </w:r>
      </w:hyperlink>
      <w:r w:rsidRPr="00E33B0E">
        <w:rPr>
          <w:rStyle w:val="Hyperlink"/>
          <w:rFonts w:eastAsia="Times New Roman" w:cs="Times New Roman"/>
          <w:szCs w:val="20"/>
        </w:rPr>
        <w:t>.</w:t>
      </w:r>
    </w:p>
    <w:p w14:paraId="160C229A" w14:textId="77777777" w:rsidR="0045595F" w:rsidRPr="00E33B0E" w:rsidRDefault="0045595F" w:rsidP="0045595F">
      <w:pPr>
        <w:pStyle w:val="enumlev2"/>
      </w:pPr>
      <w:r w:rsidRPr="00E33B0E">
        <w:t>–</w:t>
      </w:r>
      <w:r w:rsidRPr="00E33B0E">
        <w:tab/>
      </w:r>
      <w:hyperlink r:id="rId79" w:history="1">
        <w:r w:rsidRPr="00E33B0E">
          <w:rPr>
            <w:rStyle w:val="Hyperlink"/>
            <w:rFonts w:eastAsia="Times New Roman" w:cs="Times New Roman"/>
            <w:szCs w:val="20"/>
          </w:rPr>
          <w:t>Initiative mondiale sur la résilience face aux risques naturels grâce aux solutions fondées sur l'IA</w:t>
        </w:r>
      </w:hyperlink>
      <w:r w:rsidRPr="00E33B0E">
        <w:rPr>
          <w:rStyle w:val="Hyperlink"/>
          <w:rFonts w:eastAsia="Times New Roman" w:cs="Times New Roman"/>
          <w:szCs w:val="20"/>
        </w:rPr>
        <w:t>.</w:t>
      </w:r>
    </w:p>
    <w:p w14:paraId="6A982F21" w14:textId="77777777" w:rsidR="0045595F" w:rsidRPr="00E33B0E" w:rsidRDefault="0045595F" w:rsidP="0045595F">
      <w:pPr>
        <w:pStyle w:val="enumlev1"/>
      </w:pPr>
      <w:r w:rsidRPr="00E33B0E">
        <w:t>•</w:t>
      </w:r>
      <w:r w:rsidRPr="00E33B0E">
        <w:tab/>
        <w:t>Le nouveau Sommet international sur les normes relatives à l'intelligence artificielle, organisé conjointement avec l'ISO et la CEI et lancé à l'occasion de l'AMNT-24, réunit des experts du monde entier pour promouvoir des normes permettant l'utilisation responsable de l'IA. La prochaine édition aura lieu à Séoul (République de Corée) fin 2025. Dans l'intervalle, l'édition de 2025 du Sommet mondial sur l'intelligence artificielle au service du bien social comprendra une journée consacrée aux normes applicables à l'IA.</w:t>
      </w:r>
    </w:p>
    <w:p w14:paraId="6B55063D" w14:textId="77777777" w:rsidR="0045595F" w:rsidRPr="00E33B0E" w:rsidRDefault="0045595F" w:rsidP="0045595F">
      <w:pPr>
        <w:pStyle w:val="enumlev1"/>
      </w:pPr>
      <w:r w:rsidRPr="00E33B0E">
        <w:t>•</w:t>
      </w:r>
      <w:r w:rsidRPr="00E33B0E">
        <w:tab/>
        <w:t xml:space="preserve">La première </w:t>
      </w:r>
      <w:hyperlink r:id="rId80" w:history="1">
        <w:r w:rsidRPr="00E33B0E">
          <w:rPr>
            <w:rStyle w:val="Hyperlink"/>
            <w:rFonts w:eastAsia="Times New Roman" w:cs="Times New Roman"/>
            <w:szCs w:val="20"/>
          </w:rPr>
          <w:t>Journée consacrée à la gouvernance de l'IA</w:t>
        </w:r>
      </w:hyperlink>
      <w:r w:rsidRPr="00E33B0E">
        <w:t xml:space="preserve"> a été célébrée à l'occasion de l'édition de 2024 du Sommet mondial sur l'IA au service du bien social. Cette manifestation qui a réuni des dirigeants, des décideurs et des experts du monde entier était consacrée aux stratégies en matière de gouvernance de l'IA. La prochaine édition aura lieu lors de l'édition de 2025 du Sommet.</w:t>
      </w:r>
    </w:p>
    <w:p w14:paraId="37DD38AA" w14:textId="77777777" w:rsidR="0045595F" w:rsidRPr="00E33B0E" w:rsidRDefault="0045595F" w:rsidP="0045595F">
      <w:pPr>
        <w:pStyle w:val="enumlev1"/>
      </w:pPr>
      <w:r w:rsidRPr="00E33B0E">
        <w:t>•</w:t>
      </w:r>
      <w:r w:rsidRPr="00E33B0E">
        <w:tab/>
        <w:t xml:space="preserve">Rapport annuel sur les </w:t>
      </w:r>
      <w:hyperlink r:id="rId81" w:anchor="/fr" w:history="1">
        <w:r w:rsidRPr="00E33B0E">
          <w:rPr>
            <w:rStyle w:val="Hyperlink"/>
            <w:rFonts w:eastAsia="Times New Roman" w:cs="Times New Roman"/>
            <w:szCs w:val="20"/>
          </w:rPr>
          <w:t>activités des Nations Unies relatives à l'IA</w:t>
        </w:r>
      </w:hyperlink>
      <w:r w:rsidRPr="00E33B0E">
        <w:t>: l'édition de 2024 met en lumière 408 projets relatifs à l'IA lancés par 47 organismes et fondés sur des efforts de collaboration entre des institutions du système des Nations Unies, des gouvernements, des établissements universitaires et des entités du secteur privé, dans le droit fil du Programme 2030.</w:t>
      </w:r>
    </w:p>
    <w:p w14:paraId="3CD397D1" w14:textId="77777777" w:rsidR="0045595F" w:rsidRPr="00E33B0E" w:rsidRDefault="0045595F" w:rsidP="0045595F">
      <w:pPr>
        <w:pStyle w:val="enumlev1"/>
      </w:pPr>
      <w:r w:rsidRPr="00E33B0E">
        <w:t>•</w:t>
      </w:r>
      <w:r w:rsidRPr="00E33B0E">
        <w:tab/>
        <w:t xml:space="preserve">Le Groupe de travail interinstitutions sur l'IA, coprésidé par l'UIT et l'UNESCO, dirige un vaste effort de coordination entre près de 50 entités des Nations Unies. Il a élaboré le </w:t>
      </w:r>
      <w:hyperlink r:id="rId82" w:history="1">
        <w:r w:rsidRPr="00E33B0E">
          <w:rPr>
            <w:rStyle w:val="Hyperlink"/>
            <w:rFonts w:eastAsia="Times New Roman" w:cs="Times New Roman"/>
            <w:szCs w:val="20"/>
          </w:rPr>
          <w:t>livre blanc du système des Nations Unies sur la gouvernance de l'IA</w:t>
        </w:r>
      </w:hyperlink>
      <w:r w:rsidRPr="00E33B0E">
        <w:t>, approuvé par le Comité de haut niveau sur les programmes des Nations Unies et le Conseil des chefs de secrétariat des organismes des Nations Unies pour la coordination.</w:t>
      </w:r>
    </w:p>
    <w:tbl>
      <w:tblPr>
        <w:tblStyle w:val="TableGrid"/>
        <w:tblW w:w="0" w:type="auto"/>
        <w:tblLook w:val="04A0" w:firstRow="1" w:lastRow="0" w:firstColumn="1" w:lastColumn="0" w:noHBand="0" w:noVBand="1"/>
      </w:tblPr>
      <w:tblGrid>
        <w:gridCol w:w="9061"/>
      </w:tblGrid>
      <w:tr w:rsidR="0045595F" w:rsidRPr="00E33B0E" w14:paraId="70DF2E59" w14:textId="77777777" w:rsidTr="009E2C97">
        <w:tc>
          <w:tcPr>
            <w:tcW w:w="9061" w:type="dxa"/>
          </w:tcPr>
          <w:p w14:paraId="1C740066" w14:textId="77777777" w:rsidR="0045595F" w:rsidRPr="00E33B0E" w:rsidRDefault="0045595F" w:rsidP="009E2C97">
            <w:pPr>
              <w:shd w:val="clear" w:color="auto" w:fill="C6D9F1" w:themeFill="text2" w:themeFillTint="33"/>
              <w:rPr>
                <w:b/>
                <w:bCs/>
              </w:rPr>
            </w:pPr>
            <w:r w:rsidRPr="00E33B0E">
              <w:rPr>
                <w:b/>
                <w:bCs/>
                <w:shd w:val="clear" w:color="auto" w:fill="C6D9F1" w:themeFill="text2" w:themeFillTint="33"/>
              </w:rPr>
              <w:lastRenderedPageBreak/>
              <w:t>L'IA au service de la santé</w:t>
            </w:r>
          </w:p>
          <w:p w14:paraId="294009DF" w14:textId="620B009F" w:rsidR="0045595F" w:rsidRPr="00E33B0E" w:rsidRDefault="0045595F" w:rsidP="009E2C97">
            <w:r w:rsidRPr="00E33B0E">
              <w:t>L'</w:t>
            </w:r>
            <w:hyperlink r:id="rId83" w:anchor="/fr" w:history="1">
              <w:r w:rsidRPr="00E33B0E">
                <w:rPr>
                  <w:rStyle w:val="Hyperlink"/>
                </w:rPr>
                <w:t>Initiative mondiale sur l'intelligence artificielle au service de la santé</w:t>
              </w:r>
            </w:hyperlink>
            <w:r w:rsidRPr="00E33B0E">
              <w:t>, menée par l'UIT en collaboration avec l'Organisation mondiale de la santé (OMS) et l'Organisation mondiale de la propriété intellectuelle (OMPI), a pour but de contribuer à renforcer la contribution de l'IA aux soins de santé et de faire en sorte que les avantages qui en découlent soient accessibles à tous.</w:t>
            </w:r>
          </w:p>
          <w:p w14:paraId="18C76810" w14:textId="77777777" w:rsidR="0045595F" w:rsidRPr="00E33B0E" w:rsidRDefault="0045595F" w:rsidP="009E2C97">
            <w:r w:rsidRPr="00E33B0E">
              <w:t>L'objectif est d'élaborer des normes techniques et des orientations politiques, de faciliter le partage de connaissances et de données et d'appuyer la prise de décisions éclairées sur l'adoption de solutions fondées sur l'intelligence artificielle dans le secteur de la santé. Cette initiative encourage en outre la mise en place de mécanismes de collaboration pour que les communautés mal desservies aient accès aux solutions fondées sur l'IA, et son programme de mise en œuvre à grande échelle aidera les pays à revenus faibles ou intermédiaires à adopter des solutions de ce type dans le domaine de la santé.</w:t>
            </w:r>
          </w:p>
          <w:p w14:paraId="34EFDC32" w14:textId="77777777" w:rsidR="0045595F" w:rsidRPr="00E33B0E" w:rsidRDefault="0045595F" w:rsidP="009E2C97">
            <w:pPr>
              <w:spacing w:after="120"/>
            </w:pPr>
            <w:r w:rsidRPr="00E33B0E">
              <w:t xml:space="preserve">Annoncée lors du </w:t>
            </w:r>
            <w:hyperlink r:id="rId84" w:history="1">
              <w:r w:rsidRPr="00E33B0E">
                <w:rPr>
                  <w:rStyle w:val="Hyperlink"/>
                </w:rPr>
                <w:t>Sommet mondial de 2023 sur l'Intelligence artificielle au service du bien social</w:t>
              </w:r>
            </w:hyperlink>
            <w:r w:rsidRPr="00E33B0E">
              <w:t xml:space="preserve"> et lancée officiellement fin 2024, cette initiative s'inscrit dans le prolongement des travaux du </w:t>
            </w:r>
            <w:hyperlink r:id="rId85" w:anchor="/fr" w:history="1">
              <w:r w:rsidRPr="00E33B0E">
                <w:rPr>
                  <w:rStyle w:val="Hyperlink"/>
                </w:rPr>
                <w:t>Groupe spécialisé UIT-OMS sur l'Intelligence artificielle au service de la santé</w:t>
              </w:r>
            </w:hyperlink>
            <w:r w:rsidRPr="00E33B0E">
              <w:t>.</w:t>
            </w:r>
          </w:p>
        </w:tc>
      </w:tr>
    </w:tbl>
    <w:p w14:paraId="3D01F169" w14:textId="77777777" w:rsidR="0045595F" w:rsidRPr="00E33B0E" w:rsidRDefault="0045595F" w:rsidP="0045595F">
      <w:pPr>
        <w:pStyle w:val="Headingb"/>
      </w:pPr>
      <w:r w:rsidRPr="00E33B0E">
        <w:t>Informatique quantique</w:t>
      </w:r>
    </w:p>
    <w:p w14:paraId="0E972456" w14:textId="77777777" w:rsidR="0045595F" w:rsidRPr="00E33B0E" w:rsidRDefault="0045595F" w:rsidP="0045595F">
      <w:pPr>
        <w:spacing w:after="120"/>
      </w:pPr>
      <w:r w:rsidRPr="00E33B0E">
        <w:t>Après l'Assemblée mondiale de normalisation des télécommunications (AMNT-24), les commissions d'études de l'UIT-T ont revu et actualisé leurs mandats, plusieurs d'entre elles élargissant ainsi la portée de leurs travaux sur la normalisation de l'informatique quantique:</w:t>
      </w:r>
    </w:p>
    <w:tbl>
      <w:tblPr>
        <w:tblStyle w:val="TableGrid"/>
        <w:tblW w:w="0" w:type="auto"/>
        <w:tblLook w:val="04A0" w:firstRow="1" w:lastRow="0" w:firstColumn="1" w:lastColumn="0" w:noHBand="0" w:noVBand="1"/>
      </w:tblPr>
      <w:tblGrid>
        <w:gridCol w:w="9061"/>
      </w:tblGrid>
      <w:tr w:rsidR="0045595F" w:rsidRPr="00E33B0E" w14:paraId="4D9A6713" w14:textId="77777777" w:rsidTr="009E2C97">
        <w:tc>
          <w:tcPr>
            <w:tcW w:w="9061" w:type="dxa"/>
          </w:tcPr>
          <w:p w14:paraId="5759ACE4" w14:textId="77777777" w:rsidR="0045595F" w:rsidRPr="00E33B0E" w:rsidRDefault="0045595F" w:rsidP="009E2C97">
            <w:pPr>
              <w:shd w:val="clear" w:color="auto" w:fill="C6D9F1" w:themeFill="text2" w:themeFillTint="33"/>
              <w:rPr>
                <w:b/>
                <w:bCs/>
              </w:rPr>
            </w:pPr>
            <w:r w:rsidRPr="00E33B0E">
              <w:rPr>
                <w:b/>
                <w:bCs/>
              </w:rPr>
              <w:t>Hackathon organisé à l'occasion de l'AMNT-24 à New Delhi</w:t>
            </w:r>
          </w:p>
          <w:p w14:paraId="264A82C4" w14:textId="77777777" w:rsidR="0045595F" w:rsidRPr="00E33B0E" w:rsidRDefault="0045595F" w:rsidP="009E2C97">
            <w:r w:rsidRPr="00E33B0E">
              <w:t>Un hackathon collaboratif spécial, organisé à New Delhi (Inde) les 7 et 8 octobre 2024, portait sur l'intégration de l'intelligence artificielle et de l'apprentissage automatique dans les réseaux de télécommunication 5G et 6G. Ce concours, organisé par l'UIT et le Département des télécommunications de l'Inde à l'occasion de l'AMNT-24, témoignait de l'influence croissante du pays dans l'élaboration des normes mondiales de télécommunication.</w:t>
            </w:r>
          </w:p>
          <w:p w14:paraId="13876E2D" w14:textId="77777777" w:rsidR="0045595F" w:rsidRPr="00E33B0E" w:rsidRDefault="0045595F" w:rsidP="009E2C97">
            <w:pPr>
              <w:spacing w:after="120"/>
              <w:rPr>
                <w:b/>
                <w:bCs/>
              </w:rPr>
            </w:pPr>
            <w:hyperlink r:id="rId86" w:history="1">
              <w:r w:rsidRPr="00E33B0E">
                <w:rPr>
                  <w:rStyle w:val="Hyperlink"/>
                  <w:b/>
                  <w:bCs/>
                </w:rPr>
                <w:t>En savoir plus</w:t>
              </w:r>
            </w:hyperlink>
          </w:p>
        </w:tc>
      </w:tr>
    </w:tbl>
    <w:p w14:paraId="37711C9E" w14:textId="77777777" w:rsidR="0045595F" w:rsidRPr="00E33B0E" w:rsidRDefault="0045595F" w:rsidP="0045595F">
      <w:pPr>
        <w:pStyle w:val="enumlev1"/>
      </w:pPr>
      <w:r w:rsidRPr="00E33B0E">
        <w:t>•</w:t>
      </w:r>
      <w:r w:rsidRPr="00E33B0E">
        <w:tab/>
        <w:t xml:space="preserve">La </w:t>
      </w:r>
      <w:hyperlink r:id="rId87" w:anchor="/fr" w:history="1">
        <w:r w:rsidRPr="00E33B0E">
          <w:rPr>
            <w:rStyle w:val="Hyperlink"/>
            <w:rFonts w:eastAsia="Times New Roman" w:cs="Times New Roman"/>
            <w:szCs w:val="20"/>
          </w:rPr>
          <w:t>Commission d'études 11 de l'UIT-T</w:t>
        </w:r>
      </w:hyperlink>
      <w:r w:rsidRPr="00E33B0E">
        <w:t xml:space="preserve"> est chargée de poursuivre les études sur les architectures de signalisation et de commande pour les réseaux de distribution de clés quantiques (QKDN).</w:t>
      </w:r>
    </w:p>
    <w:p w14:paraId="0963B5A4" w14:textId="77777777" w:rsidR="0045595F" w:rsidRPr="00E33B0E" w:rsidRDefault="0045595F" w:rsidP="0045595F">
      <w:pPr>
        <w:pStyle w:val="enumlev1"/>
      </w:pPr>
      <w:r w:rsidRPr="00E33B0E">
        <w:t>•</w:t>
      </w:r>
      <w:r w:rsidRPr="00E33B0E">
        <w:tab/>
        <w:t xml:space="preserve">La </w:t>
      </w:r>
      <w:hyperlink r:id="rId88" w:anchor="/fr" w:history="1">
        <w:r w:rsidRPr="00E33B0E">
          <w:rPr>
            <w:rStyle w:val="Hyperlink"/>
            <w:rFonts w:eastAsia="Times New Roman" w:cs="Times New Roman"/>
            <w:szCs w:val="20"/>
          </w:rPr>
          <w:t>Commission d'études 13 de l'UIT-T</w:t>
        </w:r>
      </w:hyperlink>
      <w:r w:rsidRPr="00E33B0E">
        <w:t xml:space="preserve"> est chargée de poursuivre les études sur les réseaux quantiques en prenant en compte à la fois les aspects liés aux réseaux QKDN et les technologies de réseau quantiques au sens large.</w:t>
      </w:r>
    </w:p>
    <w:p w14:paraId="513BF8B1" w14:textId="77777777" w:rsidR="0045595F" w:rsidRPr="00E33B0E" w:rsidRDefault="0045595F" w:rsidP="0045595F">
      <w:pPr>
        <w:pStyle w:val="enumlev1"/>
      </w:pPr>
      <w:r w:rsidRPr="00E33B0E">
        <w:t>•</w:t>
      </w:r>
      <w:r w:rsidRPr="00E33B0E">
        <w:tab/>
        <w:t xml:space="preserve">La </w:t>
      </w:r>
      <w:hyperlink r:id="rId89" w:anchor="/fr" w:history="1">
        <w:r w:rsidRPr="00E33B0E">
          <w:rPr>
            <w:rStyle w:val="Hyperlink"/>
            <w:rFonts w:eastAsia="Times New Roman" w:cs="Times New Roman"/>
            <w:szCs w:val="20"/>
          </w:rPr>
          <w:t>Commission d'études 15 de l'UIT-T</w:t>
        </w:r>
      </w:hyperlink>
      <w:r w:rsidRPr="00E33B0E">
        <w:t xml:space="preserve"> a présenté des études sur la gestion et l'utilisation de l'informatique quantique dans les réseaux de transport et sur les exigences en matière de synchronisation et de déploiement des réseaux QKDN.</w:t>
      </w:r>
    </w:p>
    <w:p w14:paraId="04C08D46" w14:textId="77777777" w:rsidR="0045595F" w:rsidRPr="00E33B0E" w:rsidRDefault="0045595F" w:rsidP="0045595F">
      <w:pPr>
        <w:pStyle w:val="enumlev1"/>
        <w:keepLines/>
      </w:pPr>
      <w:r w:rsidRPr="00E33B0E">
        <w:lastRenderedPageBreak/>
        <w:t>•</w:t>
      </w:r>
      <w:r w:rsidRPr="00E33B0E">
        <w:tab/>
        <w:t xml:space="preserve">La </w:t>
      </w:r>
      <w:hyperlink r:id="rId90" w:anchor="/fr" w:history="1">
        <w:r w:rsidRPr="00E33B0E">
          <w:rPr>
            <w:rStyle w:val="Hyperlink"/>
            <w:rFonts w:eastAsia="Times New Roman" w:cs="Times New Roman"/>
            <w:szCs w:val="20"/>
          </w:rPr>
          <w:t>Commission d'études 17 de l'UIT-T</w:t>
        </w:r>
      </w:hyperlink>
      <w:r w:rsidRPr="00E33B0E">
        <w:t xml:space="preserve"> est chargée de continuer de diriger les travaux de normalisation sur la sécurité des technologies quantiques, y compris la distribution de clés quantiques et la cryptographie post-quantique (PQC). L'AMNT-24 a adopté une mesure tenant compte de la nécessité de promouvoir le passage à la cryptographie post-quantique et l'utilisation de cette technologie dans les réseaux de télécommunication/TIC, renforçant la contribution de cette Commission d'études à l'élaboration des Recommandations, bonnes pratiques et rapports techniques de l'UIT</w:t>
      </w:r>
      <w:r w:rsidRPr="00E33B0E">
        <w:noBreakHyphen/>
        <w:t>T nécessaires.</w:t>
      </w:r>
    </w:p>
    <w:p w14:paraId="69F86A47" w14:textId="77777777" w:rsidR="0045595F" w:rsidRPr="00E33B0E" w:rsidRDefault="0045595F" w:rsidP="0045595F">
      <w:r w:rsidRPr="00E33B0E">
        <w:t>L'UIT-T compte actuellement une série de 40 normes sur les technologies quantiques, essentiellement axées sur la distribution de clés quantiques (QKD) et englobant les aspects de cette technologie liés aux réseaux, à la sécurité et à la signalisation. Plus de 30 normes additionnelles sont en cours d'élaboration.</w:t>
      </w:r>
    </w:p>
    <w:p w14:paraId="7A121A4E" w14:textId="77777777" w:rsidR="0045595F" w:rsidRPr="00E33B0E" w:rsidRDefault="0045595F" w:rsidP="0045595F">
      <w:r w:rsidRPr="00E33B0E">
        <w:t>L'</w:t>
      </w:r>
      <w:hyperlink r:id="rId91" w:history="1">
        <w:r w:rsidRPr="00E33B0E">
          <w:rPr>
            <w:rStyle w:val="Hyperlink"/>
            <w:rFonts w:eastAsia="Times New Roman" w:cs="Times New Roman"/>
            <w:szCs w:val="20"/>
          </w:rPr>
          <w:t>Activité conjointe de coordination sur les réseaux de distribution de clés quantiques</w:t>
        </w:r>
      </w:hyperlink>
      <w:r w:rsidRPr="00E33B0E">
        <w:t xml:space="preserve"> (JCA</w:t>
      </w:r>
      <w:r w:rsidRPr="00E33B0E">
        <w:noBreakHyphen/>
        <w:t xml:space="preserve">QKDN), qui supervise les activités de l'UIT-T en matière de normalisation de l'informatique quantique et facilite la collaboration avec des organismes de normalisation extérieurs, a tenu une </w:t>
      </w:r>
      <w:hyperlink r:id="rId92" w:anchor="/fr" w:history="1">
        <w:r w:rsidRPr="00E33B0E">
          <w:rPr>
            <w:rStyle w:val="Hyperlink"/>
            <w:rFonts w:eastAsia="Times New Roman" w:cs="Times New Roman"/>
            <w:szCs w:val="20"/>
          </w:rPr>
          <w:t>réunion de collaboration à Singapour en mai 2024</w:t>
        </w:r>
      </w:hyperlink>
      <w:r w:rsidRPr="00E33B0E">
        <w:t xml:space="preserve">, dans le prolongement des discussions menées par la GSMA (l'association des industriels du mobile) et l'Institut européen des normes de télécommunication (ETSI). En outre, elle a contribué à la création d'une </w:t>
      </w:r>
      <w:hyperlink r:id="rId93" w:history="1">
        <w:r w:rsidRPr="00E33B0E">
          <w:rPr>
            <w:rStyle w:val="Hyperlink"/>
            <w:rFonts w:eastAsia="Times New Roman" w:cs="Times New Roman"/>
            <w:szCs w:val="20"/>
          </w:rPr>
          <w:t>base de données des normes sur l'informatique quantique</w:t>
        </w:r>
      </w:hyperlink>
      <w:r w:rsidRPr="00E33B0E">
        <w:t>, qui offre un aperçu structuré des normes mondiales en matière d'informatique quantique.</w:t>
      </w:r>
    </w:p>
    <w:p w14:paraId="23880D7C" w14:textId="77777777" w:rsidR="0045595F" w:rsidRPr="00E33B0E" w:rsidRDefault="0045595F" w:rsidP="0045595F">
      <w:pPr>
        <w:spacing w:after="120"/>
      </w:pPr>
      <w:r w:rsidRPr="00E33B0E">
        <w:t xml:space="preserve">À l'occasion du 100ème anniversaire de la découverte de la mécanique quantique, l'Assemblée générale des Nations Unies a proclamé l'année 2025 "Année internationale des sciences et technologies quantiques" (AIQ) par sa </w:t>
      </w:r>
      <w:hyperlink r:id="rId94" w:history="1">
        <w:r w:rsidRPr="00E33B0E">
          <w:rPr>
            <w:rStyle w:val="Hyperlink"/>
            <w:rFonts w:eastAsia="Times New Roman" w:cs="Times New Roman"/>
            <w:szCs w:val="20"/>
          </w:rPr>
          <w:t>Résolution 78/287</w:t>
        </w:r>
      </w:hyperlink>
      <w:r w:rsidRPr="00E33B0E">
        <w:t>, adoptée le 7 juin 2024. L'UIT joue un rôle essentiel dans les travaux du Comité directeur de l'AIQ, en orientant la mise en œuvre de l'initiative, en organisant des manifestations mondiales et en contrôlant les dépenses connexes.</w:t>
      </w:r>
    </w:p>
    <w:tbl>
      <w:tblPr>
        <w:tblStyle w:val="TableGrid"/>
        <w:tblW w:w="0" w:type="auto"/>
        <w:tblLook w:val="04A0" w:firstRow="1" w:lastRow="0" w:firstColumn="1" w:lastColumn="0" w:noHBand="0" w:noVBand="1"/>
      </w:tblPr>
      <w:tblGrid>
        <w:gridCol w:w="9061"/>
      </w:tblGrid>
      <w:tr w:rsidR="0045595F" w:rsidRPr="00E33B0E" w14:paraId="2EAA4115" w14:textId="77777777" w:rsidTr="009E2C97">
        <w:tc>
          <w:tcPr>
            <w:tcW w:w="9061" w:type="dxa"/>
          </w:tcPr>
          <w:p w14:paraId="357A1E4C" w14:textId="77777777" w:rsidR="0045595F" w:rsidRPr="00E33B0E" w:rsidRDefault="0045595F" w:rsidP="009E2C97">
            <w:pPr>
              <w:shd w:val="clear" w:color="auto" w:fill="C6D9F1" w:themeFill="text2" w:themeFillTint="33"/>
              <w:rPr>
                <w:b/>
                <w:bCs/>
              </w:rPr>
            </w:pPr>
            <w:r w:rsidRPr="00E33B0E">
              <w:rPr>
                <w:b/>
                <w:bCs/>
              </w:rPr>
              <w:t>Travaux préparatoires sur la technologie quantique</w:t>
            </w:r>
          </w:p>
          <w:p w14:paraId="28E911B1" w14:textId="77777777" w:rsidR="0045595F" w:rsidRPr="00E33B0E" w:rsidRDefault="0045595F" w:rsidP="009E2C97">
            <w:pPr>
              <w:spacing w:after="120"/>
            </w:pPr>
            <w:r w:rsidRPr="00E33B0E">
              <w:t>L'UIT a contribué à préparer le terrain pour célébrer l'année 2025 en tant qu'Année internationale des sciences et technologies quantiques, en renforçant la coopération en matière de normes visant à relever les défis liés à la sécurité quantique et en intensifiant les partenariats pour renforcer les compétences, garantir l'accès de tous aux technologies quantiques et faire progresser ces technologies dans l'intérêt de l'humanité.</w:t>
            </w:r>
          </w:p>
          <w:p w14:paraId="1058831A" w14:textId="77777777" w:rsidR="0045595F" w:rsidRPr="00E33B0E" w:rsidRDefault="0045595F" w:rsidP="009E2C97">
            <w:pPr>
              <w:spacing w:after="120"/>
              <w:rPr>
                <w:b/>
                <w:bCs/>
              </w:rPr>
            </w:pPr>
            <w:hyperlink r:id="rId95" w:anchor="/fr" w:history="1">
              <w:r w:rsidRPr="00E33B0E">
                <w:rPr>
                  <w:rStyle w:val="Hyperlink"/>
                  <w:b/>
                  <w:bCs/>
                </w:rPr>
                <w:t>En savoir plus</w:t>
              </w:r>
            </w:hyperlink>
          </w:p>
        </w:tc>
      </w:tr>
    </w:tbl>
    <w:p w14:paraId="548F84CA" w14:textId="77777777" w:rsidR="0045595F" w:rsidRPr="00E33B0E" w:rsidRDefault="0045595F" w:rsidP="0045595F">
      <w:r w:rsidRPr="00E33B0E">
        <w:t>Parmi les nouvelles initiatives visant à renforcer la contribution de l'UIT à la célébration de cette Année internationale, on peut citer l'Initiative "Quantum for Good" (L'informatique quantique au service du bien social), qui vise à étudier la manière dont les technologies quantiques peuvent produire des effets à l'échelle mondiale conformément aux Objectifs de développement durable adoptés par les Nations Unies. Dans un premier temps, une manifestation parallèle de haut niveau intitulée "</w:t>
      </w:r>
      <w:hyperlink r:id="rId96" w:history="1">
        <w:r w:rsidRPr="00E33B0E">
          <w:rPr>
            <w:rStyle w:val="Hyperlink"/>
            <w:rFonts w:eastAsia="Times New Roman" w:cs="Times New Roman"/>
            <w:szCs w:val="20"/>
          </w:rPr>
          <w:t>Quantum for Good: Frontier Technology for the SDGs</w:t>
        </w:r>
      </w:hyperlink>
      <w:r w:rsidRPr="00E33B0E">
        <w:t>" (L'informatique quantique au service du bien social: une technologie de pointe pour la réalisation des ODD) a eu lieu le 20 septembre 2024 à New York dans le cadre des Journées d'action du Sommet de l'avenir, organisée conjointement avec le Centre international de calcul des Nations Unies (CIC), le Forum économique mondial et l'organisation Quantum Delta NL.</w:t>
      </w:r>
    </w:p>
    <w:p w14:paraId="20E62223" w14:textId="77777777" w:rsidR="0045595F" w:rsidRPr="00E33B0E" w:rsidRDefault="0045595F" w:rsidP="0045595F">
      <w:r w:rsidRPr="00E33B0E">
        <w:lastRenderedPageBreak/>
        <w:t>Une manifestation de suivi intitulée "</w:t>
      </w:r>
      <w:hyperlink r:id="rId97" w:history="1">
        <w:r w:rsidRPr="00E33B0E">
          <w:rPr>
            <w:rStyle w:val="Hyperlink"/>
            <w:rFonts w:eastAsia="Times New Roman" w:cs="Times New Roman"/>
            <w:szCs w:val="20"/>
          </w:rPr>
          <w:t>Quantum for Good: Setting the Stage for the International Year of Quantum</w:t>
        </w:r>
      </w:hyperlink>
      <w:r w:rsidRPr="00E33B0E">
        <w:t>" (L'informatique quantique au service du bien social: préparer le terrain pour l'Année internationale des sciences et technologies quantiques), tenue à La Haye les 20 et 21 novembre 2024, a permis d'approfondir les discussions sur le rôle des technologies quantiques dans la résolution des problèmes mondiaux, avec la création de sous-groupes de travail thématiques (l'UIT dirige le volet cybersécurité).</w:t>
      </w:r>
    </w:p>
    <w:p w14:paraId="37B849A5" w14:textId="77777777" w:rsidR="0045595F" w:rsidRPr="00E33B0E" w:rsidRDefault="0045595F" w:rsidP="0045595F">
      <w:pPr>
        <w:pStyle w:val="Headingb"/>
      </w:pPr>
      <w:r w:rsidRPr="00E33B0E">
        <w:t>Métavers</w:t>
      </w:r>
    </w:p>
    <w:p w14:paraId="33EE09DF" w14:textId="77777777" w:rsidR="0045595F" w:rsidRPr="00E33B0E" w:rsidRDefault="0045595F" w:rsidP="0045595F">
      <w:r w:rsidRPr="00E33B0E">
        <w:t xml:space="preserve">Le </w:t>
      </w:r>
      <w:hyperlink r:id="rId98" w:anchor="/fr" w:history="1">
        <w:r w:rsidRPr="00E33B0E">
          <w:rPr>
            <w:rStyle w:val="Hyperlink"/>
            <w:rFonts w:eastAsia="Times New Roman" w:cs="Times New Roman"/>
            <w:szCs w:val="20"/>
          </w:rPr>
          <w:t>Groupe spécialisé de l'UIT-T sur le métavers (FG-MV)</w:t>
        </w:r>
      </w:hyperlink>
      <w:r w:rsidRPr="00E33B0E">
        <w:t xml:space="preserve">, qui a achevé ses travaux en juin 2024, a élaboré 52 </w:t>
      </w:r>
      <w:hyperlink r:id="rId99" w:history="1">
        <w:r w:rsidRPr="00E33B0E">
          <w:rPr>
            <w:rStyle w:val="Hyperlink"/>
            <w:rFonts w:eastAsia="Times New Roman" w:cs="Times New Roman"/>
            <w:szCs w:val="20"/>
          </w:rPr>
          <w:t>produits</w:t>
        </w:r>
      </w:hyperlink>
      <w:r w:rsidRPr="00E33B0E">
        <w:t xml:space="preserve"> pendant sa période d'activité, dont une définition du métavers et une feuille de route pour la normalisation. Les produits portent également sur l'IA générative dans le métavers et les métavilles, l'interopérabilité entre les plates-formes, la sécurité et la confiance, l'accessibilité et l'efficacité énergétique, ainsi que sur les applications du métavers pour les villes et les milieux industriels, l'Internet des objets (IoT), les jumeaux numériques, les questions éthiques à prendre en compte dans la normalisation du métavers, et les considérations relatives aux questions de politique et de réglementation.</w:t>
      </w:r>
    </w:p>
    <w:p w14:paraId="4DFD7C10" w14:textId="77777777" w:rsidR="0045595F" w:rsidRPr="00E33B0E" w:rsidRDefault="0045595F" w:rsidP="0045595F">
      <w:r w:rsidRPr="00E33B0E">
        <w:t>L'</w:t>
      </w:r>
      <w:hyperlink r:id="rId100" w:history="1">
        <w:r w:rsidRPr="00E33B0E">
          <w:rPr>
            <w:rStyle w:val="Hyperlink"/>
            <w:rFonts w:eastAsia="Times New Roman" w:cs="Times New Roman"/>
            <w:szCs w:val="20"/>
          </w:rPr>
          <w:t>édition de 2024 de la manifestation "Think-a-Thon" sur le métavers</w:t>
        </w:r>
      </w:hyperlink>
      <w:r w:rsidRPr="00E33B0E">
        <w:t>, organisée par l'UIT en collaboration avec le CIC des Nations Unies, l'Organisation des Nations Unies pour l'alimentation et l'agriculture (FAO) et l'Agence internationale de l'énergie atomique (AIEA), a mis les étudiants et les jeunes diplômés au défi de concevoir des solutions technologiques innovantes pour les villes et les communautés intelligentes et durables. Les participants ont mis au point des simulations virtuelles répondant aux enjeux mondiaux dans les domaines de l'éducation, de la préparation aux catastrophes, de la résolution des conflits et de la durabilité urbaine, conformément aux priorités de développement reconnues à l'échelle mondiale. Les équipes lauréates, à savoir RtVall, dédiée à l'enseignement des technologies aux jeunes, Hust Delia, qui met au point des solutions virtuelles innovantes et HolNetVerse, pour la promotion du développement durable grâce aux mondes virtuels, ont été récompensées à l'occasion de la Journée des mondes virtuels des Nations Unies pour leurs contributions marquantes.</w:t>
      </w:r>
    </w:p>
    <w:p w14:paraId="108D59AB" w14:textId="77777777" w:rsidR="0045595F" w:rsidRPr="00E33B0E" w:rsidRDefault="0045595F" w:rsidP="0045595F">
      <w:r w:rsidRPr="00E33B0E">
        <w:t xml:space="preserve">Dans le cadre de la </w:t>
      </w:r>
      <w:hyperlink r:id="rId101" w:history="1">
        <w:r w:rsidRPr="00E33B0E">
          <w:rPr>
            <w:rStyle w:val="Hyperlink"/>
            <w:rFonts w:eastAsia="Times New Roman" w:cs="Times New Roman"/>
            <w:szCs w:val="20"/>
          </w:rPr>
          <w:t>première édition du Défi des Nations Unies pour les métavilles</w:t>
        </w:r>
      </w:hyperlink>
      <w:r w:rsidRPr="00E33B0E">
        <w:t>, créé en 2024, lancé le 13 février 2025 et organisé par l'UIT aux côtés de 15 partenaires mondiaux, les étudiants et les start-ups sont invités à réinventer l'avenir grâce aux métavilles et aux infrastructures publiques numériques. En mettant l'accent sur l'accès aux services publics, la durabilité et la résilience, ainsi que le tourisme et la culture numérique, les participants concevront des solutions audacieuses et innovantes pour façonner les villes de demain et favoriser une transformation urbaine fondée sur la technologie, dans l'intérêt de tous.</w:t>
      </w:r>
    </w:p>
    <w:p w14:paraId="19B59F29" w14:textId="77777777" w:rsidR="0045595F" w:rsidRPr="00E33B0E" w:rsidRDefault="0045595F" w:rsidP="0045595F">
      <w:r w:rsidRPr="00E33B0E">
        <w:t xml:space="preserve">La </w:t>
      </w:r>
      <w:hyperlink r:id="rId102" w:anchor="p=1" w:history="1">
        <w:r w:rsidRPr="00E33B0E">
          <w:rPr>
            <w:rStyle w:val="Hyperlink"/>
            <w:rFonts w:eastAsia="Times New Roman" w:cs="Times New Roman"/>
            <w:szCs w:val="20"/>
          </w:rPr>
          <w:t>première édition de la "Note d'information des Nations Unies: libérer le potentiel des mondes virtuels et du métavers pour atteindre les Objectifs de développement durable"</w:t>
        </w:r>
      </w:hyperlink>
      <w:r w:rsidRPr="00E33B0E">
        <w:t xml:space="preserve"> a été publiée par l'UIT et 16 autres entités des Nations Unies en juin 2024. Cette note d'information met en avant le potentiel de transformation offert par les mondes virtuels et le métavers pour redessiner des secteurs tels que l'éducation, les soins de santé et l'urbanisme. En outre, elle souligne qu'il est important d'élaborer des normes et des lignes directrices internationales pour faire en sorte que ces technologies soient exploitées de manière responsable, conformément aux priorités de développement reconnues notamment dans le Programme 2030.</w:t>
      </w:r>
    </w:p>
    <w:p w14:paraId="67A7978C" w14:textId="77777777" w:rsidR="0045595F" w:rsidRPr="00E33B0E" w:rsidRDefault="0045595F" w:rsidP="0045595F">
      <w:pPr>
        <w:pStyle w:val="Heading2"/>
      </w:pPr>
      <w:bookmarkStart w:id="21" w:name="_Toc199753893"/>
      <w:r w:rsidRPr="00E33B0E">
        <w:lastRenderedPageBreak/>
        <w:t>4.5</w:t>
      </w:r>
      <w:r w:rsidRPr="00E33B0E">
        <w:tab/>
        <w:t>Fourniture de données et de statistiques</w:t>
      </w:r>
      <w:bookmarkEnd w:id="21"/>
    </w:p>
    <w:p w14:paraId="236DC3C8" w14:textId="77777777" w:rsidR="0045595F" w:rsidRPr="00E33B0E" w:rsidRDefault="0045595F" w:rsidP="0045595F">
      <w:r w:rsidRPr="00E33B0E">
        <w:t xml:space="preserve">L'UIT </w:t>
      </w:r>
      <w:hyperlink r:id="rId103" w:history="1">
        <w:r w:rsidRPr="00E33B0E">
          <w:rPr>
            <w:rStyle w:val="Hyperlink"/>
            <w:rFonts w:eastAsia="Times New Roman" w:cs="Times New Roman"/>
            <w:szCs w:val="20"/>
          </w:rPr>
          <w:t>recueille et diffuse des données essentielles</w:t>
        </w:r>
      </w:hyperlink>
      <w:r w:rsidRPr="00E33B0E">
        <w:t xml:space="preserve"> et effectue des travaux de recherche d'envergure internationale pour suivre et interpréter l'état d'avancement de la </w:t>
      </w:r>
      <w:hyperlink r:id="rId104" w:history="1">
        <w:r w:rsidRPr="00E33B0E">
          <w:rPr>
            <w:rStyle w:val="Hyperlink"/>
            <w:rFonts w:eastAsia="Times New Roman" w:cs="Times New Roman"/>
            <w:szCs w:val="20"/>
          </w:rPr>
          <w:t>connectivité efficace et universelle</w:t>
        </w:r>
      </w:hyperlink>
      <w:r w:rsidRPr="00E33B0E">
        <w:t xml:space="preserve"> et de la transformation numérique durable à l'échelle mondiale. Le rapport phare de l'UIT intitulé "</w:t>
      </w:r>
      <w:hyperlink r:id="rId105" w:history="1">
        <w:r w:rsidRPr="00E33B0E">
          <w:rPr>
            <w:rStyle w:val="Hyperlink"/>
            <w:rFonts w:eastAsia="Times New Roman" w:cs="Times New Roman"/>
            <w:szCs w:val="20"/>
          </w:rPr>
          <w:t>Mesurer le développement numérique: faits et chiffres pour 2024</w:t>
        </w:r>
      </w:hyperlink>
      <w:r w:rsidRPr="00E33B0E">
        <w:t>" donne un aperçu des principaux indicateurs des TIC, notamment des estimations pour l'année en cours.</w:t>
      </w:r>
    </w:p>
    <w:p w14:paraId="44FC950A" w14:textId="77777777" w:rsidR="0045595F" w:rsidRPr="00E33B0E" w:rsidRDefault="0045595F" w:rsidP="0045595F">
      <w:pPr>
        <w:pStyle w:val="Figure"/>
      </w:pPr>
      <w:r w:rsidRPr="00E33B0E">
        <w:rPr>
          <w:noProof/>
        </w:rPr>
        <w:drawing>
          <wp:inline distT="0" distB="0" distL="0" distR="0" wp14:anchorId="13CBD834" wp14:editId="0E32014F">
            <wp:extent cx="2907247" cy="3619500"/>
            <wp:effectExtent l="0" t="0" r="7620" b="0"/>
            <wp:docPr id="105832789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7894" name="Picture 1" descr="A cover of a book&#10;&#10;AI-generated content may be incorrect."/>
                    <pic:cNvPicPr/>
                  </pic:nvPicPr>
                  <pic:blipFill>
                    <a:blip r:embed="rId106"/>
                    <a:stretch>
                      <a:fillRect/>
                    </a:stretch>
                  </pic:blipFill>
                  <pic:spPr>
                    <a:xfrm>
                      <a:off x="0" y="0"/>
                      <a:ext cx="2943369" cy="3664471"/>
                    </a:xfrm>
                    <a:prstGeom prst="rect">
                      <a:avLst/>
                    </a:prstGeom>
                  </pic:spPr>
                </pic:pic>
              </a:graphicData>
            </a:graphic>
          </wp:inline>
        </w:drawing>
      </w:r>
    </w:p>
    <w:p w14:paraId="28EE821E" w14:textId="77777777" w:rsidR="0045595F" w:rsidRPr="00E33B0E" w:rsidRDefault="0045595F" w:rsidP="0045595F">
      <w:pPr>
        <w:pStyle w:val="Normalaftertitle"/>
      </w:pPr>
      <w:r w:rsidRPr="00E33B0E">
        <w:t xml:space="preserve">La </w:t>
      </w:r>
      <w:hyperlink r:id="rId107" w:history="1">
        <w:r w:rsidRPr="00E33B0E">
          <w:rPr>
            <w:rStyle w:val="Hyperlink"/>
            <w:rFonts w:eastAsia="Times New Roman" w:cs="Times New Roman"/>
            <w:szCs w:val="20"/>
          </w:rPr>
          <w:t>Division des données et des analyses sur les TIC</w:t>
        </w:r>
      </w:hyperlink>
      <w:r w:rsidRPr="00E33B0E">
        <w:t xml:space="preserve"> rattachée au Département de la société de connaissances numériques du BDT est responsable des travaux statistiques de l'UIT. Elle joue un rôle de chef de file mondial en matière de statistiques sur les TIC en recueillant et en diffusant des informations cruciales et en menant des recherches de niveau international pour soutenir la prise de décisions afin de parvenir à une connectivité universelle et efficace et à une transformation numérique durable.</w:t>
      </w:r>
    </w:p>
    <w:p w14:paraId="61027870" w14:textId="77777777" w:rsidR="0045595F" w:rsidRPr="00E33B0E" w:rsidRDefault="0045595F" w:rsidP="0045595F">
      <w:pPr>
        <w:pStyle w:val="Headingb"/>
      </w:pPr>
      <w:r w:rsidRPr="00E33B0E">
        <w:t>Principales activités concernant les données et les analyses sur les TIC</w:t>
      </w:r>
    </w:p>
    <w:p w14:paraId="36D33BBA" w14:textId="77777777" w:rsidR="0045595F" w:rsidRPr="00E33B0E" w:rsidRDefault="0045595F" w:rsidP="0045595F">
      <w:r w:rsidRPr="00E33B0E">
        <w:t>Le BDT intervient tout au long du cycle de vie des données dans les domaines suivants:</w:t>
      </w:r>
    </w:p>
    <w:p w14:paraId="60A71CA5" w14:textId="77777777" w:rsidR="0045595F" w:rsidRPr="00E33B0E" w:rsidRDefault="0045595F" w:rsidP="0045595F">
      <w:pPr>
        <w:pStyle w:val="enumlev1"/>
      </w:pPr>
      <w:r w:rsidRPr="00E33B0E">
        <w:t>•</w:t>
      </w:r>
      <w:r w:rsidRPr="00E33B0E">
        <w:tab/>
      </w:r>
      <w:r w:rsidRPr="00E33B0E">
        <w:rPr>
          <w:b/>
          <w:bCs/>
        </w:rPr>
        <w:t>Normes</w:t>
      </w:r>
      <w:r w:rsidRPr="00E33B0E">
        <w:t xml:space="preserve"> </w:t>
      </w:r>
      <w:r w:rsidRPr="00E33B0E">
        <w:rPr>
          <w:b/>
          <w:bCs/>
        </w:rPr>
        <w:t>statistiques</w:t>
      </w:r>
      <w:r w:rsidRPr="00E33B0E">
        <w:t xml:space="preserve">: par l'intermédiaire du Groupe d'experts sur les indicateurs des télécommunications/TIC (EGTI) et du Groupe d'experts sur les indicateurs relatifs à l'utilisation des TIC par les ménages (EGH), l'UIT élabore et met à jour les </w:t>
      </w:r>
      <w:hyperlink r:id="rId108" w:history="1">
        <w:r w:rsidRPr="00E33B0E">
          <w:rPr>
            <w:rStyle w:val="Hyperlink"/>
            <w:rFonts w:eastAsia="Times New Roman" w:cs="Times New Roman"/>
            <w:szCs w:val="20"/>
          </w:rPr>
          <w:t>normes statistiques</w:t>
        </w:r>
      </w:hyperlink>
      <w:r w:rsidRPr="00E33B0E">
        <w:t xml:space="preserve"> et les méthodes utilisées au niveau international concernant les indicateurs des TIC.</w:t>
      </w:r>
    </w:p>
    <w:p w14:paraId="0602CA20" w14:textId="77777777" w:rsidR="0045595F" w:rsidRPr="00E33B0E" w:rsidRDefault="0045595F" w:rsidP="0045595F">
      <w:pPr>
        <w:pStyle w:val="enumlev1"/>
      </w:pPr>
      <w:r w:rsidRPr="00E33B0E">
        <w:t>•</w:t>
      </w:r>
      <w:r w:rsidRPr="00E33B0E">
        <w:tab/>
      </w:r>
      <w:r w:rsidRPr="00E33B0E">
        <w:rPr>
          <w:b/>
          <w:bCs/>
        </w:rPr>
        <w:t>Collecte, compilation et diffusion de statistiques sur les TIC</w:t>
      </w:r>
      <w:r w:rsidRPr="00E33B0E">
        <w:t xml:space="preserve">: l'UIT compile des statistiques pour des centaines d'indicateurs des TIC, sur la base de données recueillies auprès de plus de 200 pays, et calcule des estimations aux niveaux mondial et régional et pour des groupes de pays. Toutes les données sont disponibles gratuitement sur le </w:t>
      </w:r>
      <w:hyperlink r:id="rId109" w:history="1">
        <w:r w:rsidRPr="00E33B0E">
          <w:rPr>
            <w:rStyle w:val="Hyperlink"/>
            <w:rFonts w:eastAsia="Times New Roman" w:cs="Times New Roman"/>
            <w:szCs w:val="20"/>
          </w:rPr>
          <w:t>Centre de données de l'UIT</w:t>
        </w:r>
      </w:hyperlink>
      <w:r w:rsidRPr="00E33B0E">
        <w:t>.</w:t>
      </w:r>
    </w:p>
    <w:p w14:paraId="3410DB7B" w14:textId="77777777" w:rsidR="0045595F" w:rsidRPr="00E33B0E" w:rsidRDefault="0045595F" w:rsidP="0045595F">
      <w:pPr>
        <w:pStyle w:val="enumlev1"/>
      </w:pPr>
      <w:r w:rsidRPr="00E33B0E">
        <w:lastRenderedPageBreak/>
        <w:t>•</w:t>
      </w:r>
      <w:r w:rsidRPr="00E33B0E">
        <w:tab/>
      </w:r>
      <w:r w:rsidRPr="00E33B0E">
        <w:rPr>
          <w:b/>
          <w:bCs/>
        </w:rPr>
        <w:t>Science des données et statistiques sur les TIC de prochaine génération</w:t>
      </w:r>
      <w:r w:rsidRPr="00E33B0E">
        <w:t xml:space="preserve">: les </w:t>
      </w:r>
      <w:hyperlink r:id="rId110" w:history="1">
        <w:r w:rsidRPr="00E33B0E">
          <w:rPr>
            <w:rStyle w:val="Hyperlink"/>
            <w:rFonts w:eastAsia="Times New Roman" w:cs="Times New Roman"/>
            <w:szCs w:val="20"/>
          </w:rPr>
          <w:t>pratiques du BDT en matière de science des données</w:t>
        </w:r>
      </w:hyperlink>
      <w:r w:rsidRPr="00E33B0E">
        <w:t xml:space="preserve"> consistent à exploiter les mégadonnées pour améliorer l'exactitude, l'actualité et la granularité des statistiques sur les TIC. L'UIT préside l'</w:t>
      </w:r>
      <w:hyperlink r:id="rId111" w:history="1">
        <w:r w:rsidRPr="00E33B0E">
          <w:rPr>
            <w:rStyle w:val="Hyperlink"/>
            <w:rFonts w:eastAsia="Times New Roman" w:cs="Times New Roman"/>
            <w:szCs w:val="20"/>
          </w:rPr>
          <w:t>Équipe spéciale du Comité d'experts sur les mégadonnées et la science des données chargée des questions liées aux données mobiles</w:t>
        </w:r>
      </w:hyperlink>
      <w:r w:rsidRPr="00E33B0E">
        <w:t xml:space="preserve"> et fournit un appui aux pays par le biais de projets pilotes ayant notamment trait à l'utilisation des données de téléphonie mobile.</w:t>
      </w:r>
    </w:p>
    <w:p w14:paraId="05C0DDD2" w14:textId="77777777" w:rsidR="0045595F" w:rsidRPr="00E33B0E" w:rsidRDefault="0045595F" w:rsidP="0045595F">
      <w:pPr>
        <w:pStyle w:val="enumlev1"/>
      </w:pPr>
      <w:r w:rsidRPr="00E33B0E">
        <w:t>•</w:t>
      </w:r>
      <w:r w:rsidRPr="00E33B0E">
        <w:tab/>
      </w:r>
      <w:r w:rsidRPr="00E33B0E">
        <w:rPr>
          <w:b/>
          <w:bCs/>
        </w:rPr>
        <w:t>Analyse</w:t>
      </w:r>
      <w:r w:rsidRPr="00E33B0E">
        <w:t xml:space="preserve">: grâce à diverses </w:t>
      </w:r>
      <w:hyperlink r:id="rId112" w:history="1">
        <w:r w:rsidRPr="00E33B0E">
          <w:rPr>
            <w:rStyle w:val="Hyperlink"/>
            <w:rFonts w:eastAsia="Times New Roman" w:cs="Times New Roman"/>
            <w:szCs w:val="20"/>
          </w:rPr>
          <w:t>publications</w:t>
        </w:r>
      </w:hyperlink>
      <w:r w:rsidRPr="00E33B0E">
        <w:t>, dont la série "Mesurer le développement numérique", le BDT dresse un état des lieux de la connectivité mondiale, analyse les éléments moteurs et les incidences et recense les bonnes pratiques et les solutions.</w:t>
      </w:r>
    </w:p>
    <w:p w14:paraId="530A767D" w14:textId="77777777" w:rsidR="0045595F" w:rsidRPr="00E33B0E" w:rsidRDefault="0045595F" w:rsidP="0045595F">
      <w:pPr>
        <w:pStyle w:val="enumlev1"/>
      </w:pPr>
      <w:r w:rsidRPr="00E33B0E">
        <w:t>•</w:t>
      </w:r>
      <w:r w:rsidRPr="00E33B0E">
        <w:tab/>
      </w:r>
      <w:r w:rsidRPr="00E33B0E">
        <w:rPr>
          <w:b/>
          <w:bCs/>
        </w:rPr>
        <w:t>Renforcement des capacités et assistance technique</w:t>
      </w:r>
      <w:r w:rsidRPr="00E33B0E">
        <w:t xml:space="preserve">: le BDT </w:t>
      </w:r>
      <w:hyperlink r:id="rId113" w:history="1">
        <w:r w:rsidRPr="00E33B0E">
          <w:rPr>
            <w:rStyle w:val="Hyperlink"/>
            <w:rFonts w:eastAsia="Times New Roman" w:cs="Times New Roman"/>
            <w:szCs w:val="20"/>
          </w:rPr>
          <w:t>apporte son appui</w:t>
        </w:r>
      </w:hyperlink>
      <w:r w:rsidRPr="00E33B0E">
        <w:t xml:space="preserve"> à la communauté des statisticiens et à d'autres parties prenantes, y compris aux décideurs, en élaborant des documents techniques, des supports de formation, des cours en ligne et des ateliers et en fournissant une assistance technique.</w:t>
      </w:r>
    </w:p>
    <w:p w14:paraId="537071E6" w14:textId="77777777" w:rsidR="0045595F" w:rsidRPr="00E33B0E" w:rsidRDefault="0045595F" w:rsidP="0045595F">
      <w:pPr>
        <w:pStyle w:val="enumlev1"/>
      </w:pPr>
      <w:r w:rsidRPr="00E33B0E">
        <w:t>•</w:t>
      </w:r>
      <w:r w:rsidRPr="00E33B0E">
        <w:tab/>
      </w:r>
      <w:r w:rsidRPr="00E33B0E">
        <w:rPr>
          <w:b/>
          <w:bCs/>
        </w:rPr>
        <w:t>Partenariats, manifestations et coopération internationale</w:t>
      </w:r>
      <w:r w:rsidRPr="00E33B0E">
        <w:t xml:space="preserve">: par l'intermédiaire de la Division des données et des analyses sur les TIC, l'UIT </w:t>
      </w:r>
      <w:hyperlink r:id="rId114" w:history="1">
        <w:r w:rsidRPr="00E33B0E">
          <w:rPr>
            <w:rStyle w:val="Hyperlink"/>
            <w:rFonts w:eastAsia="Times New Roman" w:cs="Times New Roman"/>
            <w:szCs w:val="20"/>
          </w:rPr>
          <w:t>coopère</w:t>
        </w:r>
      </w:hyperlink>
      <w:r w:rsidRPr="00E33B0E">
        <w:t xml:space="preserve"> avec diverses organisations pour faire progresser le programme relatif aux statistiques, exploiter les synergies et les complémentarités, élargir les activités et obtenir les plus grandes retombées possibles. On peut citer, par exemple, le projet en plusieurs volets sur la </w:t>
      </w:r>
      <w:hyperlink r:id="rId115" w:anchor="/fr" w:history="1">
        <w:r w:rsidRPr="00E33B0E">
          <w:rPr>
            <w:rStyle w:val="Hyperlink"/>
            <w:rFonts w:eastAsia="Times New Roman" w:cs="Times New Roman"/>
            <w:szCs w:val="20"/>
          </w:rPr>
          <w:t>promotion et la mesure d'une connectivité universelle et efficace</w:t>
        </w:r>
      </w:hyperlink>
      <w:r w:rsidRPr="00E33B0E">
        <w:t xml:space="preserve">. En outre, l'UIT est responsable du </w:t>
      </w:r>
      <w:hyperlink r:id="rId116" w:anchor="/fr" w:history="1">
        <w:r w:rsidRPr="00E33B0E">
          <w:rPr>
            <w:rStyle w:val="Hyperlink"/>
            <w:rFonts w:eastAsia="Times New Roman" w:cs="Times New Roman"/>
            <w:szCs w:val="20"/>
          </w:rPr>
          <w:t>Colloque sur les indicateurs des télécommunications/TIC dans le monde</w:t>
        </w:r>
      </w:hyperlink>
      <w:r w:rsidRPr="00E33B0E">
        <w:t xml:space="preserve">, le forum mondial sur les statistiques relatives aux TIC. Le </w:t>
      </w:r>
      <w:hyperlink r:id="rId117" w:history="1">
        <w:r w:rsidRPr="00E33B0E">
          <w:rPr>
            <w:rStyle w:val="Hyperlink"/>
            <w:rFonts w:eastAsia="Times New Roman" w:cs="Times New Roman"/>
            <w:szCs w:val="20"/>
          </w:rPr>
          <w:t>Partenariat pour la mesure des TIC au service du développement</w:t>
        </w:r>
      </w:hyperlink>
      <w:r w:rsidRPr="00E33B0E">
        <w:t xml:space="preserve"> est une initiative internationale multi</w:t>
      </w:r>
      <w:r w:rsidRPr="00E33B0E">
        <w:noBreakHyphen/>
        <w:t>parties prenantes qui a été lancée en 2004 afin d'améliorer la disponibilité et la qualité des données et des indicateurs sur les TIC, en particulier dans les pays en développement. Cette initiative est une réponse directe à la demande formulée par le Sommet mondial sur la société de l'information (SMSI) de produire des statistiques officielles pour surveiller la société de l'information.</w:t>
      </w:r>
    </w:p>
    <w:p w14:paraId="51891B0D" w14:textId="77777777" w:rsidR="002C16EF" w:rsidRPr="00E33B0E" w:rsidRDefault="002C16EF" w:rsidP="002C16EF">
      <w:pPr>
        <w:pStyle w:val="Heading2"/>
      </w:pPr>
      <w:bookmarkStart w:id="22" w:name="_Toc198569365"/>
      <w:bookmarkStart w:id="23" w:name="_Toc199753894"/>
      <w:r w:rsidRPr="00E33B0E">
        <w:t>4.6</w:t>
      </w:r>
      <w:r w:rsidRPr="00E33B0E">
        <w:tab/>
        <w:t>Renforcement des capacités</w:t>
      </w:r>
      <w:bookmarkEnd w:id="22"/>
      <w:bookmarkEnd w:id="23"/>
    </w:p>
    <w:p w14:paraId="13DFAD66" w14:textId="77777777" w:rsidR="002C16EF" w:rsidRPr="00E33B0E" w:rsidRDefault="002C16EF" w:rsidP="002C16EF">
      <w:r w:rsidRPr="00E33B0E">
        <w:t xml:space="preserve">Le renforcement des capacités est le programme phare du Secteur du développement des télécommunications de l'UIT (UIT-D), qui vise à édifier une société maîtrisant le numérique dans laquelle toutes les personnes peuvent améliorer leurs moyens de subsistance grâce aux compétences numériques et aux connaissances technologiques. Les moyens d'y parvenir consistent à renforcer les capacités des professionnels de la technologie, à promouvoir la maîtrise des outils et les compétences numériques des citoyens, et à élaborer des supports didactiques. L'un des principaux mécanismes par le biais duquel l'UIT dispense des formations, connu jusqu'en 2023 sous le nom de "programme des Centres d'excellence", continue de fonctionner à travers les </w:t>
      </w:r>
      <w:hyperlink r:id="rId118" w:anchor="/fr" w:history="1">
        <w:r w:rsidRPr="00E33B0E">
          <w:rPr>
            <w:rStyle w:val="Hyperlink"/>
          </w:rPr>
          <w:t>centres de formation de l'Académie de l'UIT</w:t>
        </w:r>
      </w:hyperlink>
      <w:r w:rsidRPr="00E33B0E">
        <w:t>.</w:t>
      </w:r>
    </w:p>
    <w:p w14:paraId="070BD635" w14:textId="77777777" w:rsidR="002C16EF" w:rsidRPr="00E33B0E" w:rsidRDefault="002C16EF" w:rsidP="002C16EF">
      <w:r w:rsidRPr="00E33B0E">
        <w:t>Dans le cadre de ce programme, des cours sont dispensés en ligne sur la plate-forme d'apprentissage en ligne de l'UIT (Académie de l'UIT). Des cours hybrides et des cours en présentiel sont également proposés. Il est possible de s'inscrire à ces cours en ligne via la plate-forme de l'Académie de l'UIT. Quatorze centres ont été sélectionnés au départ pour entamer leurs travaux en 2023 et ont dispensé des formations en 2024.</w:t>
      </w:r>
    </w:p>
    <w:p w14:paraId="6C2572E9" w14:textId="77777777" w:rsidR="002C16EF" w:rsidRPr="00E33B0E" w:rsidRDefault="002C16EF" w:rsidP="002C16EF">
      <w:r w:rsidRPr="00E33B0E">
        <w:lastRenderedPageBreak/>
        <w:t>Les activités de renforcement des capacités de l'UIT visent à combler le déficit de connaissances et de compétences dans divers domaines liés aux technologies. Les principaux thèmes abordés sont la cybersécurité, l'accès au numérique, les écosystèmes d'innovation, les services et les applications numériques, ainsi que les télécommunications d'urgence, les réseaux et l'infrastructure numérique, les politiques et la réglementation, les statistiques et les questions relatives au développement de l'Internet.</w:t>
      </w:r>
    </w:p>
    <w:p w14:paraId="73B655AB" w14:textId="77777777" w:rsidR="002C16EF" w:rsidRPr="00E33B0E" w:rsidRDefault="002C16EF" w:rsidP="002C16EF">
      <w:r w:rsidRPr="00E33B0E">
        <w:t xml:space="preserve">Le paragraphe 2.2 décrit en détail la composante de renforcement des capacités du programme de réduction de l'écart en matière de normalisation, et les supports de formation de l'initiative sont fournis à la demande via les </w:t>
      </w:r>
      <w:hyperlink r:id="rId119" w:anchor="/fr" w:history="1">
        <w:r w:rsidRPr="00E33B0E">
          <w:rPr>
            <w:rStyle w:val="Hyperlink"/>
          </w:rPr>
          <w:t>ressources de l'UIT-T</w:t>
        </w:r>
      </w:hyperlink>
      <w:r w:rsidRPr="00E33B0E">
        <w:t xml:space="preserve"> dans les six langues officielles de l'Union, chaque fois que cela est possible. Une collaboration est en cours entre le Bureaux de la normalisation des télécommunications (TSB) et le Bureau de développement des télécommunications (BDT) de l'UIT et les bureaux régionaux de l'UIT, afin de mieux faire connaître et de renforcer les capacités au niveau régional.</w:t>
      </w:r>
    </w:p>
    <w:p w14:paraId="3501793B" w14:textId="77777777" w:rsidR="002C16EF" w:rsidRPr="00E33B0E" w:rsidRDefault="002C16EF" w:rsidP="002C16EF">
      <w:r w:rsidRPr="00E33B0E">
        <w:t>On trouvera d'autres exemples de programmes et d'initiatives de renforcement des capacités actuellement mis en œuvre dans le paragraphe 4.8.2 (</w:t>
      </w:r>
      <w:hyperlink r:id="rId120" w:anchor="/fr" w:history="1">
        <w:r w:rsidRPr="00E33B0E">
          <w:rPr>
            <w:rStyle w:val="Hyperlink"/>
          </w:rPr>
          <w:t>Coalition pour les compétences en matière d'IA</w:t>
        </w:r>
      </w:hyperlink>
      <w:r w:rsidRPr="00E33B0E">
        <w:t>). On trouvera dans la figure contenue dans le paragraphe 5.5 un dernier exemple, qui montre comment l'Initiative Giga pour la connectivité dans les écoles s'inscrit dans le cadre des programmes de renforcement des capacités mis en place avec les gouvernements et les parties prenantes, en tirant parti de la plate-forme de l'Académie de l'UIT.</w:t>
      </w:r>
    </w:p>
    <w:p w14:paraId="1494ACDF" w14:textId="77777777" w:rsidR="002C16EF" w:rsidRPr="00E33B0E" w:rsidRDefault="002C16EF" w:rsidP="002C16EF">
      <w:pPr>
        <w:pStyle w:val="Heading2"/>
      </w:pPr>
      <w:bookmarkStart w:id="24" w:name="_Toc198569366"/>
      <w:bookmarkStart w:id="25" w:name="_Toc199753895"/>
      <w:r w:rsidRPr="00E33B0E">
        <w:t>4.7</w:t>
      </w:r>
      <w:r w:rsidRPr="00E33B0E">
        <w:tab/>
        <w:t>Fourniture d'une assistance technique</w:t>
      </w:r>
      <w:bookmarkEnd w:id="24"/>
      <w:bookmarkEnd w:id="25"/>
    </w:p>
    <w:p w14:paraId="26B891B9" w14:textId="77777777" w:rsidR="002C16EF" w:rsidRPr="00E33B0E" w:rsidRDefault="002C16EF" w:rsidP="002C16EF">
      <w:r w:rsidRPr="00E33B0E">
        <w:t>Outre le fait qu'elle fournit des compétences techniques spécialisées considérables et assure la coordination dans ce domaine en tant qu'institution spécialisée des Nations Unies, l'UIT fait également fonction d'agent d'exécution pour des projets de développement du numérique destinés à faire en sorte que tous les habitants de la planète puissent bénéficier des avantages offerts par la connectivité.</w:t>
      </w:r>
    </w:p>
    <w:p w14:paraId="11BB2E37" w14:textId="77777777" w:rsidR="002C16EF" w:rsidRPr="00E33B0E" w:rsidRDefault="002C16EF" w:rsidP="002C16EF">
      <w:r w:rsidRPr="00E33B0E">
        <w:t>Le Secteur du développement des télécommunications (UIT-D) a pour principale fonction de mettre en œuvre des projets dans le cadre d'arrangements conclus avec des partenaires financiers. Ces projets visent à faciliter et à renforcer le développement des télécommunications en offrant, organisant et coordonnant les activités de coopération et d'assistance techniques.</w:t>
      </w:r>
    </w:p>
    <w:p w14:paraId="54E8BCCF" w14:textId="77777777" w:rsidR="002C16EF" w:rsidRPr="00E33B0E" w:rsidRDefault="002C16EF" w:rsidP="002C16EF">
      <w:pPr>
        <w:spacing w:after="120"/>
      </w:pPr>
      <w:r w:rsidRPr="00E33B0E">
        <w:t>En 2024, le BDT de l'UIT a participé à 105 projets, pour un montant de 91,8 millions CHF, y compris ceux qui ont été financés en 2024, les années précédentes, et qui n'ont pas encore été mis en œuvre. La Figure 1 illustre la répartition générale du portefeuille de projets de l'UIT par région et donne un aperçu: 1) des fonds mobilisés pour appuyer la mise en œuvre de ces projets; et 2) des fonds d'amorçage alloués par l'UIT provenant du Fonds pour le développement des TIC (FDTIC).</w:t>
      </w:r>
    </w:p>
    <w:p w14:paraId="7FA04050" w14:textId="77777777" w:rsidR="002C16EF" w:rsidRPr="00E33B0E" w:rsidRDefault="002C16EF" w:rsidP="00AB45B0">
      <w:pPr>
        <w:pStyle w:val="Tabletitle"/>
        <w:keepLines/>
      </w:pPr>
      <w:r w:rsidRPr="00E33B0E">
        <w:lastRenderedPageBreak/>
        <w:t>Figure 1 – Vue d'ensemble des projets de l'UIT</w:t>
      </w:r>
      <w:r w:rsidRPr="00E33B0E">
        <w:br/>
        <w:t>en cours, par région (en milliers CHF)</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0"/>
        <w:gridCol w:w="1383"/>
        <w:gridCol w:w="1773"/>
        <w:gridCol w:w="1419"/>
        <w:gridCol w:w="1950"/>
      </w:tblGrid>
      <w:tr w:rsidR="002C16EF" w:rsidRPr="00E33B0E" w14:paraId="0E750A9C" w14:textId="77777777" w:rsidTr="000B3727">
        <w:trPr>
          <w:trHeight w:val="852"/>
          <w:jc w:val="center"/>
        </w:trPr>
        <w:tc>
          <w:tcPr>
            <w:tcW w:w="1980" w:type="dxa"/>
            <w:shd w:val="clear" w:color="auto" w:fill="8DB3E2" w:themeFill="text2" w:themeFillTint="66"/>
            <w:noWrap/>
            <w:vAlign w:val="center"/>
            <w:hideMark/>
          </w:tcPr>
          <w:p w14:paraId="41D04B94" w14:textId="77777777" w:rsidR="002C16EF" w:rsidRPr="00E33B0E" w:rsidRDefault="002C16EF" w:rsidP="00AB45B0">
            <w:pPr>
              <w:pStyle w:val="Tablehead"/>
              <w:keepNext/>
              <w:keepLines/>
            </w:pPr>
            <w:r w:rsidRPr="00E33B0E">
              <w:t>Région</w:t>
            </w:r>
          </w:p>
        </w:tc>
        <w:tc>
          <w:tcPr>
            <w:tcW w:w="1383" w:type="dxa"/>
            <w:shd w:val="clear" w:color="auto" w:fill="8DB3E2" w:themeFill="text2" w:themeFillTint="66"/>
            <w:noWrap/>
            <w:vAlign w:val="center"/>
            <w:hideMark/>
          </w:tcPr>
          <w:p w14:paraId="6EF032D2" w14:textId="77777777" w:rsidR="002C16EF" w:rsidRPr="00E33B0E" w:rsidRDefault="002C16EF" w:rsidP="00AB45B0">
            <w:pPr>
              <w:pStyle w:val="Tablehead"/>
              <w:keepNext/>
              <w:keepLines/>
            </w:pPr>
            <w:r w:rsidRPr="00E33B0E">
              <w:t>Nombre de projets</w:t>
            </w:r>
          </w:p>
        </w:tc>
        <w:tc>
          <w:tcPr>
            <w:tcW w:w="1773" w:type="dxa"/>
            <w:shd w:val="clear" w:color="auto" w:fill="8DB3E2" w:themeFill="text2" w:themeFillTint="66"/>
            <w:noWrap/>
            <w:vAlign w:val="center"/>
            <w:hideMark/>
          </w:tcPr>
          <w:p w14:paraId="0FDA9C20" w14:textId="77777777" w:rsidR="002C16EF" w:rsidRPr="00E33B0E" w:rsidRDefault="002C16EF" w:rsidP="00AB45B0">
            <w:pPr>
              <w:pStyle w:val="Tablehead"/>
              <w:keepNext/>
              <w:keepLines/>
            </w:pPr>
            <w:r w:rsidRPr="00E33B0E">
              <w:t xml:space="preserve">Fonds provenant de partenaires </w:t>
            </w:r>
          </w:p>
        </w:tc>
        <w:tc>
          <w:tcPr>
            <w:tcW w:w="1419" w:type="dxa"/>
            <w:shd w:val="clear" w:color="auto" w:fill="8DB3E2" w:themeFill="text2" w:themeFillTint="66"/>
            <w:noWrap/>
            <w:vAlign w:val="center"/>
          </w:tcPr>
          <w:p w14:paraId="50A43896" w14:textId="77777777" w:rsidR="002C16EF" w:rsidRPr="00E33B0E" w:rsidRDefault="002C16EF" w:rsidP="00AB45B0">
            <w:pPr>
              <w:pStyle w:val="Tablehead"/>
              <w:keepNext/>
              <w:keepLines/>
            </w:pPr>
            <w:r w:rsidRPr="00E33B0E">
              <w:t>Fonds de l'UIT</w:t>
            </w:r>
          </w:p>
        </w:tc>
        <w:tc>
          <w:tcPr>
            <w:tcW w:w="1950" w:type="dxa"/>
            <w:shd w:val="clear" w:color="auto" w:fill="8DB3E2" w:themeFill="text2" w:themeFillTint="66"/>
            <w:noWrap/>
            <w:vAlign w:val="center"/>
            <w:hideMark/>
          </w:tcPr>
          <w:p w14:paraId="471BBED7" w14:textId="77777777" w:rsidR="002C16EF" w:rsidRPr="00E33B0E" w:rsidRDefault="002C16EF" w:rsidP="00AB45B0">
            <w:pPr>
              <w:pStyle w:val="Tablehead"/>
              <w:keepNext/>
              <w:keepLines/>
            </w:pPr>
            <w:r w:rsidRPr="00E33B0E">
              <w:t>Total du financement des projets</w:t>
            </w:r>
          </w:p>
        </w:tc>
      </w:tr>
      <w:tr w:rsidR="002C16EF" w:rsidRPr="00E33B0E" w14:paraId="6D036362" w14:textId="77777777" w:rsidTr="000B3727">
        <w:trPr>
          <w:trHeight w:val="54"/>
          <w:jc w:val="center"/>
        </w:trPr>
        <w:tc>
          <w:tcPr>
            <w:tcW w:w="1980" w:type="dxa"/>
            <w:hideMark/>
          </w:tcPr>
          <w:p w14:paraId="3B24C79B" w14:textId="77777777" w:rsidR="002C16EF" w:rsidRPr="00E33B0E" w:rsidRDefault="002C16EF" w:rsidP="000B3727">
            <w:pPr>
              <w:pStyle w:val="Tabletext"/>
            </w:pPr>
            <w:r w:rsidRPr="00E33B0E">
              <w:t>Afrique</w:t>
            </w:r>
          </w:p>
        </w:tc>
        <w:tc>
          <w:tcPr>
            <w:tcW w:w="1383" w:type="dxa"/>
            <w:noWrap/>
            <w:vAlign w:val="bottom"/>
            <w:hideMark/>
          </w:tcPr>
          <w:p w14:paraId="0D0A6359" w14:textId="77777777" w:rsidR="002C16EF" w:rsidRPr="00E33B0E" w:rsidRDefault="002C16EF" w:rsidP="000B3727">
            <w:pPr>
              <w:pStyle w:val="Tabletext"/>
              <w:jc w:val="center"/>
            </w:pPr>
            <w:r w:rsidRPr="00E33B0E">
              <w:t>17</w:t>
            </w:r>
          </w:p>
        </w:tc>
        <w:tc>
          <w:tcPr>
            <w:tcW w:w="1773" w:type="dxa"/>
            <w:vAlign w:val="bottom"/>
            <w:hideMark/>
          </w:tcPr>
          <w:p w14:paraId="6291FF3C" w14:textId="77777777" w:rsidR="002C16EF" w:rsidRPr="00E33B0E" w:rsidRDefault="002C16EF" w:rsidP="000B3727">
            <w:pPr>
              <w:pStyle w:val="Tabletext"/>
              <w:jc w:val="right"/>
            </w:pPr>
            <w:r w:rsidRPr="00E33B0E">
              <w:t>26 548,5</w:t>
            </w:r>
          </w:p>
        </w:tc>
        <w:tc>
          <w:tcPr>
            <w:tcW w:w="1419" w:type="dxa"/>
            <w:vAlign w:val="bottom"/>
            <w:hideMark/>
          </w:tcPr>
          <w:p w14:paraId="15F97997" w14:textId="77777777" w:rsidR="002C16EF" w:rsidRPr="00E33B0E" w:rsidRDefault="002C16EF" w:rsidP="000B3727">
            <w:pPr>
              <w:pStyle w:val="Tabletext"/>
              <w:jc w:val="right"/>
            </w:pPr>
            <w:r w:rsidRPr="00E33B0E">
              <w:t>1 516,8</w:t>
            </w:r>
          </w:p>
        </w:tc>
        <w:tc>
          <w:tcPr>
            <w:tcW w:w="1950" w:type="dxa"/>
            <w:shd w:val="clear" w:color="auto" w:fill="DBE5F1" w:themeFill="accent1" w:themeFillTint="33"/>
            <w:vAlign w:val="bottom"/>
            <w:hideMark/>
          </w:tcPr>
          <w:p w14:paraId="1EBA52B3" w14:textId="77777777" w:rsidR="002C16EF" w:rsidRPr="00E33B0E" w:rsidRDefault="002C16EF" w:rsidP="000B3727">
            <w:pPr>
              <w:pStyle w:val="Tabletext"/>
              <w:jc w:val="right"/>
            </w:pPr>
            <w:r w:rsidRPr="00E33B0E">
              <w:t>28 197,8</w:t>
            </w:r>
          </w:p>
        </w:tc>
      </w:tr>
      <w:tr w:rsidR="002C16EF" w:rsidRPr="00E33B0E" w14:paraId="5AB502CD" w14:textId="77777777" w:rsidTr="000B3727">
        <w:trPr>
          <w:trHeight w:val="54"/>
          <w:jc w:val="center"/>
        </w:trPr>
        <w:tc>
          <w:tcPr>
            <w:tcW w:w="1980" w:type="dxa"/>
            <w:hideMark/>
          </w:tcPr>
          <w:p w14:paraId="360895F2" w14:textId="77777777" w:rsidR="002C16EF" w:rsidRPr="00E33B0E" w:rsidRDefault="002C16EF" w:rsidP="000B3727">
            <w:pPr>
              <w:pStyle w:val="Tabletext"/>
            </w:pPr>
            <w:r w:rsidRPr="00E33B0E">
              <w:t>Amériques</w:t>
            </w:r>
          </w:p>
        </w:tc>
        <w:tc>
          <w:tcPr>
            <w:tcW w:w="1383" w:type="dxa"/>
            <w:noWrap/>
            <w:vAlign w:val="bottom"/>
            <w:hideMark/>
          </w:tcPr>
          <w:p w14:paraId="026D3BC3" w14:textId="77777777" w:rsidR="002C16EF" w:rsidRPr="00E33B0E" w:rsidRDefault="002C16EF" w:rsidP="000B3727">
            <w:pPr>
              <w:pStyle w:val="Tabletext"/>
              <w:jc w:val="center"/>
            </w:pPr>
            <w:r w:rsidRPr="00E33B0E">
              <w:t>19</w:t>
            </w:r>
          </w:p>
        </w:tc>
        <w:tc>
          <w:tcPr>
            <w:tcW w:w="1773" w:type="dxa"/>
            <w:vAlign w:val="bottom"/>
            <w:hideMark/>
          </w:tcPr>
          <w:p w14:paraId="339A48F6" w14:textId="77777777" w:rsidR="002C16EF" w:rsidRPr="00E33B0E" w:rsidRDefault="002C16EF" w:rsidP="000B3727">
            <w:pPr>
              <w:pStyle w:val="Tabletext"/>
              <w:jc w:val="right"/>
            </w:pPr>
            <w:r w:rsidRPr="00E33B0E">
              <w:t>12 600,3</w:t>
            </w:r>
          </w:p>
        </w:tc>
        <w:tc>
          <w:tcPr>
            <w:tcW w:w="1419" w:type="dxa"/>
            <w:vAlign w:val="bottom"/>
            <w:hideMark/>
          </w:tcPr>
          <w:p w14:paraId="40EDC3C9" w14:textId="77777777" w:rsidR="002C16EF" w:rsidRPr="00E33B0E" w:rsidRDefault="002C16EF" w:rsidP="000B3727">
            <w:pPr>
              <w:pStyle w:val="Tabletext"/>
              <w:jc w:val="right"/>
            </w:pPr>
            <w:r w:rsidRPr="00E33B0E">
              <w:t>335,5</w:t>
            </w:r>
          </w:p>
        </w:tc>
        <w:tc>
          <w:tcPr>
            <w:tcW w:w="1950" w:type="dxa"/>
            <w:shd w:val="clear" w:color="auto" w:fill="DBE5F1" w:themeFill="accent1" w:themeFillTint="33"/>
            <w:vAlign w:val="bottom"/>
            <w:hideMark/>
          </w:tcPr>
          <w:p w14:paraId="7C7CCC42" w14:textId="77777777" w:rsidR="002C16EF" w:rsidRPr="00E33B0E" w:rsidRDefault="002C16EF" w:rsidP="000B3727">
            <w:pPr>
              <w:pStyle w:val="Tabletext"/>
              <w:jc w:val="right"/>
            </w:pPr>
            <w:r w:rsidRPr="00E33B0E">
              <w:t>13 211,4</w:t>
            </w:r>
          </w:p>
        </w:tc>
      </w:tr>
      <w:tr w:rsidR="002C16EF" w:rsidRPr="00E33B0E" w14:paraId="42C6D85D" w14:textId="77777777" w:rsidTr="000B3727">
        <w:trPr>
          <w:trHeight w:val="300"/>
          <w:jc w:val="center"/>
        </w:trPr>
        <w:tc>
          <w:tcPr>
            <w:tcW w:w="1980" w:type="dxa"/>
            <w:hideMark/>
          </w:tcPr>
          <w:p w14:paraId="6D395201" w14:textId="77777777" w:rsidR="002C16EF" w:rsidRPr="00E33B0E" w:rsidRDefault="002C16EF" w:rsidP="000B3727">
            <w:pPr>
              <w:pStyle w:val="Tabletext"/>
            </w:pPr>
            <w:r w:rsidRPr="00E33B0E">
              <w:t>États arabes</w:t>
            </w:r>
          </w:p>
        </w:tc>
        <w:tc>
          <w:tcPr>
            <w:tcW w:w="1383" w:type="dxa"/>
            <w:vAlign w:val="bottom"/>
            <w:hideMark/>
          </w:tcPr>
          <w:p w14:paraId="4B0BE0E8" w14:textId="77777777" w:rsidR="002C16EF" w:rsidRPr="00E33B0E" w:rsidRDefault="002C16EF" w:rsidP="000B3727">
            <w:pPr>
              <w:pStyle w:val="Tabletext"/>
              <w:jc w:val="center"/>
            </w:pPr>
            <w:r w:rsidRPr="00E33B0E">
              <w:t>5</w:t>
            </w:r>
          </w:p>
        </w:tc>
        <w:tc>
          <w:tcPr>
            <w:tcW w:w="1773" w:type="dxa"/>
            <w:vAlign w:val="bottom"/>
            <w:hideMark/>
          </w:tcPr>
          <w:p w14:paraId="21BFF787" w14:textId="77777777" w:rsidR="002C16EF" w:rsidRPr="00E33B0E" w:rsidRDefault="002C16EF" w:rsidP="000B3727">
            <w:pPr>
              <w:pStyle w:val="Tabletext"/>
              <w:jc w:val="right"/>
            </w:pPr>
            <w:r w:rsidRPr="00E33B0E">
              <w:t>2 989,6</w:t>
            </w:r>
          </w:p>
        </w:tc>
        <w:tc>
          <w:tcPr>
            <w:tcW w:w="1419" w:type="dxa"/>
            <w:vAlign w:val="bottom"/>
            <w:hideMark/>
          </w:tcPr>
          <w:p w14:paraId="5C87C850" w14:textId="77777777" w:rsidR="002C16EF" w:rsidRPr="00E33B0E" w:rsidRDefault="002C16EF" w:rsidP="000B3727">
            <w:pPr>
              <w:pStyle w:val="Tabletext"/>
              <w:jc w:val="right"/>
            </w:pPr>
            <w:r w:rsidRPr="00E33B0E">
              <w:t>664,5</w:t>
            </w:r>
          </w:p>
        </w:tc>
        <w:tc>
          <w:tcPr>
            <w:tcW w:w="1950" w:type="dxa"/>
            <w:shd w:val="clear" w:color="auto" w:fill="DBE5F1" w:themeFill="accent1" w:themeFillTint="33"/>
            <w:vAlign w:val="bottom"/>
            <w:hideMark/>
          </w:tcPr>
          <w:p w14:paraId="601C8FD5" w14:textId="77777777" w:rsidR="002C16EF" w:rsidRPr="00E33B0E" w:rsidRDefault="002C16EF" w:rsidP="000B3727">
            <w:pPr>
              <w:pStyle w:val="Tabletext"/>
              <w:jc w:val="right"/>
            </w:pPr>
            <w:r w:rsidRPr="00E33B0E">
              <w:t>3 654,1</w:t>
            </w:r>
          </w:p>
        </w:tc>
      </w:tr>
      <w:tr w:rsidR="002C16EF" w:rsidRPr="00E33B0E" w14:paraId="3DC687FA" w14:textId="77777777" w:rsidTr="000B3727">
        <w:trPr>
          <w:trHeight w:val="54"/>
          <w:jc w:val="center"/>
        </w:trPr>
        <w:tc>
          <w:tcPr>
            <w:tcW w:w="1980" w:type="dxa"/>
            <w:vAlign w:val="center"/>
            <w:hideMark/>
          </w:tcPr>
          <w:p w14:paraId="61673688" w14:textId="77777777" w:rsidR="002C16EF" w:rsidRPr="00E33B0E" w:rsidRDefault="002C16EF" w:rsidP="000B3727">
            <w:pPr>
              <w:pStyle w:val="Tabletext"/>
            </w:pPr>
            <w:r w:rsidRPr="00E33B0E">
              <w:t>Asie-Pacifique</w:t>
            </w:r>
          </w:p>
        </w:tc>
        <w:tc>
          <w:tcPr>
            <w:tcW w:w="1383" w:type="dxa"/>
            <w:noWrap/>
            <w:vAlign w:val="bottom"/>
            <w:hideMark/>
          </w:tcPr>
          <w:p w14:paraId="4FA3FBF0" w14:textId="77777777" w:rsidR="002C16EF" w:rsidRPr="00E33B0E" w:rsidRDefault="002C16EF" w:rsidP="000B3727">
            <w:pPr>
              <w:pStyle w:val="Tabletext"/>
              <w:jc w:val="center"/>
            </w:pPr>
            <w:r w:rsidRPr="00E33B0E">
              <w:t>15</w:t>
            </w:r>
          </w:p>
        </w:tc>
        <w:tc>
          <w:tcPr>
            <w:tcW w:w="1773" w:type="dxa"/>
            <w:vAlign w:val="bottom"/>
            <w:hideMark/>
          </w:tcPr>
          <w:p w14:paraId="6104FBAE" w14:textId="77777777" w:rsidR="002C16EF" w:rsidRPr="00E33B0E" w:rsidRDefault="002C16EF" w:rsidP="000B3727">
            <w:pPr>
              <w:pStyle w:val="Tabletext"/>
              <w:jc w:val="right"/>
            </w:pPr>
            <w:r w:rsidRPr="00E33B0E">
              <w:t>6 667,2</w:t>
            </w:r>
          </w:p>
        </w:tc>
        <w:tc>
          <w:tcPr>
            <w:tcW w:w="1419" w:type="dxa"/>
            <w:vAlign w:val="bottom"/>
          </w:tcPr>
          <w:p w14:paraId="173825B8" w14:textId="77777777" w:rsidR="002C16EF" w:rsidRPr="00E33B0E" w:rsidRDefault="002C16EF" w:rsidP="000B3727">
            <w:pPr>
              <w:pStyle w:val="Tabletext"/>
              <w:jc w:val="right"/>
            </w:pPr>
            <w:r w:rsidRPr="00E33B0E">
              <w:t>655,6</w:t>
            </w:r>
          </w:p>
        </w:tc>
        <w:tc>
          <w:tcPr>
            <w:tcW w:w="1950" w:type="dxa"/>
            <w:shd w:val="clear" w:color="auto" w:fill="DBE5F1" w:themeFill="accent1" w:themeFillTint="33"/>
            <w:vAlign w:val="bottom"/>
            <w:hideMark/>
          </w:tcPr>
          <w:p w14:paraId="600BBFB6" w14:textId="77777777" w:rsidR="002C16EF" w:rsidRPr="00E33B0E" w:rsidRDefault="002C16EF" w:rsidP="000B3727">
            <w:pPr>
              <w:pStyle w:val="Tabletext"/>
              <w:jc w:val="right"/>
            </w:pPr>
            <w:r w:rsidRPr="00E33B0E">
              <w:t>7 804,7</w:t>
            </w:r>
          </w:p>
        </w:tc>
      </w:tr>
      <w:tr w:rsidR="002C16EF" w:rsidRPr="00E33B0E" w14:paraId="7A542C97" w14:textId="77777777" w:rsidTr="000B3727">
        <w:trPr>
          <w:trHeight w:val="54"/>
          <w:jc w:val="center"/>
        </w:trPr>
        <w:tc>
          <w:tcPr>
            <w:tcW w:w="1980" w:type="dxa"/>
            <w:hideMark/>
          </w:tcPr>
          <w:p w14:paraId="045B5A04" w14:textId="77777777" w:rsidR="002C16EF" w:rsidRPr="00E33B0E" w:rsidRDefault="002C16EF" w:rsidP="000B3727">
            <w:pPr>
              <w:pStyle w:val="Tabletext"/>
            </w:pPr>
            <w:r w:rsidRPr="00E33B0E">
              <w:t>CEI</w:t>
            </w:r>
          </w:p>
        </w:tc>
        <w:tc>
          <w:tcPr>
            <w:tcW w:w="1383" w:type="dxa"/>
            <w:vAlign w:val="bottom"/>
            <w:hideMark/>
          </w:tcPr>
          <w:p w14:paraId="3F98F6E9" w14:textId="77777777" w:rsidR="002C16EF" w:rsidRPr="00E33B0E" w:rsidRDefault="002C16EF" w:rsidP="000B3727">
            <w:pPr>
              <w:pStyle w:val="Tabletext"/>
              <w:jc w:val="center"/>
            </w:pPr>
            <w:r w:rsidRPr="00E33B0E">
              <w:t>4</w:t>
            </w:r>
          </w:p>
        </w:tc>
        <w:tc>
          <w:tcPr>
            <w:tcW w:w="1773" w:type="dxa"/>
            <w:vAlign w:val="bottom"/>
            <w:hideMark/>
          </w:tcPr>
          <w:p w14:paraId="6A452FF8" w14:textId="77777777" w:rsidR="002C16EF" w:rsidRPr="00E33B0E" w:rsidRDefault="002C16EF" w:rsidP="000B3727">
            <w:pPr>
              <w:pStyle w:val="Tabletext"/>
              <w:jc w:val="right"/>
            </w:pPr>
            <w:r w:rsidRPr="00E33B0E">
              <w:t>342,0</w:t>
            </w:r>
          </w:p>
        </w:tc>
        <w:tc>
          <w:tcPr>
            <w:tcW w:w="1419" w:type="dxa"/>
            <w:vAlign w:val="bottom"/>
          </w:tcPr>
          <w:p w14:paraId="7B4E2970" w14:textId="77777777" w:rsidR="002C16EF" w:rsidRPr="00E33B0E" w:rsidRDefault="002C16EF" w:rsidP="000B3727">
            <w:pPr>
              <w:pStyle w:val="Tabletext"/>
              <w:jc w:val="right"/>
            </w:pPr>
            <w:r w:rsidRPr="00E33B0E">
              <w:t>532,2</w:t>
            </w:r>
          </w:p>
        </w:tc>
        <w:tc>
          <w:tcPr>
            <w:tcW w:w="1950" w:type="dxa"/>
            <w:shd w:val="clear" w:color="auto" w:fill="DBE5F1" w:themeFill="accent1" w:themeFillTint="33"/>
            <w:vAlign w:val="bottom"/>
            <w:hideMark/>
          </w:tcPr>
          <w:p w14:paraId="0098A08F" w14:textId="77777777" w:rsidR="002C16EF" w:rsidRPr="00E33B0E" w:rsidRDefault="002C16EF" w:rsidP="000B3727">
            <w:pPr>
              <w:pStyle w:val="Tabletext"/>
              <w:jc w:val="right"/>
            </w:pPr>
            <w:r w:rsidRPr="00E33B0E">
              <w:t>874,1</w:t>
            </w:r>
          </w:p>
        </w:tc>
      </w:tr>
      <w:tr w:rsidR="002C16EF" w:rsidRPr="00E33B0E" w14:paraId="410FF6C8" w14:textId="77777777" w:rsidTr="000B3727">
        <w:trPr>
          <w:trHeight w:val="54"/>
          <w:jc w:val="center"/>
        </w:trPr>
        <w:tc>
          <w:tcPr>
            <w:tcW w:w="1980" w:type="dxa"/>
            <w:vAlign w:val="bottom"/>
            <w:hideMark/>
          </w:tcPr>
          <w:p w14:paraId="0A3FA83A" w14:textId="77777777" w:rsidR="002C16EF" w:rsidRPr="00E33B0E" w:rsidRDefault="002C16EF" w:rsidP="000B3727">
            <w:pPr>
              <w:pStyle w:val="Tabletext"/>
            </w:pPr>
            <w:r w:rsidRPr="00E33B0E">
              <w:t>Europe</w:t>
            </w:r>
          </w:p>
        </w:tc>
        <w:tc>
          <w:tcPr>
            <w:tcW w:w="1383" w:type="dxa"/>
            <w:vAlign w:val="bottom"/>
            <w:hideMark/>
          </w:tcPr>
          <w:p w14:paraId="47257264" w14:textId="77777777" w:rsidR="002C16EF" w:rsidRPr="00E33B0E" w:rsidRDefault="002C16EF" w:rsidP="000B3727">
            <w:pPr>
              <w:pStyle w:val="Tabletext"/>
              <w:jc w:val="center"/>
            </w:pPr>
            <w:r w:rsidRPr="00E33B0E">
              <w:t>4</w:t>
            </w:r>
          </w:p>
        </w:tc>
        <w:tc>
          <w:tcPr>
            <w:tcW w:w="1773" w:type="dxa"/>
            <w:vAlign w:val="bottom"/>
            <w:hideMark/>
          </w:tcPr>
          <w:p w14:paraId="02A23E73" w14:textId="77777777" w:rsidR="002C16EF" w:rsidRPr="00E33B0E" w:rsidRDefault="002C16EF" w:rsidP="000B3727">
            <w:pPr>
              <w:pStyle w:val="Tabletext"/>
              <w:jc w:val="right"/>
            </w:pPr>
            <w:r w:rsidRPr="00E33B0E">
              <w:t>4 034,6</w:t>
            </w:r>
          </w:p>
        </w:tc>
        <w:tc>
          <w:tcPr>
            <w:tcW w:w="1419" w:type="dxa"/>
            <w:vAlign w:val="bottom"/>
          </w:tcPr>
          <w:p w14:paraId="25426645" w14:textId="77777777" w:rsidR="002C16EF" w:rsidRPr="00E33B0E" w:rsidRDefault="002C16EF" w:rsidP="000B3727">
            <w:pPr>
              <w:pStyle w:val="Tabletext"/>
              <w:jc w:val="right"/>
            </w:pPr>
            <w:r w:rsidRPr="00E33B0E">
              <w:t>44,2</w:t>
            </w:r>
          </w:p>
        </w:tc>
        <w:tc>
          <w:tcPr>
            <w:tcW w:w="1950" w:type="dxa"/>
            <w:shd w:val="clear" w:color="auto" w:fill="DBE5F1" w:themeFill="accent1" w:themeFillTint="33"/>
            <w:vAlign w:val="bottom"/>
            <w:hideMark/>
          </w:tcPr>
          <w:p w14:paraId="7F5A2A26" w14:textId="77777777" w:rsidR="002C16EF" w:rsidRPr="00E33B0E" w:rsidRDefault="002C16EF" w:rsidP="000B3727">
            <w:pPr>
              <w:pStyle w:val="Tabletext"/>
              <w:jc w:val="right"/>
            </w:pPr>
            <w:r w:rsidRPr="00E33B0E">
              <w:t>4 078,8</w:t>
            </w:r>
          </w:p>
        </w:tc>
      </w:tr>
      <w:tr w:rsidR="002C16EF" w:rsidRPr="00E33B0E" w14:paraId="23AD4228" w14:textId="77777777" w:rsidTr="000B3727">
        <w:trPr>
          <w:trHeight w:val="54"/>
          <w:jc w:val="center"/>
        </w:trPr>
        <w:tc>
          <w:tcPr>
            <w:tcW w:w="1980" w:type="dxa"/>
            <w:hideMark/>
          </w:tcPr>
          <w:p w14:paraId="1C7B1D9E" w14:textId="77777777" w:rsidR="002C16EF" w:rsidRPr="00E33B0E" w:rsidRDefault="002C16EF" w:rsidP="000B3727">
            <w:pPr>
              <w:pStyle w:val="Tabletext"/>
            </w:pPr>
            <w:r w:rsidRPr="00E33B0E">
              <w:t>Plusieurs régions(*)</w:t>
            </w:r>
          </w:p>
        </w:tc>
        <w:tc>
          <w:tcPr>
            <w:tcW w:w="1383" w:type="dxa"/>
            <w:noWrap/>
            <w:vAlign w:val="bottom"/>
            <w:hideMark/>
          </w:tcPr>
          <w:p w14:paraId="3A2BEA66" w14:textId="77777777" w:rsidR="002C16EF" w:rsidRPr="00E33B0E" w:rsidRDefault="002C16EF" w:rsidP="000B3727">
            <w:pPr>
              <w:pStyle w:val="Tabletext"/>
              <w:jc w:val="center"/>
            </w:pPr>
            <w:r w:rsidRPr="00E33B0E">
              <w:t>41</w:t>
            </w:r>
          </w:p>
        </w:tc>
        <w:tc>
          <w:tcPr>
            <w:tcW w:w="1773" w:type="dxa"/>
            <w:vAlign w:val="bottom"/>
            <w:hideMark/>
          </w:tcPr>
          <w:p w14:paraId="41CC2724" w14:textId="77777777" w:rsidR="002C16EF" w:rsidRPr="00E33B0E" w:rsidRDefault="002C16EF" w:rsidP="000B3727">
            <w:pPr>
              <w:pStyle w:val="Tabletext"/>
              <w:jc w:val="right"/>
            </w:pPr>
            <w:r w:rsidRPr="00E33B0E">
              <w:t>26 852,4</w:t>
            </w:r>
          </w:p>
        </w:tc>
        <w:tc>
          <w:tcPr>
            <w:tcW w:w="1419" w:type="dxa"/>
            <w:vAlign w:val="bottom"/>
            <w:hideMark/>
          </w:tcPr>
          <w:p w14:paraId="500672FC" w14:textId="77777777" w:rsidR="002C16EF" w:rsidRPr="00E33B0E" w:rsidRDefault="002C16EF" w:rsidP="000B3727">
            <w:pPr>
              <w:pStyle w:val="Tabletext"/>
              <w:jc w:val="right"/>
            </w:pPr>
            <w:r w:rsidRPr="00E33B0E">
              <w:t>6 676,5</w:t>
            </w:r>
          </w:p>
        </w:tc>
        <w:tc>
          <w:tcPr>
            <w:tcW w:w="1950" w:type="dxa"/>
            <w:shd w:val="clear" w:color="auto" w:fill="DBE5F1" w:themeFill="accent1" w:themeFillTint="33"/>
            <w:vAlign w:val="bottom"/>
            <w:hideMark/>
          </w:tcPr>
          <w:p w14:paraId="2275FE66" w14:textId="77777777" w:rsidR="002C16EF" w:rsidRPr="00E33B0E" w:rsidRDefault="002C16EF" w:rsidP="000B3727">
            <w:pPr>
              <w:pStyle w:val="Tabletext"/>
              <w:jc w:val="right"/>
            </w:pPr>
            <w:r w:rsidRPr="00E33B0E">
              <w:t>33 979,1</w:t>
            </w:r>
          </w:p>
        </w:tc>
      </w:tr>
      <w:tr w:rsidR="002C16EF" w:rsidRPr="00E33B0E" w14:paraId="770D46C0" w14:textId="77777777" w:rsidTr="000B3727">
        <w:trPr>
          <w:trHeight w:val="54"/>
          <w:jc w:val="center"/>
        </w:trPr>
        <w:tc>
          <w:tcPr>
            <w:tcW w:w="1980" w:type="dxa"/>
            <w:shd w:val="clear" w:color="auto" w:fill="DBE5F1" w:themeFill="accent1" w:themeFillTint="33"/>
            <w:noWrap/>
            <w:vAlign w:val="center"/>
            <w:hideMark/>
          </w:tcPr>
          <w:p w14:paraId="48CFCDB9" w14:textId="77777777" w:rsidR="002C16EF" w:rsidRPr="00E33B0E" w:rsidRDefault="002C16EF" w:rsidP="000B3727">
            <w:pPr>
              <w:pStyle w:val="Tabletext"/>
              <w:rPr>
                <w:b/>
                <w:bCs/>
              </w:rPr>
            </w:pPr>
            <w:r w:rsidRPr="00E33B0E">
              <w:rPr>
                <w:b/>
                <w:bCs/>
              </w:rPr>
              <w:t>Total</w:t>
            </w:r>
          </w:p>
        </w:tc>
        <w:tc>
          <w:tcPr>
            <w:tcW w:w="1383" w:type="dxa"/>
            <w:shd w:val="clear" w:color="auto" w:fill="DBE5F1" w:themeFill="accent1" w:themeFillTint="33"/>
            <w:noWrap/>
            <w:vAlign w:val="bottom"/>
            <w:hideMark/>
          </w:tcPr>
          <w:p w14:paraId="67142033" w14:textId="77777777" w:rsidR="002C16EF" w:rsidRPr="00E33B0E" w:rsidRDefault="002C16EF" w:rsidP="000B3727">
            <w:pPr>
              <w:pStyle w:val="Tabletext"/>
              <w:jc w:val="center"/>
              <w:rPr>
                <w:b/>
                <w:bCs/>
              </w:rPr>
            </w:pPr>
            <w:r w:rsidRPr="00E33B0E">
              <w:rPr>
                <w:b/>
                <w:bCs/>
              </w:rPr>
              <w:t>105</w:t>
            </w:r>
          </w:p>
        </w:tc>
        <w:tc>
          <w:tcPr>
            <w:tcW w:w="1773" w:type="dxa"/>
            <w:shd w:val="clear" w:color="auto" w:fill="DBE5F1" w:themeFill="accent1" w:themeFillTint="33"/>
            <w:noWrap/>
            <w:vAlign w:val="bottom"/>
            <w:hideMark/>
          </w:tcPr>
          <w:p w14:paraId="0A24373F" w14:textId="77777777" w:rsidR="002C16EF" w:rsidRPr="00E33B0E" w:rsidRDefault="002C16EF" w:rsidP="000B3727">
            <w:pPr>
              <w:pStyle w:val="Tabletext"/>
              <w:jc w:val="right"/>
              <w:rPr>
                <w:b/>
                <w:bCs/>
              </w:rPr>
            </w:pPr>
            <w:r w:rsidRPr="00E33B0E">
              <w:rPr>
                <w:b/>
                <w:bCs/>
              </w:rPr>
              <w:t>80 034,7</w:t>
            </w:r>
          </w:p>
        </w:tc>
        <w:tc>
          <w:tcPr>
            <w:tcW w:w="1419" w:type="dxa"/>
            <w:shd w:val="clear" w:color="auto" w:fill="DBE5F1" w:themeFill="accent1" w:themeFillTint="33"/>
            <w:noWrap/>
            <w:vAlign w:val="bottom"/>
            <w:hideMark/>
          </w:tcPr>
          <w:p w14:paraId="2A6822E3" w14:textId="77777777" w:rsidR="002C16EF" w:rsidRPr="00E33B0E" w:rsidRDefault="002C16EF" w:rsidP="000B3727">
            <w:pPr>
              <w:pStyle w:val="Tabletext"/>
              <w:jc w:val="right"/>
              <w:rPr>
                <w:b/>
                <w:bCs/>
              </w:rPr>
            </w:pPr>
            <w:r w:rsidRPr="00E33B0E">
              <w:rPr>
                <w:b/>
                <w:bCs/>
              </w:rPr>
              <w:t>10 425,3</w:t>
            </w:r>
          </w:p>
        </w:tc>
        <w:tc>
          <w:tcPr>
            <w:tcW w:w="1950" w:type="dxa"/>
            <w:shd w:val="clear" w:color="auto" w:fill="DBE5F1" w:themeFill="accent1" w:themeFillTint="33"/>
            <w:noWrap/>
            <w:vAlign w:val="bottom"/>
            <w:hideMark/>
          </w:tcPr>
          <w:p w14:paraId="780F1E60" w14:textId="77777777" w:rsidR="002C16EF" w:rsidRPr="00E33B0E" w:rsidRDefault="002C16EF" w:rsidP="000B3727">
            <w:pPr>
              <w:pStyle w:val="Tabletext"/>
              <w:jc w:val="right"/>
              <w:rPr>
                <w:b/>
                <w:bCs/>
              </w:rPr>
            </w:pPr>
            <w:r w:rsidRPr="00E33B0E">
              <w:rPr>
                <w:b/>
                <w:bCs/>
              </w:rPr>
              <w:t>91 800,0</w:t>
            </w:r>
          </w:p>
        </w:tc>
      </w:tr>
    </w:tbl>
    <w:p w14:paraId="536039F2" w14:textId="77777777" w:rsidR="002C16EF" w:rsidRPr="00E33B0E" w:rsidRDefault="002C16EF" w:rsidP="002C16EF">
      <w:pPr>
        <w:pStyle w:val="Tablelegend"/>
        <w:tabs>
          <w:tab w:val="left" w:pos="280"/>
        </w:tabs>
      </w:pPr>
      <w:r w:rsidRPr="00E33B0E">
        <w:tab/>
        <w:t>(*)</w:t>
      </w:r>
      <w:r w:rsidRPr="00E33B0E">
        <w:tab/>
        <w:t>Projets multirégionaux dont bénéficient toutes les régions.</w:t>
      </w:r>
    </w:p>
    <w:p w14:paraId="2D9BDF0B" w14:textId="77777777" w:rsidR="002C16EF" w:rsidRPr="00E33B0E" w:rsidRDefault="002C16EF" w:rsidP="002C16EF">
      <w:pPr>
        <w:pStyle w:val="Normalaftertitle"/>
      </w:pPr>
      <w:r w:rsidRPr="00E33B0E">
        <w:t>En 2024, le BDT a signé des accords portant sur 37 nouveaux projets, pour un montant de 28,6 millions CHF. Les chiffres ci-dessous représentent les montants le plus élevés collectés pour des projets depuis 10 ans, confirmant la tendance positive de mobilisation de fonds extrabudgétaires à l'appui des projets de développement des télécommunications (voir la Figure 2).</w:t>
      </w:r>
    </w:p>
    <w:p w14:paraId="4FC87293" w14:textId="77777777" w:rsidR="002C16EF" w:rsidRPr="00E33B0E" w:rsidRDefault="002C16EF" w:rsidP="002C16EF">
      <w:r w:rsidRPr="00E33B0E">
        <w:t>Ces nouveaux projets sont de nature multirégionale, régionale et nationale et couvrent l'ensemble des priorités de l'UIT-D définies dans le Plan d'action de Kigali de la CMDT. S'agissant des sources de financement, 92% du financement de ces nouveaux projets provient des fonds extrabudgétaires mobilisés auprès de tiers, tandis que les 8% restants proviennent de fonds d'amorçage alloués par l'UIT.</w:t>
      </w:r>
    </w:p>
    <w:p w14:paraId="57E0597A" w14:textId="489911A7" w:rsidR="002C16EF" w:rsidRPr="00E33B0E" w:rsidRDefault="002C16EF" w:rsidP="002C16EF">
      <w:pPr>
        <w:pStyle w:val="Figue"/>
        <w:jc w:val="center"/>
      </w:pPr>
      <w:r w:rsidRPr="00E33B0E">
        <w:rPr>
          <w:noProof/>
        </w:rPr>
        <w:drawing>
          <wp:inline distT="0" distB="0" distL="0" distR="0" wp14:anchorId="04050003" wp14:editId="283D0943">
            <wp:extent cx="4732020" cy="2974975"/>
            <wp:effectExtent l="0" t="0" r="11430" b="1587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4D5829F" w14:textId="77777777" w:rsidR="002C16EF" w:rsidRPr="00E33B0E" w:rsidRDefault="002C16EF" w:rsidP="002C16EF">
      <w:r w:rsidRPr="00E33B0E">
        <w:lastRenderedPageBreak/>
        <w:t>En 2024, l'UIT a également continué de renforcer les pratiques en matière de gestion des projets pour tous ses projets. Il s'agissait notamment de renforcer l'établissement de rapports à l'intention des partenaires, de poursuivre le fonctionnement du Comité directeur des projets et de consolider la fonction de suivi des projets.</w:t>
      </w:r>
    </w:p>
    <w:p w14:paraId="1E00FDC8" w14:textId="77777777" w:rsidR="002C16EF" w:rsidRPr="00E33B0E" w:rsidRDefault="002C16EF" w:rsidP="002C16EF">
      <w:r w:rsidRPr="00E33B0E">
        <w:t xml:space="preserve">On trouvera davantage de détails et de données sur le </w:t>
      </w:r>
      <w:hyperlink r:id="rId122" w:anchor="/fr" w:history="1">
        <w:r w:rsidRPr="00E33B0E">
          <w:rPr>
            <w:rStyle w:val="Hyperlink"/>
          </w:rPr>
          <w:t>Portail consacré aux projets de l'UIT-D</w:t>
        </w:r>
      </w:hyperlink>
      <w:r w:rsidRPr="00E33B0E">
        <w:t xml:space="preserve"> et dans le nouveau </w:t>
      </w:r>
      <w:hyperlink r:id="rId123" w:history="1">
        <w:r w:rsidRPr="00E33B0E">
          <w:rPr>
            <w:rStyle w:val="Hyperlink"/>
          </w:rPr>
          <w:t>tableau de bord destiné aux membres de l'UIT concernant l'état d'avancement des projets</w:t>
        </w:r>
      </w:hyperlink>
      <w:r w:rsidRPr="00E33B0E">
        <w:t xml:space="preserve"> (accès réservé aux titulaires d'un compte TIES).</w:t>
      </w:r>
    </w:p>
    <w:p w14:paraId="2714AA57" w14:textId="77777777" w:rsidR="002C16EF" w:rsidRPr="00E33B0E" w:rsidRDefault="002C16EF" w:rsidP="002C16EF">
      <w:pPr>
        <w:pStyle w:val="Heading2"/>
      </w:pPr>
      <w:bookmarkStart w:id="26" w:name="_Toc198569367"/>
      <w:bookmarkStart w:id="27" w:name="_Toc199753896"/>
      <w:r w:rsidRPr="00E33B0E">
        <w:t>4.8</w:t>
      </w:r>
      <w:r w:rsidRPr="00E33B0E">
        <w:tab/>
        <w:t>Plates-formes fédératrices</w:t>
      </w:r>
      <w:bookmarkEnd w:id="26"/>
      <w:bookmarkEnd w:id="27"/>
    </w:p>
    <w:p w14:paraId="5ED7866C" w14:textId="77777777" w:rsidR="002C16EF" w:rsidRPr="00E33B0E" w:rsidRDefault="002C16EF" w:rsidP="002C16EF">
      <w:pPr>
        <w:pStyle w:val="Heading3"/>
      </w:pPr>
      <w:bookmarkStart w:id="28" w:name="_Toc198569368"/>
      <w:bookmarkStart w:id="29" w:name="_Toc199753897"/>
      <w:r w:rsidRPr="00E33B0E">
        <w:t>4.8.1</w:t>
      </w:r>
      <w:r w:rsidRPr="00E33B0E">
        <w:tab/>
        <w:t>Processus du Sommet mondial sur la société de l'information (SMSI)</w:t>
      </w:r>
      <w:bookmarkEnd w:id="28"/>
      <w:bookmarkEnd w:id="29"/>
    </w:p>
    <w:p w14:paraId="0D4CCDA1" w14:textId="77777777" w:rsidR="002C16EF" w:rsidRPr="00E33B0E" w:rsidRDefault="002C16EF" w:rsidP="002C16EF">
      <w:r w:rsidRPr="00E33B0E">
        <w:t>En 2024, l'UIT a de nouveau joué un rôle clé dans le renforcement des retombées du Sommet mondial sur la société de l'information (SMSI) et de la coopération numérique qui en a découlé, en veillant à ce que les efforts déployés s'inscrivent dans la droite ligne de divers processus et activités des Nations Unies, tels que le Forum des partenariats du Conseil économique et social, Beijing+30, la Commission de la condition de la femme (CSW), le Forum politique de haut niveau, le Sommet de l'avenir, ainsi que le Pacte pour l'avenir et le Pacte numérique mondial qui en résultent. L'UIT a également travaillé au niveau régional, en collaborant avec les commissions régionales des Nations Unies, les bureaux régionaux de l'Union et d'autres parties prenantes pour faire en sorte d'intégrer les perspectives régionales.</w:t>
      </w:r>
    </w:p>
    <w:p w14:paraId="56795EA5" w14:textId="77777777" w:rsidR="002C16EF" w:rsidRPr="00E33B0E" w:rsidRDefault="002C16EF" w:rsidP="002C16EF">
      <w:r w:rsidRPr="00E33B0E">
        <w:t>L'un des aspects essentiels des travaux de l'UIT en 2024 a été la poursuite de la mise en œuvre des grandes orientations du SMSI, qui sont primordiales pour stimuler le développement socio-économique mondial. Ces grandes orientations portent sur des questions très diverses, allant de la création d'économies numériques centrées sur l'humain à la cybersécurité, en passant par l'instauration d'un environnement propice et la promotion de l'utilisation des technologies au service de la santé, de l'éducation et de la durabilité environnementale. En alignant les grandes orientations du SMSI sur les priorités globales de développement, l'UIT a fait en sorte que le processus du SMSI contribue à promouvoir le développement durable à l'échelle mondiale.</w:t>
      </w:r>
    </w:p>
    <w:p w14:paraId="0930D2E3" w14:textId="77777777" w:rsidR="002C16EF" w:rsidRPr="00E33B0E" w:rsidRDefault="002C16EF" w:rsidP="002C16EF">
      <w:pPr>
        <w:pStyle w:val="Headingb"/>
      </w:pPr>
      <w:r w:rsidRPr="00E33B0E">
        <w:t>Résultats et étapes importantes du SMSI</w:t>
      </w:r>
    </w:p>
    <w:p w14:paraId="3116F401" w14:textId="77777777" w:rsidR="002C16EF" w:rsidRPr="00E33B0E" w:rsidRDefault="002C16EF" w:rsidP="002C16EF">
      <w:r w:rsidRPr="00E33B0E">
        <w:t>Plusieurs étapes ont été franchies dans le cadre du processus du SMSI en 2024, dernière année complète avant l'examen d'ensemble du SMSI+20.</w:t>
      </w:r>
    </w:p>
    <w:p w14:paraId="589BA447" w14:textId="77777777" w:rsidR="002C16EF" w:rsidRPr="00E33B0E" w:rsidRDefault="002C16EF" w:rsidP="002C16EF">
      <w:r w:rsidRPr="00E33B0E">
        <w:rPr>
          <w:b/>
          <w:bCs/>
        </w:rPr>
        <w:t>Préparation de l'examen d'ensemble du SMSI+20</w:t>
      </w:r>
      <w:r w:rsidRPr="00E33B0E">
        <w:t xml:space="preserve">: cette année, l'approche multi-parties prenantes s'est renforcée et a contribué à la réalisation des objectifs du SMSI en matière de promotion des technologies de l'information et de la communication (TIC) au service du développement. Le processus du SMSI reste au cœur du dialogue mondial sur les TIC et le développement, l'accent étant constamment mis sur une large collaboration multi-parties prenantes. L'UIT, en collaboration avec d'autres institutions des Nations Unies agissant en tant que coordonnateurs des grandes orientations du SMSI, a mis en évidence les grandes étapes, les défis et les nouvelles tendances qui pourraient façonner la coopération dans le domaine du numérique après 2025 autour de chacune des </w:t>
      </w:r>
      <w:hyperlink r:id="rId124" w:history="1">
        <w:r w:rsidRPr="00E33B0E">
          <w:rPr>
            <w:rStyle w:val="Hyperlink"/>
          </w:rPr>
          <w:t>grandes orientations du SMSI</w:t>
        </w:r>
      </w:hyperlink>
      <w:r w:rsidRPr="00E33B0E">
        <w:t>.</w:t>
      </w:r>
    </w:p>
    <w:p w14:paraId="65FA106E" w14:textId="77777777" w:rsidR="002C16EF" w:rsidRPr="00E33B0E" w:rsidRDefault="002C16EF" w:rsidP="002C16EF">
      <w:pPr>
        <w:pStyle w:val="Headingb"/>
      </w:pPr>
      <w:r w:rsidRPr="00E33B0E">
        <w:lastRenderedPageBreak/>
        <w:t>Processus préparatoire conjoint</w:t>
      </w:r>
    </w:p>
    <w:p w14:paraId="45554798" w14:textId="77777777" w:rsidR="002C16EF" w:rsidRPr="00E33B0E" w:rsidRDefault="002C16EF" w:rsidP="002C16EF">
      <w:r w:rsidRPr="00E33B0E">
        <w:t xml:space="preserve">L'UIT a lancé le </w:t>
      </w:r>
      <w:hyperlink r:id="rId125" w:history="1">
        <w:r w:rsidRPr="00E33B0E">
          <w:rPr>
            <w:rStyle w:val="Hyperlink"/>
          </w:rPr>
          <w:t>processus préparatoire conjoint du SMSI+20</w:t>
        </w:r>
      </w:hyperlink>
      <w:r w:rsidRPr="00E33B0E">
        <w:t>, en collaboration avec des partenaires clés des Nations Unies, tels que le Département des affaires économiques et sociales des Nations Unies (UNDESA), l'UNESCO, la CNUCED (CTSD) et le Programme des Nations Unies pour le développement (PNUD). Cette initiative a joué un rôle crucial dans la préparation de l'examen du SMSI+20, garantissant que toutes les parties prenantes concernées participent à l'examen en cours des résultats du SMSI. Un calendrier des principales manifestations a été établi et mis à disposition. La Secrétaire générale de l'UIT a pris des mesures essentielles pour améliorer la communication et la circulation de l'information au sein de la communauté diplomatique entre New York et Genève.</w:t>
      </w:r>
    </w:p>
    <w:p w14:paraId="73A860D1" w14:textId="77777777" w:rsidR="002C16EF" w:rsidRPr="00E33B0E" w:rsidRDefault="002C16EF" w:rsidP="002C16EF">
      <w:pPr>
        <w:pStyle w:val="Headingb"/>
      </w:pPr>
      <w:r w:rsidRPr="00E33B0E">
        <w:t>Appel à contributions</w:t>
      </w:r>
    </w:p>
    <w:p w14:paraId="1D972086" w14:textId="77777777" w:rsidR="002C16EF" w:rsidRPr="00E33B0E" w:rsidRDefault="002C16EF" w:rsidP="002C16EF">
      <w:r w:rsidRPr="00E33B0E">
        <w:t>Le Groupe de travail du Conseil de l'UIT sur le SMSI et les Objectifs de développement durable (GTC-SMSI/ODD) a lancé l'</w:t>
      </w:r>
      <w:hyperlink r:id="rId126" w:anchor="/fr" w:history="1">
        <w:r w:rsidRPr="00E33B0E">
          <w:rPr>
            <w:rStyle w:val="Hyperlink"/>
          </w:rPr>
          <w:t>appel à contributions de l'UIT sur le SMSI+20</w:t>
        </w:r>
      </w:hyperlink>
      <w:r w:rsidRPr="00E33B0E">
        <w:t>, invitant les parties prenantes à donner leur avis sur le rôle que joue l'UIT dans la mise en œuvre des résultats du SMSI depuis 2003. Cet appel constitue une partie essentielle du processus préparatoire du SMSI+20, en ce qu'il encourage les contributions multi-parties prenantes sur les retombées du SMSI au cours des deux dernières décennies et sur la vision du SMSI pour l'après-2025.</w:t>
      </w:r>
    </w:p>
    <w:p w14:paraId="49C76C0D" w14:textId="77777777" w:rsidR="002C16EF" w:rsidRPr="00E33B0E" w:rsidRDefault="002C16EF" w:rsidP="002C16EF">
      <w:pPr>
        <w:pStyle w:val="Headingb"/>
      </w:pPr>
      <w:r w:rsidRPr="00E33B0E">
        <w:t>Positionnement stratégique du Groupe UNGIS</w:t>
      </w:r>
    </w:p>
    <w:p w14:paraId="0289117B" w14:textId="77777777" w:rsidR="002C16EF" w:rsidRPr="00E33B0E" w:rsidRDefault="002C16EF" w:rsidP="002C16EF">
      <w:r w:rsidRPr="00E33B0E">
        <w:t xml:space="preserve">L'UIT, qui tient le secrétariat permanent du </w:t>
      </w:r>
      <w:hyperlink r:id="rId127" w:history="1">
        <w:r w:rsidRPr="00E33B0E">
          <w:rPr>
            <w:rStyle w:val="Hyperlink"/>
          </w:rPr>
          <w:t>Groupe des Nations Unies sur la société de l'information</w:t>
        </w:r>
      </w:hyperlink>
      <w:r w:rsidRPr="00E33B0E">
        <w:t xml:space="preserve"> (UNGIS) et assure sa vice-présidence en 2024, a continué de renforcer la position de ce Groupe en tant que mécanisme efficace de coopération dans le domaine du numérique. Le Groupe a activement contribué à divers processus mondiaux dans le cadre de manifestations parallèles et de contributions conjointes, notamment lors du Forum politique de haut niveau, du Forum sur la gouvernance de l'Internet, du Sommet de l'avenir et des discussions sur le Pacte numérique mondial. L'UIT tient à jour le site web du Groupe UNGIS, notamment le répertoire sur la transformation numérique, qui sert de guide de référence et de registre aux institutions des Nations Unies sur la mise en œuvre de diverses initiatives, mettant en valeur les incidences directes des grandes orientations du SMSI.</w:t>
      </w:r>
    </w:p>
    <w:p w14:paraId="5F705E98" w14:textId="77777777" w:rsidR="002C16EF" w:rsidRPr="00E33B0E" w:rsidRDefault="002C16EF" w:rsidP="002C16EF">
      <w:pPr>
        <w:pStyle w:val="Headingb"/>
      </w:pPr>
      <w:r w:rsidRPr="00E33B0E">
        <w:t>Liens entre le SMSI et d'autres processus des Nations Unies</w:t>
      </w:r>
    </w:p>
    <w:p w14:paraId="74E9CEED" w14:textId="77777777" w:rsidR="002C16EF" w:rsidRPr="00E33B0E" w:rsidRDefault="002C16EF" w:rsidP="002C16EF">
      <w:r w:rsidRPr="00E33B0E">
        <w:t>L'UIT a poursuivi ses efforts pour établir un lien entre le SMSI et d'autres grands processus des Nations Unies, en mettant l'accent sur le rôle important des technologies pour stimuler le développement socio-économique et relever les nouveaux défis mondiaux. Ces efforts se sont notamment traduits par la coordination, par l'UIT, des contributions au Pacte numérique mondial et par l'organisation de manifestations parallèles importantes.</w:t>
      </w:r>
    </w:p>
    <w:p w14:paraId="48B4458B" w14:textId="77777777" w:rsidR="002C16EF" w:rsidRPr="00E33B0E" w:rsidRDefault="002C16EF" w:rsidP="002C16EF">
      <w:pPr>
        <w:pStyle w:val="Headingb"/>
      </w:pPr>
      <w:r w:rsidRPr="00E33B0E">
        <w:t>Dialogues et activités en cours</w:t>
      </w:r>
    </w:p>
    <w:p w14:paraId="46DCD19E" w14:textId="77777777" w:rsidR="002C16EF" w:rsidRPr="00E33B0E" w:rsidRDefault="002C16EF" w:rsidP="002C16EF">
      <w:r w:rsidRPr="00E33B0E">
        <w:t>Grâce à sa vaste base de données, la plate-forme de l'</w:t>
      </w:r>
      <w:hyperlink r:id="rId128" w:history="1">
        <w:r w:rsidRPr="00E33B0E">
          <w:rPr>
            <w:rStyle w:val="Hyperlink"/>
          </w:rPr>
          <w:t>inventaire des activités du SMSI</w:t>
        </w:r>
      </w:hyperlink>
      <w:r w:rsidRPr="00E33B0E">
        <w:t xml:space="preserve"> a continué de croître, atteignant plus de 15 000 entrées et 2,2 millions de parties prenantes mobilisées en 2024. Cette plate-forme, qui fournit des rapports annuels et des rapports spéciaux (comme le rapport spécial sur le SMSI+20 avec la Corée (République de)), est devenue un outil d'analyse, offrant un aperçu des nouvelles tendances et des nouveaux défis liés à la mise en œuvre des grandes orientations du SMSI dans le monde.</w:t>
      </w:r>
    </w:p>
    <w:p w14:paraId="2062785C" w14:textId="77777777" w:rsidR="002C16EF" w:rsidRPr="00E33B0E" w:rsidRDefault="002C16EF" w:rsidP="002C16EF">
      <w:r w:rsidRPr="00E33B0E">
        <w:lastRenderedPageBreak/>
        <w:t xml:space="preserve">Les </w:t>
      </w:r>
      <w:hyperlink r:id="rId129" w:history="1">
        <w:r w:rsidRPr="00E33B0E">
          <w:rPr>
            <w:rStyle w:val="Hyperlink"/>
          </w:rPr>
          <w:t>Prix du SMSI</w:t>
        </w:r>
      </w:hyperlink>
      <w:r w:rsidRPr="00E33B0E">
        <w:t xml:space="preserve"> sont remis lors d'un concours mondial de premier ordre, dont l'objectif est de mettre en lumière et d'encourager l'innovation et le développement dans le domaine du numérique. En 2024, le concours a mobilisé des parties prenantes du monde entier par le biais d'un vote en ligne et récompensé 18 lauréats et 72 champions, mettant en valeur les contributions exceptionnelles des technologies numériques au développement mondial.</w:t>
      </w:r>
    </w:p>
    <w:p w14:paraId="7CB032B7" w14:textId="77777777" w:rsidR="002C16EF" w:rsidRPr="00E33B0E" w:rsidRDefault="002C16EF" w:rsidP="002C16EF">
      <w:r w:rsidRPr="00E33B0E">
        <w:t>Par le biais d'initiatives collaboratives, d'un positionnement stratégique et d'une participation active aux discussions mondiales, l'UIT a travaillé avec d'autres institutions des Nations Unies et d'autres parties prenantes pour renouveler et actualiser en permanence le cadre du SMSI. L'organisation du Forum du SMSI parallèlement au Sommet mondial sur l'intelligence artificielle au service du bien social illustre parfaitement cette approche collaborative. À l'approche de l'examen du SMSI+20, l'UIT reste résolue à promouvoir les TIC en tant qu'outils au service du développement mondial.</w:t>
      </w:r>
    </w:p>
    <w:p w14:paraId="0E9699C2" w14:textId="77777777" w:rsidR="002C16EF" w:rsidRPr="00E33B0E" w:rsidRDefault="002C16EF" w:rsidP="002C16EF">
      <w:pPr>
        <w:pStyle w:val="Heading3"/>
      </w:pPr>
      <w:bookmarkStart w:id="30" w:name="_Toc198569369"/>
      <w:bookmarkStart w:id="31" w:name="_Toc199753898"/>
      <w:r w:rsidRPr="00E33B0E">
        <w:t>4.8.2</w:t>
      </w:r>
      <w:r w:rsidRPr="00E33B0E">
        <w:tab/>
        <w:t>L'intelligence artificielle au service du bien social</w:t>
      </w:r>
      <w:bookmarkEnd w:id="30"/>
      <w:bookmarkEnd w:id="31"/>
    </w:p>
    <w:p w14:paraId="429563F2" w14:textId="77777777" w:rsidR="002C16EF" w:rsidRPr="00E33B0E" w:rsidRDefault="002C16EF" w:rsidP="002C16EF">
      <w:pPr>
        <w:rPr>
          <w:bCs/>
        </w:rPr>
      </w:pPr>
      <w:r w:rsidRPr="00E33B0E">
        <w:t>L'Initiative "L'intelligence artificielle au service du bien social" recense les applications innovantes de l'intelligence artificielle (IA), contribue au renforcement des compétences et des normes, et favorise les partenariats afin de relever les défis mondiaux. Elle est organisée par l'UIT, en partenariat avec plus 40 autres institutions des Nations Unies et conjointement avec le gouvernement de la Suisse.</w:t>
      </w:r>
    </w:p>
    <w:p w14:paraId="782804CA" w14:textId="77777777" w:rsidR="002C16EF" w:rsidRPr="00E33B0E" w:rsidRDefault="002C16EF" w:rsidP="002C16EF">
      <w:pPr>
        <w:spacing w:after="120"/>
      </w:pPr>
      <w:r w:rsidRPr="00E33B0E">
        <w:t>Le Sommet mondial sur l'intelligence artificielle au service du bien social, organisé en 2024, a réuni 27 partenaires des Nations Unies et attiré plus de 5 000 participants sur place, ainsi que 35 000 membres du réseau neuronal et une communauté en ligne de 137 000 personnes, qui ont généré plus de 900 000 vues. Les participants étaient issus de 183 pays.</w:t>
      </w:r>
    </w:p>
    <w:tbl>
      <w:tblPr>
        <w:tblStyle w:val="TableGrid"/>
        <w:tblW w:w="0" w:type="auto"/>
        <w:tblLook w:val="04A0" w:firstRow="1" w:lastRow="0" w:firstColumn="1" w:lastColumn="0" w:noHBand="0" w:noVBand="1"/>
      </w:tblPr>
      <w:tblGrid>
        <w:gridCol w:w="9061"/>
      </w:tblGrid>
      <w:tr w:rsidR="002C16EF" w:rsidRPr="00E33B0E" w14:paraId="0FD8D1AA" w14:textId="77777777" w:rsidTr="000B3727">
        <w:tc>
          <w:tcPr>
            <w:tcW w:w="9061" w:type="dxa"/>
          </w:tcPr>
          <w:p w14:paraId="324CBD55" w14:textId="77777777" w:rsidR="002C16EF" w:rsidRPr="00E33B0E" w:rsidRDefault="002C16EF" w:rsidP="000B3727">
            <w:pPr>
              <w:shd w:val="clear" w:color="auto" w:fill="C6D9F1" w:themeFill="text2" w:themeFillTint="33"/>
              <w:rPr>
                <w:b/>
              </w:rPr>
            </w:pPr>
            <w:r w:rsidRPr="00E33B0E">
              <w:rPr>
                <w:b/>
              </w:rPr>
              <w:t>Édition 2024 du Sommet mondial sur l'intelligence artificielle au service du bien social</w:t>
            </w:r>
          </w:p>
          <w:p w14:paraId="45083AC6" w14:textId="77777777" w:rsidR="002C16EF" w:rsidRPr="00E33B0E" w:rsidRDefault="002C16EF" w:rsidP="000B3727">
            <w:pPr>
              <w:rPr>
                <w:bCs/>
              </w:rPr>
            </w:pPr>
            <w:r w:rsidRPr="00E33B0E">
              <w:rPr>
                <w:bCs/>
              </w:rPr>
              <w:t>Organisé chaque année par l'UIT, le Sommet sur l'intelligence artificielle au service du bien social a réuni 47 partenaires des Nations Unies et des innovateurs technologiques du monde entier pour mettre en avant toute la puissance de l'IA au service des personnes, de la planète et de la prospérité. Les démonstrations en direct d'interfaces cerveau-machine de pointe conçues pour la neurologie et les soins de santé évolués, ainsi que des solutions robotiques améliorant l'accessibilité pour les personnes handicapées, ont occupé le devant de la scène durant les trois jours de la manifestation.</w:t>
            </w:r>
          </w:p>
          <w:p w14:paraId="67C3900D" w14:textId="77777777" w:rsidR="002C16EF" w:rsidRPr="00E33B0E" w:rsidRDefault="002C16EF" w:rsidP="000B3727">
            <w:pPr>
              <w:rPr>
                <w:bCs/>
              </w:rPr>
            </w:pPr>
            <w:hyperlink r:id="rId130" w:anchor="/fr" w:history="1">
              <w:r w:rsidRPr="00E33B0E">
                <w:rPr>
                  <w:rStyle w:val="Hyperlink"/>
                  <w:bCs/>
                </w:rPr>
                <w:t>En savoir plus sur l'innovation en matière d'interfaces cerveau-machine</w:t>
              </w:r>
            </w:hyperlink>
          </w:p>
          <w:p w14:paraId="547A1F8F" w14:textId="77777777" w:rsidR="002C16EF" w:rsidRPr="00E33B0E" w:rsidRDefault="002C16EF" w:rsidP="000B3727">
            <w:pPr>
              <w:spacing w:before="0"/>
              <w:rPr>
                <w:bCs/>
              </w:rPr>
            </w:pPr>
            <w:hyperlink r:id="rId131" w:history="1">
              <w:r w:rsidRPr="00E33B0E">
                <w:rPr>
                  <w:rStyle w:val="Hyperlink"/>
                  <w:bCs/>
                </w:rPr>
                <w:t>Communiqué de presse de clôture du Sommet</w:t>
              </w:r>
            </w:hyperlink>
          </w:p>
          <w:p w14:paraId="6C198CCF" w14:textId="77777777" w:rsidR="002C16EF" w:rsidRPr="00E33B0E" w:rsidRDefault="002C16EF" w:rsidP="000B3727">
            <w:pPr>
              <w:shd w:val="clear" w:color="auto" w:fill="C6D9F1" w:themeFill="text2" w:themeFillTint="33"/>
              <w:rPr>
                <w:b/>
              </w:rPr>
            </w:pPr>
            <w:r w:rsidRPr="00E33B0E">
              <w:rPr>
                <w:b/>
              </w:rPr>
              <w:t>Usine d'innovations</w:t>
            </w:r>
          </w:p>
          <w:p w14:paraId="2B3BD591" w14:textId="77777777" w:rsidR="002C16EF" w:rsidRPr="00E33B0E" w:rsidRDefault="002C16EF" w:rsidP="000B3727">
            <w:pPr>
              <w:rPr>
                <w:bCs/>
              </w:rPr>
            </w:pPr>
            <w:r w:rsidRPr="00E33B0E">
              <w:rPr>
                <w:bCs/>
              </w:rPr>
              <w:t>Ce concours mondial est devenu la principale plate-forme des Nations Unies pour la présentation et l'accélération de start-up du monde entier dans le domaine de l'intelligence artificielle. Lors de la grande finale de l'Usine d'innovations en 2024, le prix de la meilleure solution fondée sur l'IA a été décerné à Stemuli, développeur d'IA basé aux États-Unis, pour sa plate-forme de jeu fondée sur le métavers génératif pour l'éducation et l'apprentissage continu.</w:t>
            </w:r>
          </w:p>
          <w:p w14:paraId="317CD299" w14:textId="77777777" w:rsidR="002C16EF" w:rsidRPr="00E33B0E" w:rsidRDefault="002C16EF" w:rsidP="000B3727">
            <w:pPr>
              <w:rPr>
                <w:bCs/>
              </w:rPr>
            </w:pPr>
            <w:hyperlink r:id="rId132" w:history="1">
              <w:r w:rsidRPr="00E33B0E">
                <w:rPr>
                  <w:rStyle w:val="Hyperlink"/>
                  <w:bCs/>
                </w:rPr>
                <w:t>En savoir plus sur les start-up</w:t>
              </w:r>
            </w:hyperlink>
          </w:p>
          <w:p w14:paraId="1CA816E5" w14:textId="77777777" w:rsidR="002C16EF" w:rsidRPr="00E33B0E" w:rsidRDefault="002C16EF" w:rsidP="00AB45B0">
            <w:pPr>
              <w:keepNext/>
              <w:keepLines/>
              <w:shd w:val="clear" w:color="auto" w:fill="C6D9F1" w:themeFill="text2" w:themeFillTint="33"/>
              <w:rPr>
                <w:b/>
              </w:rPr>
            </w:pPr>
            <w:r w:rsidRPr="00E33B0E">
              <w:rPr>
                <w:b/>
              </w:rPr>
              <w:lastRenderedPageBreak/>
              <w:t>Communauté des jeunes chefs de file de l'IA</w:t>
            </w:r>
          </w:p>
          <w:p w14:paraId="77830476" w14:textId="77777777" w:rsidR="002C16EF" w:rsidRPr="00E33B0E" w:rsidRDefault="002C16EF" w:rsidP="000B3727">
            <w:pPr>
              <w:rPr>
                <w:bCs/>
              </w:rPr>
            </w:pPr>
            <w:r w:rsidRPr="00E33B0E">
              <w:rPr>
                <w:bCs/>
              </w:rPr>
              <w:t>Une nouvelle communauté de jeunes chefs de file de l'intelligence artificielle, créée à l'occasion de l'édition 2024 du Sommet "L'intelligence artificielle au service du bien social", met en avant différents points de vue, promeut l'égalité hommes-femmes dans le secteur des technologies et s'attache à doter les jeunes du monde entier des compétences et des outils essentiels pour façonner l'avenir de l'intelligence artificielle.</w:t>
            </w:r>
          </w:p>
          <w:p w14:paraId="784F28B0" w14:textId="77777777" w:rsidR="002C16EF" w:rsidRPr="00E33B0E" w:rsidRDefault="002C16EF" w:rsidP="000B3727">
            <w:pPr>
              <w:spacing w:after="120"/>
              <w:rPr>
                <w:b/>
                <w:bCs/>
              </w:rPr>
            </w:pPr>
            <w:hyperlink r:id="rId133" w:anchor="/fr" w:history="1">
              <w:r w:rsidRPr="00E33B0E">
                <w:rPr>
                  <w:rStyle w:val="Hyperlink"/>
                  <w:b/>
                  <w:bCs/>
                </w:rPr>
                <w:t>En savoir plus</w:t>
              </w:r>
            </w:hyperlink>
          </w:p>
        </w:tc>
      </w:tr>
    </w:tbl>
    <w:p w14:paraId="0BF025A0" w14:textId="3B2EC9EE" w:rsidR="002C16EF" w:rsidRPr="00E33B0E" w:rsidRDefault="002C16EF" w:rsidP="00AB45B0">
      <w:pPr>
        <w:spacing w:after="120"/>
      </w:pPr>
      <w:r w:rsidRPr="00E33B0E">
        <w:lastRenderedPageBreak/>
        <w:t>L'</w:t>
      </w:r>
      <w:hyperlink r:id="rId134" w:anchor="/fr" w:history="1">
        <w:r w:rsidRPr="00E33B0E">
          <w:rPr>
            <w:rStyle w:val="Hyperlink"/>
          </w:rPr>
          <w:t>intelligence artificielle au service du bien social</w:t>
        </w:r>
      </w:hyperlink>
      <w:r w:rsidRPr="00E33B0E">
        <w:t xml:space="preserve"> est devenue la principale plate-forme des Nations Unies orientée vers l'action, qui fait la promotion de l'intelligence artificielle pour faire progresser les priorités mondiales en matière de développement, dans l'intérêt de tous, partout dans le monde. Cette manifestation est organisée par l'UIT, en partenariat avec 40 autres institutions des Nations Unies et conjointement avec le Gouvernement de la Suisse. La nouvelle </w:t>
      </w:r>
      <w:hyperlink r:id="rId135" w:anchor="/fr" w:history="1">
        <w:r w:rsidRPr="00E33B0E">
          <w:rPr>
            <w:rStyle w:val="Hyperlink"/>
          </w:rPr>
          <w:t>Coalition pour les compétences associées à l'intelligence artificielle</w:t>
        </w:r>
      </w:hyperlink>
      <w:r w:rsidRPr="00E33B0E">
        <w:t xml:space="preserve"> (créée dans le cadre de l'Initiative "AI for Good Impact") vise à fournir une plate-forme ouverte et fiable d'éducation et de renforcement des capacités en matière d'IA.</w:t>
      </w:r>
    </w:p>
    <w:tbl>
      <w:tblPr>
        <w:tblStyle w:val="TableGrid"/>
        <w:tblW w:w="0" w:type="auto"/>
        <w:tblLook w:val="04A0" w:firstRow="1" w:lastRow="0" w:firstColumn="1" w:lastColumn="0" w:noHBand="0" w:noVBand="1"/>
      </w:tblPr>
      <w:tblGrid>
        <w:gridCol w:w="9061"/>
      </w:tblGrid>
      <w:tr w:rsidR="00AB45B0" w:rsidRPr="00E33B0E" w14:paraId="4DE6F66A" w14:textId="77777777" w:rsidTr="00AB45B0">
        <w:tc>
          <w:tcPr>
            <w:tcW w:w="9061" w:type="dxa"/>
          </w:tcPr>
          <w:p w14:paraId="660C160F" w14:textId="77777777" w:rsidR="00AB45B0" w:rsidRPr="00E33B0E" w:rsidRDefault="00AB45B0" w:rsidP="00AB45B0">
            <w:pPr>
              <w:shd w:val="clear" w:color="auto" w:fill="C6D9F1" w:themeFill="text2" w:themeFillTint="33"/>
              <w:rPr>
                <w:rFonts w:cs="Calibri"/>
                <w:b/>
                <w:bCs/>
                <w:szCs w:val="24"/>
              </w:rPr>
            </w:pPr>
            <w:r w:rsidRPr="00E33B0E">
              <w:rPr>
                <w:b/>
                <w:bCs/>
              </w:rPr>
              <w:t>Coalition pour les compétences en matière d'IA</w:t>
            </w:r>
          </w:p>
          <w:p w14:paraId="78B72A51" w14:textId="77777777" w:rsidR="00AB45B0" w:rsidRPr="00E33B0E" w:rsidRDefault="00AB45B0" w:rsidP="00AB45B0">
            <w:pPr>
              <w:rPr>
                <w:rFonts w:cs="Calibri"/>
                <w:sz w:val="22"/>
              </w:rPr>
            </w:pPr>
            <w:r w:rsidRPr="00E33B0E">
              <w:t>L'évolution rapide du marché du travail signifie que les personnes et les organisations doivent se concentrer sur le renforcement des compétences et l'apprentissage continu à l'ère de l'IA. L'UIT, avec le Programme des Nations Unies pour le développement (PNUD) comme partenaire clé, a créé la nouvelle Coalition pour les compétences en matière d'IA, lancée en janvier 2025, pour dispenser des formations de qualité sur l'intelligence artificielle dans le monde entier.</w:t>
            </w:r>
          </w:p>
          <w:p w14:paraId="04766AAC" w14:textId="25DF62B5" w:rsidR="00AB45B0" w:rsidRPr="00E33B0E" w:rsidRDefault="00AB45B0" w:rsidP="00AB45B0">
            <w:pPr>
              <w:spacing w:after="120"/>
            </w:pPr>
            <w:hyperlink r:id="rId136" w:anchor="/fr" w:history="1">
              <w:r w:rsidRPr="00E33B0E">
                <w:rPr>
                  <w:rStyle w:val="Hyperlink"/>
                  <w:b/>
                  <w:bCs/>
                </w:rPr>
                <w:t>En savoir plus</w:t>
              </w:r>
            </w:hyperlink>
          </w:p>
        </w:tc>
      </w:tr>
    </w:tbl>
    <w:p w14:paraId="314A515D" w14:textId="77777777" w:rsidR="002C16EF" w:rsidRPr="00E33B0E" w:rsidRDefault="002C16EF" w:rsidP="002C16EF">
      <w:r w:rsidRPr="00E33B0E">
        <w:t>La manifestation "</w:t>
      </w:r>
      <w:hyperlink r:id="rId137" w:anchor="/fr" w:history="1">
        <w:r w:rsidRPr="00E33B0E">
          <w:rPr>
            <w:rStyle w:val="Hyperlink"/>
          </w:rPr>
          <w:t>AI for Good Impact India</w:t>
        </w:r>
      </w:hyperlink>
      <w:r w:rsidRPr="00E33B0E">
        <w:t>", organisée par l'UIT en 2024, a montré une mobilisation croissante au niveau régional et sera suivie de la manifestation "AI for Good Impact Africa", qui sera organisée en République sudafricaine en 2025, en partenariat avec le secrétariat du G20.</w:t>
      </w:r>
    </w:p>
    <w:p w14:paraId="0B203D99" w14:textId="77777777" w:rsidR="002C16EF" w:rsidRPr="00E33B0E" w:rsidRDefault="002C16EF" w:rsidP="002C16EF">
      <w:pPr>
        <w:pStyle w:val="Heading3"/>
      </w:pPr>
      <w:bookmarkStart w:id="32" w:name="_Toc198569370"/>
      <w:bookmarkStart w:id="33" w:name="_Toc199753899"/>
      <w:r w:rsidRPr="00E33B0E">
        <w:t>4.8.3</w:t>
      </w:r>
      <w:r w:rsidRPr="00E33B0E">
        <w:tab/>
        <w:t>Colloque mondial sur la normalisation (GSS-24)</w:t>
      </w:r>
      <w:bookmarkEnd w:id="32"/>
      <w:bookmarkEnd w:id="33"/>
    </w:p>
    <w:p w14:paraId="6EE7BDC4" w14:textId="77777777" w:rsidR="002C16EF" w:rsidRPr="00E33B0E" w:rsidRDefault="002C16EF" w:rsidP="002C16EF">
      <w:r w:rsidRPr="00E33B0E">
        <w:t xml:space="preserve">Le </w:t>
      </w:r>
      <w:hyperlink r:id="rId138" w:anchor="/fr" w:history="1">
        <w:r w:rsidRPr="00E33B0E">
          <w:rPr>
            <w:rStyle w:val="Hyperlink"/>
          </w:rPr>
          <w:t>cinquième Colloque mondial sur la normalisation (GSS-24)</w:t>
        </w:r>
      </w:hyperlink>
      <w:r w:rsidRPr="00E33B0E">
        <w:t xml:space="preserve"> s'est tenu le 14 octobre 2024 à New Delhi (Inde) sur le thème "Anticiper la prochaine vague numérique: technologies émergentes, innovation et normes internationales". Lors de cette manifestation, les participants ont examiné comment les technologies de pointe et les normes internationales redessinent les contours de l'avenir numérique. Un segment de haut niveau a été organisée à cette occasion, rassemblant plus de 20 ministres et dirigeants du secteur, pour façonner l'avenir de l'innovation et mettre en œuvre le changement à l'échelle mondiale. Le GSS-24 a réuni plus de 1 800 participants sur place et plus de 800 participants à distance. Voir les </w:t>
      </w:r>
      <w:hyperlink r:id="rId139" w:anchor="/fr" w:history="1">
        <w:r w:rsidRPr="00E33B0E">
          <w:rPr>
            <w:rStyle w:val="Hyperlink"/>
          </w:rPr>
          <w:t>conclusions du GSS-24</w:t>
        </w:r>
      </w:hyperlink>
      <w:r w:rsidRPr="00E33B0E">
        <w:t>.</w:t>
      </w:r>
    </w:p>
    <w:p w14:paraId="4B680855" w14:textId="77777777" w:rsidR="002C16EF" w:rsidRPr="00E33B0E" w:rsidRDefault="002C16EF" w:rsidP="00AB45B0">
      <w:pPr>
        <w:pStyle w:val="Heading3"/>
      </w:pPr>
      <w:bookmarkStart w:id="34" w:name="_Toc199753900"/>
      <w:r w:rsidRPr="00E33B0E">
        <w:lastRenderedPageBreak/>
        <w:t>4.8.4</w:t>
      </w:r>
      <w:r w:rsidRPr="00E33B0E">
        <w:tab/>
        <w:t>Colloque mondial des régulateurs</w:t>
      </w:r>
      <w:bookmarkEnd w:id="34"/>
    </w:p>
    <w:p w14:paraId="71146FBB" w14:textId="77777777" w:rsidR="002C16EF" w:rsidRPr="00E33B0E" w:rsidRDefault="002C16EF" w:rsidP="00AB45B0">
      <w:pPr>
        <w:keepNext/>
        <w:keepLines/>
      </w:pPr>
      <w:r w:rsidRPr="00E33B0E">
        <w:t>La 23ème édition du Colloque mondial des régulateurs (GSR-24) s'est tenue à Kampala, en Ouganda, du 1er au 4 juillet 2024, sur le thème "Réglementer pour produire des effets". Cette manifestation a réuni plus de 600 participants de plus de 77 pays, au nombre desquels des ministres et vice-ministres (10), des directeurs d'organismes de régulation et des hauts dirigeants d'entreprises (plus de 50).</w:t>
      </w:r>
    </w:p>
    <w:p w14:paraId="380F4462" w14:textId="77777777" w:rsidR="002C16EF" w:rsidRPr="00E33B0E" w:rsidRDefault="002C16EF" w:rsidP="002C16EF">
      <w:r w:rsidRPr="00E33B0E">
        <w:t xml:space="preserve">Les régulateurs du monde entier ont établi et approuvé les lignes directrices relatives aux bonnes pratiques du GSR-24 sur le thème "Contribuer à fixer le cap pour des technologies porteuses de transformations positives". Ces lignes directrices peuvent aider les régulateurs des TIC à créer un environnement réglementaire qui permette le déploiement d'infrastructures de pointe pour soutenir les sociétés et les économies numériques de demain. Elles définissent également des mesures visant à limiter les risques et à exploiter au mieux les avantages sociaux et économiques des technologies porteuses de transformations. Ces lignes directrices figurent en annexe du présent rapport et peuvent être consultées sur le </w:t>
      </w:r>
      <w:hyperlink r:id="rId140" w:anchor="/fr" w:history="1">
        <w:r w:rsidRPr="00E33B0E">
          <w:rPr>
            <w:rStyle w:val="Hyperlink"/>
          </w:rPr>
          <w:t>site web du GSR-24</w:t>
        </w:r>
      </w:hyperlink>
      <w:r w:rsidRPr="00E33B0E">
        <w:t>.</w:t>
      </w:r>
    </w:p>
    <w:p w14:paraId="3CBF295C" w14:textId="77777777" w:rsidR="002C16EF" w:rsidRPr="00E33B0E" w:rsidRDefault="002C16EF" w:rsidP="002C16EF">
      <w:pPr>
        <w:pStyle w:val="Heading3"/>
      </w:pPr>
      <w:bookmarkStart w:id="35" w:name="_Toc199753901"/>
      <w:r w:rsidRPr="00E33B0E">
        <w:t>4.8.5</w:t>
      </w:r>
      <w:r w:rsidRPr="00E33B0E">
        <w:tab/>
        <w:t>Participation des établissements universitaires aux travaux de l'UIT</w:t>
      </w:r>
      <w:bookmarkEnd w:id="35"/>
    </w:p>
    <w:p w14:paraId="0CA28C63" w14:textId="77777777" w:rsidR="002C16EF" w:rsidRPr="00E33B0E" w:rsidRDefault="002C16EF" w:rsidP="002C16EF">
      <w:r w:rsidRPr="00E33B0E">
        <w:t xml:space="preserve">Les </w:t>
      </w:r>
      <w:hyperlink r:id="rId141" w:anchor="/fr" w:history="1">
        <w:r w:rsidRPr="00E33B0E">
          <w:rPr>
            <w:rStyle w:val="Hyperlink"/>
          </w:rPr>
          <w:t>établissements universitaires participant aux travaux de l'UIT</w:t>
        </w:r>
      </w:hyperlink>
      <w:r w:rsidRPr="00E33B0E">
        <w:t xml:space="preserve">, le </w:t>
      </w:r>
      <w:hyperlink r:id="rId142" w:history="1">
        <w:r w:rsidRPr="00E33B0E">
          <w:rPr>
            <w:rStyle w:val="Hyperlink"/>
          </w:rPr>
          <w:t>Journal de l'UIT</w:t>
        </w:r>
      </w:hyperlink>
      <w:r w:rsidRPr="00E33B0E">
        <w:t xml:space="preserve"> et les </w:t>
      </w:r>
      <w:hyperlink r:id="rId143" w:history="1">
        <w:r w:rsidRPr="00E33B0E">
          <w:rPr>
            <w:rStyle w:val="Hyperlink"/>
          </w:rPr>
          <w:t>conférences multidisciplinaires "Kaléidoscope"</w:t>
        </w:r>
      </w:hyperlink>
      <w:r w:rsidRPr="00E33B0E">
        <w:t xml:space="preserve"> de l'UIT constituent les principales plates</w:t>
      </w:r>
      <w:r w:rsidRPr="00E33B0E">
        <w:noBreakHyphen/>
        <w:t>formes de participation des universitaires aux travaux de l'UIT. Ces initiatives favorisent la collaboration entre les universités et le secteur privé, et stimulent la recherche</w:t>
      </w:r>
      <w:r w:rsidRPr="00E33B0E">
        <w:noBreakHyphen/>
        <w:t>développement tout en accélérant le passage des innovations de pointe du laboratoire vers le marché.</w:t>
      </w:r>
    </w:p>
    <w:p w14:paraId="52F05CE6" w14:textId="77777777" w:rsidR="002C16EF" w:rsidRPr="00E33B0E" w:rsidRDefault="002C16EF" w:rsidP="002C16EF">
      <w:pPr>
        <w:pStyle w:val="Heading3"/>
      </w:pPr>
      <w:bookmarkStart w:id="36" w:name="_Toc199753902"/>
      <w:r w:rsidRPr="00E33B0E">
        <w:t>4.8.6</w:t>
      </w:r>
      <w:r w:rsidRPr="00E33B0E">
        <w:tab/>
        <w:t>Journal de l'UIT</w:t>
      </w:r>
      <w:bookmarkEnd w:id="36"/>
    </w:p>
    <w:p w14:paraId="6A28C077" w14:textId="77777777" w:rsidR="002C16EF" w:rsidRPr="00E33B0E" w:rsidRDefault="002C16EF" w:rsidP="002C16EF">
      <w:r w:rsidRPr="00E33B0E">
        <w:t xml:space="preserve">Le </w:t>
      </w:r>
      <w:hyperlink r:id="rId144" w:history="1">
        <w:r w:rsidRPr="00E33B0E">
          <w:rPr>
            <w:rStyle w:val="Hyperlink"/>
          </w:rPr>
          <w:t>Journal de l'UIT sur les technologies futures et les technologies en évolution (J-FET de l'UIT)</w:t>
        </w:r>
      </w:hyperlink>
      <w:r w:rsidRPr="00E33B0E">
        <w:t xml:space="preserve">, gratuit tant pour les lecteurs que pour les auteurs, couvre l'ensemble des questions relatives aux communications et à la mise en réseau. Des propositions d'articles de recherche sur tous les sujets en rapport avec les travaux de l'UIT peuvent être soumises tout au long de l'année. Le Volume 5 (2024) était consacré aux </w:t>
      </w:r>
      <w:hyperlink r:id="rId145" w:history="1">
        <w:r w:rsidRPr="00E33B0E">
          <w:rPr>
            <w:rStyle w:val="Hyperlink"/>
          </w:rPr>
          <w:t>communications et aux réseaux informatiques de prochaine génération</w:t>
        </w:r>
      </w:hyperlink>
      <w:r w:rsidRPr="00E33B0E">
        <w:t xml:space="preserve">, aux </w:t>
      </w:r>
      <w:hyperlink r:id="rId146" w:history="1">
        <w:r w:rsidRPr="00E33B0E">
          <w:rPr>
            <w:rStyle w:val="Hyperlink"/>
          </w:rPr>
          <w:t>constellations de satellites et à la connectivité depuis l'espace</w:t>
        </w:r>
      </w:hyperlink>
      <w:r w:rsidRPr="00E33B0E">
        <w:t xml:space="preserve">, aux </w:t>
      </w:r>
      <w:hyperlink r:id="rId147" w:history="1">
        <w:r w:rsidRPr="00E33B0E">
          <w:rPr>
            <w:rStyle w:val="Hyperlink"/>
          </w:rPr>
          <w:t>technologies intelligentes pour les réseaux futurs et les systèmes répartis</w:t>
        </w:r>
      </w:hyperlink>
      <w:r w:rsidRPr="00E33B0E">
        <w:t xml:space="preserve">, ainsi qu'aux </w:t>
      </w:r>
      <w:hyperlink r:id="rId148" w:history="1">
        <w:r w:rsidRPr="00E33B0E">
          <w:rPr>
            <w:rStyle w:val="Hyperlink"/>
          </w:rPr>
          <w:t>solutions d'intelligence artificielle et d'apprentissage automatique pour la 5G et les réseaux futurs</w:t>
        </w:r>
      </w:hyperlink>
      <w:r w:rsidRPr="00E33B0E">
        <w:t>.</w:t>
      </w:r>
    </w:p>
    <w:p w14:paraId="386C7810" w14:textId="77777777" w:rsidR="002C16EF" w:rsidRPr="00E33B0E" w:rsidRDefault="002C16EF" w:rsidP="002C16EF">
      <w:r w:rsidRPr="00E33B0E">
        <w:t xml:space="preserve">Outre les articles de recherche, le journal donne également accès aux </w:t>
      </w:r>
      <w:hyperlink r:id="rId149" w:history="1">
        <w:r w:rsidRPr="00E33B0E">
          <w:rPr>
            <w:rStyle w:val="Hyperlink"/>
          </w:rPr>
          <w:t>archives des discussions tenues lors de webinaires</w:t>
        </w:r>
      </w:hyperlink>
      <w:r w:rsidRPr="00E33B0E">
        <w:t xml:space="preserve"> avec des chercheurs et des dirigeants d'entreprises de haut niveau.</w:t>
      </w:r>
    </w:p>
    <w:p w14:paraId="3446C7B1" w14:textId="77777777" w:rsidR="002C16EF" w:rsidRPr="00E33B0E" w:rsidRDefault="002C16EF" w:rsidP="002C16EF">
      <w:pPr>
        <w:pStyle w:val="Heading3"/>
      </w:pPr>
      <w:bookmarkStart w:id="37" w:name="_Toc199753903"/>
      <w:r w:rsidRPr="00E33B0E">
        <w:t>4.8.7</w:t>
      </w:r>
      <w:r w:rsidRPr="00E33B0E">
        <w:tab/>
        <w:t>Conférence universitaire "Kaléidoscope"</w:t>
      </w:r>
      <w:bookmarkEnd w:id="37"/>
    </w:p>
    <w:p w14:paraId="1A67AEE4" w14:textId="77777777" w:rsidR="002C16EF" w:rsidRPr="00E33B0E" w:rsidRDefault="002C16EF" w:rsidP="002C16EF">
      <w:r w:rsidRPr="00E33B0E">
        <w:t xml:space="preserve">La 15ème édition de la </w:t>
      </w:r>
      <w:hyperlink r:id="rId150" w:anchor="/fr" w:history="1">
        <w:r w:rsidRPr="00E33B0E">
          <w:rPr>
            <w:rStyle w:val="Hyperlink"/>
          </w:rPr>
          <w:t>conférence universitaire "Kaléidoscope"</w:t>
        </w:r>
      </w:hyperlink>
      <w:r w:rsidRPr="00E33B0E">
        <w:t>, qui s'est tenue à New Delhi (Inde) parallèlement à l'AMNT-24, était axée sur le thème "Tirer parti des progrès des technologies numériques pour relever des défis mondiaux sans précédent". L'édition 2024 de la manifestation Kaléidoscope a également mis en avant le rôle des jeunes dans l'élaboration de normes mondiales et souligné qu'il était urgent de connecter le tiers de la population mondiale qui ne l'est pas encore.</w:t>
      </w:r>
    </w:p>
    <w:p w14:paraId="16AD0F49" w14:textId="77777777" w:rsidR="002C16EF" w:rsidRPr="00E33B0E" w:rsidRDefault="002C16EF" w:rsidP="002C16EF">
      <w:pPr>
        <w:pStyle w:val="Heading3"/>
      </w:pPr>
      <w:bookmarkStart w:id="38" w:name="_Toc199753904"/>
      <w:r w:rsidRPr="00E33B0E">
        <w:lastRenderedPageBreak/>
        <w:t>4.8.8</w:t>
      </w:r>
      <w:r w:rsidRPr="00E33B0E">
        <w:tab/>
        <w:t>Séminaires et ateliers: Aller plus loin</w:t>
      </w:r>
      <w:bookmarkEnd w:id="38"/>
    </w:p>
    <w:p w14:paraId="08302EAD" w14:textId="77777777" w:rsidR="002C16EF" w:rsidRPr="00E33B0E" w:rsidRDefault="002C16EF" w:rsidP="002C16EF">
      <w:r w:rsidRPr="00E33B0E">
        <w:t>L'organisation de séminaires et d'ateliers spécialisés est essentielle à la collaboration de l'UIT avec les secteurs des radiocommunications, de la normalisation et du développement.</w:t>
      </w:r>
    </w:p>
    <w:p w14:paraId="3B7B5D71" w14:textId="77777777" w:rsidR="002C16EF" w:rsidRPr="00E33B0E" w:rsidRDefault="002C16EF" w:rsidP="002C16EF">
      <w:pPr>
        <w:pStyle w:val="Headingb"/>
      </w:pPr>
      <w:r w:rsidRPr="00E33B0E">
        <w:t>Séminaires</w:t>
      </w:r>
    </w:p>
    <w:p w14:paraId="06BC938B" w14:textId="77777777" w:rsidR="002C16EF" w:rsidRPr="00E33B0E" w:rsidRDefault="002C16EF" w:rsidP="002C16EF">
      <w:pPr>
        <w:spacing w:after="120"/>
      </w:pPr>
      <w:r w:rsidRPr="00E33B0E">
        <w:t>Le Séminaire mondial des radiocommunications (WRS-24) s'est tenu du 2 au 6 décembre 2024 à Genève (Suisse).</w:t>
      </w:r>
    </w:p>
    <w:tbl>
      <w:tblPr>
        <w:tblStyle w:val="TableGrid"/>
        <w:tblW w:w="0" w:type="auto"/>
        <w:tblLook w:val="04A0" w:firstRow="1" w:lastRow="0" w:firstColumn="1" w:lastColumn="0" w:noHBand="0" w:noVBand="1"/>
      </w:tblPr>
      <w:tblGrid>
        <w:gridCol w:w="9061"/>
      </w:tblGrid>
      <w:tr w:rsidR="002C16EF" w:rsidRPr="00E33B0E" w14:paraId="5AD43506" w14:textId="77777777" w:rsidTr="000B3727">
        <w:tc>
          <w:tcPr>
            <w:tcW w:w="9061" w:type="dxa"/>
          </w:tcPr>
          <w:p w14:paraId="0B74E6A9" w14:textId="77777777" w:rsidR="002C16EF" w:rsidRPr="00E33B0E" w:rsidRDefault="002C16EF" w:rsidP="000B3727">
            <w:pPr>
              <w:shd w:val="clear" w:color="auto" w:fill="C6D9F1" w:themeFill="text2" w:themeFillTint="33"/>
              <w:rPr>
                <w:b/>
                <w:bCs/>
              </w:rPr>
            </w:pPr>
            <w:r w:rsidRPr="00E33B0E">
              <w:rPr>
                <w:b/>
                <w:bCs/>
              </w:rPr>
              <w:t>Tenir les régulateurs des radiocommunications informés</w:t>
            </w:r>
          </w:p>
          <w:p w14:paraId="1EC1867D" w14:textId="77777777" w:rsidR="002C16EF" w:rsidRPr="00E33B0E" w:rsidRDefault="002C16EF" w:rsidP="000B3727">
            <w:r w:rsidRPr="00E33B0E">
              <w:t>En 2024, l'UIT a publié une nouvelle édition du Règlement des radiocommunications, à la suite des mises à jour adoptées à la CMR-23 concernant l'utilisation harmonisée du spectre des fréquences radioélectriques à l'échelle mondiale et régionale. Le Séminaire mondial organisé ultérieurement par l'UIT (WRS-24) comprenait des formations pratiques sur la base des dernières attributions de fréquences, soulignant l'importance d'une gestion efficace du spectre pour la connectivité numérique.</w:t>
            </w:r>
          </w:p>
          <w:p w14:paraId="01511985" w14:textId="77777777" w:rsidR="002C16EF" w:rsidRPr="00E33B0E" w:rsidRDefault="002C16EF" w:rsidP="000B3727">
            <w:pPr>
              <w:rPr>
                <w:b/>
                <w:bCs/>
              </w:rPr>
            </w:pPr>
            <w:hyperlink r:id="rId151" w:anchor="/fr" w:history="1">
              <w:r w:rsidRPr="00E33B0E">
                <w:rPr>
                  <w:rStyle w:val="Hyperlink"/>
                  <w:b/>
                  <w:bCs/>
                </w:rPr>
                <w:t>En savoir plus sur le Séminaire</w:t>
              </w:r>
            </w:hyperlink>
          </w:p>
          <w:p w14:paraId="1F4CA7F5" w14:textId="77777777" w:rsidR="002C16EF" w:rsidRPr="00E33B0E" w:rsidRDefault="002C16EF" w:rsidP="000B3727">
            <w:pPr>
              <w:spacing w:after="120"/>
            </w:pPr>
            <w:hyperlink r:id="rId152" w:anchor="/fr" w:history="1">
              <w:r w:rsidRPr="00E33B0E">
                <w:rPr>
                  <w:rStyle w:val="Hyperlink"/>
                  <w:b/>
                  <w:bCs/>
                </w:rPr>
                <w:t xml:space="preserve">Règlement des radiocommunications </w:t>
              </w:r>
              <w:r w:rsidRPr="00E33B0E">
                <w:rPr>
                  <w:rStyle w:val="Hyperlink"/>
                </w:rPr>
                <w:t>(édition de 2024)</w:t>
              </w:r>
            </w:hyperlink>
          </w:p>
        </w:tc>
      </w:tr>
    </w:tbl>
    <w:p w14:paraId="1A03166A" w14:textId="77777777" w:rsidR="002C16EF" w:rsidRPr="00E33B0E" w:rsidRDefault="002C16EF" w:rsidP="002C16EF">
      <w:r w:rsidRPr="00E33B0E">
        <w:t>En complément du WRS qui se tient tous les deux ans, l'UIT-R a organisé des activités destinées aux régions sous la forme de séminaires régionaux des radiocommunications.</w:t>
      </w:r>
    </w:p>
    <w:p w14:paraId="037F999B" w14:textId="77777777" w:rsidR="002C16EF" w:rsidRPr="00E33B0E" w:rsidRDefault="002C16EF" w:rsidP="002C16EF">
      <w:r w:rsidRPr="00E33B0E">
        <w:t>En 2024, l'UIT-R a organisé trois séminaires régionaux:</w:t>
      </w:r>
    </w:p>
    <w:p w14:paraId="51349285" w14:textId="77777777" w:rsidR="002C16EF" w:rsidRPr="00E33B0E" w:rsidRDefault="002C16EF" w:rsidP="002C16EF">
      <w:pPr>
        <w:pStyle w:val="enumlev1"/>
      </w:pPr>
      <w:r w:rsidRPr="00E33B0E">
        <w:t>•</w:t>
      </w:r>
      <w:r w:rsidRPr="00E33B0E">
        <w:tab/>
      </w:r>
      <w:hyperlink r:id="rId153" w:history="1">
        <w:r w:rsidRPr="00E33B0E">
          <w:rPr>
            <w:rStyle w:val="Hyperlink"/>
          </w:rPr>
          <w:t>RRS-24-CEI</w:t>
        </w:r>
      </w:hyperlink>
      <w:r w:rsidRPr="00E33B0E">
        <w:t xml:space="preserve"> à Astana (Kazakhstan).</w:t>
      </w:r>
    </w:p>
    <w:p w14:paraId="68E5CF88" w14:textId="77777777" w:rsidR="002C16EF" w:rsidRPr="00E33B0E" w:rsidRDefault="002C16EF" w:rsidP="002C16EF">
      <w:pPr>
        <w:pStyle w:val="enumlev1"/>
      </w:pPr>
      <w:r w:rsidRPr="00E33B0E">
        <w:t>•</w:t>
      </w:r>
      <w:r w:rsidRPr="00E33B0E">
        <w:tab/>
      </w:r>
      <w:hyperlink r:id="rId154" w:history="1">
        <w:r w:rsidRPr="00E33B0E">
          <w:rPr>
            <w:rStyle w:val="Hyperlink"/>
          </w:rPr>
          <w:t>RRS-24-Amériques</w:t>
        </w:r>
      </w:hyperlink>
      <w:r w:rsidRPr="00E33B0E">
        <w:t xml:space="preserve"> à St Georges (Grenade).</w:t>
      </w:r>
    </w:p>
    <w:p w14:paraId="53577EBB" w14:textId="77777777" w:rsidR="002C16EF" w:rsidRPr="00E33B0E" w:rsidRDefault="002C16EF" w:rsidP="002C16EF">
      <w:pPr>
        <w:pStyle w:val="enumlev1"/>
      </w:pPr>
      <w:r w:rsidRPr="00E33B0E">
        <w:t>•</w:t>
      </w:r>
      <w:r w:rsidRPr="00E33B0E">
        <w:tab/>
      </w:r>
      <w:hyperlink r:id="rId155" w:history="1">
        <w:r w:rsidRPr="00E33B0E">
          <w:rPr>
            <w:rStyle w:val="Hyperlink"/>
          </w:rPr>
          <w:t>RRS-24-Asie-Pacifique</w:t>
        </w:r>
      </w:hyperlink>
      <w:r w:rsidRPr="00E33B0E">
        <w:t xml:space="preserve"> à Apia (Samoa).</w:t>
      </w:r>
    </w:p>
    <w:p w14:paraId="5EA59C1B" w14:textId="77777777" w:rsidR="002C16EF" w:rsidRPr="00E33B0E" w:rsidRDefault="002C16EF" w:rsidP="002C16EF">
      <w:pPr>
        <w:pStyle w:val="Headingb"/>
      </w:pPr>
      <w:r w:rsidRPr="00E33B0E">
        <w:t>Ateliers</w:t>
      </w:r>
    </w:p>
    <w:p w14:paraId="12629F4A" w14:textId="77777777" w:rsidR="002C16EF" w:rsidRPr="00E33B0E" w:rsidRDefault="002C16EF" w:rsidP="002C16EF">
      <w:r w:rsidRPr="00E33B0E">
        <w:t xml:space="preserve">L'UIT-R a organisé trois </w:t>
      </w:r>
      <w:hyperlink r:id="rId156" w:history="1">
        <w:r w:rsidRPr="00E33B0E">
          <w:rPr>
            <w:rStyle w:val="Hyperlink"/>
          </w:rPr>
          <w:t>ateliers sur les Tableaux nationaux d'attribution des bandes de fréquences</w:t>
        </w:r>
      </w:hyperlink>
      <w:r w:rsidRPr="00E33B0E">
        <w:t xml:space="preserve"> en 2024, soit un par région du Règlement des radiocommunications, à Addis</w:t>
      </w:r>
      <w:r w:rsidRPr="00E33B0E">
        <w:noBreakHyphen/>
        <w:t>Abeba (Région 1), à Mexico (Région 2) et à Shanghai (Région 3).</w:t>
      </w:r>
    </w:p>
    <w:p w14:paraId="6C858770" w14:textId="77777777" w:rsidR="002C16EF" w:rsidRPr="00E33B0E" w:rsidRDefault="002C16EF" w:rsidP="002C16EF">
      <w:r w:rsidRPr="00E33B0E">
        <w:t>En août 2024, à la demande de 16 administrations de la Communauté de développement de l'Afrique australe (SADC), le Bureau des radiocommunications de l'UIT a fourni une assistance technique en vue d'identifier un créneau orbital approprié pour le réseau à satellite partagé de la SADC. Cette demande visait à tirer parti de la procédure spéciale définie dans le Résolution 170 (Rév.CMR-23). Afin de mieux évaluer les résultats de l'examen des caractéristiques techniques et de l'analyse de compatibilité, le Bureau et les administrations de la SADC ont également organisé une série de réunions virtuelles et un atelier entre octobre 2024 et février 2025.</w:t>
      </w:r>
    </w:p>
    <w:p w14:paraId="59A9BE4F" w14:textId="77777777" w:rsidR="002C16EF" w:rsidRPr="00E33B0E" w:rsidRDefault="002C16EF" w:rsidP="002C16EF">
      <w:r w:rsidRPr="00E33B0E">
        <w:t>En outre, les manifestations suivantes ont eu lieu à Almaty (Kazakhstan) en septembre 2024:</w:t>
      </w:r>
    </w:p>
    <w:p w14:paraId="5FF6C8D2" w14:textId="77777777" w:rsidR="002C16EF" w:rsidRPr="00E33B0E" w:rsidRDefault="002C16EF" w:rsidP="002C16EF">
      <w:pPr>
        <w:pStyle w:val="enumlev1"/>
      </w:pPr>
      <w:r w:rsidRPr="00E33B0E">
        <w:t>•</w:t>
      </w:r>
      <w:r w:rsidRPr="00E33B0E">
        <w:tab/>
        <w:t>Séminaire OMM-UIT sur le thème "Observation de la Terre au service des Objectifs de développement durable: technologies, spectre, applications, incidences".</w:t>
      </w:r>
    </w:p>
    <w:p w14:paraId="1982FE40" w14:textId="77777777" w:rsidR="002C16EF" w:rsidRPr="00E33B0E" w:rsidRDefault="002C16EF" w:rsidP="002C16EF">
      <w:pPr>
        <w:pStyle w:val="enumlev1"/>
      </w:pPr>
      <w:r w:rsidRPr="00E33B0E">
        <w:t>•</w:t>
      </w:r>
      <w:r w:rsidRPr="00E33B0E">
        <w:tab/>
        <w:t>Atelier de l'UIT sur le service de radioastronomie.</w:t>
      </w:r>
    </w:p>
    <w:p w14:paraId="5160AE8C" w14:textId="77777777" w:rsidR="002C16EF" w:rsidRPr="00E33B0E" w:rsidRDefault="002C16EF" w:rsidP="00AB45B0">
      <w:pPr>
        <w:keepLines/>
      </w:pPr>
      <w:r w:rsidRPr="00E33B0E">
        <w:lastRenderedPageBreak/>
        <w:t>En 2024, 98 ateliers, colloques et webinaires de l'UIT-T ont été organisés, en plus des programmes hebdomadaires proposés sur la plate-forme numérique consacrée à l'</w:t>
      </w:r>
      <w:hyperlink r:id="rId157" w:anchor="/fr" w:history="1">
        <w:r w:rsidRPr="00E33B0E">
          <w:rPr>
            <w:rStyle w:val="Hyperlink"/>
          </w:rPr>
          <w:t>intelligence artificielle au service du bien social</w:t>
        </w:r>
      </w:hyperlink>
      <w:r w:rsidRPr="00E33B0E">
        <w:t xml:space="preserve"> en service tout au long de l'année. La liste de toutes les manifestations passées et à venir figure sur la </w:t>
      </w:r>
      <w:hyperlink r:id="rId158" w:anchor="/fr" w:history="1">
        <w:r w:rsidRPr="00E33B0E">
          <w:rPr>
            <w:rStyle w:val="Hyperlink"/>
          </w:rPr>
          <w:t>page d'accueil des ateliers de l'UIT-T</w:t>
        </w:r>
      </w:hyperlink>
      <w:r w:rsidRPr="00E33B0E">
        <w:t xml:space="preserve">. Voir les </w:t>
      </w:r>
      <w:hyperlink r:id="rId159" w:anchor="/fr" w:history="1">
        <w:r w:rsidRPr="00E33B0E">
          <w:rPr>
            <w:rStyle w:val="Hyperlink"/>
          </w:rPr>
          <w:t>manifestations connexes – AMNT-24</w:t>
        </w:r>
      </w:hyperlink>
      <w:r w:rsidRPr="00E33B0E">
        <w:t>.</w:t>
      </w:r>
    </w:p>
    <w:p w14:paraId="05150DC6" w14:textId="77777777" w:rsidR="002C16EF" w:rsidRPr="00E33B0E" w:rsidRDefault="002C16EF" w:rsidP="002C16EF">
      <w:r w:rsidRPr="00E33B0E">
        <w:t>Les ateliers, colloques et webinaires de l'UIT-T permettent d'étudier les nouvelles tendances dans le domaine de la normalisation, de mieux faire connaître les travaux de l'UIT-T, de renforcer la collaboration entre ce dernier et d'autres organismes, d'attirer de nouveaux membres au sein de l'UIT-T et de favoriser l'apprentissage collégial dans le domaine de l'élaboration et de l'application de normes internationales.</w:t>
      </w:r>
    </w:p>
    <w:p w14:paraId="13BE2166" w14:textId="77777777" w:rsidR="002C16EF" w:rsidRPr="00E33B0E" w:rsidRDefault="002C16EF" w:rsidP="002C16EF">
      <w:pPr>
        <w:rPr>
          <w:spacing w:val="-2"/>
        </w:rPr>
      </w:pPr>
      <w:r w:rsidRPr="00E33B0E">
        <w:rPr>
          <w:spacing w:val="-2"/>
        </w:rPr>
        <w:t>En 2024, le BDT a organisé 173 manifestations, notamment des séminaires, des ateliers, des webinaires et des forums du Secteur du développement des télécommunications (UIT-D), portant sur la promotion d'une transformation numérique durable à l'échelle mondiale. Plus de 70% d'entre elles étaient organisés sous forme de séminaires et d'ateliers, ce qui témoigne de l'importance accordée au renforcement des capacités, à l'échange de connaissances et à la résolution collaborative des problèmes. Ces manifestations ont permis d'aborder les défis cruciaux en matière de cybersécurité, d'accès au numérique et d'élaboration de politiques, d'étudier les incidences de la technologie et de s'aligner sur les objectifs stratégiques de l'UIT consistant à réduire les fractures numériques et à encourager l'innovation.</w:t>
      </w:r>
    </w:p>
    <w:p w14:paraId="00140FF0" w14:textId="77777777" w:rsidR="002C16EF" w:rsidRPr="00E33B0E" w:rsidRDefault="002C16EF" w:rsidP="002C16EF">
      <w:r w:rsidRPr="00E33B0E">
        <w:t>Les domaines thématiques traduisent l'approche ciblée adoptée pour répondre aux priorités sectorielles. Dix-huit ateliers ont été organisés sur le thème de la cybersécurité, avec des cyberexercices pratiques comme le cyberexercice régional de l'UIT pour la CEI et le cyberexercice pour l'Europe et la Méditerranée. Les initiatives en faveur de l'accès au numérique ont occupé une place d'honneur, avec 22 séminaires et ateliers, comme la série d'ateliers sur l'intégration du principe d'égalité hommes-femmes dans le secteur des TIC organisés au Sénégal, au Nigéria et au Rwanda, ainsi que les manifestations régionales tenues dans le cadre de la Journée des jeunes filles dans le secteur des TIC, qui visent à autonomiser les jeunes.</w:t>
      </w:r>
    </w:p>
    <w:p w14:paraId="1CB4216A" w14:textId="77777777" w:rsidR="002C16EF" w:rsidRPr="00E33B0E" w:rsidRDefault="002C16EF" w:rsidP="002C16EF">
      <w:r w:rsidRPr="00E33B0E">
        <w:t>La politique et la réglementation ont constitué un autre pilier de ces manifestations et ont fait l'objet de plus de 15 ateliers, tels que la formation sur la réglementation du numérique pour la région Afrique et les ateliers de mobilisation des parties prenantes sur la 5G et le large bande tenus en Ouganda et en Gambie. En outre, la question des incidences environnementales ont fait l'objet de séminaires, tels que les ateliers consacrés à l'édition 2024 du rapport "Greening Digital Companies" et à la gestion des déchets d'équipements électriques et électroniques qui ont eu lieu en Thaïlande et au Paraguay. Plus particulièrement, des ateliers de renforcement des capacités, tels que la formation du programme GovStack Architects, et la réunion annuelle des centres de formation (ATC) de l'Académie de l'UIT ont mis en avant les efforts déployés afin de renforcer les capacités techniques et institutionnelles à l'échelle mondiale.</w:t>
      </w:r>
    </w:p>
    <w:p w14:paraId="31085408" w14:textId="325058BF" w:rsidR="00AB45B0" w:rsidRPr="00E33B0E" w:rsidRDefault="002C16EF" w:rsidP="00AB45B0">
      <w:r w:rsidRPr="00E33B0E">
        <w:t>Les séminaires et ateliers ont également mis l'accent sur la collaboration intersectorielle et bénéficié d'une large participation grâce aux plates-formes virtuelles. En privilégiant les formats interactifs, l'UIT a veillé à ce que les séminaires et les ateliers servent de pôles d'innovation et de dialogue sur les politiques, et produisent des résultats concrets, favorisant ainsi la mise en place d'écosystèmes numériques résilients dans l'intérêt de tout un chacun.</w:t>
      </w:r>
      <w:r w:rsidR="00AB45B0" w:rsidRPr="00E33B0E">
        <w:br w:type="page"/>
      </w:r>
    </w:p>
    <w:p w14:paraId="56BD1585" w14:textId="77777777" w:rsidR="002C16EF" w:rsidRPr="00E33B0E" w:rsidRDefault="002C16EF" w:rsidP="002C16EF">
      <w:pPr>
        <w:pStyle w:val="Heading1"/>
      </w:pPr>
      <w:bookmarkStart w:id="39" w:name="_Toc199753905"/>
      <w:r w:rsidRPr="00E33B0E">
        <w:lastRenderedPageBreak/>
        <w:t>5</w:t>
      </w:r>
      <w:r w:rsidRPr="00E33B0E">
        <w:tab/>
        <w:t>Catalyseurs</w:t>
      </w:r>
      <w:bookmarkEnd w:id="39"/>
    </w:p>
    <w:p w14:paraId="2EEF7286" w14:textId="77777777" w:rsidR="002C16EF" w:rsidRPr="00E33B0E" w:rsidRDefault="002C16EF" w:rsidP="002C16EF">
      <w:pPr>
        <w:pStyle w:val="Heading2"/>
      </w:pPr>
      <w:bookmarkStart w:id="40" w:name="_Toc199753906"/>
      <w:r w:rsidRPr="00E33B0E">
        <w:t>5.1</w:t>
      </w:r>
      <w:r w:rsidRPr="00E33B0E">
        <w:tab/>
        <w:t>Une approche reposant sur les contributions des membres</w:t>
      </w:r>
      <w:bookmarkEnd w:id="40"/>
    </w:p>
    <w:p w14:paraId="3309450A" w14:textId="77777777" w:rsidR="002C16EF" w:rsidRPr="00E33B0E" w:rsidRDefault="002C16EF" w:rsidP="002C16EF">
      <w:pPr>
        <w:rPr>
          <w:b/>
          <w:bCs/>
        </w:rPr>
      </w:pPr>
      <w:r w:rsidRPr="00E33B0E">
        <w:rPr>
          <w:b/>
          <w:bCs/>
        </w:rPr>
        <w:t>Des membres de l'UIT de plus en plus nombreux et venant d'horizons très divers: rendre compte de l'évolution de l'écosystème numérique.</w:t>
      </w:r>
    </w:p>
    <w:p w14:paraId="05AA599E" w14:textId="77777777" w:rsidR="002C16EF" w:rsidRPr="00E33B0E" w:rsidRDefault="002C16EF" w:rsidP="002C16EF">
      <w:r w:rsidRPr="00E33B0E">
        <w:t>En 2024, l'UIT a accueilli un 194ème État Membre, les Palaos, et compte désormais plus de 1 000 Membres de Secteur, Associés et établissements universitaires, un niveau record.</w:t>
      </w:r>
    </w:p>
    <w:p w14:paraId="733CB2B9" w14:textId="77777777" w:rsidR="002C16EF" w:rsidRPr="00E33B0E" w:rsidRDefault="002C16EF" w:rsidP="002C16EF">
      <w:r w:rsidRPr="00E33B0E">
        <w:t>L'UIT a vu sa composition évoluer et le nombre de ses membres progresser au fil du temps, illustrant les changements qui touchent l'écosystème numérique mondial. Face à cette évolution, l'UIT adapte en permanence les thèmes qu'elle couvre et ses méthodes de travail pour continuer d'offrir une plate-forme mondiale pertinente et neutre à ses membres.</w:t>
      </w:r>
    </w:p>
    <w:p w14:paraId="7AA1697A" w14:textId="3981EF9B" w:rsidR="002C16EF" w:rsidRPr="00E33B0E" w:rsidRDefault="002C16EF" w:rsidP="002C16EF">
      <w:pPr>
        <w:pStyle w:val="Figure"/>
      </w:pPr>
      <w:r w:rsidRPr="00E33B0E">
        <w:rPr>
          <w:noProof/>
        </w:rPr>
        <w:drawing>
          <wp:inline distT="0" distB="0" distL="0" distR="0" wp14:anchorId="3B497C8C" wp14:editId="410D6253">
            <wp:extent cx="5667375" cy="11817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67375" cy="1181735"/>
                    </a:xfrm>
                    <a:prstGeom prst="rect">
                      <a:avLst/>
                    </a:prstGeom>
                    <a:noFill/>
                    <a:ln>
                      <a:noFill/>
                    </a:ln>
                  </pic:spPr>
                </pic:pic>
              </a:graphicData>
            </a:graphic>
          </wp:inline>
        </w:drawing>
      </w:r>
    </w:p>
    <w:p w14:paraId="1D585A58" w14:textId="77777777" w:rsidR="002C16EF" w:rsidRPr="00E33B0E" w:rsidRDefault="002C16EF" w:rsidP="002C16EF">
      <w:r w:rsidRPr="00E33B0E">
        <w:t>L'UIT compte aujourd'hui 1 004 entités membres différentes (avec 80 (augmentation brute)/35 (augmentation nette) nouvelles entités en un an) qui sont Membres de Secteur, Associés ou établissements universitaires participant aux travaux de l'UIT. La quasi-totalité des nouveaux membres sont de nouvelles entités: 80 nouvelles entités sont devenues membres en 2024, tandis que 10 membres ont opté pour une catégorie de membre supérieure.</w:t>
      </w:r>
    </w:p>
    <w:p w14:paraId="618EA088" w14:textId="77777777" w:rsidR="002C16EF" w:rsidRPr="00E33B0E" w:rsidRDefault="002C16EF" w:rsidP="002C16EF">
      <w:pPr>
        <w:pStyle w:val="enumlev1"/>
      </w:pPr>
      <w:r w:rsidRPr="00E33B0E">
        <w:t>•</w:t>
      </w:r>
      <w:r w:rsidRPr="00E33B0E">
        <w:tab/>
        <w:t>On compte au total 1 343 membres, tous Secteurs confondus, dont 91 nouveaux membres et 62 membres en moins, qui ont été exclus ou ont dénoncé leur participation.</w:t>
      </w:r>
    </w:p>
    <w:p w14:paraId="37B174F2" w14:textId="77777777" w:rsidR="002C16EF" w:rsidRPr="00E33B0E" w:rsidRDefault="002C16EF" w:rsidP="002C16EF">
      <w:pPr>
        <w:pStyle w:val="enumlev1"/>
      </w:pPr>
      <w:r w:rsidRPr="00E33B0E">
        <w:t>•</w:t>
      </w:r>
      <w:r w:rsidRPr="00E33B0E">
        <w:tab/>
        <w:t>S'agissant des nouveaux membres, 46% sont des Membres de Secteur (contre 48% en 2023), 37% sont des Associés (contre 36% en 2023), et 16% sont des établissements universitaires participant aux travaux de l'UIT (contre 16% en 2023).</w:t>
      </w:r>
    </w:p>
    <w:p w14:paraId="2DE04534" w14:textId="77777777" w:rsidR="002C16EF" w:rsidRPr="00E33B0E" w:rsidRDefault="002C16EF" w:rsidP="002C16EF">
      <w:pPr>
        <w:pStyle w:val="enumlev1"/>
      </w:pPr>
      <w:r w:rsidRPr="00E33B0E">
        <w:t>•</w:t>
      </w:r>
      <w:r w:rsidRPr="00E33B0E">
        <w:tab/>
        <w:t>Tendance positive/stable dans tous les Secteurs, avec une augmentation nette du nombre de nouveaux membres de +1 à l'UIT-R, +6 à l'UIT-T, +20 à l'UIT-D et +2 établissements universitaires.</w:t>
      </w:r>
    </w:p>
    <w:p w14:paraId="0FCB94D7" w14:textId="77777777" w:rsidR="002C16EF" w:rsidRPr="00E33B0E" w:rsidRDefault="002C16EF" w:rsidP="002C16EF">
      <w:pPr>
        <w:pStyle w:val="enumlev1"/>
      </w:pPr>
      <w:r w:rsidRPr="00E33B0E">
        <w:t>•</w:t>
      </w:r>
      <w:r w:rsidRPr="00E33B0E">
        <w:tab/>
        <w:t>Contrairement à 2023, où la croissance du nombre de membres concernait presque toutes les régions, mais était principalement portée par la région Amériques (augmentation nette de 12 nouvelles adhésions), les organisations internationales (+12) et la région Asie-Pacifique (+10), en 2024, les nouveaux membres venaient majoritairement de la région Asie-Pacifique (augmentation nette de 19 nouveaux membres).</w:t>
      </w:r>
    </w:p>
    <w:p w14:paraId="1019B162" w14:textId="77777777" w:rsidR="002C16EF" w:rsidRPr="00E33B0E" w:rsidRDefault="002C16EF" w:rsidP="002C16EF">
      <w:pPr>
        <w:pStyle w:val="enumlev1"/>
      </w:pPr>
      <w:r w:rsidRPr="00E33B0E">
        <w:tab/>
        <w:t>Les contributions attendues ont légèrement augmenté, mais sont resté légèrement au</w:t>
      </w:r>
      <w:r w:rsidRPr="00E33B0E">
        <w:noBreakHyphen/>
        <w:t>dessous de 17 millions CHF, en dépit de l'augmentation nette du nombre de membres. Cela s'explique par l'augmentation continue du nombre de membres relevant de catégories redevables de contributions peu élevées et d'entités bénéficiant d'une exonération.</w:t>
      </w:r>
    </w:p>
    <w:p w14:paraId="44B6B5B2" w14:textId="77777777" w:rsidR="002C16EF" w:rsidRPr="00E33B0E" w:rsidRDefault="002C16EF" w:rsidP="002C16EF">
      <w:pPr>
        <w:pStyle w:val="enumlev1"/>
      </w:pPr>
      <w:r w:rsidRPr="00E33B0E">
        <w:lastRenderedPageBreak/>
        <w:t>•</w:t>
      </w:r>
      <w:r w:rsidRPr="00E33B0E">
        <w:tab/>
        <w:t>La communauté des PME s'agrandit, bien que le rythme de croissance ait ralenti par rapport à 2023 et 2022. Parmi les associés bénéficiant de l'option de contribution réduite accordée aux PME (disponible depuis janvier 2020), 94 membres (74 de l'UIT-T et 20 de l'UIT-R) ont bénéficié de contributions réduites. On a enregistré une augmentation nette de 8 nouvelles entités en 2024 (augmentation nette de 15 nouvelles entités en 2023).</w:t>
      </w:r>
    </w:p>
    <w:p w14:paraId="3065573D" w14:textId="482E958A" w:rsidR="002C16EF" w:rsidRPr="00E33B0E" w:rsidRDefault="002C16EF" w:rsidP="002C16EF">
      <w:pPr>
        <w:pStyle w:val="Figure"/>
      </w:pPr>
      <w:r w:rsidRPr="00E33B0E">
        <w:rPr>
          <w:noProof/>
        </w:rPr>
        <w:drawing>
          <wp:inline distT="0" distB="0" distL="0" distR="0" wp14:anchorId="0D3BD995" wp14:editId="6EDCDB3B">
            <wp:extent cx="5650230" cy="31832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50230" cy="3183255"/>
                    </a:xfrm>
                    <a:prstGeom prst="rect">
                      <a:avLst/>
                    </a:prstGeom>
                    <a:noFill/>
                    <a:ln>
                      <a:noFill/>
                    </a:ln>
                  </pic:spPr>
                </pic:pic>
              </a:graphicData>
            </a:graphic>
          </wp:inline>
        </w:drawing>
      </w:r>
    </w:p>
    <w:p w14:paraId="3AD09661" w14:textId="77777777" w:rsidR="002C16EF" w:rsidRPr="00E33B0E" w:rsidRDefault="002C16EF" w:rsidP="002C16EF">
      <w:pPr>
        <w:pStyle w:val="Heading2"/>
      </w:pPr>
      <w:bookmarkStart w:id="41" w:name="_Toc199753907"/>
      <w:r w:rsidRPr="00E33B0E">
        <w:t>5.2</w:t>
      </w:r>
      <w:r w:rsidRPr="00E33B0E">
        <w:tab/>
        <w:t>Présence régionale</w:t>
      </w:r>
      <w:bookmarkEnd w:id="41"/>
    </w:p>
    <w:p w14:paraId="6F25CB32" w14:textId="77777777" w:rsidR="002C16EF" w:rsidRPr="00E33B0E" w:rsidRDefault="002C16EF" w:rsidP="002C16EF">
      <w:r w:rsidRPr="00E33B0E">
        <w:t xml:space="preserve">La </w:t>
      </w:r>
      <w:hyperlink r:id="rId162" w:history="1">
        <w:r w:rsidRPr="00E33B0E">
          <w:rPr>
            <w:rStyle w:val="Hyperlink"/>
          </w:rPr>
          <w:t>présence régionale</w:t>
        </w:r>
      </w:hyperlink>
      <w:r w:rsidRPr="00E33B0E">
        <w:t>, considérée comme un prolongement de l'UIT dans son ensemble, joue un rôle crucial pour permettre à l'UIT de s'acquitter de sa mission, car elle améliore la compréhension que l'Union a des réalités locales et permet de répondre aux besoins des pays de manière efficace. La présence régionale renforce la planification stratégique au niveau de chaque bureau régional/de zone, grâce à la mise en œuvre de programmes et d'initiatives conformes aux buts stratégiques et aux priorités thématiques de l'Union et basés sur ceux-ci. En appliquant les cibles mondiales et en clarifiant les priorités des programmes au niveau régional, l'UIT s'efforce aussi d'améliorer son efficacité et son incidence globale à l'échelle mondiale.</w:t>
      </w:r>
    </w:p>
    <w:p w14:paraId="17F133B4" w14:textId="77777777" w:rsidR="002C16EF" w:rsidRPr="00E33B0E" w:rsidRDefault="002C16EF" w:rsidP="002C16EF">
      <w:r w:rsidRPr="00E33B0E">
        <w:t>La présence régionale renforce le positionnement de l'UIT en tant qu'entité structurante ou décisionnelle et resserre la coopération dans le système des Nations Unies, ce qui permettra de créer davantage de possibilités à l'échelle régionale et donc de toucher davantage de pays, et de définir des priorités plus claires et plus utiles afin de susciter une participation au niveau des pays. Des efforts sont également déployés pour renforcer les capacités au niveau régional, afin de s'assurer que les bureaux régionaux et les bureaux de zone sont en mesure de mettre en œuvre les programmes et les engagements déterminés en fonction des buts stratégiques et des priorités thématiques de l'Union.</w:t>
      </w:r>
    </w:p>
    <w:p w14:paraId="1B5941A8" w14:textId="77777777" w:rsidR="002C16EF" w:rsidRPr="00E33B0E" w:rsidRDefault="002C16EF" w:rsidP="002C16EF">
      <w:r w:rsidRPr="00E33B0E">
        <w:t>Voir le paragraphe 4.7 pour plus de détails sur la répartition et le financement des projets de l'UIT par région.</w:t>
      </w:r>
    </w:p>
    <w:p w14:paraId="4A388586" w14:textId="77777777" w:rsidR="002C16EF" w:rsidRPr="00E33B0E" w:rsidRDefault="002C16EF" w:rsidP="002C16EF">
      <w:pPr>
        <w:pStyle w:val="Headingb"/>
      </w:pPr>
      <w:r w:rsidRPr="00E33B0E">
        <w:lastRenderedPageBreak/>
        <w:t>Initiatives régionales 2023-2025</w:t>
      </w:r>
    </w:p>
    <w:p w14:paraId="7567480F" w14:textId="77777777" w:rsidR="002C16EF" w:rsidRPr="00E33B0E" w:rsidRDefault="002C16EF" w:rsidP="002C16EF">
      <w:pPr>
        <w:spacing w:after="120"/>
      </w:pPr>
      <w:r w:rsidRPr="00E33B0E">
        <w:t xml:space="preserve">La dernière Conférence mondiale de développement des télécommunications (CMDT) de l'UIT, qui s'est tenue à Kigali en juin 2022, a approuvé une nouvelle série d'initiatives régionales pour la période 2023-2025. Ces initiatives, décrites dans le Plan d'action de Kigali, répondent aux besoins spécifiques de chaque grande région du monde en matière de promotion et d'accélération de la transformation numérique. Voir la page web de l'UIT-D pour plus de détails sur les </w:t>
      </w:r>
      <w:hyperlink r:id="rId163" w:history="1">
        <w:r w:rsidRPr="00E33B0E">
          <w:rPr>
            <w:rStyle w:val="Hyperlink"/>
          </w:rPr>
          <w:t>initiatives régionales</w:t>
        </w:r>
      </w:hyperlink>
      <w:r w:rsidRPr="00E33B0E">
        <w:t xml:space="preserve"> de l'UIT.</w:t>
      </w:r>
    </w:p>
    <w:tbl>
      <w:tblPr>
        <w:tblStyle w:val="TableGrid"/>
        <w:tblW w:w="0" w:type="auto"/>
        <w:tblLook w:val="04A0" w:firstRow="1" w:lastRow="0" w:firstColumn="1" w:lastColumn="0" w:noHBand="0" w:noVBand="1"/>
      </w:tblPr>
      <w:tblGrid>
        <w:gridCol w:w="9061"/>
      </w:tblGrid>
      <w:tr w:rsidR="002C16EF" w:rsidRPr="00E33B0E" w14:paraId="5420131C" w14:textId="77777777" w:rsidTr="000B3727">
        <w:tc>
          <w:tcPr>
            <w:tcW w:w="9061" w:type="dxa"/>
          </w:tcPr>
          <w:p w14:paraId="1644543F" w14:textId="77777777" w:rsidR="002C16EF" w:rsidRPr="00E33B0E" w:rsidRDefault="002C16EF" w:rsidP="00AB45B0">
            <w:pPr>
              <w:shd w:val="clear" w:color="auto" w:fill="C6D9F1" w:themeFill="text2" w:themeFillTint="33"/>
              <w:rPr>
                <w:b/>
                <w:bCs/>
                <w:i/>
                <w:iCs/>
              </w:rPr>
            </w:pPr>
            <w:r w:rsidRPr="00E33B0E">
              <w:rPr>
                <w:b/>
                <w:bCs/>
                <w:i/>
                <w:iCs/>
              </w:rPr>
              <w:t>Favoriser la transformation sur le terrain</w:t>
            </w:r>
          </w:p>
          <w:p w14:paraId="5660C4D6" w14:textId="77777777" w:rsidR="002C16EF" w:rsidRPr="00E33B0E" w:rsidRDefault="002C16EF" w:rsidP="00AB45B0">
            <w:pPr>
              <w:rPr>
                <w:b/>
                <w:bCs/>
              </w:rPr>
            </w:pPr>
            <w:r w:rsidRPr="00E33B0E">
              <w:rPr>
                <w:b/>
                <w:bCs/>
              </w:rPr>
              <w:t>Retombées en Afrique: le Malawi s'attaque aux déchets d'équipements électriques et électroniques</w:t>
            </w:r>
          </w:p>
          <w:p w14:paraId="596C1850" w14:textId="77777777" w:rsidR="002C16EF" w:rsidRPr="00E33B0E" w:rsidRDefault="002C16EF" w:rsidP="00AB45B0">
            <w:r w:rsidRPr="00E33B0E">
              <w:t xml:space="preserve">Le Malawi a lancé en octobre 2024 une nouvelle politique dans le but de relever le défi croissant posé par les déchets d'équipements électriques et électroniques. La politique nationale en matière de déchets d'équipements électriques et électroniques (DEEE), élaborée avec l'appui de l'UIT, vise à promouvoir la collecte, le recyclage et l'élimination en toute sécurité des DEEE, protégeant ainsi l'environnement et la santé publique. </w:t>
            </w:r>
            <w:hyperlink r:id="rId164" w:anchor="/fr" w:history="1">
              <w:r w:rsidRPr="00E33B0E">
                <w:rPr>
                  <w:rStyle w:val="Hyperlink"/>
                  <w:b/>
                  <w:bCs/>
                </w:rPr>
                <w:t>En savoir plus</w:t>
              </w:r>
            </w:hyperlink>
          </w:p>
          <w:p w14:paraId="22ED9559" w14:textId="77777777" w:rsidR="002C16EF" w:rsidRPr="00E33B0E" w:rsidRDefault="002C16EF" w:rsidP="00AB45B0">
            <w:r w:rsidRPr="00E33B0E">
              <w:rPr>
                <w:b/>
                <w:bCs/>
              </w:rPr>
              <w:t>Retombées dans la région Amériques: une intervention vitale après l'ouragan Beryl</w:t>
            </w:r>
          </w:p>
          <w:p w14:paraId="0F873A79" w14:textId="77777777" w:rsidR="002C16EF" w:rsidRPr="00E33B0E" w:rsidRDefault="002C16EF" w:rsidP="00AB45B0">
            <w:r w:rsidRPr="00E33B0E">
              <w:t>Lorsque l'ouragan de catégorie 4 a frappé la Grenade, la Jamaïque et Saint</w:t>
            </w:r>
            <w:r w:rsidRPr="00E33B0E">
              <w:noBreakHyphen/>
              <w:t>Vincent</w:t>
            </w:r>
            <w:r w:rsidRPr="00E33B0E">
              <w:noBreakHyphen/>
              <w:t>et</w:t>
            </w:r>
            <w:r w:rsidRPr="00E33B0E">
              <w:noBreakHyphen/>
              <w:t>les</w:t>
            </w:r>
            <w:r w:rsidRPr="00E33B0E">
              <w:noBreakHyphen/>
              <w:t xml:space="preserve">Grenadines en juillet 2024, l'UIT a apporté un soutien vital en matière de télécommunications d'urgence, en aidant à rétablir la connectivité dans les communautés touchées et à coordonner les opérations vitales de gestion des catastrophes et de secours. </w:t>
            </w:r>
            <w:hyperlink r:id="rId165" w:anchor="/fr" w:history="1">
              <w:r w:rsidRPr="00E33B0E">
                <w:rPr>
                  <w:rStyle w:val="Hyperlink"/>
                  <w:b/>
                  <w:bCs/>
                </w:rPr>
                <w:t>En savoir plus</w:t>
              </w:r>
            </w:hyperlink>
          </w:p>
          <w:p w14:paraId="51DADDD7" w14:textId="77777777" w:rsidR="002C16EF" w:rsidRPr="00E33B0E" w:rsidRDefault="002C16EF" w:rsidP="00AB45B0">
            <w:pPr>
              <w:rPr>
                <w:b/>
                <w:bCs/>
              </w:rPr>
            </w:pPr>
            <w:r w:rsidRPr="00E33B0E">
              <w:rPr>
                <w:b/>
                <w:bCs/>
              </w:rPr>
              <w:t>Retombées dans la région des États arabes: une coopération solide en matière de cybersécurité</w:t>
            </w:r>
          </w:p>
          <w:p w14:paraId="547D6F8D" w14:textId="77777777" w:rsidR="002C16EF" w:rsidRPr="00E33B0E" w:rsidRDefault="002C16EF" w:rsidP="00AB45B0">
            <w:r w:rsidRPr="00E33B0E">
              <w:t xml:space="preserve">La région des États arabes a enregistré un niveau record de participation à la formation à la cyberintervention en 2024, avec plus de 400 experts de 20 pays ayant pris part à des exercices dirigés par l'UIT pour renforcer les capacités nationales. Ces séances de formation, organisées conjointement avec le Conseil de cybersécurité des Émirats arabes unis, ont favorisé la coopération régionale et contribué à renforcer la résilience face à la multiplication des cybermenaces. </w:t>
            </w:r>
            <w:hyperlink r:id="rId166" w:anchor="/fr" w:history="1">
              <w:r w:rsidRPr="00E33B0E">
                <w:rPr>
                  <w:rStyle w:val="Hyperlink"/>
                  <w:b/>
                  <w:bCs/>
                </w:rPr>
                <w:t>En savoir plus</w:t>
              </w:r>
            </w:hyperlink>
          </w:p>
          <w:p w14:paraId="6B2D4405" w14:textId="77777777" w:rsidR="002C16EF" w:rsidRPr="00E33B0E" w:rsidRDefault="002C16EF" w:rsidP="00AB45B0">
            <w:pPr>
              <w:rPr>
                <w:b/>
                <w:bCs/>
              </w:rPr>
            </w:pPr>
            <w:r w:rsidRPr="00E33B0E">
              <w:rPr>
                <w:b/>
                <w:bCs/>
              </w:rPr>
              <w:t>Retombées dans la région Asie-Pacifique: un portail numérique pour les producteurs de vanille de Papouasie-Nouvelle-Guinée</w:t>
            </w:r>
          </w:p>
          <w:p w14:paraId="42975ED0" w14:textId="77777777" w:rsidR="002C16EF" w:rsidRPr="00E33B0E" w:rsidRDefault="002C16EF" w:rsidP="00AB45B0">
            <w:r w:rsidRPr="00E33B0E">
              <w:t xml:space="preserve">Le programme STREIT (appui à l'entrepreneuriat, à l'investissement et au commerce en zone rurale) financé par l'Union européenne, avec l'UIT comme partenaire clé, a abouti à l'ouverture d'un nouveau centre numérique pour fournir des avis météorologiques, faciliter la gestion des cultures d'épices et promouvoir une agriculture intelligente face aux changements climatiques et des moyens de subsistance prospères dans les zones rurales de Papouasie-Nouvelle-Guinée. </w:t>
            </w:r>
            <w:hyperlink r:id="rId167" w:anchor="/fr" w:history="1">
              <w:r w:rsidRPr="00E33B0E">
                <w:rPr>
                  <w:rStyle w:val="Hyperlink"/>
                  <w:b/>
                  <w:bCs/>
                </w:rPr>
                <w:t>En savoir plus</w:t>
              </w:r>
            </w:hyperlink>
          </w:p>
          <w:p w14:paraId="441D3A16" w14:textId="77777777" w:rsidR="002C16EF" w:rsidRPr="00E33B0E" w:rsidRDefault="002C16EF" w:rsidP="00AB45B0">
            <w:pPr>
              <w:keepNext/>
              <w:keepLines/>
              <w:rPr>
                <w:b/>
                <w:bCs/>
              </w:rPr>
            </w:pPr>
            <w:r w:rsidRPr="00E33B0E">
              <w:rPr>
                <w:b/>
                <w:bCs/>
              </w:rPr>
              <w:lastRenderedPageBreak/>
              <w:t>Retombées dans la région de la CEI: amélioration des systèmes de données numériques de l'Azerbaïdjan</w:t>
            </w:r>
          </w:p>
          <w:p w14:paraId="304A46BE" w14:textId="77777777" w:rsidR="002C16EF" w:rsidRPr="00E33B0E" w:rsidRDefault="002C16EF" w:rsidP="00AB45B0">
            <w:pPr>
              <w:keepNext/>
              <w:keepLines/>
            </w:pPr>
            <w:r w:rsidRPr="00E33B0E">
              <w:t xml:space="preserve">Les dernières données de l'Azerbaïdjan sur les compétences numériques, compilées en partenariat avec l'UIT, montrent les progrès rapides du pays en matière de maîtrise des outils et de développement des infrastructures numériques. L'utilisation de statistiques technologiques fiables soutient l'élaboration de politiques fondées sur des données probantes et permet de garantir que la transformation numérique profite à tous. </w:t>
            </w:r>
            <w:hyperlink r:id="rId168" w:anchor="/fr" w:history="1">
              <w:r w:rsidRPr="00E33B0E">
                <w:rPr>
                  <w:rStyle w:val="Hyperlink"/>
                  <w:b/>
                  <w:bCs/>
                </w:rPr>
                <w:t>En savoir plus</w:t>
              </w:r>
            </w:hyperlink>
          </w:p>
          <w:p w14:paraId="2C88BE51" w14:textId="77777777" w:rsidR="002C16EF" w:rsidRPr="00E33B0E" w:rsidRDefault="002C16EF" w:rsidP="00AB45B0">
            <w:pPr>
              <w:rPr>
                <w:b/>
                <w:bCs/>
              </w:rPr>
            </w:pPr>
            <w:r w:rsidRPr="00E33B0E">
              <w:rPr>
                <w:b/>
                <w:bCs/>
              </w:rPr>
              <w:t>Région Europe: la cocréation fait progresser l'innovation en Albanie</w:t>
            </w:r>
          </w:p>
          <w:p w14:paraId="14F9F45B" w14:textId="77777777" w:rsidR="002C16EF" w:rsidRPr="00E33B0E" w:rsidRDefault="002C16EF" w:rsidP="00AB45B0">
            <w:pPr>
              <w:spacing w:after="120"/>
            </w:pPr>
            <w:r w:rsidRPr="00E33B0E">
              <w:t xml:space="preserve">Le Ministère albanais des infrastructures et de l'énergie, en étroite collaboration avec l'UIT, a travaillé en concertation avec des experts et des utilisateurs de services des pouvoirs publics, du secteur privé et des milieux universitaires pour dresser le nouveau </w:t>
            </w:r>
            <w:r w:rsidRPr="00E33B0E">
              <w:rPr>
                <w:i/>
                <w:iCs/>
              </w:rPr>
              <w:t>profil d'innovation numérique</w:t>
            </w:r>
            <w:r w:rsidRPr="00E33B0E">
              <w:t xml:space="preserve"> révolutionnaire du pays, en identifiant les priorités afin de stimuler la croissance. </w:t>
            </w:r>
            <w:hyperlink r:id="rId169" w:anchor="/fr" w:history="1">
              <w:r w:rsidRPr="00E33B0E">
                <w:rPr>
                  <w:rStyle w:val="Hyperlink"/>
                  <w:b/>
                  <w:bCs/>
                </w:rPr>
                <w:t>En savoir plus</w:t>
              </w:r>
            </w:hyperlink>
          </w:p>
        </w:tc>
      </w:tr>
    </w:tbl>
    <w:p w14:paraId="6D8A0105" w14:textId="77777777" w:rsidR="002C16EF" w:rsidRPr="00E33B0E" w:rsidRDefault="002C16EF" w:rsidP="002C16EF">
      <w:pPr>
        <w:pStyle w:val="Heading2"/>
      </w:pPr>
      <w:bookmarkStart w:id="42" w:name="_Toc199753908"/>
      <w:r w:rsidRPr="00E33B0E">
        <w:lastRenderedPageBreak/>
        <w:t>5.3</w:t>
      </w:r>
      <w:r w:rsidRPr="00E33B0E">
        <w:tab/>
        <w:t>Réunir tout le monde à la table des discussions</w:t>
      </w:r>
      <w:bookmarkEnd w:id="42"/>
    </w:p>
    <w:p w14:paraId="62561393" w14:textId="77777777" w:rsidR="002C16EF" w:rsidRPr="00E33B0E" w:rsidRDefault="002C16EF" w:rsidP="002C16EF">
      <w:pPr>
        <w:pStyle w:val="Headingb"/>
      </w:pPr>
      <w:r w:rsidRPr="00E33B0E">
        <w:t>Garantir l'égalité d'accès et d'utilisation des technologies pour tous</w:t>
      </w:r>
    </w:p>
    <w:p w14:paraId="1B39EADC" w14:textId="77777777" w:rsidR="002C16EF" w:rsidRPr="00E33B0E" w:rsidRDefault="002C16EF" w:rsidP="002C16EF">
      <w:r w:rsidRPr="00E33B0E">
        <w:t>L'UIT s'emploie activement à promouvoir l'égalité hommes-femmes et s'efforce de réduire les disparités entre les hommes et les femmes en matière d'accès au numérique dans le monde. Des initiatives dédiées visent à intégrer le point de vue des jeunes dans tous les domaines d'activité de l'UIT et tenir compte des besoins des peuples autochtones, des personnes âgées et des autres groupes vulnérables et de leurs points de vue. Conformément aux principes des Nations Unies, l'UIT soutient également l'accès des personnes handicapées aux technologies numériques au moyen de normes, d'orientations politiques, de campagnes de sensibilisation et d'éducation.</w:t>
      </w:r>
    </w:p>
    <w:p w14:paraId="17F3C873" w14:textId="77777777" w:rsidR="002C16EF" w:rsidRPr="00E33B0E" w:rsidRDefault="002C16EF" w:rsidP="002C16EF">
      <w:pPr>
        <w:pStyle w:val="Heading3"/>
      </w:pPr>
      <w:bookmarkStart w:id="43" w:name="_Toc199753909"/>
      <w:r w:rsidRPr="00E33B0E">
        <w:t>5.3.1</w:t>
      </w:r>
      <w:r w:rsidRPr="00E33B0E">
        <w:tab/>
        <w:t>Égalité hommes-femmes</w:t>
      </w:r>
      <w:bookmarkEnd w:id="43"/>
    </w:p>
    <w:p w14:paraId="7E5DA509" w14:textId="77777777" w:rsidR="002C16EF" w:rsidRPr="00E33B0E" w:rsidRDefault="002C16EF" w:rsidP="002C16EF">
      <w:r w:rsidRPr="00E33B0E">
        <w:t xml:space="preserve">Le rapport contenu dans le </w:t>
      </w:r>
      <w:hyperlink r:id="rId170" w:history="1">
        <w:r w:rsidRPr="00E33B0E">
          <w:rPr>
            <w:rStyle w:val="Hyperlink"/>
          </w:rPr>
          <w:t>Document C25/6</w:t>
        </w:r>
      </w:hyperlink>
      <w:r w:rsidRPr="00E33B0E">
        <w:t xml:space="preserve"> fournit plus de détails sur les activités de l'UIT visant à soutenir les femmes et à encourager la participation des filles dans le secteur de la technologie à l'échelle mondiale et dans tous les aspects des activités de l'UIT.</w:t>
      </w:r>
    </w:p>
    <w:p w14:paraId="6991527D" w14:textId="77777777" w:rsidR="002C16EF" w:rsidRPr="00E33B0E" w:rsidRDefault="002C16EF" w:rsidP="002C16EF">
      <w:r w:rsidRPr="00E33B0E">
        <w:t xml:space="preserve">Par "fracture numérique entre les hommes et les femmes", on entend l'écart constaté entre les hommes et les femmes en matière d'accès aux technologies numériques, d'utilisation de celles-ci et de compétences dans ce domaine. En </w:t>
      </w:r>
      <w:hyperlink r:id="rId171" w:history="1">
        <w:r w:rsidRPr="00E33B0E">
          <w:rPr>
            <w:rStyle w:val="Hyperlink"/>
          </w:rPr>
          <w:t>2024</w:t>
        </w:r>
      </w:hyperlink>
      <w:r w:rsidRPr="00E33B0E">
        <w:t>, 70% des hommes et 65% des femmes utilisaient l'Internet, soit une diminution de l'écart entre le nombre d'internautes hommes et le nombre d'internautes femmes, qui est passé de 277 millions en 2021 à 189 millions en 2024. Alors que des régions comme les Amériques, l'Europe et la CEI ont atteint la parité hommes-femmes, les progrès réalisés varient d'un pays à l'autre. Malgré une utilisation globale plus faible de l'Internet, les petits États insulaires en développement ont également atteint la parité. La région Asie-Pacifique a nettement progressé, une tendance moins prononcée dans la région des États arabes et en Afrique. Des progrès ont été accomplis en Afrique, mais la région accuse toujours un retard important par rapport aux autres régions. À l'échelle mondiale, la probabilité pour une femme de posséder un téléphone mobile est inférieure de 7% par rapport à un homme, et le nombre de femmes ne possédant pas de téléphone portable est supérieur de 31% à ce chiffre pour les hommes.</w:t>
      </w:r>
    </w:p>
    <w:p w14:paraId="071667F2" w14:textId="77777777" w:rsidR="002C16EF" w:rsidRPr="00E33B0E" w:rsidRDefault="002C16EF" w:rsidP="002C16EF">
      <w:r w:rsidRPr="00E33B0E">
        <w:lastRenderedPageBreak/>
        <w:t>La fracture numérique entre les hommes et les femmes perpétue les inégalités et limite les perspectives des femmes ainsi que des jeunes filles en matière d'éducation, d'emploi et de participation à l'économie numérique. Il est essentiel de réduire cette fracture pour créer des possibilités pour les femmes, favoriser leur autonomisation économique et assurer le développement numérique pour toutes les personnes.</w:t>
      </w:r>
    </w:p>
    <w:p w14:paraId="019E5CED" w14:textId="77777777" w:rsidR="002C16EF" w:rsidRPr="00E33B0E" w:rsidRDefault="002C16EF" w:rsidP="002C16EF">
      <w:r w:rsidRPr="00E33B0E">
        <w:t xml:space="preserve">L'UIT s'efforce de faire en sorte que les avantages liés au numérique et à la technologie profitent à tous. Les manifestations très appréciées organisées à l'occasion de la </w:t>
      </w:r>
      <w:hyperlink r:id="rId172" w:history="1">
        <w:r w:rsidRPr="00E33B0E">
          <w:rPr>
            <w:rStyle w:val="Hyperlink"/>
          </w:rPr>
          <w:t>Journée internationale des jeunes filles dans le secteur des TIC</w:t>
        </w:r>
      </w:hyperlink>
      <w:r w:rsidRPr="00E33B0E">
        <w:t xml:space="preserve"> encouragent les filles et les jeunes femmes à faire carrière dans le secteur de la technologie. Le 25 avril 2024, les célébrations mondiales tenues aux Philippines ont été suivies d'un dialogue de haut niveau à Genève.</w:t>
      </w:r>
    </w:p>
    <w:p w14:paraId="335F9171" w14:textId="30F1CE88" w:rsidR="002C16EF" w:rsidRPr="00E33B0E" w:rsidRDefault="002C16EF" w:rsidP="002C16EF">
      <w:r w:rsidRPr="00E33B0E">
        <w:t xml:space="preserve">L'UIT-D et Ernst &amp; Young (EY), en collaboration avec le partenariat mondial </w:t>
      </w:r>
      <w:hyperlink r:id="rId173" w:history="1">
        <w:r w:rsidRPr="00E33B0E">
          <w:rPr>
            <w:rStyle w:val="Hyperlink"/>
            <w:rFonts w:eastAsia="Times New Roman" w:cs="Times New Roman"/>
            <w:szCs w:val="20"/>
          </w:rPr>
          <w:t>EQUALS</w:t>
        </w:r>
      </w:hyperlink>
      <w:r w:rsidRPr="00E33B0E">
        <w:t xml:space="preserve">, ont lancé un </w:t>
      </w:r>
      <w:hyperlink r:id="rId174" w:history="1">
        <w:r w:rsidRPr="00E33B0E">
          <w:rPr>
            <w:rStyle w:val="Hyperlink"/>
          </w:rPr>
          <w:t>accélérateur de compétences en matière d'IA</w:t>
        </w:r>
      </w:hyperlink>
      <w:r w:rsidRPr="00E33B0E">
        <w:t xml:space="preserve">, programme de </w:t>
      </w:r>
      <w:proofErr w:type="gramStart"/>
      <w:r w:rsidRPr="00E33B0E">
        <w:t>deux ans destiné</w:t>
      </w:r>
      <w:proofErr w:type="gramEnd"/>
      <w:r w:rsidRPr="00E33B0E">
        <w:t xml:space="preserve"> aux filles dont l'objectif est de former 1 000 participantes issues de communautés marginalisées dans 12 pays. Dans le cadre de l'Initiative </w:t>
      </w:r>
      <w:hyperlink r:id="rId175" w:history="1">
        <w:r w:rsidRPr="00E33B0E">
          <w:rPr>
            <w:rStyle w:val="Hyperlink"/>
          </w:rPr>
          <w:t>Her Digital Skills</w:t>
        </w:r>
      </w:hyperlink>
      <w:r w:rsidRPr="00E33B0E">
        <w:t xml:space="preserve">, l'UIT, en collaboration avec la GSMA, EY, W4, Qualcomm et Verizon, a organisé 21 ateliers en 2024, qui ont bénéficié à 1 758 participantes. L'Initiative </w:t>
      </w:r>
      <w:hyperlink r:id="rId176" w:history="1">
        <w:r w:rsidRPr="00E33B0E">
          <w:rPr>
            <w:rStyle w:val="Hyperlink"/>
          </w:rPr>
          <w:t>Her CyberTracks</w:t>
        </w:r>
      </w:hyperlink>
      <w:r w:rsidRPr="00E33B0E">
        <w:t>, visant à remédier à la sous-représentation des femmes dans le domaine de la cybersécurité, a rassemblé environ 300 participantes et apporté de nouvelles perspectives sur le paysage mondial de la cybersécurité.</w:t>
      </w:r>
    </w:p>
    <w:p w14:paraId="745B6F5F" w14:textId="77777777" w:rsidR="002C16EF" w:rsidRPr="00E33B0E" w:rsidRDefault="002C16EF" w:rsidP="002C16EF">
      <w:r w:rsidRPr="00E33B0E">
        <w:t xml:space="preserve">Des initiatives du Réseau des femmes sont mises en œuvre dans chacun des trois Secteurs de l'UIT: </w:t>
      </w:r>
      <w:hyperlink r:id="rId177" w:anchor="/fr" w:history="1">
        <w:r w:rsidRPr="00E33B0E">
          <w:rPr>
            <w:rStyle w:val="Hyperlink"/>
          </w:rPr>
          <w:t>UIT-R</w:t>
        </w:r>
      </w:hyperlink>
      <w:r w:rsidRPr="00E33B0E">
        <w:t xml:space="preserve">, </w:t>
      </w:r>
      <w:hyperlink r:id="rId178" w:anchor="/fr" w:history="1">
        <w:r w:rsidRPr="00E33B0E">
          <w:rPr>
            <w:rStyle w:val="Hyperlink"/>
          </w:rPr>
          <w:t>UIT-T</w:t>
        </w:r>
      </w:hyperlink>
      <w:r w:rsidRPr="00E33B0E">
        <w:t xml:space="preserve"> et </w:t>
      </w:r>
      <w:hyperlink r:id="rId179" w:history="1">
        <w:r w:rsidRPr="00E33B0E">
          <w:rPr>
            <w:rStyle w:val="Hyperlink"/>
          </w:rPr>
          <w:t>UIT-D</w:t>
        </w:r>
      </w:hyperlink>
      <w:r w:rsidRPr="00E33B0E">
        <w:t>. La campagne "NOW4WTSA24" menée avant la conférence de premier plan organisée par l'UIT dans le domaine de la normalisation a permis d'augmenter le nombre de femmes nommées à des fonctions de direction, tandis que les femmes représentaient 26% des participants à l'AMNT-24. Entre-temps, le Réseau de femmes de l'UIT-D a lancé le nouveau Programme de mentorat pour préparer les femmes à occuper des fonctions de direction en amont de la Conférence mondiale de développement des télécommunications (CMDT-25). En outre, un événement du Réseau des femmes pour les femmes ministres et dirigeantes dans le secteur des TIC a eu lieu en marge de la manifestation de haut niveau SMSI+20 en juillet 2024.</w:t>
      </w:r>
    </w:p>
    <w:p w14:paraId="72CC7440" w14:textId="77777777" w:rsidR="002C16EF" w:rsidRPr="00E33B0E" w:rsidRDefault="002C16EF" w:rsidP="002C16EF">
      <w:r w:rsidRPr="00E33B0E">
        <w:t xml:space="preserve">De plus amples renseignements sont disponibles sur les sites web suivants: </w:t>
      </w:r>
      <w:hyperlink r:id="rId180" w:history="1">
        <w:r w:rsidRPr="00E33B0E">
          <w:rPr>
            <w:rStyle w:val="Hyperlink"/>
          </w:rPr>
          <w:t>www.itu.int/gender</w:t>
        </w:r>
      </w:hyperlink>
      <w:r w:rsidRPr="00E33B0E">
        <w:t xml:space="preserve"> et </w:t>
      </w:r>
      <w:hyperlink r:id="rId181" w:history="1">
        <w:r w:rsidRPr="00E33B0E">
          <w:rPr>
            <w:rStyle w:val="Hyperlink"/>
          </w:rPr>
          <w:t>www.itu.int/genderdashboard</w:t>
        </w:r>
      </w:hyperlink>
      <w:r w:rsidRPr="00E33B0E">
        <w:t>.</w:t>
      </w:r>
    </w:p>
    <w:p w14:paraId="2894B0AA" w14:textId="77777777" w:rsidR="002C16EF" w:rsidRPr="00E33B0E" w:rsidRDefault="002C16EF" w:rsidP="002C16EF">
      <w:pPr>
        <w:pStyle w:val="Heading3"/>
      </w:pPr>
      <w:bookmarkStart w:id="44" w:name="_Toc199753910"/>
      <w:r w:rsidRPr="00E33B0E">
        <w:t>5.3.2</w:t>
      </w:r>
      <w:r w:rsidRPr="00E33B0E">
        <w:tab/>
        <w:t>Autonomisation des jeunes</w:t>
      </w:r>
      <w:bookmarkEnd w:id="44"/>
    </w:p>
    <w:p w14:paraId="6BA8C4BA" w14:textId="42BDF16E" w:rsidR="00AB45B0" w:rsidRPr="00E33B0E" w:rsidRDefault="002C16EF" w:rsidP="00AB45B0">
      <w:r w:rsidRPr="00E33B0E">
        <w:t>Le Secrétariat de l'UIT a poursuivi la mise en œuvre de la Résolution 198 (Rév. Bucarest, 2022) de la Conférence de plénipotentiaires, en favorisant l'autonomisation des jeunes grâce aux technologies numériques et en intégrant les perspectives des jeunes dans les programmes de travail, la gestion et la mise en valeur des ressources humaines. En 2024, l'équipe spéciale pour la jeunesse a renforcé son rôle consultatif, en contribuant à des examens, tels que les ordres de service, et a mis en place un réseau interne de jeunes pour mobiliser les jeunes professionnels de l'ensemble de l'organisation. L'équipe spéciale a en outre demandé que les jeunes soient davantage associés aux activités de l'UIT, ce qui lui permettrait d'accroître sa visibilité et de promouvoir le dialogue intergénérationnel. Parmi les principaux résultats obtenus, il convient de citer les travaux sur la mobilité et la planification du renouvellement des effectifs, la collaboration avec le Bureau de la transformation de l'UIT/programme des acteurs du changement, et deux produits: les contributions relatives au plan de renouvellement des effectifs de l'UIT et au rôle des jeunes</w:t>
      </w:r>
      <w:r w:rsidR="00AB45B0" w:rsidRPr="00E33B0E">
        <w:br w:type="page"/>
      </w:r>
    </w:p>
    <w:p w14:paraId="6B4A3582" w14:textId="3289CDCB" w:rsidR="002C16EF" w:rsidRPr="00E33B0E" w:rsidRDefault="002C16EF" w:rsidP="002C16EF">
      <w:r w:rsidRPr="00E33B0E">
        <w:lastRenderedPageBreak/>
        <w:t>professionnels pour façonner l'avenir de l'UIT d'une part, et l'intégration de jeunes professionnels dans les tableaux des effectifs pour les grandes conférences de l'UIT d'autre part, afin d'améliorer les perspectives de carrière.</w:t>
      </w:r>
    </w:p>
    <w:p w14:paraId="18F3AE92" w14:textId="77777777" w:rsidR="002C16EF" w:rsidRPr="00E33B0E" w:rsidRDefault="002C16EF" w:rsidP="002C16EF">
      <w:r w:rsidRPr="00E33B0E">
        <w:t>Suite au lancement du premier Programme de l'UIT à l'intention des jeunes professionnels, plus de 3 500 candidatures ont été reçues et examinées. Six postes de grade P1 (premier niveau de la catégorie professionnelle) ont été proposés au sein du Secrétariat général de l'UIT, du BR, du TSB et du BDT.</w:t>
      </w:r>
    </w:p>
    <w:p w14:paraId="577CD1B5" w14:textId="77777777" w:rsidR="002C16EF" w:rsidRPr="00E33B0E" w:rsidRDefault="002C16EF" w:rsidP="002C16EF">
      <w:r w:rsidRPr="00E33B0E">
        <w:t xml:space="preserve">Afin de promouvoir et d'intégrer l'engagement des jeunes, l'UIT a lancé plusieurs initiatives clés. Le </w:t>
      </w:r>
      <w:hyperlink r:id="rId182" w:history="1">
        <w:r w:rsidRPr="00E33B0E">
          <w:rPr>
            <w:rStyle w:val="Hyperlink"/>
          </w:rPr>
          <w:t>Comité consultatif des jeunes de la Secrétaire générale de l'UIT</w:t>
        </w:r>
      </w:hyperlink>
      <w:r w:rsidRPr="00E33B0E">
        <w:t xml:space="preserve"> a été créé pour donner aux jeunes les moyens de contribuer à l'élaboration des politiques numériques mondiales. Ce Comité a formulé des recommandations du point de vue des jeunes à l'intention de la Secrétaire générale de l'UIT sur la manière de réduire la fracture numérique et mettre la technologie au service de la société dans des domaines tels que l'intelligence artificielle, l'exploitation spatiale, les câbles sous-marins et les questions environnementales. Le "</w:t>
      </w:r>
      <w:hyperlink r:id="rId183" w:history="1">
        <w:r w:rsidRPr="00E33B0E">
          <w:rPr>
            <w:rStyle w:val="Hyperlink"/>
          </w:rPr>
          <w:t>Programme de leadership des jeunes de l'Initiative Generation Connect (GCYLP)</w:t>
        </w:r>
      </w:hyperlink>
      <w:r w:rsidRPr="00E33B0E">
        <w:t>" a été conçu pour inspirer les jeunes acteurs du changement numérique et leur donner des moyens de réussir. Chaque année, 30 jeunes sélectionnés dans le cadre du Programme GCYLP reçoivent des conseils, une formation et un soutien financier pour mettre en œuvre des projets de développement numérique dans leurs communautés à travers le monde. En 2024, la première cohorte a été sélectionnée par un jury mondial parmi plus de 5 000 candidats originaires de plus de 200 pays. Après le succès rencontré lors de la première année, les organisateurs s'attachent actuellement à sélectionner la deuxième cohorte. L'UIT a renforcé la participation des jeunes au développement du numérique en nommant 184 représentants des groupes pour la jeunesse de l'Initiative Generation Connect (GCYE) de 64 pays, qui ont ainsi pu mieux faire entendre leur voix par le biais de plates-formes mondiales.</w:t>
      </w:r>
    </w:p>
    <w:p w14:paraId="6A85EF35" w14:textId="77777777" w:rsidR="002C16EF" w:rsidRPr="00E33B0E" w:rsidRDefault="002C16EF" w:rsidP="002C16EF">
      <w:r w:rsidRPr="00E33B0E">
        <w:t>En 2024, l'UIT a permis à davantage de jeunes de prendre part aux manifestations et aux initiatives qu'elle organise, telles que le Sommet mondial sur l'IA au service du bien social, les Forums régionaux sur le développement, les réunions des commissions d'études de l'UIT</w:t>
      </w:r>
      <w:r w:rsidRPr="00E33B0E">
        <w:noBreakHyphen/>
        <w:t>D, les Prix "EQUALS in Tech", la Journée des jeunes filles dans le secteur des TIC, pour ne citer que ces exemples.</w:t>
      </w:r>
    </w:p>
    <w:p w14:paraId="2F36B805" w14:textId="77777777" w:rsidR="002C16EF" w:rsidRPr="00E33B0E" w:rsidRDefault="002C16EF" w:rsidP="002C16EF">
      <w:r w:rsidRPr="00E33B0E">
        <w:t xml:space="preserve">Le TSB de l'UIT met un point d'honneur à associer les jeunes à des activités dans le domaine de l'IA. En 2024, le </w:t>
      </w:r>
      <w:hyperlink r:id="rId184" w:anchor="/fr" w:history="1">
        <w:r w:rsidRPr="00E33B0E">
          <w:rPr>
            <w:rStyle w:val="Hyperlink"/>
          </w:rPr>
          <w:t>Concours de l'UIT sur l'intelligence artificielle et l'apprentissage automatique dans les réseaux 5G</w:t>
        </w:r>
      </w:hyperlink>
      <w:r w:rsidRPr="00E33B0E">
        <w:t xml:space="preserve"> comprenant treize défis adressés aux jeunes a offert aux jeunes innovateurs une plate-forme mondiale pour élaborer des solutions fondées sur l'intelligence artificielle et l'apprentissage automatique destinées à être appliquées dans le monde réel. Le concours a attiré plus de 4 000 jeunes participants, qui ont soumis plus de 30 000 idées. Les phases de sélection et de préparation du Défi Jeunes sur la </w:t>
      </w:r>
      <w:hyperlink r:id="rId185" w:anchor="/fr" w:history="1">
        <w:r w:rsidRPr="00E33B0E">
          <w:rPr>
            <w:rStyle w:val="Hyperlink"/>
          </w:rPr>
          <w:t>robotique au service du bien social</w:t>
        </w:r>
      </w:hyperlink>
      <w:r w:rsidRPr="00E33B0E">
        <w:t>, dont l'édition 2024-2025 a pour thème les secours en cas de catastrophe, se déroulent actuellement, et devraient être suivies des qualifications en avril 2025. Une zone consacrée aux activités pour les jeunes lors de l'édition 2024 du Sommet mondial de l'intelligence au service du bien social a fourni une plate-forme dynamique et intéressante aux jeunes participants, leur permettant d'apprendre, de collaborer et d'explorer le monde passionnant de l'IA et de la robotique.</w:t>
      </w:r>
    </w:p>
    <w:p w14:paraId="613E63A4" w14:textId="77777777" w:rsidR="002C16EF" w:rsidRPr="00E33B0E" w:rsidRDefault="002C16EF" w:rsidP="002C16EF">
      <w:r w:rsidRPr="00E33B0E">
        <w:t xml:space="preserve">On trouvera de plus amples renseignements sur les activités relatives aux jeunes dans le </w:t>
      </w:r>
      <w:hyperlink r:id="rId186" w:history="1">
        <w:r w:rsidRPr="00E33B0E">
          <w:rPr>
            <w:rStyle w:val="Hyperlink"/>
          </w:rPr>
          <w:t>Document C25/31</w:t>
        </w:r>
      </w:hyperlink>
      <w:r w:rsidRPr="00E33B0E">
        <w:t xml:space="preserve"> du Conseil de l'UIT.</w:t>
      </w:r>
    </w:p>
    <w:p w14:paraId="318183E3" w14:textId="77777777" w:rsidR="002C16EF" w:rsidRPr="00E33B0E" w:rsidRDefault="002C16EF" w:rsidP="002C16EF">
      <w:r w:rsidRPr="00E33B0E">
        <w:lastRenderedPageBreak/>
        <w:t>En outre, la participation des jeunes a été au centre des débats de l'</w:t>
      </w:r>
      <w:hyperlink r:id="rId187" w:anchor="/fr" w:history="1">
        <w:r w:rsidRPr="00E33B0E">
          <w:rPr>
            <w:rStyle w:val="Hyperlink"/>
          </w:rPr>
          <w:t>AMNT-24</w:t>
        </w:r>
      </w:hyperlink>
      <w:r w:rsidRPr="00E33B0E">
        <w:t xml:space="preserve"> à New Delhi (Inde), avec l'introduction d'initiatives ciblées dans le programme des manifestations parallèles, afin d'attirer les jeunes participants. Les États Membres ont également approuvé l'adoption d'une nouvelle </w:t>
      </w:r>
      <w:hyperlink r:id="rId188" w:history="1">
        <w:r w:rsidRPr="00E33B0E">
          <w:rPr>
            <w:rStyle w:val="Hyperlink"/>
          </w:rPr>
          <w:t>Résolution 107 de l'AMNT-24</w:t>
        </w:r>
      </w:hyperlink>
      <w:r w:rsidRPr="00E33B0E">
        <w:t xml:space="preserve"> sur les jeunes, intitulée "Renforcer la participation de la prochaine génération d'experts aux activités de normalisation du Secteur de la normalisation des télécommunications de l'UIT". Des activités de premier plan ont été organisées, notamment une séance spéciale consacrée à la participation des jeunes à l'élaboration de normes dans le cadre de l'</w:t>
      </w:r>
      <w:hyperlink r:id="rId189" w:anchor="/fr" w:history="1">
        <w:r w:rsidRPr="00E33B0E">
          <w:rPr>
            <w:rStyle w:val="Hyperlink"/>
          </w:rPr>
          <w:t>édition 2024 des conférences Kaléidoscope de l'UIT, intitulée "Innovation et transformation numérique pour un monde durable"</w:t>
        </w:r>
      </w:hyperlink>
      <w:r w:rsidRPr="00E33B0E">
        <w:t>, qui s'est tenue du 21 au 23 octobre 2024, le Défi "</w:t>
      </w:r>
      <w:hyperlink r:id="rId190" w:anchor="/fr" w:history="1">
        <w:r w:rsidRPr="00E33B0E">
          <w:rPr>
            <w:rStyle w:val="Hyperlink"/>
          </w:rPr>
          <w:t>Robotics for Youth Challenge India</w:t>
        </w:r>
      </w:hyperlink>
      <w:r w:rsidRPr="00E33B0E">
        <w:t>", le "</w:t>
      </w:r>
      <w:hyperlink r:id="rId191" w:history="1">
        <w:r w:rsidRPr="00E33B0E">
          <w:rPr>
            <w:rStyle w:val="Hyperlink"/>
          </w:rPr>
          <w:t>AI Bharat 5G/6G Sandbox Hackathon</w:t>
        </w:r>
      </w:hyperlink>
      <w:r w:rsidRPr="00E33B0E">
        <w:t xml:space="preserve">", qui a réuni des étudiants et de jeunes experts du monde entier, et le lancement de la plate-forme de la </w:t>
      </w:r>
      <w:hyperlink r:id="rId192" w:anchor="/fr" w:history="1">
        <w:r w:rsidRPr="00E33B0E">
          <w:rPr>
            <w:rStyle w:val="Hyperlink"/>
          </w:rPr>
          <w:t>Communauté des jeunes chefs de file de l'IA</w:t>
        </w:r>
      </w:hyperlink>
      <w:r w:rsidRPr="00E33B0E">
        <w:t xml:space="preserve"> destinée à favoriser la participation, la collaboration, la créativité et le leadership des jeunes pour amorcer la révolution dans le domaine de l'IA.</w:t>
      </w:r>
    </w:p>
    <w:p w14:paraId="50AD783A" w14:textId="77777777" w:rsidR="002C16EF" w:rsidRPr="00E33B0E" w:rsidRDefault="002C16EF" w:rsidP="002C16EF">
      <w:pPr>
        <w:pStyle w:val="Heading3"/>
      </w:pPr>
      <w:bookmarkStart w:id="45" w:name="_Toc199753911"/>
      <w:r w:rsidRPr="00E33B0E">
        <w:t>5.3.3</w:t>
      </w:r>
      <w:r w:rsidRPr="00E33B0E">
        <w:tab/>
        <w:t>Accessibilité aux TIC</w:t>
      </w:r>
      <w:bookmarkEnd w:id="45"/>
    </w:p>
    <w:p w14:paraId="29EA1DF7" w14:textId="0F4CB92E" w:rsidR="002C16EF" w:rsidRPr="00E33B0E" w:rsidRDefault="002C16EF" w:rsidP="002C16EF">
      <w:pPr>
        <w:pStyle w:val="Figue"/>
        <w:jc w:val="center"/>
      </w:pPr>
      <w:r w:rsidRPr="00E33B0E">
        <w:rPr>
          <w:noProof/>
        </w:rPr>
        <w:drawing>
          <wp:inline distT="0" distB="0" distL="0" distR="0" wp14:anchorId="4C16F0FC" wp14:editId="7B6F109A">
            <wp:extent cx="4205716" cy="22225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207973" cy="2223693"/>
                    </a:xfrm>
                    <a:prstGeom prst="rect">
                      <a:avLst/>
                    </a:prstGeom>
                    <a:noFill/>
                    <a:ln>
                      <a:noFill/>
                    </a:ln>
                  </pic:spPr>
                </pic:pic>
              </a:graphicData>
            </a:graphic>
          </wp:inline>
        </w:drawing>
      </w:r>
    </w:p>
    <w:p w14:paraId="158C5EDB" w14:textId="77777777" w:rsidR="002C16EF" w:rsidRPr="00E33B0E" w:rsidRDefault="002C16EF" w:rsidP="002C16EF">
      <w:pPr>
        <w:pStyle w:val="Figurelegend"/>
        <w:jc w:val="center"/>
      </w:pPr>
      <w:r w:rsidRPr="00E33B0E">
        <w:t>Source UIT</w:t>
      </w:r>
    </w:p>
    <w:p w14:paraId="451FAE08" w14:textId="77777777" w:rsidR="002C16EF" w:rsidRPr="00E33B0E" w:rsidRDefault="002C16EF" w:rsidP="002C16EF">
      <w:pPr>
        <w:pStyle w:val="Normalaftertitle"/>
      </w:pPr>
      <w:r w:rsidRPr="00E33B0E">
        <w:t>En 2024, le nombre de pays disposant d'un cadre réglementaire pour garantir l'accessibilité des technologies pour les personnes handicapées a augmenté de 8,5%, pour atteindre un total de 127 pays. Cela illustre une évolution considérable après trois années de stagnation à 117 pays.</w:t>
      </w:r>
    </w:p>
    <w:p w14:paraId="6B6444C4" w14:textId="77777777" w:rsidR="002C16EF" w:rsidRPr="00E33B0E" w:rsidRDefault="002C16EF" w:rsidP="002C16EF">
      <w:r w:rsidRPr="00E33B0E">
        <w:t>Les technologies numériques devraient être non seulement disponibles et abordables financièrement, mais aussi accessibles, conçues en fonction des besoins et des capacités de toutes les personnes, y compris handicapées. À travers une approche intersectionnelle, les travaux menés par le BDT sur l'accessibilité numérique comprennent des activités, des manifestations, des outils et des ressources clés destinés à renforcer les capacités, à améliorer la communication et à contribuer à l'édification d'un avenir numérique prospère pour tous.</w:t>
      </w:r>
    </w:p>
    <w:p w14:paraId="00AF0792" w14:textId="77777777" w:rsidR="002C16EF" w:rsidRPr="00E33B0E" w:rsidRDefault="002C16EF" w:rsidP="002C16EF">
      <w:r w:rsidRPr="00E33B0E">
        <w:t>Les ressources très utiles relatives à l'accessibilité comprennent des lignes directrices, des kits pratiques et des rapports, des programmes de formation et de développement des connaissances, ainsi que des tutoriels vidéo.</w:t>
      </w:r>
    </w:p>
    <w:p w14:paraId="55C222F6" w14:textId="77777777" w:rsidR="002C16EF" w:rsidRPr="00E33B0E" w:rsidRDefault="002C16EF" w:rsidP="00AB45B0">
      <w:pPr>
        <w:keepLines/>
      </w:pPr>
      <w:r w:rsidRPr="00E33B0E">
        <w:lastRenderedPageBreak/>
        <w:t>En 2024, le programme de l'Académie de l'UIT a attiré 1 055 participants de 144 pays, dont 42% étaient des femmes, et 74% étaient issus de pays en développement, qui ont suivi des cours de formation en ligne, en autonomie et dirigés par des tuteurs, sur des sujets liés à l'accès au numérique. Ces cours portaient notamment sur l'accessibilité des sites web, les communications d'urgence et en situation de crise, ainsi que sur d'autres interactions numériques, la création de villes intelligentes pour tous, les questions liées au thème "vieillir dans un monde numérique" et les stratégies propres à assurer la connectivité dans les communautés rurales, isolées et autochtones. Les cours de formation en autonomie mis à disposition en ligne par l'Académie de l'UIT sont gratuits et disponibles dans plusieurs langues de l'ONU dans des formats numériques accessibles, et sont de ce fait également accessibles pour les personnes sourdes et aveugles.</w:t>
      </w:r>
    </w:p>
    <w:p w14:paraId="13C416AE" w14:textId="77777777" w:rsidR="002C16EF" w:rsidRPr="00E33B0E" w:rsidRDefault="002C16EF" w:rsidP="002C16EF">
      <w:pPr>
        <w:pStyle w:val="Heading3"/>
      </w:pPr>
      <w:bookmarkStart w:id="46" w:name="_Toc199753912"/>
      <w:r w:rsidRPr="00E33B0E">
        <w:t>5.3.4</w:t>
      </w:r>
      <w:r w:rsidRPr="00E33B0E">
        <w:tab/>
        <w:t>Soutien aux personnes âgées</w:t>
      </w:r>
      <w:bookmarkEnd w:id="46"/>
    </w:p>
    <w:p w14:paraId="64A6D1F2" w14:textId="77777777" w:rsidR="002C16EF" w:rsidRPr="00E33B0E" w:rsidRDefault="002C16EF" w:rsidP="002C16EF">
      <w:r w:rsidRPr="00E33B0E">
        <w:t>Les activités menées actuellement dans ce domaine sont notamment les suivantes: développement des compétences numériques dans la région du Gran Chaco (Argentine, Bolivie et Paraguay) et formation à la gestion des réseaux TIC en Amérique latine, formation à l'intention des personnes des communautés autochtones et rurales à la gestion des réseaux, mettant l'accent sur la connectivité, les médias communautaires, la gestion des projets locaux et les réseaux autochtones.</w:t>
      </w:r>
    </w:p>
    <w:p w14:paraId="71BF0315" w14:textId="77777777" w:rsidR="00CF7031" w:rsidRPr="00E33B0E" w:rsidRDefault="00CF7031" w:rsidP="00CF7031">
      <w:pPr>
        <w:pStyle w:val="Heading2"/>
      </w:pPr>
      <w:bookmarkStart w:id="47" w:name="_Toc199753913"/>
      <w:r w:rsidRPr="00E33B0E">
        <w:t>5.4</w:t>
      </w:r>
      <w:r w:rsidRPr="00E33B0E">
        <w:tab/>
        <w:t>Engagement en faveur de la durabilité environnementale</w:t>
      </w:r>
      <w:bookmarkEnd w:id="47"/>
    </w:p>
    <w:p w14:paraId="47E63D48" w14:textId="77777777" w:rsidR="00CF7031" w:rsidRPr="00E33B0E" w:rsidRDefault="00CF7031" w:rsidP="00CF7031">
      <w:pPr>
        <w:pStyle w:val="Headingb"/>
        <w:tabs>
          <w:tab w:val="clear" w:pos="567"/>
        </w:tabs>
        <w:ind w:left="0" w:firstLine="0"/>
      </w:pPr>
      <w:r w:rsidRPr="00E33B0E">
        <w:t>Climat et environnement: surveiller et réduire les émissions et les déchets d'équipements électriques et électroniques</w:t>
      </w:r>
    </w:p>
    <w:p w14:paraId="66C9C859" w14:textId="77777777" w:rsidR="00CF7031" w:rsidRPr="00E33B0E" w:rsidRDefault="00CF7031" w:rsidP="00CF7031">
      <w:r w:rsidRPr="00E33B0E">
        <w:t>L'UIT a continué de rassembler les partenaires dans le cadre des efforts déployés à l'échelle mondiale pour réduire les émissions liées aux technologies, promouvoir l'informatique verte, élaborer et adopter des normes vertes, bâtir une économie numérique circulaire pour le secteur des TIC, aider à tirer parti des radiocommunications pour lutter contre les changements climatiques et utiliser des solutions numériques évoluées pour les télécommunications d'urgence dans le contexte des changements climatiques. Par exemple, le sous-groupe de l'Initiative "Alertes précoces pour tous" travaillant sur l'intelligence artificielle étudie actuellement de nouvelles utilisations de cette technologie pour renforcer les capacités d'alerte avancée.</w:t>
      </w:r>
    </w:p>
    <w:p w14:paraId="6617EC53" w14:textId="77777777" w:rsidR="00CF7031" w:rsidRPr="00E33B0E" w:rsidRDefault="00CF7031" w:rsidP="00CF7031">
      <w:pPr>
        <w:spacing w:after="120"/>
      </w:pPr>
      <w:r w:rsidRPr="00E33B0E">
        <w:t xml:space="preserve">Par ailleurs, l'UIT poursuit également sa collaboration avec l'Organisation météorologique mondiale (OMM), le Programme des Nations Unies pour l'environnement (PNUE), la Convention-cadre des Nations Unies sur les changements climatiques (CCNUCC) et l'Union postale universelle (UPU) dans le cadre de l'Initiative mondiale sur </w:t>
      </w:r>
      <w:hyperlink r:id="rId194" w:history="1">
        <w:r w:rsidRPr="00E33B0E">
          <w:rPr>
            <w:rStyle w:val="Hyperlink"/>
            <w:rFonts w:eastAsia="Times New Roman" w:cs="Times New Roman"/>
            <w:szCs w:val="20"/>
          </w:rPr>
          <w:t>La résilience face aux risques naturels grâce aux solutions fondées sur l'IA</w:t>
        </w:r>
      </w:hyperlink>
      <w:r w:rsidRPr="00E33B0E">
        <w:t>, qui vise à tirer parti de l'IA tout au long du cycle de gestion des catastrophes. Cette initiative s'appuie sur les activités du Groupe spécialisé UIT-OMM-PNUE sur l'intelligence artificielle au service de la gestion des catastrophes naturelles (FG-AI4NDM).</w:t>
      </w:r>
    </w:p>
    <w:tbl>
      <w:tblPr>
        <w:tblStyle w:val="TableGrid"/>
        <w:tblW w:w="0" w:type="auto"/>
        <w:tblLook w:val="04A0" w:firstRow="1" w:lastRow="0" w:firstColumn="1" w:lastColumn="0" w:noHBand="0" w:noVBand="1"/>
      </w:tblPr>
      <w:tblGrid>
        <w:gridCol w:w="9061"/>
      </w:tblGrid>
      <w:tr w:rsidR="00CF7031" w:rsidRPr="00E33B0E" w14:paraId="118BB393" w14:textId="77777777" w:rsidTr="00790D95">
        <w:tc>
          <w:tcPr>
            <w:tcW w:w="9061" w:type="dxa"/>
          </w:tcPr>
          <w:p w14:paraId="3ED21EDE" w14:textId="77777777" w:rsidR="00CF7031" w:rsidRPr="00E33B0E" w:rsidRDefault="00CF7031" w:rsidP="00AB45B0">
            <w:pPr>
              <w:pStyle w:val="Headingb"/>
              <w:shd w:val="clear" w:color="auto" w:fill="C6D9F1" w:themeFill="text2" w:themeFillTint="33"/>
              <w:rPr>
                <w:i/>
                <w:iCs/>
              </w:rPr>
            </w:pPr>
            <w:r w:rsidRPr="00E33B0E">
              <w:rPr>
                <w:i/>
                <w:iCs/>
              </w:rPr>
              <w:lastRenderedPageBreak/>
              <w:t>Réduire les risques de catastrophe grâce à l'IA</w:t>
            </w:r>
          </w:p>
          <w:p w14:paraId="1DF70803" w14:textId="77777777" w:rsidR="00CF7031" w:rsidRPr="00E33B0E" w:rsidRDefault="00CF7031" w:rsidP="00AB45B0">
            <w:pPr>
              <w:keepNext/>
              <w:keepLines/>
            </w:pPr>
            <w:r w:rsidRPr="00E33B0E">
              <w:t>Une nouvelle initiative vise à promouvoir l'intelligence artificielle (IA) pour aider à se protéger contre des risques climatiques et de catastrophes de plus en plus grands. L'Initiative mondiale sur la résilience face aux catastrophes naturelles grâce aux solutions fondées sur l'IA, lancée par l'UIT et d'autres partenaires des Nations Unies en octobre 2024, encourage la recherche, l'innovation et l'élaboration de normes pour renforcer les systèmes d'alerte avancée et aider les pays à se préparer en amont face aux risques de catastrophes.</w:t>
            </w:r>
          </w:p>
          <w:p w14:paraId="28FB1B01" w14:textId="77777777" w:rsidR="00CF7031" w:rsidRPr="00E33B0E" w:rsidRDefault="00CF7031" w:rsidP="00AB45B0">
            <w:pPr>
              <w:widowControl w:val="0"/>
              <w:rPr>
                <w:b/>
                <w:bCs/>
              </w:rPr>
            </w:pPr>
            <w:hyperlink r:id="rId195" w:anchor="/fr" w:history="1">
              <w:r w:rsidRPr="00E33B0E">
                <w:rPr>
                  <w:rStyle w:val="Hyperlink"/>
                  <w:b/>
                  <w:bCs/>
                </w:rPr>
                <w:t>En savoir plus sur l'Initiative mondiale</w:t>
              </w:r>
            </w:hyperlink>
          </w:p>
          <w:p w14:paraId="4447CCE1" w14:textId="77777777" w:rsidR="00CF7031" w:rsidRPr="00E33B0E" w:rsidRDefault="00CF7031" w:rsidP="00AB45B0">
            <w:pPr>
              <w:widowControl w:val="0"/>
              <w:spacing w:after="120"/>
            </w:pPr>
            <w:hyperlink r:id="rId196" w:anchor="/fr" w:history="1">
              <w:r w:rsidRPr="00E33B0E">
                <w:rPr>
                  <w:rStyle w:val="Hyperlink"/>
                  <w:b/>
                  <w:bCs/>
                </w:rPr>
                <w:t>Point de vue du président de l'Initiative</w:t>
              </w:r>
            </w:hyperlink>
          </w:p>
        </w:tc>
      </w:tr>
    </w:tbl>
    <w:p w14:paraId="3774CE18" w14:textId="77777777" w:rsidR="00CF7031" w:rsidRPr="00E33B0E" w:rsidRDefault="00CF7031" w:rsidP="00CF7031">
      <w:r w:rsidRPr="00E33B0E">
        <w:t>La poursuite de la coopération entre l'UIT, l'OMM et d'autres organismes internationaux est essentielle pour faire en sorte que des bandes de fréquences continuent d'être disponibles pour les services météorologiques et que ceux-ci puissent fonctionner sans subir de brouillages. Le Bureau des radiocommunications de l'UIT a lancé un programme de formation conjoint OMM-UIT en vue de la CMR-27. Des manifestations ont été organisées à l'intention des pays de la RCC (Almaty, Kazakhstan, 16-17 septembre 2024) et de l'APT (Singapour, 3-4 mars 2025). La nouvelle édition de la brochure de l'UIT "</w:t>
      </w:r>
      <w:hyperlink r:id="rId197" w:history="1">
        <w:r w:rsidRPr="00E33B0E">
          <w:rPr>
            <w:rStyle w:val="Hyperlink"/>
            <w:rFonts w:eastAsia="Times New Roman" w:cs="Times New Roman"/>
            <w:szCs w:val="20"/>
          </w:rPr>
          <w:t>Les radiocommunications et les changements climatiques</w:t>
        </w:r>
      </w:hyperlink>
      <w:r w:rsidRPr="00E33B0E">
        <w:t>" (janvier 2025) vise à sensibiliser les décideurs et les acteurs du secteur à l'importance des services de radiocommunication liés à la météorologie, et au fait qu'il importe qu'ils contribuent à veiller à ce que les décisions relatives à l'attribution des bandes de fréquences tiennent compte en priorité de la sécurité publique et de la protection de l'environnement, en particulier dans le contexte des changements climatiques.</w:t>
      </w:r>
    </w:p>
    <w:p w14:paraId="17133155" w14:textId="77777777" w:rsidR="00CF7031" w:rsidRPr="00E33B0E" w:rsidRDefault="00CF7031" w:rsidP="00CF7031">
      <w:r w:rsidRPr="00E33B0E">
        <w:t>Le 16 novembre 2024, l'Azerbaïdjan, qui assurait la présidence de la 29ème de la Conférence des Parties à la Convention-cadre des Nations Unies sur les changements climatiques (COP29), a organisé la toute première Journée du développement du numérique à l'occasion d'une conférence sur le climat, dont l'aboutissement a été la Déclaration de la COP29 sur l'action du secteur du numérique pour l'environnement, approuvée par de plus de 80 pays et près de 1 800 entreprises, organisations et autres parties prenantes non étatiques. Articulée autour de huit objectifs communs, les signataires de la Déclaration prennent acte de l'importance des technologies numériques pour atténuer les effets des changements climatiques et s'y adapter, tout en reconnaissant les incidences négatives de ces technologies sur le climat.</w:t>
      </w:r>
    </w:p>
    <w:p w14:paraId="56584FB6" w14:textId="77777777" w:rsidR="00CF7031" w:rsidRPr="00E33B0E" w:rsidRDefault="00CF7031" w:rsidP="00CF7031">
      <w:r w:rsidRPr="00E33B0E">
        <w:t>L'UIT a poursuivi les études sur l'utilisation de l'énergie et les émissions de gaz à effet de serre produites dans le secteur mondial des technologies et continue d'élaborer, de promouvoir et de mettre en œuvre des normes internationales pour renforcer la contribution des TIC à l'action pour le climat et l'environnement (voir C25/45).</w:t>
      </w:r>
    </w:p>
    <w:p w14:paraId="14F6DE0C" w14:textId="77777777" w:rsidR="00CF7031" w:rsidRPr="00E33B0E" w:rsidRDefault="00CF7031" w:rsidP="00CF7031">
      <w:pPr>
        <w:spacing w:after="120"/>
      </w:pPr>
      <w:r w:rsidRPr="00E33B0E">
        <w:t>L'UIT poursuit également ses travaux sur les incidences environnementales de l'intelligence artificielle, et le rapport sur l'</w:t>
      </w:r>
      <w:hyperlink r:id="rId198" w:history="1">
        <w:r w:rsidRPr="00E33B0E">
          <w:rPr>
            <w:rStyle w:val="Hyperlink"/>
            <w:rFonts w:eastAsia="Times New Roman" w:cs="Times New Roman"/>
            <w:szCs w:val="20"/>
          </w:rPr>
          <w:t>intelligence artificielle et l'environnement</w:t>
        </w:r>
      </w:hyperlink>
      <w:r w:rsidRPr="00E33B0E">
        <w:t xml:space="preserve"> met en lumière les normes existantes ou émergentes qui favorisent l'efficacité environnementale de l'IA. L'UIT, la France et le PNUE ont lancé conjointement la Coalition pour une intelligence artificielle durable, et l'UIT a apporté une contribution de premier plan au rapport intitulé </w:t>
      </w:r>
      <w:hyperlink r:id="rId199" w:history="1">
        <w:r w:rsidRPr="00E33B0E">
          <w:rPr>
            <w:rStyle w:val="Hyperlink"/>
            <w:rFonts w:eastAsia="Times New Roman" w:cs="Times New Roman"/>
            <w:i/>
            <w:iCs/>
            <w:szCs w:val="20"/>
          </w:rPr>
          <w:t xml:space="preserve">La normalisation au service la durabilité environnementale de l'IA – Vers une approche </w:t>
        </w:r>
        <w:r w:rsidRPr="00E33B0E">
          <w:rPr>
            <w:rStyle w:val="Hyperlink"/>
            <w:rFonts w:eastAsia="Times New Roman" w:cs="Times New Roman"/>
            <w:i/>
            <w:iCs/>
            <w:szCs w:val="20"/>
          </w:rPr>
          <w:lastRenderedPageBreak/>
          <w:t>mondiale coordonnée</w:t>
        </w:r>
      </w:hyperlink>
      <w:r w:rsidRPr="00E33B0E">
        <w:t>, publié à l'occasion du Sommet pour l'action sur l'intelligence artificielle organisé par la France à Paris en février 2025. En outre, le Groupe de travail du programme "Action du secteur du numérique pour l'environnement" sur l'IA durable (qui fait partie du pilier "L'informatique verte") identifie les domaines dans lesquels il manque des mesures pour pouvoir mieux évaluer l'empreinte environnementale des charges de travail liées à l'IA.</w:t>
      </w:r>
    </w:p>
    <w:tbl>
      <w:tblPr>
        <w:tblStyle w:val="TableGrid"/>
        <w:tblW w:w="0" w:type="auto"/>
        <w:tblLook w:val="04A0" w:firstRow="1" w:lastRow="0" w:firstColumn="1" w:lastColumn="0" w:noHBand="0" w:noVBand="1"/>
      </w:tblPr>
      <w:tblGrid>
        <w:gridCol w:w="9061"/>
      </w:tblGrid>
      <w:tr w:rsidR="00CF7031" w:rsidRPr="00E33B0E" w14:paraId="32D39E54" w14:textId="77777777" w:rsidTr="00790D95">
        <w:tc>
          <w:tcPr>
            <w:tcW w:w="9061" w:type="dxa"/>
          </w:tcPr>
          <w:p w14:paraId="5DB13F89" w14:textId="77777777" w:rsidR="00CF7031" w:rsidRPr="00E33B0E" w:rsidRDefault="00CF7031" w:rsidP="00790D95">
            <w:pPr>
              <w:pStyle w:val="Headingb"/>
              <w:shd w:val="clear" w:color="auto" w:fill="C6D9F1" w:themeFill="text2" w:themeFillTint="33"/>
              <w:rPr>
                <w:i/>
                <w:iCs/>
              </w:rPr>
            </w:pPr>
            <w:r w:rsidRPr="00E33B0E">
              <w:rPr>
                <w:i/>
                <w:iCs/>
              </w:rPr>
              <w:t>Les défis à relever pour trouver des solutions climatiques fondées sur l'IA</w:t>
            </w:r>
          </w:p>
          <w:p w14:paraId="73DF480D" w14:textId="77777777" w:rsidR="00CF7031" w:rsidRPr="00E33B0E" w:rsidRDefault="00CF7031" w:rsidP="00790D95">
            <w:r w:rsidRPr="00E33B0E">
              <w:t>L'Initiative "Usine d'innovation de l'IA au service de l'action climatique" et le concours "L'intelligence artificielle/apprentissage automatique dans la régulation intelligente de l'approvisionnement en électricité de la 5G pour des télécommunications respectueuses de l'environnement" organisés par l'UIT et ses partenaires pendant la Conférence des Nations Unies sur le climat (COP29), ont mis en avant le potentiel des solutions fondées sur l'IA pour réduire les émissions, optimiser l'utilisation des énergies renouvelables, améliorer l'agriculture et contribuer à faire face à la crise climatique.</w:t>
            </w:r>
          </w:p>
          <w:p w14:paraId="57DC2065" w14:textId="77777777" w:rsidR="00CF7031" w:rsidRPr="00E33B0E" w:rsidRDefault="00CF7031" w:rsidP="00790D95">
            <w:pPr>
              <w:spacing w:after="120"/>
              <w:rPr>
                <w:b/>
                <w:bCs/>
              </w:rPr>
            </w:pPr>
            <w:hyperlink r:id="rId200" w:history="1">
              <w:r w:rsidRPr="00E33B0E">
                <w:rPr>
                  <w:rStyle w:val="Hyperlink"/>
                  <w:b/>
                  <w:bCs/>
                </w:rPr>
                <w:t>En savoir plus</w:t>
              </w:r>
            </w:hyperlink>
          </w:p>
        </w:tc>
      </w:tr>
    </w:tbl>
    <w:p w14:paraId="7B6DDBF9" w14:textId="77777777" w:rsidR="00CF7031" w:rsidRPr="00E33B0E" w:rsidRDefault="00CF7031" w:rsidP="00CF7031">
      <w:r w:rsidRPr="00E33B0E">
        <w:t xml:space="preserve">Alors que l'innovation continue de s'accélérer dans le domaine du numérique, il devient de plus en plus urgent de mettre en place une gestion responsable des déchets d'équipements électriques et électroniques. Au rythme actuel, le monde produira 82 milliards de kilogrammes de DEEE par an d'ici à 2030, selon le </w:t>
      </w:r>
      <w:hyperlink r:id="rId201" w:history="1">
        <w:r w:rsidRPr="00E33B0E">
          <w:rPr>
            <w:rStyle w:val="Hyperlink"/>
            <w:rFonts w:eastAsia="Times New Roman" w:cs="Times New Roman"/>
            <w:szCs w:val="20"/>
          </w:rPr>
          <w:t>Rapport mondial sur les déchets d'équipements électriques et électroniques</w:t>
        </w:r>
      </w:hyperlink>
      <w:r w:rsidRPr="00E33B0E">
        <w:t xml:space="preserve"> 2024. L'UIT aide plusieurs pays des régions Amériques, Afrique et Asie-Pacifique à élaborer et mettre en œuvre des réglementations reposant sur la responsabilité des producteurs pour les déchets d'équipements électriques et électroniques.</w:t>
      </w:r>
    </w:p>
    <w:p w14:paraId="409CC908" w14:textId="77777777" w:rsidR="00CF7031" w:rsidRPr="00E33B0E" w:rsidRDefault="00CF7031" w:rsidP="00CF7031">
      <w:r w:rsidRPr="00E33B0E">
        <w:t>L'UIT a élaboré des normes fondamentales pour aider les pays et le secteur des TIC à gérer de façon responsable les déchets d'équipements électriques et électroniques et à passer progressivement à une économie circulaire. On peut citer à titre d'exemple la notation de la performance environnementale des smartphones et l'élaboration d'un modèle de passeport numérique de produit favorisant la circularité.</w:t>
      </w:r>
    </w:p>
    <w:p w14:paraId="59D90F32" w14:textId="77777777" w:rsidR="00CF7031" w:rsidRPr="00E33B0E" w:rsidRDefault="00CF7031" w:rsidP="00CF7031">
      <w:r w:rsidRPr="00E33B0E">
        <w:t xml:space="preserve">En interne, l'UIT a </w:t>
      </w:r>
      <w:hyperlink r:id="rId202" w:history="1">
        <w:r w:rsidRPr="00E33B0E">
          <w:rPr>
            <w:rStyle w:val="Hyperlink"/>
            <w:rFonts w:eastAsia="Times New Roman" w:cs="Times New Roman"/>
            <w:szCs w:val="20"/>
          </w:rPr>
          <w:t>renforcé la gouvernance et le fonctionnement</w:t>
        </w:r>
      </w:hyperlink>
      <w:r w:rsidRPr="00E33B0E">
        <w:t xml:space="preserve"> de son système de gestion de l'environnement (SME), conformément aux exigences fixées par le Conseil des chefs de secrétariat des organismes des Nations Unies pour la coordination. En 2024, l'Union a notamment révisé sa </w:t>
      </w:r>
      <w:hyperlink r:id="rId203" w:history="1">
        <w:r w:rsidRPr="00E33B0E">
          <w:rPr>
            <w:rStyle w:val="Hyperlink"/>
            <w:rFonts w:eastAsia="Times New Roman" w:cs="Times New Roman"/>
            <w:szCs w:val="20"/>
          </w:rPr>
          <w:t>politique de durabilité environnementale</w:t>
        </w:r>
      </w:hyperlink>
      <w:r w:rsidRPr="00E33B0E">
        <w:t xml:space="preserve"> de l'UIT et renforcer ses objectifs fixés en interne afin de réduire ses émissions de gaz à effet de serre et à d'améliorer son efficacité opérationnelle. Toutefois, au vu de la tendance actuelle, l'UIT aura du mal à atteindre l'objectif du système des Nations Unies qui est de réduire ses émissions de 45% par rapport à 2010, conformément aux recommandations du Groupe d'experts intergouvernemental sur l'évolution du climat (GIEC). Des mesures correctives sont actuellement à l'étude à cet égard.</w:t>
      </w:r>
    </w:p>
    <w:p w14:paraId="7728E274" w14:textId="77777777" w:rsidR="00CF7031" w:rsidRPr="00E33B0E" w:rsidRDefault="00CF7031" w:rsidP="00CF7031">
      <w:r w:rsidRPr="00E33B0E">
        <w:t xml:space="preserve">Pour en savoir plus, veuillez consulter le </w:t>
      </w:r>
      <w:hyperlink r:id="rId204" w:history="1">
        <w:r w:rsidRPr="00E33B0E">
          <w:rPr>
            <w:rStyle w:val="Hyperlink"/>
            <w:rFonts w:eastAsia="Times New Roman" w:cs="Times New Roman"/>
            <w:szCs w:val="20"/>
          </w:rPr>
          <w:t>Document C25/45</w:t>
        </w:r>
      </w:hyperlink>
      <w:r w:rsidRPr="00E33B0E">
        <w:t>.</w:t>
      </w:r>
    </w:p>
    <w:p w14:paraId="76846E8E" w14:textId="77777777" w:rsidR="00CF7031" w:rsidRPr="00E33B0E" w:rsidRDefault="00CF7031" w:rsidP="00CF7031">
      <w:pPr>
        <w:pStyle w:val="Heading2"/>
      </w:pPr>
      <w:bookmarkStart w:id="48" w:name="_Toc199753914"/>
      <w:r w:rsidRPr="00E33B0E">
        <w:lastRenderedPageBreak/>
        <w:t>5.5</w:t>
      </w:r>
      <w:r w:rsidRPr="00E33B0E">
        <w:tab/>
        <w:t>Partenariats et coopération internationale</w:t>
      </w:r>
      <w:bookmarkEnd w:id="48"/>
    </w:p>
    <w:p w14:paraId="51922583" w14:textId="77777777" w:rsidR="00CF7031" w:rsidRPr="00E33B0E" w:rsidRDefault="00CF7031" w:rsidP="00CF7031">
      <w:pPr>
        <w:pStyle w:val="Headingb"/>
      </w:pPr>
      <w:r w:rsidRPr="00E33B0E">
        <w:t>Coalition Partner2Connect</w:t>
      </w:r>
    </w:p>
    <w:p w14:paraId="6EB5EA07" w14:textId="77777777" w:rsidR="00CF7031" w:rsidRPr="00E33B0E" w:rsidRDefault="00CF7031" w:rsidP="00CF7031">
      <w:r w:rsidRPr="00E33B0E">
        <w:t>Lancée en 2021, la Coalition pour le numérique Partner2Connect (</w:t>
      </w:r>
      <w:hyperlink r:id="rId205" w:anchor="/fr" w:history="1">
        <w:r w:rsidRPr="00E33B0E">
          <w:rPr>
            <w:rStyle w:val="Hyperlink"/>
            <w:rFonts w:eastAsia="Times New Roman" w:cs="Times New Roman"/>
            <w:szCs w:val="20"/>
          </w:rPr>
          <w:t>P2C</w:t>
        </w:r>
      </w:hyperlink>
      <w:r w:rsidRPr="00E33B0E">
        <w:t>) permet de mobiliser des ressources et de susciter des partenariats et des engagements pour accélérer la mise en œuvre d'une connectivité universelle efficace et la transformation numérique. Au 31 décembre 2024, la plate-forme de soumission des engagements au titre de l'Initiative P2C avait reçu 956 engagements totalisant un montant de 54,27 milliards USD soumis par 452 entités de 146 pays du monde entier. À ce jour, plus de 1 000 engagements annoncés par 470 entités de 148 pays, pour un montant total de plus de 73 milliards USD en mars 2025, ont été soumis. Jusqu'à présent, 38% des projets ayant bénéficié d'engagements ont fourni des mises à jour sur l'utilisation faite de ces engagements, contre 33% en 2023.</w:t>
      </w:r>
    </w:p>
    <w:p w14:paraId="53E00DC5" w14:textId="77777777" w:rsidR="00CF7031" w:rsidRPr="00E33B0E" w:rsidRDefault="00CF7031" w:rsidP="00CF7031">
      <w:r w:rsidRPr="00E33B0E">
        <w:t>L'Initiative P2C favorise la création d'une communauté mondiale de parties prenantes engagées en offrant une plate-forme pour annoncer des engagements et fournir des informations mises à jour sur la Coalition, et en facilitant de nouveaux partenariats et de nouvelles possibilités de collaboration. En 2024, des sessions P2C ont eu lieu dans le cadre du Forum régional sur le développement de la CEI, du SMSI, du Sommet "L'intelligence artificielle au service du bien social", de la manifestation "Le numérique au service des ODD", de l'AMNT et de tables rondes nationales organisées au Cambodge et en Chine. De nombreux webinaires et la réunion annuelle de l'Initiative P2C en janvier 2025 ont également fourni des possibilités d'annonces et de collaboration. Ont également été lancés les tableaux de bord Explore Pledges et Explore Reports, et de nouvelles fonctionnalités de mise en relation ont été créées, avec notamment une session de mise en relation virtuelle organisée en collaboration avec l'Union des télécommunications des Caraïbes (CTU). La Coalition P2C a également élargi ses activités de marketing et de communication avec le lancement de P2C Flash, et amélioré la plate-forme et le site web P2C afin d'optimiser l'expérience utilisateur et le suivi des engagements. Un programme complet d'activités est prévu tout au long de 2025, l'objectif étant de mobiliser 100 milliards USD d'engagements d'ici à la fin de 2026.</w:t>
      </w:r>
    </w:p>
    <w:p w14:paraId="557D28E3" w14:textId="77777777" w:rsidR="00CF7031" w:rsidRPr="00E33B0E" w:rsidRDefault="00CF7031" w:rsidP="00CF7031">
      <w:pPr>
        <w:pStyle w:val="Headingb"/>
      </w:pPr>
      <w:r w:rsidRPr="00E33B0E">
        <w:t>Promouvoir des solutions pour accélérer les progrès</w:t>
      </w:r>
    </w:p>
    <w:p w14:paraId="3D968300" w14:textId="77777777" w:rsidR="00CF7031" w:rsidRPr="00E33B0E" w:rsidRDefault="00CF7031" w:rsidP="00CF7031">
      <w:r w:rsidRPr="00E33B0E">
        <w:t>S'appuyant sur les retombées des activités menées l'année précédente, l'UIT et le Programme des Nations Unies pour le développement (PNUD) ont organisé une deuxième édition de la manifestation "Le numérique au service des ODD", qui s'est tenu les 20 et 21 septembre 2024 à New York. Cette manifestation a mis en lumière la coopération et les partenariats visant à mettre l'innovation numérique au service du développement mondial à quelques jours de l'Assemblée générale des Nations Unies, du Sommet de l'avenir et des Journées d'action associées.</w:t>
      </w:r>
    </w:p>
    <w:p w14:paraId="522C7E7A" w14:textId="77777777" w:rsidR="00CF7031" w:rsidRPr="00E33B0E" w:rsidRDefault="00CF7031" w:rsidP="00CF7031">
      <w:r w:rsidRPr="00E33B0E">
        <w:t>Des présentations et des démonstrations ont permis de montrer comment les technologies numériques peuvent jeter les bases d'un avenir meilleur pour le monde entier. Rassemblant des responsables des pouvoirs publics, de la société civile, du secteur privé, de groupes pour la jeunesse et d'établissements universitaires, la manifestation était axée sur l'avenir et invitait à réfléchir aux tendances, aux risques et aux possibilités associés aux technologies numériques et émergentes dans notre cheminement vers l'avenir.</w:t>
      </w:r>
    </w:p>
    <w:p w14:paraId="0FFCE23E" w14:textId="77777777" w:rsidR="00CF7031" w:rsidRPr="00E33B0E" w:rsidRDefault="00CF7031" w:rsidP="00CF7031">
      <w:pPr>
        <w:pStyle w:val="Headingb"/>
        <w:tabs>
          <w:tab w:val="clear" w:pos="567"/>
          <w:tab w:val="left" w:pos="0"/>
        </w:tabs>
        <w:ind w:left="0" w:firstLine="0"/>
      </w:pPr>
      <w:r w:rsidRPr="00E33B0E">
        <w:lastRenderedPageBreak/>
        <w:t>Commission sur le large bande – Placer le large bande au cœur des préoccupations des décideurs au niveau international</w:t>
      </w:r>
    </w:p>
    <w:p w14:paraId="738028C8" w14:textId="77777777" w:rsidR="00CF7031" w:rsidRPr="00E33B0E" w:rsidRDefault="00CF7031" w:rsidP="00CF7031">
      <w:r w:rsidRPr="00E33B0E">
        <w:t>En 2024, la Commission "Le large bande au service du développement durable", dirigée par l'UIT et l'UNESCO, a mobilisé divers partenaires, dont plus de 50 commissaires, experts externes au sein de groupes de travail et autres partenaires et contributeurs stratégiques.</w:t>
      </w:r>
    </w:p>
    <w:p w14:paraId="16A96CB5" w14:textId="77777777" w:rsidR="00CF7031" w:rsidRPr="00E33B0E" w:rsidRDefault="00CF7031" w:rsidP="00CF7031">
      <w:r w:rsidRPr="00E33B0E">
        <w:t xml:space="preserve">La Commission a organisé des activités internationales de promotion en présence de ses membres, publié 2 ouvrages de réflexion et lancé le </w:t>
      </w:r>
      <w:hyperlink r:id="rId206" w:history="1">
        <w:r w:rsidRPr="00E33B0E">
          <w:rPr>
            <w:rStyle w:val="Hyperlink"/>
            <w:rFonts w:eastAsia="Times New Roman" w:cs="Times New Roman"/>
            <w:szCs w:val="20"/>
          </w:rPr>
          <w:t>Groupe de travail sur la gouvernance des données</w:t>
        </w:r>
      </w:hyperlink>
      <w:r w:rsidRPr="00E33B0E">
        <w:t xml:space="preserve"> placé sous la responsabilité des commissaires. </w:t>
      </w:r>
      <w:hyperlink r:id="rId207" w:history="1">
        <w:r w:rsidRPr="00E33B0E">
          <w:rPr>
            <w:rStyle w:val="Hyperlink"/>
            <w:rFonts w:eastAsia="Times New Roman" w:cs="Times New Roman"/>
            <w:szCs w:val="20"/>
          </w:rPr>
          <w:t>La réunion virtuelle annuelle de printemps, qui avait pour thème "Mettre à profit les technologies émergentes pour l'accès et la connectivité universels"</w:t>
        </w:r>
      </w:hyperlink>
      <w:r w:rsidRPr="00E33B0E">
        <w:t xml:space="preserve">, a été l'occasion d'examiner de quelle manière les technologies émergentes peuvent contribuer à parvenir à la connectivité universelle et à modifier les perspectives. </w:t>
      </w:r>
      <w:hyperlink r:id="rId208" w:history="1">
        <w:r w:rsidRPr="00E33B0E">
          <w:rPr>
            <w:rStyle w:val="Hyperlink"/>
            <w:rFonts w:eastAsia="Times New Roman" w:cs="Times New Roman"/>
            <w:szCs w:val="20"/>
          </w:rPr>
          <w:t>La réunion d'automne 2024, sur le thème "Vers un avenir numérique résilient, sûr et inclusif"</w:t>
        </w:r>
      </w:hyperlink>
      <w:r w:rsidRPr="00E33B0E">
        <w:t>, s'est tenue à New York le 20 septembre, dans le contexte de la 79ème session de l'Assemblée générale des Nations Unies et du Sommet de l'avenir. La Commission a appelé à un renforcement de la coopération mondiale en matière de numérique et souligné combien il est important de renforcer l'infrastructure numérique pour résister aux perturbations et atténuer les risques croissants. La Commission a également appelé à une plus grande collaboration intersectorielle afin de renforcer les capacités de préparation et d'intervention en cas de crises.</w:t>
      </w:r>
    </w:p>
    <w:p w14:paraId="7CBC0C87" w14:textId="77777777" w:rsidR="00CF7031" w:rsidRPr="00E33B0E" w:rsidRDefault="00CF7031" w:rsidP="00CF7031">
      <w:r w:rsidRPr="00E33B0E">
        <w:t>La Commission sur le large bande a participé à des manifestations organisées par des institutions des Nations Unies (y compris la 68ème session de la Commission de la condition de la femme, le Forum 2024 du SMSI, la Journée mondiale des télécommunications et de la société de l'information de 2024, entre autres) et les commissaires ont également assister à des conférences organisées par le secteur privé (y compris le Sommet des dirigeants de la SAMENA en 2024, l'édition de 2024 du Mobile World Congress organisé par la GSMA, etc.).</w:t>
      </w:r>
    </w:p>
    <w:p w14:paraId="5539A0C3" w14:textId="77777777" w:rsidR="00CF7031" w:rsidRPr="00E33B0E" w:rsidRDefault="00CF7031" w:rsidP="00CF7031">
      <w:r w:rsidRPr="00E33B0E">
        <w:t>Au cours de la période considérée, des publications, des rapports de groupes de travail, des déclarations/contributions et des travaux de recherche ont été produits, notamment:</w:t>
      </w:r>
    </w:p>
    <w:p w14:paraId="1ED92D49" w14:textId="77777777" w:rsidR="00CF7031" w:rsidRPr="00E33B0E" w:rsidRDefault="00CF7031" w:rsidP="00CF7031">
      <w:hyperlink r:id="rId209" w:history="1">
        <w:r w:rsidRPr="00E33B0E">
          <w:rPr>
            <w:rStyle w:val="Hyperlink"/>
            <w:rFonts w:eastAsia="Times New Roman" w:cs="Times New Roman"/>
            <w:szCs w:val="20"/>
          </w:rPr>
          <w:t>L'édition de 2024 du Rapport sur la situation du large bande "Tirer parti de l'intelligence artificielle pour réaliser la connectivité universelle"</w:t>
        </w:r>
      </w:hyperlink>
      <w:r w:rsidRPr="00E33B0E">
        <w:t>, qui a été lancée et examinée à l'occasion de la réunion annuelle de printemps de la Commission tenue en juin 2024. Ce rapport donne un premier aperçu de la manière dont les applications de l'IA façonnent le développement dans les secteurs de l'administration publique en ligne, de l'éducation, de la santé numérique, de la finance numérique et de l'environnement, et aborde également les risques et les conséquences associés sur le plan de la fracture numérique.</w:t>
      </w:r>
    </w:p>
    <w:p w14:paraId="0CAB1833" w14:textId="77777777" w:rsidR="00CF7031" w:rsidRPr="00E33B0E" w:rsidRDefault="00CF7031" w:rsidP="00CF7031">
      <w:hyperlink r:id="rId210" w:history="1">
        <w:r w:rsidRPr="00E33B0E">
          <w:rPr>
            <w:rStyle w:val="Hyperlink"/>
            <w:rFonts w:eastAsia="Times New Roman" w:cs="Times New Roman"/>
            <w:szCs w:val="20"/>
          </w:rPr>
          <w:t>Des déclarations prononcées lors de processus et de manifestations de l'ONU</w:t>
        </w:r>
      </w:hyperlink>
      <w:r w:rsidRPr="00E33B0E">
        <w:t xml:space="preserve"> (à l'instar des </w:t>
      </w:r>
      <w:hyperlink r:id="rId211" w:history="1">
        <w:r w:rsidRPr="00E33B0E">
          <w:rPr>
            <w:rStyle w:val="Hyperlink"/>
            <w:rFonts w:eastAsia="Times New Roman" w:cs="Times New Roman"/>
            <w:szCs w:val="20"/>
          </w:rPr>
          <w:t>exemples de réussite présentés par la Commission sur le large bande concernant la promotion de l'égalité numérique</w:t>
        </w:r>
      </w:hyperlink>
      <w:r w:rsidRPr="00E33B0E">
        <w:t>, contribution au Forum politique de haut niveau de 2024).</w:t>
      </w:r>
    </w:p>
    <w:p w14:paraId="1ACC055E" w14:textId="77777777" w:rsidR="00CF7031" w:rsidRPr="00E33B0E" w:rsidRDefault="00CF7031" w:rsidP="00CF7031">
      <w:r w:rsidRPr="00E33B0E">
        <w:t xml:space="preserve">Le nouveau Groupe de travail sur la gouvernance des données, mis sur pied par l'UNESCO, l'UIT, le PNUD et la Commission de l'Union africaine (CUA), qui a tenu sa </w:t>
      </w:r>
      <w:hyperlink r:id="rId212" w:history="1">
        <w:r w:rsidRPr="00E33B0E">
          <w:rPr>
            <w:rStyle w:val="Hyperlink"/>
            <w:rFonts w:eastAsiaTheme="minorEastAsia" w:cs="Times New Roman"/>
            <w:szCs w:val="20"/>
          </w:rPr>
          <w:t>réunion physique à New York</w:t>
        </w:r>
      </w:hyperlink>
      <w:r w:rsidRPr="00E33B0E">
        <w:t xml:space="preserve">, s'appuie sur les travaux antérieurs de la Commission, tels que les </w:t>
      </w:r>
      <w:hyperlink r:id="rId213" w:history="1">
        <w:r w:rsidRPr="00E33B0E">
          <w:rPr>
            <w:rStyle w:val="Hyperlink"/>
            <w:rFonts w:eastAsiaTheme="minorEastAsia" w:cs="Times New Roman"/>
            <w:szCs w:val="20"/>
          </w:rPr>
          <w:t>Données pour l'apprentissage 2023</w:t>
        </w:r>
      </w:hyperlink>
      <w:r w:rsidRPr="00E33B0E">
        <w:t xml:space="preserve"> et le </w:t>
      </w:r>
      <w:hyperlink r:id="rId214" w:history="1">
        <w:r w:rsidRPr="00E33B0E">
          <w:rPr>
            <w:rStyle w:val="Hyperlink"/>
            <w:rFonts w:eastAsiaTheme="minorEastAsia" w:cs="Times New Roman"/>
            <w:szCs w:val="20"/>
          </w:rPr>
          <w:t>Renforcement des capacités en matière d'IA 2022</w:t>
        </w:r>
      </w:hyperlink>
      <w:r w:rsidRPr="00E33B0E">
        <w:t>.</w:t>
      </w:r>
    </w:p>
    <w:p w14:paraId="1FF69A67" w14:textId="77777777" w:rsidR="00CF7031" w:rsidRPr="00E33B0E" w:rsidRDefault="00CF7031" w:rsidP="009344CB">
      <w:pPr>
        <w:keepLines/>
      </w:pPr>
      <w:r w:rsidRPr="00E33B0E">
        <w:lastRenderedPageBreak/>
        <w:t>Activités stratégiques de communication: la Commission a acquis plus de 1 000 abonnés supplémentaires à son bulletin d'information et compte plus de 16 800 abonnés au total à ses comptes X (Twitter), LinkedIn et Facebook. Les rapports de la Commission ont été téléchargés plus de 55 800 fois en 2024.</w:t>
      </w:r>
    </w:p>
    <w:p w14:paraId="528E1E2F" w14:textId="77777777" w:rsidR="00CF7031" w:rsidRPr="00E33B0E" w:rsidRDefault="00CF7031" w:rsidP="00CF7031">
      <w:pPr>
        <w:pStyle w:val="Headingb"/>
        <w:tabs>
          <w:tab w:val="clear" w:pos="567"/>
        </w:tabs>
        <w:ind w:left="0" w:firstLine="0"/>
      </w:pPr>
      <w:r w:rsidRPr="00E33B0E">
        <w:t>Partenariat EQUALS – Promouvoir l'accès, les compétences et les responsabilités dans le secteur des TIC pour les femmes et les filles</w:t>
      </w:r>
    </w:p>
    <w:p w14:paraId="3128D6D4" w14:textId="77777777" w:rsidR="00CF7031" w:rsidRPr="00E33B0E" w:rsidRDefault="00CF7031" w:rsidP="00CF7031">
      <w:r w:rsidRPr="00E33B0E">
        <w:t>Le partenariat mondial pour l'égalité hommes-femmes à l'ère du numérique (</w:t>
      </w:r>
      <w:hyperlink r:id="rId215" w:history="1">
        <w:r w:rsidRPr="00E33B0E">
          <w:rPr>
            <w:rStyle w:val="Hyperlink"/>
            <w:rFonts w:eastAsia="Times New Roman" w:cs="Times New Roman"/>
            <w:szCs w:val="20"/>
          </w:rPr>
          <w:t>EQUALS</w:t>
        </w:r>
      </w:hyperlink>
      <w:r w:rsidRPr="00E33B0E">
        <w:t>) est un groupe engagé composé de dirigeants d'entreprises, de gouvernements, d'entreprises, d'organisations à but non lucratif, d'établissements universitaires, d'ONG et de groupes communautaires du monde entier, qui œuvre en faveur de la parité dans le secteur des technologies en préconisant, aussi bien pour les femmes que pour les hommes, l'égalité d'accès, le renforcement des compétences et l'accès à des possibilités de carrière. En 2024, le partenariat EQUALS a mené des activités avec plus de 100 partenaires, dont des gouvernements, des entreprises et des ONG.</w:t>
      </w:r>
    </w:p>
    <w:p w14:paraId="06C6501F" w14:textId="77777777" w:rsidR="00CF7031" w:rsidRPr="00E33B0E" w:rsidRDefault="00CF7031" w:rsidP="00CF7031">
      <w:pPr>
        <w:pStyle w:val="Headingb"/>
      </w:pPr>
      <w:r w:rsidRPr="00E33B0E">
        <w:t>L'Initiative Giga – À l'œuvre pour connecter toutes les écoles à l'Internet</w:t>
      </w:r>
    </w:p>
    <w:p w14:paraId="00FC6538" w14:textId="77777777" w:rsidR="00CF7031" w:rsidRPr="00E33B0E" w:rsidRDefault="00CF7031" w:rsidP="00CF7031">
      <w:r w:rsidRPr="00E33B0E">
        <w:t>L'</w:t>
      </w:r>
      <w:hyperlink r:id="rId216" w:history="1">
        <w:r w:rsidRPr="00E33B0E">
          <w:rPr>
            <w:rStyle w:val="Hyperlink"/>
            <w:rFonts w:eastAsia="Times New Roman" w:cs="Times New Roman"/>
            <w:szCs w:val="20"/>
          </w:rPr>
          <w:t>Initiative Giga</w:t>
        </w:r>
      </w:hyperlink>
      <w:r w:rsidRPr="00E33B0E">
        <w:t xml:space="preserve"> lancée en 2019 conjointement par l'UIT et l'UNICEF vise à aider les gouvernements et d'autres parties prenantes à connecter chaque école à l'Internet et à permettre à chaque enfant et chaque jeune d'avoir accès aux services issus des technologies de l'information, de bénéficier de nouvelles possibilités et d'avoir la liberté de choix, d'ici à 2030. Fin 2024, 34 pays et territoires prenaient part à l'Initiative Giga, qui vise à connecter les écoles et les communautés environnantes. Les travaux de l'Initiative Giga – reconnus dans le Pacte numérique mondial comme un élément essentiel pour cartographier la connectivité Internet et connecter les écoles et les hôpitaux – s'articulent autour de quatre grands piliers, à savoir la cartographie des écoles, la modélisation de l'infrastructure requise, la mobilisation des financements et la passation de contrats pour la connectivité. Ce travail s'appuie sur des programmes de renforcement des capacités menés avec les pouvoirs publics et les parties prenantes en s'appuyant sur la plate-forme de l'Académie de l'UIT.</w:t>
      </w:r>
    </w:p>
    <w:p w14:paraId="6DC3D268" w14:textId="77777777" w:rsidR="00CF7031" w:rsidRPr="00E33B0E" w:rsidRDefault="00CF7031" w:rsidP="00CF7031">
      <w:pPr>
        <w:pStyle w:val="Headingb"/>
      </w:pPr>
      <w:r w:rsidRPr="00E33B0E">
        <w:t>Initiative pour les investissements dans l'infrastructure numérique</w:t>
      </w:r>
    </w:p>
    <w:p w14:paraId="0C6BE169" w14:textId="77777777" w:rsidR="00CF7031" w:rsidRPr="00E33B0E" w:rsidRDefault="00CF7031" w:rsidP="00CF7031">
      <w:r w:rsidRPr="00E33B0E">
        <w:t>Le manque d'infrastructures numériques physiques reste l'un des principaux obstacles à la mise en place d'une connectivité universelle et efficace. Forte de ce constat, l'UIT a lancé l'Initiative pour les investissements dans l'infrastructure numérique (DIII) en avril 2024. Menée conjointement avec sept institutions de financement du développement, cette initiative a pour mission de recenser les principales mesures nécessaires pour combler le déficit d'investissement estimé à 1 600 milliards USD, afin de connecter véritablement tout le monde d'ici à 2030, la première étape étant d'élaborer des mécanismes et des plates</w:t>
      </w:r>
      <w:r w:rsidRPr="00E33B0E">
        <w:noBreakHyphen/>
        <w:t>formes de financement innovants.</w:t>
      </w:r>
    </w:p>
    <w:p w14:paraId="21B3414D" w14:textId="1E831326" w:rsidR="00CF7031" w:rsidRPr="00E33B0E" w:rsidRDefault="00CF7031" w:rsidP="00CF7031">
      <w:r w:rsidRPr="00E33B0E">
        <w:t>La quatrième Conférence internationale sur le financement du développement, qui se tiendra mi-2025, offre une occasion exceptionnelle de mobiliser des fonds pour investir dans l'infrastructure numérique. Une note d'orientation de l'UIT, s'appuyant sur les travaux de l'Initiative DIII, décrit trois étapes essentielles pour débloquer les investissements dans l'infrastructure numérique: premièrement, la création d'un forum technique avec les institutions de financement du développement; deuxièmement, le lancement d'une plate</w:t>
      </w:r>
      <w:r w:rsidRPr="00E33B0E">
        <w:noBreakHyphen/>
        <w:t>forme de transaction dédiée; et troisièmement, la création d'un pôle de connaissances</w:t>
      </w:r>
      <w:r w:rsidR="009344CB" w:rsidRPr="00E33B0E">
        <w:t> </w:t>
      </w:r>
      <w:r w:rsidRPr="00E33B0E">
        <w:t xml:space="preserve">sur les financements innovants de la connectivité au sein du nouveau </w:t>
      </w:r>
      <w:r w:rsidRPr="00E33B0E">
        <w:lastRenderedPageBreak/>
        <w:t>Giga</w:t>
      </w:r>
      <w:r w:rsidR="009344CB" w:rsidRPr="00E33B0E">
        <w:t> </w:t>
      </w:r>
      <w:r w:rsidRPr="00E33B0E">
        <w:t>Connectivity Centre établi à Genève. Cette conférence, qui se tiendra à Séville du</w:t>
      </w:r>
      <w:r w:rsidR="009344CB" w:rsidRPr="00E33B0E">
        <w:t> </w:t>
      </w:r>
      <w:r w:rsidRPr="00E33B0E">
        <w:t>30</w:t>
      </w:r>
      <w:r w:rsidR="009344CB" w:rsidRPr="00E33B0E">
        <w:t> </w:t>
      </w:r>
      <w:r w:rsidRPr="00E33B0E">
        <w:t>juin au 3 juillet, comprendra une manifestation parallèle intitulée "Stratégies pour le financement d'un monde connecté durable et inclusif", qui sera organisée par l'UIT en collaboration avec la CNUCED, l'UNICEF et les gouvernements du Brésil, de l'Espagne et de la République sudafricaine. Grâce à ces efforts continus, l'UIT renforce la collaboration entre les institutions de financement du développement, le secteur privé, les institutions des Nations Unies et d'autres acteurs clés, dans le but favoriser des investissements dans l'infrastructure numérique de l'importance requise partout dans le monde.</w:t>
      </w:r>
    </w:p>
    <w:p w14:paraId="74DCFDBD" w14:textId="77777777" w:rsidR="00CF7031" w:rsidRPr="00E33B0E" w:rsidRDefault="00CF7031" w:rsidP="00CF7031">
      <w:pPr>
        <w:pStyle w:val="Headingb"/>
      </w:pPr>
      <w:r w:rsidRPr="00E33B0E">
        <w:t>Organe consultatif international sur la résilience des câbles sous-marins</w:t>
      </w:r>
    </w:p>
    <w:p w14:paraId="5CFF2289" w14:textId="77777777" w:rsidR="00CF7031" w:rsidRPr="00E33B0E" w:rsidRDefault="00CF7031" w:rsidP="00CF7031">
      <w:r w:rsidRPr="00E33B0E">
        <w:t>En novembre 2024, l'UIT et le Comité international de protection des câbles (ICPC) ont lancé conjointement l'Organe consultatif international sur la résilience des câbles sous-marins, composé de 42 responsables et experts des secteurs public et privé. Cet organe consultatif, présidé conjointement par le ministre des communications, de l'innovation et de l'économie numérique du Nigéria et le directeur de l'autorité nationale de régulation des télécommunications du Portugal, Anacom, a pour objectif de trouver des moyens d'améliorer la résilience des câbles de télécommunication sous-marins. Cette infrastructure sous-marine essentielle achemine plus de 99% des communications internationales dans le monde.</w:t>
      </w:r>
    </w:p>
    <w:p w14:paraId="42DCCABF" w14:textId="77777777" w:rsidR="00CF7031" w:rsidRPr="00E33B0E" w:rsidRDefault="00CF7031" w:rsidP="00CF7031">
      <w:pPr>
        <w:pStyle w:val="Headingb"/>
      </w:pPr>
      <w:r w:rsidRPr="00E33B0E">
        <w:t>Infrastructure publique numérique</w:t>
      </w:r>
    </w:p>
    <w:p w14:paraId="2B5AC739" w14:textId="77777777" w:rsidR="00CF7031" w:rsidRPr="00E33B0E" w:rsidRDefault="00CF7031" w:rsidP="00CF7031">
      <w:r w:rsidRPr="00E33B0E">
        <w:t>Le premier Sommet mondial sur l'infrastructure publique numérique, organisé conjointement par le PNUD, le Bureau des Nations Unies pour le numérique et les technologies émergentes (ODET), la Banque mondiale et Co-Develop, avec le Gouvernement de l'Égypte, s'est tenu au Caire du 1er au 3 octobre 2024, sous les auspices de S. E. le Président Abdel Fattah Al-Sisi. Ce Sommet a réuni quelque 700 délégués de 101 pays – représentant des gouvernements, le secteur privé, la société civile et des organisations internationales – qui ont examiné comment une infrastructure publique numérique (DPI) sûre, inclusive et interopérable pourrait permettre de fournir des services plus efficacement, favoriser l'innovation, renforcer la coopération transfrontière dans le domaine du numérique et accélérer les progrès en matière de développement durable.</w:t>
      </w:r>
    </w:p>
    <w:p w14:paraId="54999445" w14:textId="77777777" w:rsidR="00CF7031" w:rsidRPr="00E33B0E" w:rsidRDefault="00CF7031" w:rsidP="00CF7031">
      <w:pPr>
        <w:pStyle w:val="Headingb"/>
      </w:pPr>
      <w:r w:rsidRPr="00E33B0E">
        <w:t>Forum sur la durabilité spatiale</w:t>
      </w:r>
    </w:p>
    <w:p w14:paraId="22DA0E9C" w14:textId="77777777" w:rsidR="00CF7031" w:rsidRPr="00E33B0E" w:rsidRDefault="00CF7031" w:rsidP="00CF7031">
      <w:r w:rsidRPr="00E33B0E">
        <w:t xml:space="preserve">La première édition du </w:t>
      </w:r>
      <w:hyperlink r:id="rId217" w:anchor="/fr" w:history="1">
        <w:r w:rsidRPr="00E33B0E">
          <w:rPr>
            <w:rStyle w:val="Hyperlink"/>
            <w:rFonts w:eastAsia="Times New Roman" w:cs="Times New Roman"/>
            <w:szCs w:val="20"/>
          </w:rPr>
          <w:t>Forum de l'UIT sur la durabilité spatiale</w:t>
        </w:r>
      </w:hyperlink>
      <w:r w:rsidRPr="00E33B0E">
        <w:t>, qui s'est tenue en septembre 2024, a rassemblé des responsables et des spécialistes du secteur des satellites et du secteur spatial, ainsi que des agences spatiales et de télécommunication, des gouvernements et d'autres parties prenantes engagées en faveur d'une utilisation responsable de l'espace. Le forum a été l'occasion de se pencher sur les politiques, les bonnes pratiques, les lignes directrices et les stratégies visant à faire en sorte que l'espace reste accessible et durable pour les ambitions spatiales futures et les générations de demain.</w:t>
      </w:r>
    </w:p>
    <w:p w14:paraId="226F2D99" w14:textId="77777777" w:rsidR="00CF7031" w:rsidRPr="00E33B0E" w:rsidRDefault="00CF7031" w:rsidP="00CF7031">
      <w:pPr>
        <w:pStyle w:val="Headingb"/>
      </w:pPr>
      <w:r w:rsidRPr="00E33B0E">
        <w:t>Initiative sur les mondes virtuels et l'IA</w:t>
      </w:r>
    </w:p>
    <w:p w14:paraId="1E34FF88" w14:textId="77777777" w:rsidR="00CF7031" w:rsidRPr="00E33B0E" w:rsidRDefault="00CF7031" w:rsidP="00CF7031">
      <w:r w:rsidRPr="00E33B0E">
        <w:t>En juin 2024, l'UIT, aux côtés du Centre international de calcul des Nations Unies (UNICC) et de Digital Dubaï, a lancé l'</w:t>
      </w:r>
      <w:hyperlink r:id="rId218" w:history="1">
        <w:r w:rsidRPr="00E33B0E">
          <w:rPr>
            <w:rStyle w:val="Hyperlink"/>
            <w:rFonts w:eastAsiaTheme="minorEastAsia" w:cs="Times New Roman"/>
            <w:szCs w:val="20"/>
          </w:rPr>
          <w:t xml:space="preserve">Initiative mondiale sur les mondes virtuels et l'IA – </w:t>
        </w:r>
        <w:r w:rsidRPr="00E33B0E">
          <w:rPr>
            <w:rStyle w:val="Hyperlink"/>
            <w:rFonts w:eastAsiaTheme="minorEastAsia" w:cs="Times New Roman"/>
            <w:i/>
            <w:iCs/>
            <w:szCs w:val="20"/>
          </w:rPr>
          <w:t>À la découverte des métavilles</w:t>
        </w:r>
      </w:hyperlink>
      <w:r w:rsidRPr="00E33B0E">
        <w:t>. Cette initiative constitue une tribune mondiale pour l'avènement de mondes virtuels ouverts, interopérables et innovants fondés sur l'IA qui pourront être utilisés en toute sécurité et en toute confiance par les personnes, les entreprises et les services publics.</w:t>
      </w:r>
    </w:p>
    <w:p w14:paraId="723BB9AD" w14:textId="77777777" w:rsidR="00CF7031" w:rsidRPr="00E33B0E" w:rsidRDefault="00CF7031" w:rsidP="00CF7031">
      <w:r w:rsidRPr="00E33B0E">
        <w:lastRenderedPageBreak/>
        <w:t xml:space="preserve">La </w:t>
      </w:r>
      <w:hyperlink r:id="rId219" w:anchor="/fr" w:history="1">
        <w:r w:rsidRPr="00E33B0E">
          <w:rPr>
            <w:rStyle w:val="Hyperlink"/>
            <w:rFonts w:eastAsiaTheme="minorEastAsia" w:cs="Times New Roman"/>
            <w:szCs w:val="20"/>
          </w:rPr>
          <w:t>Journée des mondes virtuels</w:t>
        </w:r>
      </w:hyperlink>
      <w:r w:rsidRPr="00E33B0E">
        <w:t xml:space="preserve"> des Nations Unies est une manifestation organisée chaque année par l'UIT et 17 autres entités des Nations Unies afin d'explorer des mondes virtuels fondés sur l'intelligence artificielle, y compris le métavers, afin de faire progresser les priorités mondiales en matière de développement, notamment le Pacte pour l'avenir et le Pacte numérique mondial adoptés récemment par les Nations Unies. La manifestation inaugurale, qui s'est tenue le 14 juin 2024 à Genève, a montré comment les plates-formes numériques immersives peuvent stimuler le progrès dans le monde. La deuxième édition aura lieu les 11 et 12 juin 2025 à Turin (Italie), avec des dialogues de haut niveau, des présentations interactives et des séances collaboratives visant à examiner de quelles manières les technologies virtuelles peuvent contribuer à la mise en place d'une infrastructure publique numérique résiliente et utiles à tous.</w:t>
      </w:r>
    </w:p>
    <w:p w14:paraId="784F27AB" w14:textId="77777777" w:rsidR="00CF7031" w:rsidRPr="00E33B0E" w:rsidRDefault="00CF7031" w:rsidP="00CF7031">
      <w:pPr>
        <w:pStyle w:val="Headingb"/>
      </w:pPr>
      <w:r w:rsidRPr="00E33B0E">
        <w:t>La transformation numérique au service des villes et des communautés intelligentes</w:t>
      </w:r>
    </w:p>
    <w:p w14:paraId="0FB1B4D9" w14:textId="77777777" w:rsidR="00CF7031" w:rsidRPr="00E33B0E" w:rsidRDefault="00CF7031" w:rsidP="00CF7031">
      <w:r w:rsidRPr="00E33B0E">
        <w:t>L'</w:t>
      </w:r>
      <w:hyperlink r:id="rId220" w:anchor="/fr" w:history="1">
        <w:r w:rsidRPr="00E33B0E">
          <w:rPr>
            <w:rStyle w:val="Hyperlink"/>
            <w:rFonts w:eastAsiaTheme="minorEastAsia" w:cs="Times New Roman"/>
            <w:szCs w:val="20"/>
          </w:rPr>
          <w:t>Initiative Tous unis pour des villes intelligentes et durables (U4SSC)</w:t>
        </w:r>
      </w:hyperlink>
      <w:r w:rsidRPr="00E33B0E">
        <w:t xml:space="preserve"> bénéficie du soutien de 19 institutions des Nations Unies et vise à atteindre l'ODD 11 ("Faire en sorte que les villes et les établissements humains soient ouverts à tous, sûrs, résilients et durables"). Plus de 200 villes ont adopté des </w:t>
      </w:r>
      <w:hyperlink r:id="rId221" w:anchor="/fr" w:history="1">
        <w:r w:rsidRPr="00E33B0E">
          <w:rPr>
            <w:rStyle w:val="Hyperlink"/>
            <w:rFonts w:eastAsiaTheme="minorEastAsia" w:cs="Times New Roman"/>
            <w:szCs w:val="20"/>
          </w:rPr>
          <w:t>indicateurs fondamentaux de performance de l'Initiative U4SSC</w:t>
        </w:r>
      </w:hyperlink>
      <w:r w:rsidRPr="00E33B0E">
        <w:t xml:space="preserve">, fondés sur des normes de l'UIT. Les résultats de ces évaluations sont présentés dans des </w:t>
      </w:r>
      <w:hyperlink r:id="rId222" w:anchor="/fr" w:history="1">
        <w:r w:rsidRPr="00E33B0E">
          <w:rPr>
            <w:rStyle w:val="Hyperlink"/>
            <w:rFonts w:eastAsiaTheme="minorEastAsia" w:cs="Times New Roman"/>
            <w:szCs w:val="20"/>
          </w:rPr>
          <w:t>"instantanés", des fiches d'information, des rapports de vérification et des études de cas sur les villes</w:t>
        </w:r>
      </w:hyperlink>
      <w:r w:rsidRPr="00E33B0E">
        <w:t>.</w:t>
      </w:r>
    </w:p>
    <w:p w14:paraId="2F73A7B3" w14:textId="77777777" w:rsidR="00CF7031" w:rsidRPr="00E33B0E" w:rsidRDefault="00CF7031" w:rsidP="00CF7031">
      <w:r w:rsidRPr="00E33B0E">
        <w:t xml:space="preserve">L'Initiative U4SSC fournit des avis spécialisés (voir </w:t>
      </w:r>
      <w:hyperlink r:id="rId223" w:anchor="/fr" w:history="1">
        <w:r w:rsidRPr="00E33B0E">
          <w:rPr>
            <w:rStyle w:val="Hyperlink"/>
            <w:rFonts w:eastAsiaTheme="minorEastAsia" w:cs="Times New Roman"/>
            <w:szCs w:val="20"/>
          </w:rPr>
          <w:t>les rapports de l'Initiative U4SSC</w:t>
        </w:r>
      </w:hyperlink>
      <w:r w:rsidRPr="00E33B0E">
        <w:t>) dans neuf domaines thématiques:</w:t>
      </w:r>
    </w:p>
    <w:p w14:paraId="02F540B8" w14:textId="77777777" w:rsidR="00CF7031" w:rsidRPr="00E33B0E" w:rsidRDefault="00CF7031" w:rsidP="00CF7031">
      <w:pPr>
        <w:pStyle w:val="enumlev1"/>
      </w:pPr>
      <w:r w:rsidRPr="00E33B0E">
        <w:t>•</w:t>
      </w:r>
      <w:r w:rsidRPr="00E33B0E">
        <w:tab/>
        <w:t>Plates-formes urbaines.</w:t>
      </w:r>
    </w:p>
    <w:p w14:paraId="15C07949" w14:textId="77777777" w:rsidR="00CF7031" w:rsidRPr="00E33B0E" w:rsidRDefault="00CF7031" w:rsidP="00CF7031">
      <w:pPr>
        <w:pStyle w:val="enumlev1"/>
      </w:pPr>
      <w:r w:rsidRPr="00E33B0E">
        <w:t>•</w:t>
      </w:r>
      <w:r w:rsidRPr="00E33B0E">
        <w:tab/>
        <w:t>Renforcer la résilience économique urbaine et les villes intelligentes et durables.</w:t>
      </w:r>
    </w:p>
    <w:p w14:paraId="13F99FF8" w14:textId="77777777" w:rsidR="00CF7031" w:rsidRPr="00E33B0E" w:rsidRDefault="00CF7031" w:rsidP="00CF7031">
      <w:pPr>
        <w:pStyle w:val="enumlev1"/>
      </w:pPr>
      <w:r w:rsidRPr="00E33B0E">
        <w:t>•</w:t>
      </w:r>
      <w:r w:rsidRPr="00E33B0E">
        <w:tab/>
        <w:t>L'intelligence artificielle dans les villes.</w:t>
      </w:r>
    </w:p>
    <w:p w14:paraId="6A7AAB48" w14:textId="77777777" w:rsidR="00CF7031" w:rsidRPr="00E33B0E" w:rsidRDefault="00CF7031" w:rsidP="00CF7031">
      <w:pPr>
        <w:pStyle w:val="enumlev1"/>
      </w:pPr>
      <w:r w:rsidRPr="00E33B0E">
        <w:t>•</w:t>
      </w:r>
      <w:r w:rsidRPr="00E33B0E">
        <w:tab/>
        <w:t>Construire des villes axées sur l'humain avec la transformation numérique.</w:t>
      </w:r>
    </w:p>
    <w:p w14:paraId="7F09E037" w14:textId="77777777" w:rsidR="00CF7031" w:rsidRPr="00E33B0E" w:rsidRDefault="00CF7031" w:rsidP="00CF7031">
      <w:pPr>
        <w:pStyle w:val="enumlev1"/>
      </w:pPr>
      <w:r w:rsidRPr="00E33B0E">
        <w:t>•</w:t>
      </w:r>
      <w:r w:rsidRPr="00E33B0E">
        <w:tab/>
        <w:t>L'infrastructure publique numérique au service des villes.</w:t>
      </w:r>
    </w:p>
    <w:p w14:paraId="38EB8FDF" w14:textId="77777777" w:rsidR="00CF7031" w:rsidRPr="00E33B0E" w:rsidRDefault="00CF7031" w:rsidP="00CF7031">
      <w:pPr>
        <w:pStyle w:val="enumlev1"/>
      </w:pPr>
      <w:r w:rsidRPr="00E33B0E">
        <w:t>•</w:t>
      </w:r>
      <w:r w:rsidRPr="00E33B0E">
        <w:tab/>
        <w:t>Le bien-être dans l'environnement numérique.</w:t>
      </w:r>
    </w:p>
    <w:p w14:paraId="3FFB3B73" w14:textId="77777777" w:rsidR="00CF7031" w:rsidRPr="00E33B0E" w:rsidRDefault="00CF7031" w:rsidP="00CF7031">
      <w:pPr>
        <w:pStyle w:val="enumlev1"/>
      </w:pPr>
      <w:r w:rsidRPr="00E33B0E">
        <w:t>•</w:t>
      </w:r>
      <w:r w:rsidRPr="00E33B0E">
        <w:tab/>
        <w:t>Transformation numérique durable, bâtiments et énergie urbaine.</w:t>
      </w:r>
    </w:p>
    <w:p w14:paraId="242471A9" w14:textId="77777777" w:rsidR="00CF7031" w:rsidRPr="00E33B0E" w:rsidRDefault="00CF7031" w:rsidP="00CF7031">
      <w:pPr>
        <w:pStyle w:val="enumlev1"/>
      </w:pPr>
      <w:r w:rsidRPr="00E33B0E">
        <w:t>•</w:t>
      </w:r>
      <w:r w:rsidRPr="00E33B0E">
        <w:tab/>
        <w:t>La durabilité socio-culturelle dans une gouvernance urbaine centrée sur l'humain.</w:t>
      </w:r>
    </w:p>
    <w:p w14:paraId="252933CB" w14:textId="77777777" w:rsidR="00CF7031" w:rsidRPr="00E33B0E" w:rsidRDefault="00CF7031" w:rsidP="00CF7031">
      <w:pPr>
        <w:pStyle w:val="enumlev1"/>
      </w:pPr>
      <w:r w:rsidRPr="00E33B0E">
        <w:t>•</w:t>
      </w:r>
      <w:r w:rsidRPr="00E33B0E">
        <w:tab/>
        <w:t>Anticiper l'avenir dans les villes.</w:t>
      </w:r>
    </w:p>
    <w:p w14:paraId="38B4AC97" w14:textId="77777777" w:rsidR="00CF7031" w:rsidRPr="00E33B0E" w:rsidRDefault="00CF7031" w:rsidP="00CF7031">
      <w:r w:rsidRPr="00E33B0E">
        <w:t xml:space="preserve">La </w:t>
      </w:r>
      <w:hyperlink r:id="rId224" w:anchor="/fr" w:history="1">
        <w:r w:rsidRPr="00E33B0E">
          <w:rPr>
            <w:rStyle w:val="Hyperlink"/>
            <w:rFonts w:eastAsiaTheme="minorEastAsia" w:cs="Times New Roman"/>
            <w:szCs w:val="20"/>
          </w:rPr>
          <w:t>huitième réunion de l'Initiative U4SSC</w:t>
        </w:r>
      </w:hyperlink>
      <w:r w:rsidRPr="00E33B0E">
        <w:t xml:space="preserve"> s'est tenue le 19 septembre 2024 à Madrid (Espagne). La réunion a été marquée par la création de nouveaux groupes thématiques et la publication des résultats de l'Initiative U4SSC.</w:t>
      </w:r>
    </w:p>
    <w:p w14:paraId="064DFF64" w14:textId="77777777" w:rsidR="00CF7031" w:rsidRPr="00E33B0E" w:rsidRDefault="00CF7031" w:rsidP="00CF7031">
      <w:r w:rsidRPr="00E33B0E">
        <w:t xml:space="preserve">Voir les </w:t>
      </w:r>
      <w:hyperlink r:id="rId225" w:anchor="/fr" w:history="1">
        <w:r w:rsidRPr="00E33B0E">
          <w:rPr>
            <w:rStyle w:val="Hyperlink"/>
            <w:rFonts w:eastAsiaTheme="minorEastAsia" w:cs="Times New Roman"/>
            <w:szCs w:val="20"/>
          </w:rPr>
          <w:t>rapports de l'Initiative U4SSC</w:t>
        </w:r>
      </w:hyperlink>
      <w:r w:rsidRPr="00E33B0E">
        <w:t xml:space="preserve"> et les </w:t>
      </w:r>
      <w:hyperlink r:id="rId226" w:history="1">
        <w:r w:rsidRPr="00E33B0E">
          <w:rPr>
            <w:rStyle w:val="Hyperlink"/>
            <w:rFonts w:eastAsiaTheme="minorEastAsia" w:cs="Times New Roman"/>
            <w:szCs w:val="20"/>
          </w:rPr>
          <w:t>rapports de l'UIT</w:t>
        </w:r>
      </w:hyperlink>
      <w:r w:rsidRPr="00E33B0E">
        <w:t xml:space="preserve"> sur les villes intelligentes.</w:t>
      </w:r>
    </w:p>
    <w:p w14:paraId="794B4D55" w14:textId="77777777" w:rsidR="00CF7031" w:rsidRPr="00E33B0E" w:rsidRDefault="00CF7031" w:rsidP="00CF7031">
      <w:r w:rsidRPr="00E33B0E">
        <w:t xml:space="preserve">Voir aussi les </w:t>
      </w:r>
      <w:hyperlink r:id="rId227" w:history="1">
        <w:r w:rsidRPr="00E33B0E">
          <w:rPr>
            <w:rStyle w:val="Hyperlink"/>
            <w:rFonts w:eastAsiaTheme="minorEastAsia" w:cs="Times New Roman"/>
            <w:szCs w:val="20"/>
          </w:rPr>
          <w:t>Dialogues de l'UIT sur la transformation numérique</w:t>
        </w:r>
      </w:hyperlink>
      <w:r w:rsidRPr="00E33B0E">
        <w:t xml:space="preserve"> (DTD), qui constituent une plate-forme dynamique pour échanger des connaissances et approfondir notre compréhension des technologies émergentes et de la normalisation technique dans divers domaines. Grâce à une série de sessions intéressantes, ces dialogues favorisent les discussions sur l'évolution rapide du paysage numérique et ses incidences sur les entreprises et la société.</w:t>
      </w:r>
    </w:p>
    <w:p w14:paraId="58E2A3F3" w14:textId="77777777" w:rsidR="00CF7031" w:rsidRPr="00E33B0E" w:rsidRDefault="00CF7031" w:rsidP="009344CB">
      <w:pPr>
        <w:keepLines/>
      </w:pPr>
      <w:r w:rsidRPr="00E33B0E">
        <w:lastRenderedPageBreak/>
        <w:t xml:space="preserve">Le </w:t>
      </w:r>
      <w:hyperlink r:id="rId228" w:history="1">
        <w:r w:rsidRPr="00E33B0E">
          <w:rPr>
            <w:rStyle w:val="Hyperlink"/>
            <w:rFonts w:eastAsiaTheme="minorEastAsia" w:cs="Times New Roman"/>
            <w:szCs w:val="20"/>
          </w:rPr>
          <w:t>Résumé de l'actualité sur la transformation numérique et les villes</w:t>
        </w:r>
      </w:hyperlink>
      <w:r w:rsidRPr="00E33B0E">
        <w:t>, publié par l'UIT, fournit les informations les plus récentes sur la transformation numérique, les villes intelligentes, les mondes virtuels et le métavers. Il contient également des informations sur les manifestations à venir et sur les nouvelles publications.</w:t>
      </w:r>
    </w:p>
    <w:p w14:paraId="09B874AD" w14:textId="77777777" w:rsidR="00CF7031" w:rsidRPr="00E33B0E" w:rsidRDefault="00CF7031" w:rsidP="00CF7031">
      <w:r w:rsidRPr="00E33B0E">
        <w:t xml:space="preserve">En outre, l'UIT continue de centraliser une mine de connaissances grâce au </w:t>
      </w:r>
      <w:hyperlink r:id="rId229" w:history="1">
        <w:r w:rsidRPr="00E33B0E">
          <w:rPr>
            <w:rStyle w:val="Hyperlink"/>
            <w:rFonts w:eastAsiaTheme="minorEastAsia" w:cs="Times New Roman"/>
            <w:szCs w:val="20"/>
          </w:rPr>
          <w:t>Centre de ressources sur la transformation numérique</w:t>
        </w:r>
      </w:hyperlink>
      <w:r w:rsidRPr="00E33B0E">
        <w:t>, qui regrouper des publications de grande qualité sur des sujets liés à la transformation numérique, notamment l'infrastructure publique numérique, l'intelligence artificielle, l'Internet des objets, la chaîne de blocs, les jumeaux numériques, le métavers et les mondes virtuels, ainsi que les tendances en matière de transformation numérique.</w:t>
      </w:r>
    </w:p>
    <w:p w14:paraId="0460CAB2" w14:textId="77777777" w:rsidR="00CF7031" w:rsidRPr="00E33B0E" w:rsidRDefault="00CF7031" w:rsidP="00CF7031">
      <w:pPr>
        <w:pStyle w:val="Headingb"/>
      </w:pPr>
      <w:r w:rsidRPr="00E33B0E">
        <w:t>Systèmes de transport intelligents</w:t>
      </w:r>
    </w:p>
    <w:p w14:paraId="104CCAD6" w14:textId="77777777" w:rsidR="00CF7031" w:rsidRPr="00E33B0E" w:rsidRDefault="00CF7031" w:rsidP="00CF7031">
      <w:r w:rsidRPr="00E33B0E">
        <w:t xml:space="preserve">L'AMNT-24 a adopté une nouvelle </w:t>
      </w:r>
      <w:hyperlink r:id="rId230" w:history="1">
        <w:r w:rsidRPr="00E33B0E">
          <w:rPr>
            <w:rStyle w:val="Hyperlink"/>
            <w:rFonts w:eastAsiaTheme="minorEastAsia" w:cs="Times New Roman"/>
            <w:szCs w:val="20"/>
          </w:rPr>
          <w:t>Résolution 104</w:t>
        </w:r>
      </w:hyperlink>
      <w:r w:rsidRPr="00E33B0E">
        <w:t>, intitulée "Promouvoir et renforcer les activités de normalisation relatives aux communications entre véhicules".</w:t>
      </w:r>
    </w:p>
    <w:p w14:paraId="6D0E21BF" w14:textId="77777777" w:rsidR="00CF7031" w:rsidRPr="00E33B0E" w:rsidRDefault="00CF7031" w:rsidP="00CF7031">
      <w:r w:rsidRPr="00E33B0E">
        <w:t>La Collaboration sur les normes de communication pour les systèmes de transport intelligents (</w:t>
      </w:r>
      <w:hyperlink r:id="rId231" w:history="1">
        <w:r w:rsidRPr="00E33B0E">
          <w:rPr>
            <w:rStyle w:val="Hyperlink"/>
            <w:rFonts w:eastAsiaTheme="minorEastAsia" w:cs="Times New Roman"/>
            <w:szCs w:val="20"/>
          </w:rPr>
          <w:t>CITS</w:t>
        </w:r>
      </w:hyperlink>
      <w:r w:rsidRPr="00E33B0E">
        <w:t xml:space="preserve">), qui offre un cadre mondial pour la coordination des normes de communication relatives aux systèmes de transport intelligents (ITS), continue d'assurer un lien essentiel entre l'UIT et le </w:t>
      </w:r>
      <w:hyperlink r:id="rId232" w:history="1">
        <w:r w:rsidRPr="00E33B0E">
          <w:rPr>
            <w:rStyle w:val="Hyperlink"/>
            <w:rFonts w:eastAsiaTheme="minorEastAsia" w:cs="Times New Roman"/>
            <w:szCs w:val="20"/>
          </w:rPr>
          <w:t>Forum mondial de l'harmonisation des Règlements concernant les véhicules (WP.29)</w:t>
        </w:r>
      </w:hyperlink>
      <w:r w:rsidRPr="00E33B0E">
        <w:t>, en permettant de traiter des questions clés telles que les systèmes ITS et la conduite automatisée, sur lesquelles diverses commissions d'études de l'UIT-T travaillent actuellement.</w:t>
      </w:r>
    </w:p>
    <w:p w14:paraId="52318A75" w14:textId="77777777" w:rsidR="00CF7031" w:rsidRPr="00E33B0E" w:rsidRDefault="00CF7031" w:rsidP="00CF7031">
      <w:r w:rsidRPr="00E33B0E">
        <w:t xml:space="preserve">Le 22 septembre 2023, la CITS a créé le </w:t>
      </w:r>
      <w:hyperlink r:id="rId233" w:history="1">
        <w:r w:rsidRPr="00E33B0E">
          <w:rPr>
            <w:rStyle w:val="Hyperlink"/>
            <w:rFonts w:eastAsiaTheme="minorEastAsia" w:cs="Times New Roman"/>
            <w:szCs w:val="20"/>
          </w:rPr>
          <w:t>Groupe d'experts sur les technologies de la communication pour la conduite automatisée</w:t>
        </w:r>
      </w:hyperlink>
      <w:r w:rsidRPr="00E33B0E">
        <w:t xml:space="preserve"> (EG-ComAD), lequel mènera ses activités dans le cadre de deux groupes de travail:</w:t>
      </w:r>
    </w:p>
    <w:p w14:paraId="51997DE6" w14:textId="77777777" w:rsidR="00CF7031" w:rsidRPr="00E33B0E" w:rsidRDefault="00CF7031" w:rsidP="00CF7031">
      <w:pPr>
        <w:pStyle w:val="enumlev1"/>
      </w:pPr>
      <w:r w:rsidRPr="00E33B0E">
        <w:t>•</w:t>
      </w:r>
      <w:r w:rsidRPr="00E33B0E">
        <w:tab/>
        <w:t xml:space="preserve">GT 1 – </w:t>
      </w:r>
      <w:hyperlink r:id="rId234" w:history="1">
        <w:r w:rsidRPr="00E33B0E">
          <w:rPr>
            <w:rStyle w:val="Hyperlink"/>
            <w:rFonts w:eastAsiaTheme="minorEastAsia" w:cs="Times New Roman"/>
            <w:i/>
            <w:iCs/>
            <w:szCs w:val="20"/>
          </w:rPr>
          <w:t>Communications entre véhicules pour l'insertion automatique dans des voies encombrées</w:t>
        </w:r>
      </w:hyperlink>
    </w:p>
    <w:p w14:paraId="087FC0C4" w14:textId="77777777" w:rsidR="00CF7031" w:rsidRPr="00E33B0E" w:rsidRDefault="00CF7031" w:rsidP="00CF7031">
      <w:pPr>
        <w:pStyle w:val="enumlev1"/>
      </w:pPr>
      <w:r w:rsidRPr="00E33B0E">
        <w:t>•</w:t>
      </w:r>
      <w:r w:rsidRPr="00E33B0E">
        <w:tab/>
        <w:t xml:space="preserve">GT 2 – </w:t>
      </w:r>
      <w:hyperlink r:id="rId235" w:history="1">
        <w:r w:rsidRPr="00E33B0E">
          <w:rPr>
            <w:rStyle w:val="Hyperlink"/>
            <w:rFonts w:eastAsiaTheme="minorEastAsia" w:cs="Times New Roman"/>
            <w:i/>
            <w:iCs/>
            <w:szCs w:val="20"/>
          </w:rPr>
          <w:t>Communications entre véhicules pour le freinage d'urgence avancé, y compris pour protéger les usagers de la route vulnérables (VRU)</w:t>
        </w:r>
      </w:hyperlink>
    </w:p>
    <w:p w14:paraId="2812DB5F" w14:textId="77777777" w:rsidR="00CF7031" w:rsidRPr="00E33B0E" w:rsidRDefault="00CF7031" w:rsidP="00CF7031">
      <w:r w:rsidRPr="00E33B0E">
        <w:t xml:space="preserve">L'UIT et la Commission économique des Nations Unies pour l'Europe (CEE-ONU) organisent conjointement la 20ème édition du </w:t>
      </w:r>
      <w:r w:rsidRPr="00E33B0E">
        <w:rPr>
          <w:b/>
          <w:bCs/>
        </w:rPr>
        <w:t>Colloque sur la voiture branchée de demain</w:t>
      </w:r>
      <w:r w:rsidRPr="00E33B0E">
        <w:t xml:space="preserve"> (</w:t>
      </w:r>
      <w:hyperlink r:id="rId236" w:history="1">
        <w:r w:rsidRPr="00E33B0E">
          <w:rPr>
            <w:rStyle w:val="Hyperlink"/>
            <w:rFonts w:eastAsiaTheme="minorEastAsia" w:cs="Times New Roman"/>
            <w:szCs w:val="20"/>
          </w:rPr>
          <w:t>FNC-2025</w:t>
        </w:r>
      </w:hyperlink>
      <w:r w:rsidRPr="00E33B0E">
        <w:t>), qui se tiendra du 24 au 27 mars 2025.</w:t>
      </w:r>
    </w:p>
    <w:p w14:paraId="76769FE1" w14:textId="77777777" w:rsidR="00CF7031" w:rsidRPr="00E33B0E" w:rsidRDefault="00CF7031" w:rsidP="00CF7031">
      <w:pPr>
        <w:pStyle w:val="Headingb"/>
      </w:pPr>
      <w:r w:rsidRPr="00E33B0E">
        <w:t>Réunions des directeurs techniques et des hauts dirigeants</w:t>
      </w:r>
    </w:p>
    <w:p w14:paraId="3FE068CF" w14:textId="77777777" w:rsidR="00CF7031" w:rsidRPr="00E33B0E" w:rsidRDefault="00CF7031" w:rsidP="00CF7031">
      <w:r w:rsidRPr="00E33B0E">
        <w:t>Les réunions des directeurs techniques et des hauts dirigeants permettent aux cadres du secteur de se rassembler pour débattre des priorités du secteur et des activités de normalisation connexes avec l'équipe de direction du Bureau de la normalisation des télécommunications (TSB) de l'UIT. Les communiqués de ces réunions mettent en évidence les domaines d'innovation qui profitent des nouvelles normes de l'UIT.</w:t>
      </w:r>
    </w:p>
    <w:p w14:paraId="1F21A099" w14:textId="77777777" w:rsidR="00CF7031" w:rsidRPr="00E33B0E" w:rsidRDefault="00CF7031" w:rsidP="00CF7031">
      <w:r w:rsidRPr="00E33B0E">
        <w:t xml:space="preserve">La </w:t>
      </w:r>
      <w:hyperlink r:id="rId237" w:history="1">
        <w:r w:rsidRPr="00E33B0E">
          <w:rPr>
            <w:rStyle w:val="Hyperlink"/>
            <w:rFonts w:eastAsiaTheme="minorEastAsia" w:cs="Times New Roman"/>
            <w:szCs w:val="20"/>
          </w:rPr>
          <w:t>Table ronde des hauts dirigeants</w:t>
        </w:r>
      </w:hyperlink>
      <w:r w:rsidRPr="00E33B0E">
        <w:t xml:space="preserve"> s'est tenue le 9 décembre 2024 lors du Sommet des dirigeants Telecom Review à Dubaï (Émirats arabes unis).</w:t>
      </w:r>
    </w:p>
    <w:p w14:paraId="681AC76D" w14:textId="77777777" w:rsidR="00CF7031" w:rsidRPr="00E33B0E" w:rsidRDefault="00CF7031" w:rsidP="009344CB">
      <w:pPr>
        <w:keepLines/>
      </w:pPr>
      <w:r w:rsidRPr="00E33B0E">
        <w:lastRenderedPageBreak/>
        <w:t>Les hauts dirigeants ont discuté de la prise en charge de la fibre optique, de l'intelligence artificielle pour les réseaux futurs ainsi que du traitement et de la gestion des données. Ils se sont également penchés sur les réseaux autre que de Terre, la lutte contre la fraude relative au trafic vocal, les réseaux large bande pour la sécurité publique et les technologies de l'information quantiques (</w:t>
      </w:r>
      <w:hyperlink r:id="rId238" w:history="1">
        <w:r w:rsidRPr="00E33B0E">
          <w:rPr>
            <w:rStyle w:val="Hyperlink"/>
            <w:rFonts w:eastAsiaTheme="minorEastAsia" w:cs="Times New Roman"/>
            <w:szCs w:val="20"/>
          </w:rPr>
          <w:t>communiqué</w:t>
        </w:r>
      </w:hyperlink>
      <w:r w:rsidRPr="00E33B0E">
        <w:t xml:space="preserve"> de la réunion).</w:t>
      </w:r>
    </w:p>
    <w:p w14:paraId="66618320" w14:textId="77777777" w:rsidR="00CF7031" w:rsidRPr="00E33B0E" w:rsidRDefault="00CF7031" w:rsidP="00CF7031">
      <w:pPr>
        <w:pStyle w:val="Headingb"/>
      </w:pPr>
      <w:r w:rsidRPr="00E33B0E">
        <w:t>Coopération mondiale en matière de normalisation</w:t>
      </w:r>
    </w:p>
    <w:p w14:paraId="45F05D5C" w14:textId="77777777" w:rsidR="00CF7031" w:rsidRPr="00E33B0E" w:rsidRDefault="00CF7031" w:rsidP="00CF7031">
      <w:r w:rsidRPr="00E33B0E">
        <w:t xml:space="preserve">Le Groupe </w:t>
      </w:r>
      <w:hyperlink r:id="rId239" w:history="1">
        <w:r w:rsidRPr="00E33B0E">
          <w:rPr>
            <w:rStyle w:val="Hyperlink"/>
            <w:rFonts w:eastAsiaTheme="minorEastAsia" w:cs="Times New Roman"/>
            <w:szCs w:val="20"/>
          </w:rPr>
          <w:t>Coopération en matière de normalisation mondiale (WSC)</w:t>
        </w:r>
      </w:hyperlink>
      <w:r w:rsidRPr="00E33B0E">
        <w:t xml:space="preserve"> est un partenariat entre l'UIT, l'Organisation internationale de normalisation (ISO) et la Commission électrotechnique internationale (CEI), qui vise à promouvoir le système d'élaboration de normes internationales d'application volontaire fondé sur un consensus.</w:t>
      </w:r>
    </w:p>
    <w:p w14:paraId="313A5A21" w14:textId="77777777" w:rsidR="00CF7031" w:rsidRPr="00E33B0E" w:rsidRDefault="00CF7031" w:rsidP="00CF7031">
      <w:r w:rsidRPr="00E33B0E">
        <w:t>Les principales activités menées en 2024 dans le cadre de ce partenariat sont les suivantes:</w:t>
      </w:r>
    </w:p>
    <w:p w14:paraId="26A0774F" w14:textId="77777777" w:rsidR="00CF7031" w:rsidRPr="00E33B0E" w:rsidRDefault="00CF7031" w:rsidP="00CF7031">
      <w:pPr>
        <w:pStyle w:val="enumlev1"/>
      </w:pPr>
      <w:r w:rsidRPr="00E33B0E">
        <w:t>–</w:t>
      </w:r>
      <w:r w:rsidRPr="00E33B0E">
        <w:tab/>
      </w:r>
      <w:hyperlink r:id="rId240" w:history="1">
        <w:r w:rsidRPr="00E33B0E">
          <w:rPr>
            <w:rStyle w:val="Hyperlink"/>
            <w:rFonts w:eastAsiaTheme="minorEastAsia" w:cs="Times New Roman"/>
            <w:szCs w:val="20"/>
          </w:rPr>
          <w:t>Journée mondiale de la normalisation (14 octobre 2024)</w:t>
        </w:r>
      </w:hyperlink>
      <w:r w:rsidRPr="00E33B0E">
        <w:t xml:space="preserve">: l'UIT, l'ISO et la CEI sont les organisateurs de la manifestation "Une vision commune pour un monde meilleur" (voir les </w:t>
      </w:r>
      <w:hyperlink r:id="rId241" w:history="1">
        <w:r w:rsidRPr="00E33B0E">
          <w:rPr>
            <w:rStyle w:val="Hyperlink"/>
            <w:rFonts w:eastAsiaTheme="minorEastAsia" w:cs="Times New Roman"/>
            <w:szCs w:val="20"/>
          </w:rPr>
          <w:t>éditions précédentes de la Journée mondiale de la normalisation</w:t>
        </w:r>
      </w:hyperlink>
      <w:r w:rsidRPr="00E33B0E">
        <w:t>).</w:t>
      </w:r>
    </w:p>
    <w:p w14:paraId="750DEAF0" w14:textId="77777777" w:rsidR="00CF7031" w:rsidRPr="00E33B0E" w:rsidRDefault="00CF7031" w:rsidP="00CF7031">
      <w:pPr>
        <w:pStyle w:val="enumlev1"/>
      </w:pPr>
      <w:r w:rsidRPr="00E33B0E">
        <w:t>–</w:t>
      </w:r>
      <w:r w:rsidRPr="00E33B0E">
        <w:tab/>
      </w:r>
      <w:hyperlink r:id="rId242" w:anchor="/fr" w:history="1">
        <w:r w:rsidRPr="00E33B0E">
          <w:rPr>
            <w:rStyle w:val="Hyperlink"/>
            <w:rFonts w:eastAsiaTheme="minorEastAsia" w:cs="Times New Roman"/>
            <w:szCs w:val="20"/>
          </w:rPr>
          <w:t>Collaboration pour les normes sur l'authenticité de l'IA et des contenus multimédia: "filigranage des contenus générés par l'IA"</w:t>
        </w:r>
      </w:hyperlink>
      <w:r w:rsidRPr="00E33B0E">
        <w:t xml:space="preserve"> organisé par l'UIT dans le cadre de la Coopération mondiale en matière de normalisation (voir le </w:t>
      </w:r>
      <w:hyperlink r:id="rId243" w:history="1">
        <w:r w:rsidRPr="00E33B0E">
          <w:rPr>
            <w:rStyle w:val="Hyperlink"/>
            <w:rFonts w:eastAsiaTheme="minorEastAsia" w:cs="Times New Roman"/>
            <w:szCs w:val="20"/>
          </w:rPr>
          <w:t>mandat</w:t>
        </w:r>
      </w:hyperlink>
      <w:r w:rsidRPr="00E33B0E">
        <w:t>).</w:t>
      </w:r>
    </w:p>
    <w:p w14:paraId="31FADFD7" w14:textId="77777777" w:rsidR="00CF7031" w:rsidRPr="00E33B0E" w:rsidRDefault="00CF7031" w:rsidP="00CF7031">
      <w:pPr>
        <w:pStyle w:val="enumlev1"/>
      </w:pPr>
      <w:r w:rsidRPr="00E33B0E">
        <w:t>–</w:t>
      </w:r>
      <w:r w:rsidRPr="00E33B0E">
        <w:tab/>
        <w:t xml:space="preserve">Le </w:t>
      </w:r>
      <w:hyperlink r:id="rId244" w:anchor="/fr" w:history="1">
        <w:r w:rsidRPr="00E33B0E">
          <w:rPr>
            <w:rStyle w:val="Hyperlink"/>
            <w:rFonts w:eastAsiaTheme="minorEastAsia" w:cs="Times New Roman"/>
            <w:szCs w:val="20"/>
          </w:rPr>
          <w:t>Sommet international sur les normes relatives à l'IA</w:t>
        </w:r>
      </w:hyperlink>
      <w:r w:rsidRPr="00E33B0E">
        <w:t xml:space="preserve"> lancé à New Delhi (Inde) en octobre 2024, pour répondre à l'appel de la communauté mondiale concernant un échange de normes relatives à l'IA. Cette initiative s'inscrit dans le cadre du Pacte numérique mondial (Cadre mondial pour la coopération numérique et la gouvernance de l'intelligence artificielle).</w:t>
      </w:r>
    </w:p>
    <w:p w14:paraId="006A0F41" w14:textId="77777777" w:rsidR="00CF7031" w:rsidRPr="00E33B0E" w:rsidRDefault="00CF7031" w:rsidP="00CF7031">
      <w:pPr>
        <w:pStyle w:val="enumlev1"/>
      </w:pPr>
      <w:r w:rsidRPr="00E33B0E">
        <w:t>–</w:t>
      </w:r>
      <w:r w:rsidRPr="00E33B0E">
        <w:tab/>
        <w:t>Présence conjointe sur le Pavillon des normes lors de la COP29 et poursuite de la collaboration dans le cadre du pilier Normes vertes concernant l'intégration de la durabilité dans les normes techniques dès la conception, en vue d'atteindre l'objectif zéro émission nette et d'instaurer une économie circulaire, à faible émission de carbone et à faible consommation de ressources.</w:t>
      </w:r>
    </w:p>
    <w:p w14:paraId="7FD7E369" w14:textId="77777777" w:rsidR="00CF7031" w:rsidRPr="00E33B0E" w:rsidRDefault="00CF7031" w:rsidP="00CF7031">
      <w:pPr>
        <w:pStyle w:val="Headingb"/>
      </w:pPr>
      <w:r w:rsidRPr="00E33B0E">
        <w:t>Tirer parti de l'IA dans le cadre de l'Initiative "Alertes précoces pour tous"</w:t>
      </w:r>
    </w:p>
    <w:p w14:paraId="183C3932" w14:textId="77777777" w:rsidR="00CF7031" w:rsidRPr="00E33B0E" w:rsidRDefault="00CF7031" w:rsidP="00CF7031">
      <w:r w:rsidRPr="00E33B0E">
        <w:t>L'UIT, en collaboration avec l'OMM, le Bureau des Nations Unies pour la réduction des risques de catastrophe (UNDRR) et la Fédération internationale des Sociétés de la Croix</w:t>
      </w:r>
      <w:r w:rsidRPr="00E33B0E">
        <w:noBreakHyphen/>
        <w:t xml:space="preserve">Rouge et du Croissant-Rouge (FICR), a créé le </w:t>
      </w:r>
      <w:hyperlink r:id="rId245" w:history="1">
        <w:r w:rsidRPr="00E33B0E">
          <w:rPr>
            <w:rStyle w:val="Hyperlink"/>
            <w:rFonts w:eastAsiaTheme="minorEastAsia" w:cs="Times New Roman"/>
            <w:szCs w:val="20"/>
          </w:rPr>
          <w:t>Sous-Groupe sur l'IA de l'Initiative "Alertes précoces pour tous"</w:t>
        </w:r>
      </w:hyperlink>
      <w:r w:rsidRPr="00E33B0E">
        <w:t>, afin de mettre à profit l'IA pour améliorer les systèmes d'alerte avancée en réunissant des experts des domaines de l'intelligences artificielle, des sciences des données et de la gestion des risques de catastrophe. Le groupe fait le pont entre la recherche sur l'IA et les besoins pratiques des professionnels dans le domaine de l'alerte précoce et des communautés du monde entier, avec des travaux en cours pour faciliter les initiatives pilotes dans les pays.</w:t>
      </w:r>
    </w:p>
    <w:p w14:paraId="5A9D1CB7" w14:textId="72C92BD1" w:rsidR="009344CB" w:rsidRPr="00E33B0E" w:rsidRDefault="00CF7031" w:rsidP="009344CB">
      <w:r w:rsidRPr="00E33B0E">
        <w:t xml:space="preserve">Par exemple, grâce à la </w:t>
      </w:r>
      <w:hyperlink r:id="rId246" w:history="1">
        <w:r w:rsidRPr="00E33B0E">
          <w:rPr>
            <w:rStyle w:val="Hyperlink"/>
            <w:rFonts w:eastAsiaTheme="minorEastAsia" w:cs="Times New Roman"/>
            <w:szCs w:val="20"/>
          </w:rPr>
          <w:t>carte de connectivité en cas de catastrophe</w:t>
        </w:r>
      </w:hyperlink>
      <w:r w:rsidRPr="00E33B0E">
        <w:t>, l'UIT s'est associée au laboratoire Microsoft AI for Good, à Planet et à l'Institute of Health Metrics Evaluation pour utiliser l'intelligence artificielle afin d'analyser l'imagerie satellite et de créer des cartes haute résolution de densité de population. L'</w:t>
      </w:r>
      <w:hyperlink r:id="rId247" w:history="1">
        <w:r w:rsidRPr="00E33B0E">
          <w:rPr>
            <w:rStyle w:val="Hyperlink"/>
            <w:rFonts w:eastAsiaTheme="minorEastAsia" w:cs="Times New Roman"/>
            <w:szCs w:val="20"/>
          </w:rPr>
          <w:t>outil "Carte mondiale des non connectés"</w:t>
        </w:r>
      </w:hyperlink>
      <w:r w:rsidRPr="00E33B0E">
        <w:t xml:space="preserve"> permet de recenser les zones où la connectivité est insuffisante, facilitant ainsi la diffusion</w:t>
      </w:r>
      <w:r w:rsidR="009344CB" w:rsidRPr="00E33B0E">
        <w:br w:type="page"/>
      </w:r>
    </w:p>
    <w:p w14:paraId="596AF360" w14:textId="7AA30253" w:rsidR="00CF7031" w:rsidRPr="00E33B0E" w:rsidRDefault="00CF7031" w:rsidP="00CF7031">
      <w:r w:rsidRPr="00E33B0E">
        <w:lastRenderedPageBreak/>
        <w:t>d'alertes avancées. Initialement mis en place sous la forme d'un projet pilote aux Fidji, aux Tonga et au Vanuatu, les travaux correspondants sont actuellement étendus à plus de 30 pays dans le cadre de l'Initiative "Alertes précoces pour tous".</w:t>
      </w:r>
    </w:p>
    <w:p w14:paraId="77079D43" w14:textId="77777777" w:rsidR="00CF7031" w:rsidRPr="00E33B0E" w:rsidRDefault="00CF7031" w:rsidP="00CF7031">
      <w:pPr>
        <w:pStyle w:val="Headingb"/>
      </w:pPr>
      <w:r w:rsidRPr="00E33B0E">
        <w:t>Promouvoir la résilience en cas de catastrophe fondée sur l'IA</w:t>
      </w:r>
    </w:p>
    <w:p w14:paraId="7A29090D" w14:textId="77777777" w:rsidR="00CF7031" w:rsidRPr="00E33B0E" w:rsidRDefault="00CF7031" w:rsidP="00CF7031">
      <w:r w:rsidRPr="00E33B0E">
        <w:t>L'UIT collabore avec l'OMM, le PNUE et d'autres organisations des Nations Unies pour promouvoir la résilience en cas de catastrophe fondée sur l'intelligence artificielle et jeter les bases pour élaborer des normes permettant d'appliquer l'intelligence artificielle à la gestion des catastrophes.</w:t>
      </w:r>
    </w:p>
    <w:p w14:paraId="134D1F5A" w14:textId="77777777" w:rsidR="00CF7031" w:rsidRPr="00E33B0E" w:rsidRDefault="00CF7031" w:rsidP="00CF7031">
      <w:r w:rsidRPr="00E33B0E">
        <w:t xml:space="preserve">Le </w:t>
      </w:r>
      <w:hyperlink r:id="rId248" w:anchor="/fr" w:history="1">
        <w:r w:rsidRPr="00E33B0E">
          <w:rPr>
            <w:rStyle w:val="Hyperlink"/>
            <w:rFonts w:eastAsiaTheme="minorEastAsia" w:cs="Times New Roman"/>
            <w:szCs w:val="20"/>
          </w:rPr>
          <w:t>Groupe spécialisé UIT/OMM/PNUE sur l'intelligence artificielle au service de la gestion des catastrophes naturelles (FG-AI4NDM)</w:t>
        </w:r>
      </w:hyperlink>
      <w:r w:rsidRPr="00E33B0E">
        <w:t>, créé en 2020, a exploré les possibilités qu'offre l'intelligence artificielle pour améliorer la collecte et le traitement des données ainsi que la modélisation dans les dimensions spatiales et temporelles et faciliter une communication efficace pendant les catastrophes. Le Groupe FG-AI4NDM a élaboré les produits suivants en 2024:</w:t>
      </w:r>
    </w:p>
    <w:p w14:paraId="10B87B44" w14:textId="77777777" w:rsidR="00CF7031" w:rsidRPr="00E33B0E" w:rsidRDefault="00CF7031" w:rsidP="00CF7031">
      <w:pPr>
        <w:pStyle w:val="enumlev1"/>
      </w:pPr>
      <w:r w:rsidRPr="00E33B0E">
        <w:t>•</w:t>
      </w:r>
      <w:r w:rsidRPr="00E33B0E">
        <w:tab/>
      </w:r>
      <w:hyperlink r:id="rId249" w:history="1">
        <w:r w:rsidRPr="00E33B0E">
          <w:rPr>
            <w:rStyle w:val="Hyperlink"/>
            <w:rFonts w:eastAsiaTheme="minorEastAsia" w:cs="Times New Roman"/>
            <w:szCs w:val="20"/>
          </w:rPr>
          <w:t>L'intelligence artificielle au service des communications pour la gestion des catastrophes naturelles</w:t>
        </w:r>
      </w:hyperlink>
      <w:r w:rsidRPr="00E33B0E">
        <w:rPr>
          <w:rStyle w:val="Hyperlink"/>
          <w:rFonts w:eastAsiaTheme="minorEastAsia" w:cs="Times New Roman"/>
          <w:szCs w:val="20"/>
        </w:rPr>
        <w:t>.</w:t>
      </w:r>
    </w:p>
    <w:p w14:paraId="105DA2B1" w14:textId="77777777" w:rsidR="00CF7031" w:rsidRPr="00E33B0E" w:rsidRDefault="00CF7031" w:rsidP="00CF7031">
      <w:pPr>
        <w:pStyle w:val="enumlev1"/>
      </w:pPr>
      <w:r w:rsidRPr="00E33B0E">
        <w:t>•</w:t>
      </w:r>
      <w:r w:rsidRPr="00E33B0E">
        <w:tab/>
      </w:r>
      <w:hyperlink r:id="rId250" w:history="1">
        <w:r w:rsidRPr="00E33B0E">
          <w:rPr>
            <w:rStyle w:val="Hyperlink"/>
            <w:rFonts w:eastAsiaTheme="minorEastAsia" w:cs="Times New Roman"/>
            <w:szCs w:val="20"/>
          </w:rPr>
          <w:t>Travaux de normalisation de la gestion des catastrophes naturelles: tendances et écarts en matière de normalisation</w:t>
        </w:r>
      </w:hyperlink>
      <w:r w:rsidRPr="00E33B0E">
        <w:rPr>
          <w:rStyle w:val="Hyperlink"/>
          <w:rFonts w:eastAsiaTheme="minorEastAsia" w:cs="Times New Roman"/>
          <w:szCs w:val="20"/>
        </w:rPr>
        <w:t>.</w:t>
      </w:r>
    </w:p>
    <w:p w14:paraId="7337229C" w14:textId="77777777" w:rsidR="00CF7031" w:rsidRPr="00E33B0E" w:rsidRDefault="00CF7031" w:rsidP="00CF7031">
      <w:pPr>
        <w:pStyle w:val="enumlev1"/>
      </w:pPr>
      <w:r w:rsidRPr="00E33B0E">
        <w:t>•</w:t>
      </w:r>
      <w:r w:rsidRPr="00E33B0E">
        <w:tab/>
      </w:r>
      <w:hyperlink r:id="rId251" w:history="1">
        <w:r w:rsidRPr="00E33B0E">
          <w:rPr>
            <w:rStyle w:val="Hyperlink"/>
            <w:rFonts w:eastAsiaTheme="minorEastAsia" w:cs="Times New Roman"/>
            <w:szCs w:val="20"/>
          </w:rPr>
          <w:t>Glossaire de l'intelligence artificielle au service de la gestion des catastrophes naturelles</w:t>
        </w:r>
      </w:hyperlink>
      <w:r w:rsidRPr="00E33B0E">
        <w:rPr>
          <w:rStyle w:val="Hyperlink"/>
          <w:rFonts w:eastAsiaTheme="minorEastAsia" w:cs="Times New Roman"/>
          <w:szCs w:val="20"/>
        </w:rPr>
        <w:t>.</w:t>
      </w:r>
    </w:p>
    <w:p w14:paraId="2537B15C" w14:textId="77777777" w:rsidR="00CF7031" w:rsidRPr="00E33B0E" w:rsidRDefault="00CF7031" w:rsidP="00CF7031">
      <w:pPr>
        <w:pStyle w:val="enumlev1"/>
      </w:pPr>
      <w:r w:rsidRPr="00E33B0E">
        <w:t>•</w:t>
      </w:r>
      <w:r w:rsidRPr="00E33B0E">
        <w:tab/>
      </w:r>
      <w:hyperlink r:id="rId252" w:history="1">
        <w:r w:rsidRPr="00E33B0E">
          <w:rPr>
            <w:rStyle w:val="Hyperlink"/>
            <w:rFonts w:eastAsiaTheme="minorEastAsia" w:cs="Times New Roman"/>
            <w:szCs w:val="20"/>
          </w:rPr>
          <w:t>Approches innovantes pour la gestion des catastrophes naturelles: tirer parti de l'IA pour les processus liés aux données</w:t>
        </w:r>
      </w:hyperlink>
      <w:r w:rsidRPr="00E33B0E">
        <w:rPr>
          <w:rStyle w:val="Hyperlink"/>
          <w:rFonts w:eastAsiaTheme="minorEastAsia" w:cs="Times New Roman"/>
          <w:szCs w:val="20"/>
        </w:rPr>
        <w:t>.</w:t>
      </w:r>
    </w:p>
    <w:p w14:paraId="649BE578" w14:textId="77777777" w:rsidR="00CF7031" w:rsidRPr="00E33B0E" w:rsidRDefault="00CF7031" w:rsidP="00CF7031">
      <w:pPr>
        <w:pStyle w:val="enumlev1"/>
      </w:pPr>
      <w:r w:rsidRPr="00E33B0E">
        <w:t>•</w:t>
      </w:r>
      <w:r w:rsidRPr="00E33B0E">
        <w:tab/>
      </w:r>
      <w:hyperlink r:id="rId253" w:history="1">
        <w:r w:rsidRPr="00E33B0E">
          <w:rPr>
            <w:rStyle w:val="Hyperlink"/>
            <w:rFonts w:eastAsiaTheme="minorEastAsia" w:cs="Times New Roman"/>
            <w:szCs w:val="20"/>
          </w:rPr>
          <w:t>Modèles IA porteurs de transformations au service de la gestion des catastrophes naturelles</w:t>
        </w:r>
      </w:hyperlink>
      <w:r w:rsidRPr="00E33B0E">
        <w:rPr>
          <w:rStyle w:val="Hyperlink"/>
          <w:rFonts w:eastAsiaTheme="minorEastAsia" w:cs="Times New Roman"/>
          <w:szCs w:val="20"/>
        </w:rPr>
        <w:t>.</w:t>
      </w:r>
    </w:p>
    <w:p w14:paraId="4BBF1EA2" w14:textId="77777777" w:rsidR="00CF7031" w:rsidRPr="00E33B0E" w:rsidRDefault="00CF7031" w:rsidP="00CF7031">
      <w:r w:rsidRPr="00E33B0E">
        <w:t xml:space="preserve">Le Groupe FG-AI4NDM a organisé 12 réunions et </w:t>
      </w:r>
      <w:hyperlink r:id="rId254" w:history="1">
        <w:r w:rsidRPr="00E33B0E">
          <w:rPr>
            <w:rStyle w:val="Hyperlink"/>
            <w:rFonts w:eastAsiaTheme="minorEastAsia" w:cs="Times New Roman"/>
            <w:szCs w:val="20"/>
          </w:rPr>
          <w:t>10 ateliers/webinaires</w:t>
        </w:r>
      </w:hyperlink>
      <w:r w:rsidRPr="00E33B0E">
        <w:t xml:space="preserve"> entre mars 2021 et mars 2024 (comme indiqué dans le </w:t>
      </w:r>
      <w:hyperlink r:id="rId255" w:history="1">
        <w:r w:rsidRPr="00E33B0E">
          <w:rPr>
            <w:rStyle w:val="Hyperlink"/>
            <w:rFonts w:eastAsiaTheme="minorEastAsia" w:cs="Times New Roman"/>
            <w:szCs w:val="20"/>
          </w:rPr>
          <w:t>rapport rendant compte des activités du Groupe FG</w:t>
        </w:r>
        <w:r w:rsidRPr="00E33B0E">
          <w:rPr>
            <w:rStyle w:val="Hyperlink"/>
            <w:rFonts w:eastAsiaTheme="minorEastAsia" w:cs="Times New Roman"/>
            <w:szCs w:val="20"/>
          </w:rPr>
          <w:noBreakHyphen/>
          <w:t>AI4NDM</w:t>
        </w:r>
      </w:hyperlink>
      <w:r w:rsidRPr="00E33B0E">
        <w:t xml:space="preserve">). Les bonnes pratiques définies par le Groupe FG-AI4NDM sont actuellement appliquées dans le cadre du projet </w:t>
      </w:r>
      <w:hyperlink r:id="rId256" w:history="1">
        <w:r w:rsidRPr="00E33B0E">
          <w:rPr>
            <w:rStyle w:val="Hyperlink"/>
            <w:rFonts w:eastAsiaTheme="minorEastAsia" w:cs="Times New Roman"/>
            <w:szCs w:val="20"/>
          </w:rPr>
          <w:t>MedEWSa</w:t>
        </w:r>
      </w:hyperlink>
      <w:r w:rsidRPr="00E33B0E">
        <w:t>, financé par l'UE, qui rassemble un consortium de partenaires, dont Justus-Liebig-Universität, l'OMM et le Centre européen pour les prévisions météorologiques à moyen terme (CEPMMT).</w:t>
      </w:r>
    </w:p>
    <w:p w14:paraId="7E071838" w14:textId="77777777" w:rsidR="00CF7031" w:rsidRPr="00E33B0E" w:rsidRDefault="00CF7031" w:rsidP="00CF7031">
      <w:r w:rsidRPr="00E33B0E">
        <w:t>S'appuyant sur les travaux du Groupe FG-AI4NDM, l'</w:t>
      </w:r>
      <w:hyperlink r:id="rId257" w:history="1">
        <w:r w:rsidRPr="00E33B0E">
          <w:rPr>
            <w:rStyle w:val="Hyperlink"/>
            <w:rFonts w:eastAsiaTheme="minorEastAsia" w:cs="Times New Roman"/>
            <w:szCs w:val="20"/>
          </w:rPr>
          <w:t>Initiative mondiale sur la résilience face aux risques naturels grâce aux solutions IA</w:t>
        </w:r>
      </w:hyperlink>
      <w:r w:rsidRPr="00E33B0E">
        <w:t xml:space="preserve"> a été lancée en mai 2024 lors du Sommet mondial sur l'IA au service du bien social. Cette initiative mondiale est le fruit d'une collaboration entre l'UIT, l'OMM, le PNUE, la CCNUCC et l'UPU. Cette initiative vise à continuer de réfléchir à la manière de mettre à profit l'IA pour renforcer la résilience face aux catastrophes naturelles, en offrant des avis spécialisés, en fournissant un appui dans le domaine de la recherche et en jetant les bases requises pour élaborer des normes relatives à l'utilisation de l'IA tout au long du cycle de gestion des catastrophes.</w:t>
      </w:r>
    </w:p>
    <w:p w14:paraId="713927B5" w14:textId="77777777" w:rsidR="00CF7031" w:rsidRPr="00E33B0E" w:rsidRDefault="00CF7031" w:rsidP="00CF7031">
      <w:r w:rsidRPr="00E33B0E">
        <w:t>La première réunion de l'Initiative mondiale s'est tenue à Barcelone (Espagne) le 6 novembre 2024, à l'invitation du Barcelona Supercomputing Centre.</w:t>
      </w:r>
    </w:p>
    <w:p w14:paraId="38B54543" w14:textId="77777777" w:rsidR="00CF7031" w:rsidRPr="00E33B0E" w:rsidRDefault="00CF7031" w:rsidP="00CF7031">
      <w:pPr>
        <w:pStyle w:val="Headingb"/>
      </w:pPr>
      <w:r w:rsidRPr="00E33B0E">
        <w:lastRenderedPageBreak/>
        <w:t>L'intelligence artificielle et l'Internet des objets au service de l'agriculture numérique</w:t>
      </w:r>
    </w:p>
    <w:p w14:paraId="1D2EF495" w14:textId="77777777" w:rsidR="00CF7031" w:rsidRPr="00E33B0E" w:rsidRDefault="00CF7031" w:rsidP="00CF7031">
      <w:r w:rsidRPr="00E33B0E">
        <w:t xml:space="preserve">Le </w:t>
      </w:r>
      <w:hyperlink r:id="rId258" w:anchor="/fr" w:history="1">
        <w:r w:rsidRPr="00E33B0E">
          <w:rPr>
            <w:rStyle w:val="Hyperlink"/>
            <w:rFonts w:eastAsiaTheme="minorEastAsia" w:cs="Times New Roman"/>
            <w:szCs w:val="20"/>
          </w:rPr>
          <w:t>Groupe spécialisé UIT/FAO sur l'intelligence artificielle et l'Internet des objets au service de l'agriculture numérique (FG-AI4A)</w:t>
        </w:r>
      </w:hyperlink>
      <w:r w:rsidRPr="00E33B0E">
        <w:t xml:space="preserve">, créé en octobre 2021, était chargé d'étudier la manière dont l'intelligence artificielle, l'Internet des objets (IoT) et d'autres technologies émergentes peuvent améliorer la productivité agricole et la sécurité alimentaire mondiale. Le Groupe FG-AI4A a tenu 10 réunions et </w:t>
      </w:r>
      <w:hyperlink r:id="rId259" w:history="1">
        <w:r w:rsidRPr="00E33B0E">
          <w:rPr>
            <w:rStyle w:val="Hyperlink"/>
            <w:rFonts w:eastAsiaTheme="minorEastAsia" w:cs="Times New Roman"/>
            <w:szCs w:val="20"/>
          </w:rPr>
          <w:t>10 ateliers/webinaires</w:t>
        </w:r>
      </w:hyperlink>
      <w:r w:rsidRPr="00E33B0E">
        <w:t xml:space="preserve"> entre mars 2022 et juin 2024 et a réuni des experts de divers secteurs, notamment des organismes publics, des établissements universitaires, des entreprises et des organisations internationales, afin de mettre en évidence des solutions fondées sur l'IA pour le secteur agricole.</w:t>
      </w:r>
    </w:p>
    <w:p w14:paraId="2D69B86B" w14:textId="77777777" w:rsidR="00CF7031" w:rsidRPr="00E33B0E" w:rsidRDefault="00CF7031" w:rsidP="00CF7031">
      <w:r w:rsidRPr="00E33B0E">
        <w:t xml:space="preserve">Lorsqu'il était en activité, le Groupe FG-AI4A s'est employé à identifier les lacunes en matière de normalisation, à faciliter l'échange de connaissances et à élaborer de bonnes pratiques visant à tirer parti de l'IA pour l'agriculture de précision, la résilience climatique et l'optimisation des ressources dans l'ensemble des processus de production agricole (voir le </w:t>
      </w:r>
      <w:hyperlink r:id="rId260" w:anchor="p=1" w:history="1">
        <w:r w:rsidRPr="00E33B0E">
          <w:rPr>
            <w:rStyle w:val="Hyperlink"/>
            <w:rFonts w:eastAsiaTheme="minorEastAsia" w:cs="Times New Roman"/>
            <w:szCs w:val="20"/>
          </w:rPr>
          <w:t>rapport rendant compte des activités du Groupe FG-AI4A</w:t>
        </w:r>
      </w:hyperlink>
      <w:r w:rsidRPr="00E33B0E">
        <w:t>).</w:t>
      </w:r>
    </w:p>
    <w:p w14:paraId="4BD4B4DE" w14:textId="77777777" w:rsidR="00CF7031" w:rsidRPr="00E33B0E" w:rsidRDefault="00CF7031" w:rsidP="00CF7031">
      <w:pPr>
        <w:pStyle w:val="Heading2"/>
      </w:pPr>
      <w:bookmarkStart w:id="49" w:name="_Toc199753915"/>
      <w:r w:rsidRPr="00E33B0E">
        <w:t>5.6</w:t>
      </w:r>
      <w:r w:rsidRPr="00E33B0E">
        <w:tab/>
        <w:t>Mobilisation des ressources</w:t>
      </w:r>
      <w:bookmarkEnd w:id="49"/>
    </w:p>
    <w:p w14:paraId="3A2B73E1" w14:textId="77777777" w:rsidR="00CF7031" w:rsidRPr="00E33B0E" w:rsidRDefault="00CF7031" w:rsidP="00CF7031">
      <w:r w:rsidRPr="00E33B0E">
        <w:t>Le Conseil de l'UIT – conformément aux instructions de la Conférence de plénipotentiaires de 2022 (PP-22) – a adopté une stratégie de mobilisation des ressources proposée par la Secrétaire générale à la session de 2024 du Conseil. La stratégie de mobilisation des ressources comprend trois grands domaines d'action: renforcer la participation des membres et augmenter les produits correspondants, tirer parti des manifestations, produits et services et accroître les contributions volontaires.</w:t>
      </w:r>
    </w:p>
    <w:p w14:paraId="3009404D" w14:textId="77777777" w:rsidR="00CF7031" w:rsidRPr="00E33B0E" w:rsidRDefault="00CF7031" w:rsidP="00CF7031">
      <w:r w:rsidRPr="00E33B0E">
        <w:t>Les contributions versées par les États Membres sous la forme d'unités contributives représentent environ 70% des produits inscrits au budget ordinaire. Lors de l'élaboration de la stratégie dans le cadre du Groupe de travail du Conseil sur les ressources financières et les ressources humaines (GTC-FHR), les délégués ont demandé au Secrétariat de l'UIT d'apporter son assistance afin de les aider à œuvrer, au sein de leur propre administration, afin que leur pays maintienne ou augmente le nombre d'unités contributives versées. Le secrétariat élabore actuellement un dossier pour expliquer en quoi il est utile de financer l'UIT, ainsi que des documents d'information et des ressources web connexes actualisées que les délégations peuvent utiliser pour leurs consultations internes.</w:t>
      </w:r>
    </w:p>
    <w:p w14:paraId="6DF4A156" w14:textId="77777777" w:rsidR="00CF7031" w:rsidRPr="00E33B0E" w:rsidRDefault="00CF7031" w:rsidP="00CF7031">
      <w:r w:rsidRPr="00E33B0E">
        <w:t xml:space="preserve">Le secrétariat déploie également des efforts considérables pour moderniser ses opérations, ce qui lui permet de réaliser de nouveaux gains d'efficacité et d'établir des rapports plus détaillés et transparents à l'intention des États Membres. Enfin, sous la direction du Groupe de travail du Conseil chargé d'élaborer le Plan stratégique et le Plan financier (GTC-SFP), des activités sont en cours à l'échelle de l'UIT pour améliorer la présentation du budget de l'Union et établir des liens plus clairs entre le budget et les plans opérationnel et stratégique, afin d'identifier les domaines dans lesquels les financements sont insuffisants. En vue de renforcer la participation des Membres de Secteur et d'accroître les produits correspondants, qui représentent environ 10% des produits inscrits au budget ordinaire, la stratégie prévoit un examen de la composition des Secteurs en concertation avec les groupes consultatifs des Secteurs. Il s'agit notamment de réfléchir à des avantages qui inciteraient les Membres de Secteur actuels à être Membres de plusieurs Secteurs et les Associés à devenir des Membres de Secteur à part entière, mais aussi de revoir et de moderniser des services phares proposés aux membres comme les commissions d'études. </w:t>
      </w:r>
      <w:r w:rsidRPr="00E33B0E">
        <w:lastRenderedPageBreak/>
        <w:t>À cette fin, le GTC-FHR a adressé aux groupes consultatifs une note de liaison leur demandant de soumettre des contributions. Cette question figurera à l'ordre du jour des réunions des groupes consultatifs de chaque Secteur en 2025, et il sera rendu compte des conclusions à la session d'automne du GTC-FHR.</w:t>
      </w:r>
    </w:p>
    <w:p w14:paraId="5CDE5880" w14:textId="77777777" w:rsidR="00CF7031" w:rsidRPr="00E33B0E" w:rsidRDefault="00CF7031" w:rsidP="00CF7031">
      <w:r w:rsidRPr="00E33B0E">
        <w:t>La stratégie de mobilisation des ressources prévoit également de revoir les manifestations, produits et services. Les produits et services représentent environ 20% du budget ordinaire grâce au recouvrement des coûts. Des investissements dans de nouveaux systèmes ont été consentis pour moderniser la fourniture des produits liés aux services maritimes, qui représentent l'autre moitié des produits tirés du recouvrement des coûts, et d'autres investissements sont prévus pour soutenir la vente de produits numériques et la modernisation de l'expérience lors des manifestations de l'UIT, ce qui ouvrirait la voie à de nouvelles sources potentielles de produits. En outre, de grandes manifestations comme le Sommet sur l'intelligence artificielle au service du bien social expérimentent différents modèles pour générer des produits.</w:t>
      </w:r>
    </w:p>
    <w:p w14:paraId="58F614DE" w14:textId="77777777" w:rsidR="00CF7031" w:rsidRPr="00E33B0E" w:rsidRDefault="00CF7031" w:rsidP="00CF7031">
      <w:r w:rsidRPr="00E33B0E">
        <w:t>En ce qui concerne les contributions volontaires, qui sont utilisées pour compléter le budget ordinaire, la Conférence mondiale de développement des télécommunications de 2025 (CMDT-25) offre l'occasion d'explorer de nouvelles approches pour trouver des financements pour les projets et les initiatives. Des initiatives comme l'Initiative Giga confirment qu'il est possible d'accroître le financement et d'optimiser les retombées grâce à des partenariats avec d'autres institutions des Nations Unies. Le secrétariat se penche actuellement sur les principaux catalyseurs concernant la mise en œuvre des projets, notamment la rationalisation des processus de recrutement et de passation de marchés, la mise en place de nouveaux systèmes informatiques pour assurer une coordination efficace, à l'échelle de l'UIT, des activités de communication auprès des membres et des partenaires, et la définition d'une nouvelle stratégie de partenariat afin de tirer parti des partenariats pour obtenir des résultats et assurer une plus grande transparence, tout en préservant la réputation de l'UIT.</w:t>
      </w:r>
    </w:p>
    <w:p w14:paraId="738B77D7" w14:textId="77777777" w:rsidR="00CF7031" w:rsidRPr="00E33B0E" w:rsidRDefault="00CF7031" w:rsidP="00CF7031">
      <w:pPr>
        <w:pStyle w:val="Heading2"/>
      </w:pPr>
      <w:bookmarkStart w:id="50" w:name="_Toc199753916"/>
      <w:r w:rsidRPr="00E33B0E">
        <w:t>5.7</w:t>
      </w:r>
      <w:r w:rsidRPr="00E33B0E">
        <w:tab/>
        <w:t>Excellence en matière de ressources humaines et d'innovation institutionnelle</w:t>
      </w:r>
      <w:bookmarkEnd w:id="50"/>
    </w:p>
    <w:p w14:paraId="48816239" w14:textId="77777777" w:rsidR="00CF7031" w:rsidRPr="00E33B0E" w:rsidRDefault="00CF7031" w:rsidP="00CF7031">
      <w:pPr>
        <w:pStyle w:val="Heading3"/>
      </w:pPr>
      <w:bookmarkStart w:id="51" w:name="_Toc199753917"/>
      <w:r w:rsidRPr="00E33B0E">
        <w:t>5.7.1</w:t>
      </w:r>
      <w:r w:rsidRPr="00E33B0E">
        <w:tab/>
        <w:t>Ressources humaines</w:t>
      </w:r>
      <w:bookmarkEnd w:id="51"/>
    </w:p>
    <w:p w14:paraId="26A20CEF" w14:textId="77777777" w:rsidR="00CF7031" w:rsidRPr="00E33B0E" w:rsidRDefault="00CF7031" w:rsidP="00CF7031">
      <w:r w:rsidRPr="00E33B0E">
        <w:t>En 2024, l'UIT a poursuivi sa vision consistant à se doter d'un personnel souple, compétent et doté des moyens dont il a besoin, tout en favorisant une culture du travail accueillante et en fournissant des services RH axés sur les personnes. Ces efforts étaient au cœur de la transformation institutionnelle de l'UIT, et ont permis de renforcer sa capacité de faire face à l'évolution des priorités et de mener à bien sa mission.</w:t>
      </w:r>
    </w:p>
    <w:p w14:paraId="31D6F9B4" w14:textId="77777777" w:rsidR="00CF7031" w:rsidRPr="00E33B0E" w:rsidRDefault="00CF7031" w:rsidP="00CF7031">
      <w:pPr>
        <w:pStyle w:val="enumlev1"/>
      </w:pPr>
      <w:r w:rsidRPr="00E33B0E">
        <w:t>a)</w:t>
      </w:r>
      <w:r w:rsidRPr="00E33B0E">
        <w:tab/>
      </w:r>
      <w:r w:rsidRPr="00E33B0E">
        <w:rPr>
          <w:b/>
          <w:bCs/>
        </w:rPr>
        <w:t>Personnes</w:t>
      </w:r>
      <w:r w:rsidRPr="00E33B0E">
        <w:t>: un plan de formation rentable a été mis en œuvre en s'appuyant sur un modèle hybride et des plates-formes externes afin d'améliorer l'accessibilité et de maîtriser les coûts. Le système de gestion de la performance a été simplifié moyennant la mise en place d'un outil ePMDS simplifié et des formations ciblées visant à promouvoir la responsabilisation, le retour d'information continu et le perfectionnement professionnel.</w:t>
      </w:r>
    </w:p>
    <w:p w14:paraId="1F362FCE" w14:textId="77777777" w:rsidR="00CF7031" w:rsidRPr="00E33B0E" w:rsidRDefault="00CF7031" w:rsidP="00CF7031">
      <w:pPr>
        <w:pStyle w:val="enumlev1"/>
      </w:pPr>
      <w:r w:rsidRPr="00E33B0E">
        <w:tab/>
        <w:t xml:space="preserve">Le développement des talents a été amélioré grâce à la mise en œuvre du Programme pour les jeunes professionnels, à l'élargissement du programme des administrateurs auxiliaires (JPO, 8 personnes recrutées en mars 2025 et d'autres devraient l'être dans le courant de l'année) et à un nouveau partenariat avec les Volontaires des </w:t>
      </w:r>
      <w:r w:rsidRPr="00E33B0E">
        <w:lastRenderedPageBreak/>
        <w:t xml:space="preserve">Nations Unies (UNV), afin d'accroître la souplesse pour ce qui est du personnel. Un deuxième volet du programme de départ volontaire a été lancé, permettant une plus grande souplesse organisationnelle et soutenant la réorganisation structurelle. Le </w:t>
      </w:r>
      <w:hyperlink r:id="rId261" w:history="1">
        <w:r w:rsidRPr="00E33B0E">
          <w:rPr>
            <w:rStyle w:val="Hyperlink"/>
            <w:rFonts w:eastAsiaTheme="minorEastAsia" w:cs="Times New Roman"/>
            <w:szCs w:val="20"/>
          </w:rPr>
          <w:t>tableau de bord présentant les données analytiques sur le personnel</w:t>
        </w:r>
      </w:hyperlink>
      <w:r w:rsidRPr="00E33B0E">
        <w:t xml:space="preserve"> est à la disposition des États Membres sur le site web du Conseil (Microsoft Power BI).</w:t>
      </w:r>
    </w:p>
    <w:p w14:paraId="7CD4BB43" w14:textId="77777777" w:rsidR="00CF7031" w:rsidRPr="00E33B0E" w:rsidRDefault="00CF7031" w:rsidP="00CF7031">
      <w:pPr>
        <w:pStyle w:val="Figure"/>
      </w:pPr>
      <w:r w:rsidRPr="00E33B0E">
        <w:rPr>
          <w:noProof/>
        </w:rPr>
        <w:drawing>
          <wp:inline distT="0" distB="0" distL="0" distR="0" wp14:anchorId="02ECF8F6" wp14:editId="5817B2CF">
            <wp:extent cx="3803015" cy="2171714"/>
            <wp:effectExtent l="0" t="0" r="6985" b="0"/>
            <wp:docPr id="13182526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2632" name="Picture 1" descr="A screenshot of a computer screen&#10;&#10;AI-generated content may be incorrect."/>
                    <pic:cNvPicPr/>
                  </pic:nvPicPr>
                  <pic:blipFill>
                    <a:blip r:embed="rId262"/>
                    <a:stretch>
                      <a:fillRect/>
                    </a:stretch>
                  </pic:blipFill>
                  <pic:spPr>
                    <a:xfrm>
                      <a:off x="0" y="0"/>
                      <a:ext cx="3803015" cy="2171714"/>
                    </a:xfrm>
                    <a:prstGeom prst="rect">
                      <a:avLst/>
                    </a:prstGeom>
                  </pic:spPr>
                </pic:pic>
              </a:graphicData>
            </a:graphic>
          </wp:inline>
        </w:drawing>
      </w:r>
    </w:p>
    <w:p w14:paraId="0820F9D8" w14:textId="77777777" w:rsidR="00CF7031" w:rsidRPr="00E33B0E" w:rsidRDefault="00CF7031" w:rsidP="00CF7031">
      <w:pPr>
        <w:pStyle w:val="enumlev1"/>
      </w:pPr>
      <w:r w:rsidRPr="00E33B0E">
        <w:t>b)</w:t>
      </w:r>
      <w:r w:rsidRPr="00E33B0E">
        <w:tab/>
      </w:r>
      <w:r w:rsidRPr="00E33B0E">
        <w:rPr>
          <w:b/>
          <w:bCs/>
        </w:rPr>
        <w:t>Culture</w:t>
      </w:r>
      <w:r w:rsidRPr="00E33B0E">
        <w:t>: l'externalisation de la fonction d'ombudsman à l'UNOMS a marqué une étape importante dans le renforcement des mécanismes d'appui internes de l'UIT. Le premier programme "Leadership inclusif" a été mis en œuvre avec succès à l'intention des fonctionnaires de grade P5 et supérieur, dans le cadre d'un programme de leadership plus vaste et plus complet. Une nouvelle politique de formation obligatoire a été mise en place afin d'établir un socle commun de connaissances et de renforcer les normes institutionnelles et les comportements. Notre premier plan de mise en œuvre de la parité hommes-femmes et notre premier plan d'action en matière de santé mentale et de bien-être ont été élaborés, et de vastes initiatives dans les domaines du conseil au personnel et du bien-être ont favorisé davantage l'engagement du personnel et l'inclusion sur le lieu de travail. La première enquête sur la mobilisation des fonctionnaires a été élaborée et menée afin d'évaluer leur niveau d'engagement, leur motivation et leur lien avec leur travail et avec l'organisation, l'objectif étant de disposer de données pour éclairer des stratégies visant à renforcer l'efficience et l'efficacité de l'organisation. Soixante-douze pour cent des fonctionnaires ont répondu à cette enquête.</w:t>
      </w:r>
    </w:p>
    <w:p w14:paraId="741D9AB9" w14:textId="77777777" w:rsidR="00CF7031" w:rsidRPr="00E33B0E" w:rsidRDefault="00CF7031" w:rsidP="00CF7031">
      <w:pPr>
        <w:pStyle w:val="enumlev1"/>
      </w:pPr>
      <w:r w:rsidRPr="00E33B0E">
        <w:t>c)</w:t>
      </w:r>
      <w:r w:rsidRPr="00E33B0E">
        <w:tab/>
      </w:r>
      <w:r w:rsidRPr="00E33B0E">
        <w:rPr>
          <w:b/>
          <w:bCs/>
        </w:rPr>
        <w:t>Services</w:t>
      </w:r>
      <w:r w:rsidRPr="00E33B0E">
        <w:t xml:space="preserve">: le Département de la gestion des ressources humaines (HRMD) a continué de travailler afin de renforcer le cadre réglementaire, en alignant les politiques relatives aux ressources humaines sur les besoins de personnel en constante évolution et sur les bonnes pratiques du système des Nations Unies. Parmi les principaux résultats figurent l'élaboration d'une nouvelle politique relative au télétravail et à l'aménagement des modalités de travail, le lancement de la première phase du cadre de délégation de pouvoir pour les ressources humaines et la mise en place de procédures opérationnelles normalisées pour le paiement des personnes au bénéfice d'un contrat SSA et de procédures d'urgence pour les fonctionnaires en poste dans les bureaux hors siège et en mission. L'UIT a contribué activement au premier projet interinstitutions sur l'IA générative, en développant un agent conversationnel fondé sur l'IA pour automatiser les requêtes relatives aux politiques et améliorer l'accès aux informations sur les RH. La Phase I de l'interface financière de la CCPPNU a été mise en service, ce qui a permis d'automatiser l'établissement des rapports annuels et </w:t>
      </w:r>
      <w:r w:rsidRPr="00E33B0E">
        <w:lastRenderedPageBreak/>
        <w:t>d'améliorer le rapprochement des pensions. La collaboration avec les bureaux régionaux et l'organisation de séminaires de présentation à l'intention des nouveaux fonctionnaires et des séminaires de préparation à la retraite ont également aidé les fonctionnaires en poste dans tous les lieux d'affectation. Le tableau de bord présentant les données analytiques sur le personnel de l'UIT continue de servir les États Membres et de promouvoir la transparence.</w:t>
      </w:r>
    </w:p>
    <w:p w14:paraId="2EC5A172" w14:textId="77777777" w:rsidR="00CF7031" w:rsidRPr="00E33B0E" w:rsidRDefault="00CF7031" w:rsidP="00CF7031">
      <w:pPr>
        <w:pStyle w:val="enumlev1"/>
      </w:pPr>
      <w:r w:rsidRPr="00E33B0E">
        <w:tab/>
        <w:t>Pour plus de détails, veuillez-vous reporter au document du Conseil contenant le rapport d'activité sur la mise en œuvre du plan de transformation des ressources humaines (</w:t>
      </w:r>
      <w:hyperlink r:id="rId263" w:history="1">
        <w:r w:rsidRPr="00E33B0E">
          <w:rPr>
            <w:rStyle w:val="Hyperlink"/>
            <w:rFonts w:eastAsiaTheme="minorEastAsia" w:cs="Times New Roman"/>
            <w:szCs w:val="20"/>
          </w:rPr>
          <w:t>C25/66</w:t>
        </w:r>
      </w:hyperlink>
      <w:r w:rsidRPr="00E33B0E">
        <w:t>).</w:t>
      </w:r>
    </w:p>
    <w:p w14:paraId="6ECF5E2A" w14:textId="77777777" w:rsidR="00CF7031" w:rsidRPr="00E33B0E" w:rsidRDefault="00CF7031" w:rsidP="00CF7031">
      <w:pPr>
        <w:pStyle w:val="Heading3"/>
        <w:tabs>
          <w:tab w:val="clear" w:pos="567"/>
        </w:tabs>
      </w:pPr>
      <w:bookmarkStart w:id="52" w:name="_Toc199753918"/>
      <w:r w:rsidRPr="00E33B0E">
        <w:t>5.7.2</w:t>
      </w:r>
      <w:r w:rsidRPr="00E33B0E">
        <w:tab/>
        <w:t>Processus de transformation</w:t>
      </w:r>
      <w:bookmarkEnd w:id="52"/>
    </w:p>
    <w:p w14:paraId="245C639A" w14:textId="5ED46586" w:rsidR="00CF7031" w:rsidRPr="00E33B0E" w:rsidRDefault="00CF7031" w:rsidP="00CF7031">
      <w:r w:rsidRPr="00E33B0E">
        <w:t>Suite au point sur la situation fait précédemment lors des réunions du Groupe de travail du Conseil sur les ressources financières et les ressources humaines tenues en février 2025 et en novembre 2024, le Document soumis à la session de 2025 du Conseil (</w:t>
      </w:r>
      <w:hyperlink r:id="rId264" w:history="1">
        <w:r w:rsidRPr="00E33B0E">
          <w:rPr>
            <w:rStyle w:val="Hyperlink"/>
            <w:rFonts w:eastAsiaTheme="minorEastAsia" w:cs="Times New Roman"/>
            <w:szCs w:val="20"/>
          </w:rPr>
          <w:t>C25/55</w:t>
        </w:r>
      </w:hyperlink>
      <w:r w:rsidRPr="00E33B0E">
        <w:t xml:space="preserve">) donne de plus amples informations sur le processus de transformation en cours à l'UIT, qui est essentiel pour parvenir à l'excellence institutionnelle et appuyer le Plan stratégique de l'UIT pour la période 2024-2027. La transformation de l'UIT suit une feuille de route détaillée présentée dans le </w:t>
      </w:r>
      <w:hyperlink r:id="rId265" w:history="1">
        <w:r w:rsidRPr="00E33B0E">
          <w:rPr>
            <w:rStyle w:val="Hyperlink"/>
            <w:rFonts w:eastAsiaTheme="minorEastAsia" w:cs="Times New Roman"/>
            <w:szCs w:val="20"/>
          </w:rPr>
          <w:t>Document C24/52</w:t>
        </w:r>
      </w:hyperlink>
      <w:r w:rsidRPr="00E33B0E">
        <w:t xml:space="preserve"> du Conseil, qui s'articule autour de cinq piliers: gouvernance, systèmes, processus et outils, personnes et culture, optimisation des ressources et membres et partenaires.</w:t>
      </w:r>
    </w:p>
    <w:p w14:paraId="0765C59E" w14:textId="77777777" w:rsidR="00CF7031" w:rsidRPr="00E33B0E" w:rsidRDefault="00CF7031" w:rsidP="00CF7031">
      <w:r w:rsidRPr="00E33B0E">
        <w:t>Cette période de transformation a été définie par la mise en œuvre de projets et l'obtention de résultats tangibles concernant les cinq piliers. À ce jour, l'équipe chargée de la transformation a renforcé ses ressources avec l'arrivée d'un responsable de programme sur les données sur l'IA supplémentaire, afin de faciliter les plans de mise en œuvre de l'IA à l'UIT et de renforcer l'apprentissage de l'IA auprès d'un large éventail de fonctionnaires à tous les niveaux. Comme par le passé, les retours d'information, l'engagement et la participation de l'ensemble de l'UIT et de ses membres restent essentiels à mesure que le processus de transformation avance et progresse.</w:t>
      </w:r>
    </w:p>
    <w:p w14:paraId="665AFA7D" w14:textId="77777777" w:rsidR="00CF7031" w:rsidRPr="00E33B0E" w:rsidRDefault="00CF7031" w:rsidP="00CF7031">
      <w:pPr>
        <w:pStyle w:val="Headingb"/>
      </w:pPr>
      <w:r w:rsidRPr="00E33B0E">
        <w:t>Principaux résultats</w:t>
      </w:r>
    </w:p>
    <w:p w14:paraId="4B48812D" w14:textId="77777777" w:rsidR="00CF7031" w:rsidRPr="00E33B0E" w:rsidRDefault="00CF7031" w:rsidP="00CF7031">
      <w:r w:rsidRPr="00E33B0E">
        <w:t>Les principaux résultats obtenus dans le cadre de la transformation sont notamment de nouvelles améliorations apportées à notre processus interne de gestion de l'efficacité professionnelle, avec entre autres un outil plus moderne permettant aux fonctionnaires de définir leurs objectifs, une stratégie plus solide pour gérer les insuffisances au travail et un système de récompenses et de reconnaissance juste et équitable; la transformation de la gestion des ressources financières; l'amélioration des mécanismes internes pour l'apprentissage et l'acquisition de compétences en matière d'IA à l'UIT; l'organisation de formations pour améliorer notre culture de leadership; et des gains d'efficacité dans nos processus officiels de recrutement, de voyage et de mobilité. La feuille de route comprend des initiatives de transformation numérique visant à moderniser nos systèmes et outils, notamment le projet de nouveau site web, l'évaluation de nos processus et systèmes de gestion des documents, la gestion de la relation client (CRM) pour la gestion des comptes et des partenaires et la mise en place d'un socle de données et d'une prise en charge de l'IA qui permettront de répondre aux besoins de demain.</w:t>
      </w:r>
    </w:p>
    <w:p w14:paraId="3790672D" w14:textId="77777777" w:rsidR="00CF7031" w:rsidRPr="00E33B0E" w:rsidRDefault="00CF7031" w:rsidP="00CF7031">
      <w:r w:rsidRPr="00E33B0E">
        <w:t xml:space="preserve">Pour plus de détails, veuillez consulter le </w:t>
      </w:r>
      <w:hyperlink r:id="rId266" w:history="1">
        <w:r w:rsidRPr="00E33B0E">
          <w:rPr>
            <w:rStyle w:val="Hyperlink"/>
            <w:rFonts w:eastAsiaTheme="minorEastAsia" w:cs="Times New Roman"/>
            <w:szCs w:val="20"/>
          </w:rPr>
          <w:t>Document C25/55</w:t>
        </w:r>
      </w:hyperlink>
      <w:r w:rsidRPr="00E33B0E">
        <w:t>.</w:t>
      </w:r>
    </w:p>
    <w:p w14:paraId="39D2FC4B" w14:textId="77777777" w:rsidR="00CF7031" w:rsidRPr="00E33B0E" w:rsidRDefault="00CF7031" w:rsidP="00CF7031">
      <w:pPr>
        <w:pStyle w:val="Heading1"/>
      </w:pPr>
      <w:bookmarkStart w:id="53" w:name="_Toc199753919"/>
      <w:r w:rsidRPr="00E33B0E">
        <w:lastRenderedPageBreak/>
        <w:t>6</w:t>
      </w:r>
      <w:r w:rsidRPr="00E33B0E">
        <w:tab/>
        <w:t>Mise en œuvre des Résolutions de la Conférence de plénipotentiaires</w:t>
      </w:r>
      <w:bookmarkEnd w:id="53"/>
    </w:p>
    <w:p w14:paraId="6E25A601" w14:textId="0460D139" w:rsidR="00CF7031" w:rsidRPr="00E33B0E" w:rsidRDefault="00CF7031" w:rsidP="00CF7031">
      <w:r w:rsidRPr="00E33B0E">
        <w:t>L'état d'avancement de la mise en œuvre des Résolutions de la Conférence de plénipotentiaires est disponible sur la plate-forme web dédiée, con</w:t>
      </w:r>
      <w:r w:rsidRPr="00C01C0A">
        <w:t xml:space="preserve">sultable </w:t>
      </w:r>
      <w:hyperlink r:id="rId267" w:history="1">
        <w:r w:rsidRPr="00C01C0A">
          <w:rPr>
            <w:rStyle w:val="Hyperlink"/>
            <w:rFonts w:eastAsiaTheme="minorEastAsia" w:cs="Times New Roman"/>
            <w:szCs w:val="20"/>
          </w:rPr>
          <w:t>ici</w:t>
        </w:r>
      </w:hyperlink>
      <w:r w:rsidRPr="00C01C0A">
        <w:t>.</w:t>
      </w:r>
    </w:p>
    <w:p w14:paraId="5D682BE4" w14:textId="785C4F95" w:rsidR="00614844" w:rsidRPr="00E33B0E" w:rsidRDefault="00CF7031" w:rsidP="009344CB">
      <w:pPr>
        <w:jc w:val="center"/>
      </w:pPr>
      <w:r w:rsidRPr="00E33B0E">
        <w:t>______________</w:t>
      </w:r>
    </w:p>
    <w:sectPr w:rsidR="00614844" w:rsidRPr="00E33B0E" w:rsidSect="00D72F49">
      <w:headerReference w:type="even" r:id="rId268"/>
      <w:headerReference w:type="default" r:id="rId269"/>
      <w:footerReference w:type="even" r:id="rId270"/>
      <w:footerReference w:type="default" r:id="rId271"/>
      <w:headerReference w:type="first" r:id="rId272"/>
      <w:footerReference w:type="first" r:id="rId273"/>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C23FF" w14:textId="77777777" w:rsidR="00863DD6" w:rsidRDefault="00863DD6">
      <w:r>
        <w:separator/>
      </w:r>
    </w:p>
  </w:endnote>
  <w:endnote w:type="continuationSeparator" w:id="0">
    <w:p w14:paraId="75DF8925" w14:textId="77777777" w:rsidR="00863DD6" w:rsidRDefault="0086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Narrow">
    <w:altName w:val="Aptos Narrow"/>
    <w:charset w:val="00"/>
    <w:family w:val="swiss"/>
    <w:pitch w:val="variable"/>
    <w:sig w:usb0="20000287" w:usb1="00000003" w:usb2="00000000" w:usb3="00000000" w:csb0="0000019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71E9" w14:textId="4DC7E8D8" w:rsidR="00732045" w:rsidRPr="00E37325" w:rsidRDefault="00C01C0A">
    <w:pPr>
      <w:pStyle w:val="Footer"/>
      <w:rPr>
        <w:lang w:val="en-GB"/>
      </w:rPr>
    </w:pPr>
    <w:r>
      <w:fldChar w:fldCharType="begin"/>
    </w:r>
    <w:r w:rsidRPr="00E37325">
      <w:rPr>
        <w:lang w:val="en-GB"/>
      </w:rPr>
      <w:instrText xml:space="preserve"> FILENAME \p \* MERGEFORMAT </w:instrText>
    </w:r>
    <w:r>
      <w:fldChar w:fldCharType="separate"/>
    </w:r>
    <w:r w:rsidR="00BD17B6" w:rsidRPr="00E37325">
      <w:rPr>
        <w:lang w:val="en-GB"/>
      </w:rPr>
      <w:t>P:\FRA\gDoc\SG\C25\2501137F.docx</w:t>
    </w:r>
    <w:r>
      <w:fldChar w:fldCharType="end"/>
    </w:r>
    <w:r w:rsidR="00732045" w:rsidRPr="00E37325">
      <w:rPr>
        <w:lang w:val="en-GB"/>
      </w:rPr>
      <w:tab/>
    </w:r>
    <w:r w:rsidR="002F1B76">
      <w:fldChar w:fldCharType="begin"/>
    </w:r>
    <w:r w:rsidR="00732045">
      <w:instrText xml:space="preserve"> savedate \@ dd.MM.yy </w:instrText>
    </w:r>
    <w:r w:rsidR="002F1B76">
      <w:fldChar w:fldCharType="separate"/>
    </w:r>
    <w:r w:rsidR="00CD6761">
      <w:t>02.06.25</w:t>
    </w:r>
    <w:r w:rsidR="002F1B76">
      <w:fldChar w:fldCharType="end"/>
    </w:r>
    <w:r w:rsidR="00732045" w:rsidRPr="00E37325">
      <w:rPr>
        <w:lang w:val="en-GB"/>
      </w:rPr>
      <w:tab/>
    </w:r>
    <w:r w:rsidR="002F1B76">
      <w:fldChar w:fldCharType="begin"/>
    </w:r>
    <w:r w:rsidR="00732045">
      <w:instrText xml:space="preserve"> printdate \@ dd.MM.yy </w:instrText>
    </w:r>
    <w:r w:rsidR="002F1B76">
      <w:fldChar w:fldCharType="separate"/>
    </w:r>
    <w:r w:rsidR="00BD17B6">
      <w:t>18.07.00</w:t>
    </w:r>
    <w:r w:rsidR="002F1B7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30EA8F4D" w14:textId="77777777" w:rsidTr="00E31DCE">
      <w:trPr>
        <w:jc w:val="center"/>
      </w:trPr>
      <w:tc>
        <w:tcPr>
          <w:tcW w:w="1803" w:type="dxa"/>
          <w:vAlign w:val="center"/>
        </w:tcPr>
        <w:p w14:paraId="19363EEB" w14:textId="433308B0" w:rsidR="00A51849" w:rsidRDefault="00AE543B" w:rsidP="00A51849">
          <w:pPr>
            <w:pStyle w:val="Header"/>
            <w:jc w:val="left"/>
            <w:rPr>
              <w:noProof/>
            </w:rPr>
          </w:pPr>
          <w:r>
            <w:rPr>
              <w:noProof/>
            </w:rPr>
            <w:t>2501137</w:t>
          </w:r>
        </w:p>
      </w:tc>
      <w:tc>
        <w:tcPr>
          <w:tcW w:w="8261" w:type="dxa"/>
        </w:tcPr>
        <w:p w14:paraId="51186BC0" w14:textId="1302A001"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C6D7D">
            <w:rPr>
              <w:bCs/>
            </w:rPr>
            <w:t>5</w:t>
          </w:r>
          <w:r w:rsidRPr="00623AE3">
            <w:rPr>
              <w:bCs/>
            </w:rPr>
            <w:t>/</w:t>
          </w:r>
          <w:r w:rsidR="00AE543B">
            <w:rPr>
              <w:bCs/>
            </w:rPr>
            <w:t>35</w:t>
          </w:r>
          <w:r w:rsidRPr="00623AE3">
            <w:rPr>
              <w:bCs/>
            </w:rPr>
            <w:t>-</w:t>
          </w:r>
          <w:r w:rsidR="00973F53">
            <w:rPr>
              <w:bCs/>
            </w:rPr>
            <w:t>F</w:t>
          </w:r>
          <w:r>
            <w:rPr>
              <w:bCs/>
            </w:rPr>
            <w:tab/>
          </w:r>
          <w:r>
            <w:fldChar w:fldCharType="begin"/>
          </w:r>
          <w:r>
            <w:instrText>PAGE</w:instrText>
          </w:r>
          <w:r>
            <w:fldChar w:fldCharType="separate"/>
          </w:r>
          <w:r>
            <w:t>1</w:t>
          </w:r>
          <w:r>
            <w:rPr>
              <w:noProof/>
            </w:rPr>
            <w:fldChar w:fldCharType="end"/>
          </w:r>
        </w:p>
      </w:tc>
    </w:tr>
  </w:tbl>
  <w:p w14:paraId="31883BB0" w14:textId="77777777" w:rsidR="00732045" w:rsidRPr="00A51849" w:rsidRDefault="00732045" w:rsidP="00FC6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49FDEBA9" w14:textId="77777777" w:rsidTr="00E31DCE">
      <w:trPr>
        <w:jc w:val="center"/>
      </w:trPr>
      <w:tc>
        <w:tcPr>
          <w:tcW w:w="1803" w:type="dxa"/>
          <w:vAlign w:val="center"/>
        </w:tcPr>
        <w:p w14:paraId="7F056031" w14:textId="77777777" w:rsidR="00A51849" w:rsidRPr="00FC6D7D" w:rsidRDefault="00FC6D7D" w:rsidP="00A51849">
          <w:pPr>
            <w:pStyle w:val="Header"/>
            <w:jc w:val="left"/>
            <w:rPr>
              <w:noProof/>
              <w:color w:val="0563C1"/>
            </w:rPr>
          </w:pPr>
          <w:hyperlink r:id="rId1" w:history="1">
            <w:r w:rsidRPr="00FC6D7D">
              <w:rPr>
                <w:rStyle w:val="Hyperlink"/>
              </w:rPr>
              <w:t>council.itu.int/2025</w:t>
            </w:r>
          </w:hyperlink>
        </w:p>
      </w:tc>
      <w:tc>
        <w:tcPr>
          <w:tcW w:w="8261" w:type="dxa"/>
        </w:tcPr>
        <w:p w14:paraId="0C483AA1" w14:textId="6FFD5ABD"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C6D7D">
            <w:rPr>
              <w:bCs/>
            </w:rPr>
            <w:t>5</w:t>
          </w:r>
          <w:r w:rsidRPr="00623AE3">
            <w:rPr>
              <w:bCs/>
            </w:rPr>
            <w:t>/</w:t>
          </w:r>
          <w:r w:rsidR="00AE543B">
            <w:rPr>
              <w:bCs/>
            </w:rPr>
            <w:t>35</w:t>
          </w:r>
          <w:r w:rsidRPr="00623AE3">
            <w:rPr>
              <w:bCs/>
            </w:rPr>
            <w:t>-</w:t>
          </w:r>
          <w:r w:rsidR="00D72F49">
            <w:rPr>
              <w:bCs/>
            </w:rPr>
            <w:t>F</w:t>
          </w:r>
          <w:r>
            <w:rPr>
              <w:bCs/>
            </w:rPr>
            <w:tab/>
          </w:r>
          <w:r>
            <w:fldChar w:fldCharType="begin"/>
          </w:r>
          <w:r>
            <w:instrText>PAGE</w:instrText>
          </w:r>
          <w:r>
            <w:fldChar w:fldCharType="separate"/>
          </w:r>
          <w:r>
            <w:t>1</w:t>
          </w:r>
          <w:r>
            <w:rPr>
              <w:noProof/>
            </w:rPr>
            <w:fldChar w:fldCharType="end"/>
          </w:r>
        </w:p>
      </w:tc>
    </w:tr>
  </w:tbl>
  <w:p w14:paraId="2D467C93" w14:textId="77777777" w:rsidR="00732045" w:rsidRPr="00A51849" w:rsidRDefault="00732045" w:rsidP="00FC6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5876D" w14:textId="77777777" w:rsidR="00863DD6" w:rsidRDefault="00863DD6">
      <w:r>
        <w:t>____________________</w:t>
      </w:r>
    </w:p>
  </w:footnote>
  <w:footnote w:type="continuationSeparator" w:id="0">
    <w:p w14:paraId="724980E7" w14:textId="77777777" w:rsidR="00863DD6" w:rsidRDefault="0086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5646"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3EA0A395" w14:textId="77777777" w:rsidR="00732045" w:rsidRDefault="00732045">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E772" w14:textId="4B778B2E" w:rsidR="00AE543B" w:rsidRPr="009157A6" w:rsidRDefault="00AE543B">
    <w:pPr>
      <w:pStyle w:val="Header"/>
    </w:pPr>
    <w:r w:rsidRPr="009157A6">
      <w:t>Rapport sur la mise en œuvre du Plan stratégique et les activités de l'Union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4703"/>
    </w:tblGrid>
    <w:tr w:rsidR="00524E8D" w:rsidRPr="00784011" w14:paraId="4E2052EF" w14:textId="77777777" w:rsidTr="00D37B53">
      <w:trPr>
        <w:trHeight w:val="1104"/>
        <w:jc w:val="center"/>
      </w:trPr>
      <w:tc>
        <w:tcPr>
          <w:tcW w:w="5317" w:type="dxa"/>
          <w:vAlign w:val="center"/>
        </w:tcPr>
        <w:p w14:paraId="479689C4" w14:textId="77777777" w:rsidR="00524E8D" w:rsidRDefault="00524E8D" w:rsidP="00A51849">
          <w:pPr>
            <w:pStyle w:val="Header"/>
            <w:jc w:val="left"/>
            <w:rPr>
              <w:rFonts w:ascii="Arial" w:hAnsi="Arial" w:cs="Arial"/>
              <w:b/>
              <w:bCs/>
              <w:noProof/>
              <w:color w:val="009CD6"/>
              <w:sz w:val="36"/>
              <w:szCs w:val="36"/>
            </w:rPr>
          </w:pPr>
          <w:r>
            <w:rPr>
              <w:rFonts w:ascii="Arial" w:hAnsi="Arial" w:cs="Arial"/>
              <w:b/>
              <w:bCs/>
              <w:noProof/>
              <w:color w:val="009CD6"/>
              <w:sz w:val="36"/>
              <w:szCs w:val="36"/>
            </w:rPr>
            <w:drawing>
              <wp:inline distT="0" distB="0" distL="0" distR="0" wp14:anchorId="0A435E66" wp14:editId="55891B90">
                <wp:extent cx="3239444" cy="612000"/>
                <wp:effectExtent l="0" t="0" r="0" b="0"/>
                <wp:docPr id="63418348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83481"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1653"/>
                        <a:stretch/>
                      </pic:blipFill>
                      <pic:spPr bwMode="auto">
                        <a:xfrm>
                          <a:off x="0" y="0"/>
                          <a:ext cx="3239444" cy="612000"/>
                        </a:xfrm>
                        <a:prstGeom prst="rect">
                          <a:avLst/>
                        </a:prstGeom>
                        <a:ln>
                          <a:noFill/>
                        </a:ln>
                        <a:extLst>
                          <a:ext uri="{53640926-AAD7-44D8-BBD7-CCE9431645EC}">
                            <a14:shadowObscured xmlns:a14="http://schemas.microsoft.com/office/drawing/2010/main"/>
                          </a:ext>
                        </a:extLst>
                      </pic:spPr>
                    </pic:pic>
                  </a:graphicData>
                </a:graphic>
              </wp:inline>
            </w:drawing>
          </w:r>
        </w:p>
      </w:tc>
      <w:tc>
        <w:tcPr>
          <w:tcW w:w="4703" w:type="dxa"/>
        </w:tcPr>
        <w:p w14:paraId="75300442" w14:textId="77777777" w:rsidR="00524E8D" w:rsidRDefault="00524E8D" w:rsidP="00A51849">
          <w:pPr>
            <w:pStyle w:val="Header"/>
            <w:jc w:val="right"/>
            <w:rPr>
              <w:rFonts w:ascii="Arial" w:hAnsi="Arial" w:cs="Arial"/>
              <w:b/>
              <w:bCs/>
              <w:color w:val="009CD6"/>
              <w:szCs w:val="18"/>
            </w:rPr>
          </w:pPr>
        </w:p>
      </w:tc>
    </w:tr>
  </w:tbl>
  <w:p w14:paraId="491A7783" w14:textId="77777777" w:rsidR="00A51849" w:rsidRDefault="00A51849">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07F3391C" wp14:editId="18E299D3">
              <wp:simplePos x="0" y="0"/>
              <wp:positionH relativeFrom="page">
                <wp:posOffset>12065</wp:posOffset>
              </wp:positionH>
              <wp:positionV relativeFrom="topMargin">
                <wp:posOffset>652450</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A96B" id="Rectangle 5" o:spid="_x0000_s1026" style="position:absolute;margin-left:.95pt;margin-top:51.3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" fillcolor="#009cd5" stroked="f">
              <w10:wrap anchorx="page"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DD6"/>
    <w:rsid w:val="00001BFB"/>
    <w:rsid w:val="00054011"/>
    <w:rsid w:val="00063755"/>
    <w:rsid w:val="00076A2C"/>
    <w:rsid w:val="00086364"/>
    <w:rsid w:val="000A681E"/>
    <w:rsid w:val="000D0D0A"/>
    <w:rsid w:val="00102C2B"/>
    <w:rsid w:val="00103163"/>
    <w:rsid w:val="00106B19"/>
    <w:rsid w:val="001133EF"/>
    <w:rsid w:val="001138A0"/>
    <w:rsid w:val="00115D93"/>
    <w:rsid w:val="0012336A"/>
    <w:rsid w:val="001247A8"/>
    <w:rsid w:val="00126A67"/>
    <w:rsid w:val="001370B2"/>
    <w:rsid w:val="001378C0"/>
    <w:rsid w:val="00151007"/>
    <w:rsid w:val="0018694A"/>
    <w:rsid w:val="00194819"/>
    <w:rsid w:val="001A1B7E"/>
    <w:rsid w:val="001A3287"/>
    <w:rsid w:val="001A6508"/>
    <w:rsid w:val="001C1623"/>
    <w:rsid w:val="001D4C31"/>
    <w:rsid w:val="001E3D84"/>
    <w:rsid w:val="001E4D21"/>
    <w:rsid w:val="002004E6"/>
    <w:rsid w:val="00207CD1"/>
    <w:rsid w:val="00224308"/>
    <w:rsid w:val="00226657"/>
    <w:rsid w:val="002477A2"/>
    <w:rsid w:val="00263A51"/>
    <w:rsid w:val="00267E02"/>
    <w:rsid w:val="002A28ED"/>
    <w:rsid w:val="002A5D44"/>
    <w:rsid w:val="002C16EF"/>
    <w:rsid w:val="002C3F32"/>
    <w:rsid w:val="002C4E3D"/>
    <w:rsid w:val="002E0BC4"/>
    <w:rsid w:val="002E3FED"/>
    <w:rsid w:val="002E57A2"/>
    <w:rsid w:val="002F1B76"/>
    <w:rsid w:val="0033568E"/>
    <w:rsid w:val="003421BA"/>
    <w:rsid w:val="00355FF5"/>
    <w:rsid w:val="00357220"/>
    <w:rsid w:val="00361350"/>
    <w:rsid w:val="00377B11"/>
    <w:rsid w:val="003B1D9A"/>
    <w:rsid w:val="003C3FAE"/>
    <w:rsid w:val="003F4489"/>
    <w:rsid w:val="004038CB"/>
    <w:rsid w:val="0040546F"/>
    <w:rsid w:val="004177BD"/>
    <w:rsid w:val="0042094A"/>
    <w:rsid w:val="0042404A"/>
    <w:rsid w:val="0044618F"/>
    <w:rsid w:val="004550DB"/>
    <w:rsid w:val="0045595F"/>
    <w:rsid w:val="0046769A"/>
    <w:rsid w:val="00475FB3"/>
    <w:rsid w:val="00480403"/>
    <w:rsid w:val="004C37A9"/>
    <w:rsid w:val="004D1D50"/>
    <w:rsid w:val="004F259E"/>
    <w:rsid w:val="00511F1D"/>
    <w:rsid w:val="00520F36"/>
    <w:rsid w:val="00524E8D"/>
    <w:rsid w:val="00532B7F"/>
    <w:rsid w:val="00534E13"/>
    <w:rsid w:val="00540615"/>
    <w:rsid w:val="00540A6D"/>
    <w:rsid w:val="005445F6"/>
    <w:rsid w:val="0054558B"/>
    <w:rsid w:val="00566679"/>
    <w:rsid w:val="00571EEA"/>
    <w:rsid w:val="00575417"/>
    <w:rsid w:val="005768E1"/>
    <w:rsid w:val="0058473C"/>
    <w:rsid w:val="005853B8"/>
    <w:rsid w:val="005B1938"/>
    <w:rsid w:val="005B615C"/>
    <w:rsid w:val="005C0222"/>
    <w:rsid w:val="005C3890"/>
    <w:rsid w:val="005F7BFE"/>
    <w:rsid w:val="00600017"/>
    <w:rsid w:val="00614844"/>
    <w:rsid w:val="00614B10"/>
    <w:rsid w:val="006235CA"/>
    <w:rsid w:val="0062366E"/>
    <w:rsid w:val="006353DE"/>
    <w:rsid w:val="006643AB"/>
    <w:rsid w:val="006A095B"/>
    <w:rsid w:val="006A11AE"/>
    <w:rsid w:val="006F0A53"/>
    <w:rsid w:val="007210CD"/>
    <w:rsid w:val="007279B0"/>
    <w:rsid w:val="00732045"/>
    <w:rsid w:val="0073275D"/>
    <w:rsid w:val="007369DB"/>
    <w:rsid w:val="00752ECE"/>
    <w:rsid w:val="00754282"/>
    <w:rsid w:val="0077110E"/>
    <w:rsid w:val="00775176"/>
    <w:rsid w:val="007754FA"/>
    <w:rsid w:val="0078301A"/>
    <w:rsid w:val="007836F9"/>
    <w:rsid w:val="00794B3B"/>
    <w:rsid w:val="007956C2"/>
    <w:rsid w:val="007A187E"/>
    <w:rsid w:val="007A6E7B"/>
    <w:rsid w:val="007C72C2"/>
    <w:rsid w:val="007D4436"/>
    <w:rsid w:val="007F257A"/>
    <w:rsid w:val="007F3665"/>
    <w:rsid w:val="00800037"/>
    <w:rsid w:val="0080419C"/>
    <w:rsid w:val="0081172E"/>
    <w:rsid w:val="0081480D"/>
    <w:rsid w:val="0082299A"/>
    <w:rsid w:val="0083391C"/>
    <w:rsid w:val="00834728"/>
    <w:rsid w:val="00854825"/>
    <w:rsid w:val="00861D73"/>
    <w:rsid w:val="00863DD6"/>
    <w:rsid w:val="00882919"/>
    <w:rsid w:val="00897553"/>
    <w:rsid w:val="008A294F"/>
    <w:rsid w:val="008A4E87"/>
    <w:rsid w:val="008B4A17"/>
    <w:rsid w:val="008D250B"/>
    <w:rsid w:val="008D76E6"/>
    <w:rsid w:val="0091024A"/>
    <w:rsid w:val="009157A6"/>
    <w:rsid w:val="0092392D"/>
    <w:rsid w:val="0093234A"/>
    <w:rsid w:val="009344CB"/>
    <w:rsid w:val="009422B3"/>
    <w:rsid w:val="00956A78"/>
    <w:rsid w:val="00971E18"/>
    <w:rsid w:val="0097363B"/>
    <w:rsid w:val="00973B05"/>
    <w:rsid w:val="00973F53"/>
    <w:rsid w:val="00983212"/>
    <w:rsid w:val="009A6BAA"/>
    <w:rsid w:val="009C307F"/>
    <w:rsid w:val="009C353C"/>
    <w:rsid w:val="009E74EB"/>
    <w:rsid w:val="009F0FB8"/>
    <w:rsid w:val="00A0156F"/>
    <w:rsid w:val="00A10CF1"/>
    <w:rsid w:val="00A2113E"/>
    <w:rsid w:val="00A23A51"/>
    <w:rsid w:val="00A24607"/>
    <w:rsid w:val="00A25CD3"/>
    <w:rsid w:val="00A30E48"/>
    <w:rsid w:val="00A41E1B"/>
    <w:rsid w:val="00A51849"/>
    <w:rsid w:val="00A52700"/>
    <w:rsid w:val="00A64305"/>
    <w:rsid w:val="00A709FE"/>
    <w:rsid w:val="00A73C60"/>
    <w:rsid w:val="00A82767"/>
    <w:rsid w:val="00AA332F"/>
    <w:rsid w:val="00AA7BBB"/>
    <w:rsid w:val="00AB3F36"/>
    <w:rsid w:val="00AB45B0"/>
    <w:rsid w:val="00AB5515"/>
    <w:rsid w:val="00AB64A8"/>
    <w:rsid w:val="00AC0266"/>
    <w:rsid w:val="00AC352B"/>
    <w:rsid w:val="00AC4EB9"/>
    <w:rsid w:val="00AD24EC"/>
    <w:rsid w:val="00AE543B"/>
    <w:rsid w:val="00B07E5A"/>
    <w:rsid w:val="00B14F08"/>
    <w:rsid w:val="00B17DD6"/>
    <w:rsid w:val="00B27B00"/>
    <w:rsid w:val="00B309F9"/>
    <w:rsid w:val="00B32B60"/>
    <w:rsid w:val="00B51005"/>
    <w:rsid w:val="00B53C33"/>
    <w:rsid w:val="00B61619"/>
    <w:rsid w:val="00B62DD9"/>
    <w:rsid w:val="00B758F3"/>
    <w:rsid w:val="00B80BBB"/>
    <w:rsid w:val="00BA75DB"/>
    <w:rsid w:val="00BB4545"/>
    <w:rsid w:val="00BC12D7"/>
    <w:rsid w:val="00BD17B6"/>
    <w:rsid w:val="00BD5873"/>
    <w:rsid w:val="00BF29BF"/>
    <w:rsid w:val="00BF4B60"/>
    <w:rsid w:val="00C01C0A"/>
    <w:rsid w:val="00C049D7"/>
    <w:rsid w:val="00C04BE3"/>
    <w:rsid w:val="00C12D5D"/>
    <w:rsid w:val="00C25D29"/>
    <w:rsid w:val="00C27A7C"/>
    <w:rsid w:val="00C42437"/>
    <w:rsid w:val="00C55235"/>
    <w:rsid w:val="00C90278"/>
    <w:rsid w:val="00C91188"/>
    <w:rsid w:val="00CA08ED"/>
    <w:rsid w:val="00CC6EAA"/>
    <w:rsid w:val="00CD6761"/>
    <w:rsid w:val="00CF183B"/>
    <w:rsid w:val="00CF1A2F"/>
    <w:rsid w:val="00CF35AF"/>
    <w:rsid w:val="00CF7031"/>
    <w:rsid w:val="00D375CD"/>
    <w:rsid w:val="00D37B53"/>
    <w:rsid w:val="00D553A2"/>
    <w:rsid w:val="00D72F49"/>
    <w:rsid w:val="00D774D3"/>
    <w:rsid w:val="00D904E8"/>
    <w:rsid w:val="00D93169"/>
    <w:rsid w:val="00DA08C3"/>
    <w:rsid w:val="00DB5A3E"/>
    <w:rsid w:val="00DC22AA"/>
    <w:rsid w:val="00DD1A99"/>
    <w:rsid w:val="00DF74DD"/>
    <w:rsid w:val="00E16A35"/>
    <w:rsid w:val="00E245AD"/>
    <w:rsid w:val="00E25AD0"/>
    <w:rsid w:val="00E33B0E"/>
    <w:rsid w:val="00E37325"/>
    <w:rsid w:val="00E4428F"/>
    <w:rsid w:val="00E47427"/>
    <w:rsid w:val="00E7192B"/>
    <w:rsid w:val="00E86828"/>
    <w:rsid w:val="00E9064D"/>
    <w:rsid w:val="00E91DBC"/>
    <w:rsid w:val="00E93668"/>
    <w:rsid w:val="00E95647"/>
    <w:rsid w:val="00E97A6F"/>
    <w:rsid w:val="00EB6350"/>
    <w:rsid w:val="00F05C8B"/>
    <w:rsid w:val="00F15B57"/>
    <w:rsid w:val="00F35EF4"/>
    <w:rsid w:val="00F37FE5"/>
    <w:rsid w:val="00F427DB"/>
    <w:rsid w:val="00F52BD5"/>
    <w:rsid w:val="00F55173"/>
    <w:rsid w:val="00F72250"/>
    <w:rsid w:val="00F84825"/>
    <w:rsid w:val="00FA5EB1"/>
    <w:rsid w:val="00FA7439"/>
    <w:rsid w:val="00FC4EC0"/>
    <w:rsid w:val="00FC6D7D"/>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FFA6A"/>
  <w15:docId w15:val="{D372CA2D-3D75-44D1-9025-F373F7D1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66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uiPriority w:val="99"/>
    <w:rsid w:val="00FC6D7D"/>
    <w:rPr>
      <w:rFonts w:eastAsiaTheme="minorHAnsi" w:cstheme="minorBidi"/>
      <w:color w:val="4F81BD" w:themeColor="accent1"/>
      <w:szCs w:val="22"/>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styleId="PlaceholderText">
    <w:name w:val="Placeholder Text"/>
    <w:basedOn w:val="DefaultParagraphFont"/>
    <w:uiPriority w:val="99"/>
    <w:semiHidden/>
    <w:rsid w:val="00FC6D7D"/>
    <w:rPr>
      <w:color w:val="666666"/>
    </w:rPr>
  </w:style>
  <w:style w:type="character" w:styleId="UnresolvedMention">
    <w:name w:val="Unresolved Mention"/>
    <w:basedOn w:val="DefaultParagraphFont"/>
    <w:uiPriority w:val="99"/>
    <w:semiHidden/>
    <w:unhideWhenUsed/>
    <w:rsid w:val="00FC6D7D"/>
    <w:rPr>
      <w:color w:val="605E5C"/>
      <w:shd w:val="clear" w:color="auto" w:fill="E1DFDD"/>
    </w:rPr>
  </w:style>
  <w:style w:type="table" w:customStyle="1" w:styleId="TableGrid1">
    <w:name w:val="Table Grid1"/>
    <w:basedOn w:val="TableNormal"/>
    <w:next w:val="TableGrid"/>
    <w:uiPriority w:val="39"/>
    <w:rsid w:val="00B80B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80BBB"/>
    <w:rPr>
      <w:rFonts w:asciiTheme="minorHAnsi" w:eastAsiaTheme="minorEastAsia" w:hAnsiTheme="minorHAnsi" w:cstheme="minorBidi"/>
      <w:kern w:val="2"/>
      <w:sz w:val="22"/>
      <w:szCs w:val="22"/>
      <w:lang w:val="en-GB"/>
      <w14:ligatures w14:val="standardContextual"/>
    </w:rPr>
  </w:style>
  <w:style w:type="paragraph" w:customStyle="1" w:styleId="Figue">
    <w:name w:val="Figue"/>
    <w:basedOn w:val="Normal"/>
    <w:rsid w:val="002C1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fr/ITU-D/Statistics/Pages/intlcoop/partnership/default.aspx" TargetMode="External"/><Relationship Id="rId21" Type="http://schemas.openxmlformats.org/officeDocument/2006/relationships/hyperlink" Target="https://www.itu.int/wtsa/2024/" TargetMode="External"/><Relationship Id="rId63" Type="http://schemas.openxmlformats.org/officeDocument/2006/relationships/hyperlink" Target="https://www.itu.int/pub/R-REC/fr" TargetMode="External"/><Relationship Id="rId159" Type="http://schemas.openxmlformats.org/officeDocument/2006/relationships/hyperlink" Target="https://www.itu.int/wtsa/2024/related-events/" TargetMode="External"/><Relationship Id="rId170" Type="http://schemas.openxmlformats.org/officeDocument/2006/relationships/hyperlink" Target="https://www.itu.int/md/S25-CL-C-0006/fr" TargetMode="External"/><Relationship Id="rId226" Type="http://schemas.openxmlformats.org/officeDocument/2006/relationships/hyperlink" Target="https://www.itu.int/cities/publications/" TargetMode="External"/><Relationship Id="rId268" Type="http://schemas.openxmlformats.org/officeDocument/2006/relationships/header" Target="header1.xml"/><Relationship Id="rId32" Type="http://schemas.openxmlformats.org/officeDocument/2006/relationships/hyperlink" Target="https://www.itu.int/itu-d/reports/statistics/2024/11/10/ff24-affordability-of-ict-services/" TargetMode="External"/><Relationship Id="rId74" Type="http://schemas.openxmlformats.org/officeDocument/2006/relationships/hyperlink" Target="https://www.itu.int/en/action/ai/Pages/default.aspx" TargetMode="External"/><Relationship Id="rId128" Type="http://schemas.openxmlformats.org/officeDocument/2006/relationships/hyperlink" Target="https://www.itu.int/net4/wsis/stocktaking" TargetMode="External"/><Relationship Id="rId5" Type="http://schemas.openxmlformats.org/officeDocument/2006/relationships/footnotes" Target="footnotes.xml"/><Relationship Id="rId95" Type="http://schemas.openxmlformats.org/officeDocument/2006/relationships/hyperlink" Target="https://www.itu.int/hub/2024/11/quantum-no-longer-20-years-away/" TargetMode="External"/><Relationship Id="rId160" Type="http://schemas.openxmlformats.org/officeDocument/2006/relationships/image" Target="media/image12.png"/><Relationship Id="rId181" Type="http://schemas.openxmlformats.org/officeDocument/2006/relationships/hyperlink" Target="http://www.itu.int/genderdashboard" TargetMode="External"/><Relationship Id="rId216" Type="http://schemas.openxmlformats.org/officeDocument/2006/relationships/hyperlink" Target="https://giga.global/" TargetMode="External"/><Relationship Id="rId237" Type="http://schemas.openxmlformats.org/officeDocument/2006/relationships/hyperlink" Target="https://www.itu.int/en/ITU-T/tsbdir/CxO/Pages/CxO-Roundtable-9-December-2024.aspx" TargetMode="External"/><Relationship Id="rId258" Type="http://schemas.openxmlformats.org/officeDocument/2006/relationships/hyperlink" Target="https://www.itu.int/en/ITU-T/focusgroups/ai4a/Pages/default.aspx" TargetMode="External"/><Relationship Id="rId22" Type="http://schemas.openxmlformats.org/officeDocument/2006/relationships/hyperlink" Target="https://www.itu.int/pub/T-REG-LIV.1-2024/fr" TargetMode="External"/><Relationship Id="rId43" Type="http://schemas.openxmlformats.org/officeDocument/2006/relationships/image" Target="media/image9.emf"/><Relationship Id="rId64" Type="http://schemas.openxmlformats.org/officeDocument/2006/relationships/hyperlink" Target="https://www.itu.int/pub/T-RES-T.44-2024/fr" TargetMode="External"/><Relationship Id="rId118" Type="http://schemas.openxmlformats.org/officeDocument/2006/relationships/hyperlink" Target="https://academy.itu.int/itu-d/projects-activities/itu-academy-training-centres" TargetMode="External"/><Relationship Id="rId139" Type="http://schemas.openxmlformats.org/officeDocument/2006/relationships/hyperlink" Target="https://gss.itu.int/gss24-conclusions/" TargetMode="External"/><Relationship Id="rId85" Type="http://schemas.openxmlformats.org/officeDocument/2006/relationships/hyperlink" Target="https://www.itu.int/en/ITU-T/focusgroups/ai4h/Pages/default.aspx" TargetMode="External"/><Relationship Id="rId150" Type="http://schemas.openxmlformats.org/officeDocument/2006/relationships/hyperlink" Target="https://www.itu.int/en/ITU-T/academia/kaleidoscope/2024/Pages/default.aspx" TargetMode="External"/><Relationship Id="rId171" Type="http://schemas.openxmlformats.org/officeDocument/2006/relationships/hyperlink" Target="https://www.itu.int/itu-d/reports/statistics/facts-figures-2024/" TargetMode="External"/><Relationship Id="rId192" Type="http://schemas.openxmlformats.org/officeDocument/2006/relationships/hyperlink" Target="https://aiforgood.itu.int/young-ai-leaders-community/" TargetMode="External"/><Relationship Id="rId206" Type="http://schemas.openxmlformats.org/officeDocument/2006/relationships/hyperlink" Target="https://www.broadbandcommission.org/working-groups/data-governance/" TargetMode="External"/><Relationship Id="rId227" Type="http://schemas.openxmlformats.org/officeDocument/2006/relationships/hyperlink" Target="https://www.itu.int/cities/digitaltransformationdialogues/" TargetMode="External"/><Relationship Id="rId248" Type="http://schemas.openxmlformats.org/officeDocument/2006/relationships/hyperlink" Target="https://www.itu.int/en/ITU-T/focusgroups/ai4ndm/Pages/default.aspx" TargetMode="External"/><Relationship Id="rId269" Type="http://schemas.openxmlformats.org/officeDocument/2006/relationships/header" Target="header2.xml"/><Relationship Id="rId12" Type="http://schemas.openxmlformats.org/officeDocument/2006/relationships/hyperlink" Target="https://www.itu.int/reports/itu-standardization-2024/" TargetMode="External"/><Relationship Id="rId33" Type="http://schemas.openxmlformats.org/officeDocument/2006/relationships/image" Target="media/image5.emf"/><Relationship Id="rId108" Type="http://schemas.openxmlformats.org/officeDocument/2006/relationships/hyperlink" Target="https://www.itu.int/en/ITU-D/Statistics/Pages/definitions/default.aspx" TargetMode="External"/><Relationship Id="rId129" Type="http://schemas.openxmlformats.org/officeDocument/2006/relationships/hyperlink" Target="https://www.itu.int/net4/wsis/stocktaking/Prizes/2024" TargetMode="External"/><Relationship Id="rId54" Type="http://schemas.openxmlformats.org/officeDocument/2006/relationships/hyperlink" Target="https://www.itu.int/fr/ITU-R/terrestrial/Pages/default.aspx" TargetMode="External"/><Relationship Id="rId75" Type="http://schemas.openxmlformats.org/officeDocument/2006/relationships/hyperlink" Target="https://aiforgood.itu.int/" TargetMode="External"/><Relationship Id="rId96" Type="http://schemas.openxmlformats.org/officeDocument/2006/relationships/hyperlink" Target="https://www.unicc.org/event-quantum-for-good-sep2024/" TargetMode="External"/><Relationship Id="rId140" Type="http://schemas.openxmlformats.org/officeDocument/2006/relationships/hyperlink" Target="https://www.itu.int/itu-d/meetings/gsr-24/" TargetMode="External"/><Relationship Id="rId161" Type="http://schemas.openxmlformats.org/officeDocument/2006/relationships/image" Target="media/image13.png"/><Relationship Id="rId182" Type="http://schemas.openxmlformats.org/officeDocument/2006/relationships/hyperlink" Target="https://www.itu.int/en/action/youth/Pages/itu-secretary-generals-youth-advisory-board.aspx" TargetMode="External"/><Relationship Id="rId217" Type="http://schemas.openxmlformats.org/officeDocument/2006/relationships/hyperlink" Target="https://www.itu.int/ssf/" TargetMode="External"/><Relationship Id="rId6" Type="http://schemas.openxmlformats.org/officeDocument/2006/relationships/endnotes" Target="endnotes.xml"/><Relationship Id="rId238" Type="http://schemas.openxmlformats.org/officeDocument/2006/relationships/hyperlink" Target="https://www.itu.int/en/ITU-T/tsbdir/cto/Documents/Communique_ITU_CxO_2024.pdf" TargetMode="External"/><Relationship Id="rId259" Type="http://schemas.openxmlformats.org/officeDocument/2006/relationships/hyperlink" Target="https://www.itu.int/en/ITU-T/focusgroups/ai4a/Pages/events.aspx" TargetMode="External"/><Relationship Id="rId23" Type="http://schemas.openxmlformats.org/officeDocument/2006/relationships/hyperlink" Target="https://www.itu.int/reports/itu-standardization-2024/" TargetMode="External"/><Relationship Id="rId119" Type="http://schemas.openxmlformats.org/officeDocument/2006/relationships/hyperlink" Target="https://www.itu.int/en/ITU-T/info/Pages/resources.aspx" TargetMode="External"/><Relationship Id="rId270" Type="http://schemas.openxmlformats.org/officeDocument/2006/relationships/footer" Target="footer1.xml"/><Relationship Id="rId44" Type="http://schemas.openxmlformats.org/officeDocument/2006/relationships/hyperlink" Target="https://www.itu.int/itu-d/reports/statistics/2024/11/10/ff24-youth-internet-use/" TargetMode="External"/><Relationship Id="rId65" Type="http://schemas.openxmlformats.org/officeDocument/2006/relationships/hyperlink" Target="https://www.itu.int/bsg/" TargetMode="External"/><Relationship Id="rId86" Type="http://schemas.openxmlformats.org/officeDocument/2006/relationships/hyperlink" Target="https://www.linkedin.com/pulse/shaping-future-telecommunications-itu-wtsa-24-hy9be/" TargetMode="External"/><Relationship Id="rId130" Type="http://schemas.openxmlformats.org/officeDocument/2006/relationships/hyperlink" Target="https://aiforgood.itu.int/brain-machine-interface-press-conference-at-ai-for-good-global-summit-2024/" TargetMode="External"/><Relationship Id="rId151" Type="http://schemas.openxmlformats.org/officeDocument/2006/relationships/hyperlink" Target="https://www.itu.int/hub/2024/12/wrs-24-global-itu-seminar-outlines-latest-radio-spectrum-regulations/" TargetMode="External"/><Relationship Id="rId172" Type="http://schemas.openxmlformats.org/officeDocument/2006/relationships/hyperlink" Target="https://www.itu.int/itu-d/reports/statistics/facts-figures-2024/" TargetMode="External"/><Relationship Id="rId193" Type="http://schemas.openxmlformats.org/officeDocument/2006/relationships/image" Target="media/image14.png"/><Relationship Id="rId207" Type="http://schemas.openxmlformats.org/officeDocument/2006/relationships/hyperlink" Target="https://broadbandcommission.org/event/2024-annual-spring-meeting-of-the-broadband-commission/" TargetMode="External"/><Relationship Id="rId228" Type="http://schemas.openxmlformats.org/officeDocument/2006/relationships/hyperlink" Target="https://www.itu.int/cities/dt-digest/" TargetMode="External"/><Relationship Id="rId249" Type="http://schemas.openxmlformats.org/officeDocument/2006/relationships/hyperlink" Target="https://www.itu.int/pub/T-FG-AI4NDM-2023-2/fr" TargetMode="External"/><Relationship Id="rId13" Type="http://schemas.openxmlformats.org/officeDocument/2006/relationships/hyperlink" Target="https://www.itu.int/osg/year-in-review-2024/boosting-connectivity/" TargetMode="External"/><Relationship Id="rId109" Type="http://schemas.openxmlformats.org/officeDocument/2006/relationships/hyperlink" Target="https://datahub.itu.int/" TargetMode="External"/><Relationship Id="rId260" Type="http://schemas.openxmlformats.org/officeDocument/2006/relationships/hyperlink" Target="https://www.itu.int/net/epub/TSB/2025-Digital-Agriculture-A-Standards-Snapshot/index.html" TargetMode="External"/><Relationship Id="rId34" Type="http://schemas.openxmlformats.org/officeDocument/2006/relationships/hyperlink" Target="https://www.itu.int/itu-d/reports/statistics/2024/11/10/ff24-internet-use/" TargetMode="External"/><Relationship Id="rId55" Type="http://schemas.openxmlformats.org/officeDocument/2006/relationships/hyperlink" Target="https://www.itu.int/fr/ITU-T/publications/Pages/recs.aspx" TargetMode="External"/><Relationship Id="rId76" Type="http://schemas.openxmlformats.org/officeDocument/2006/relationships/hyperlink" Target="https://aiforgood.itu.int/ai-skills-coalition/" TargetMode="External"/><Relationship Id="rId97" Type="http://schemas.openxmlformats.org/officeDocument/2006/relationships/hyperlink" Target="https://www.unicc.org/quantum-for-good-nov-2024/" TargetMode="External"/><Relationship Id="rId120" Type="http://schemas.openxmlformats.org/officeDocument/2006/relationships/hyperlink" Target="https://aiforgood.itu.int/ai-skills-coalition/" TargetMode="External"/><Relationship Id="rId141" Type="http://schemas.openxmlformats.org/officeDocument/2006/relationships/hyperlink" Target="https://www.itu.int/hub/membership/" TargetMode="External"/><Relationship Id="rId7" Type="http://schemas.openxmlformats.org/officeDocument/2006/relationships/hyperlink" Target="https://www.itu.int/en/council/Documents/basic-texts-2023/RES-071-F.pdf" TargetMode="External"/><Relationship Id="rId162" Type="http://schemas.openxmlformats.org/officeDocument/2006/relationships/hyperlink" Target="https://www.itu.int/itu-d/sites/priorities/fr/enablers-of-itu-d-priorities/regional-presence/" TargetMode="External"/><Relationship Id="rId183" Type="http://schemas.openxmlformats.org/officeDocument/2006/relationships/hyperlink" Target="https://www.itu.int/generationconnect/empower/generation-connect-young-leadership-programme-in-partnership-with-huawei/" TargetMode="External"/><Relationship Id="rId218" Type="http://schemas.openxmlformats.org/officeDocument/2006/relationships/hyperlink" Target="https://www.itu.int/metaverse/virtual-worlds/" TargetMode="External"/><Relationship Id="rId239" Type="http://schemas.openxmlformats.org/officeDocument/2006/relationships/hyperlink" Target="https://www.itu.int/fr/ITU-T/extcoop/Pages/wsc.aspx" TargetMode="External"/><Relationship Id="rId250" Type="http://schemas.openxmlformats.org/officeDocument/2006/relationships/hyperlink" Target="https://www.itu.int/pub/T-FG-AI4NDM-2022/fr" TargetMode="External"/><Relationship Id="rId271" Type="http://schemas.openxmlformats.org/officeDocument/2006/relationships/footer" Target="footer2.xml"/><Relationship Id="rId24" Type="http://schemas.openxmlformats.org/officeDocument/2006/relationships/hyperlink" Target="https://www.itu.int/en/ITU-T/wtsa24/Documents/WTSA-24_GSS-24_Brochure.pdf" TargetMode="External"/><Relationship Id="rId45" Type="http://schemas.openxmlformats.org/officeDocument/2006/relationships/image" Target="media/image10.png"/><Relationship Id="rId66" Type="http://schemas.openxmlformats.org/officeDocument/2006/relationships/hyperlink" Target="https://www.itu.int/en/ITU-T/info/Pages/resources.aspx" TargetMode="External"/><Relationship Id="rId87" Type="http://schemas.openxmlformats.org/officeDocument/2006/relationships/hyperlink" Target="https://www.itu.int/en/ITU-T/studygroups/2025-2028/11/Pages/default.aspx" TargetMode="External"/><Relationship Id="rId110" Type="http://schemas.openxmlformats.org/officeDocument/2006/relationships/hyperlink" Target="https://www.itu.int/fr/ITU-D/Statistics/Pages/bigdata/default.aspx" TargetMode="External"/><Relationship Id="rId131" Type="http://schemas.openxmlformats.org/officeDocument/2006/relationships/hyperlink" Target="https://www.itu.int/en/mediacentre/Pages/PR-2024-05-31-AI-for-Good-Global-Summit.aspx" TargetMode="External"/><Relationship Id="rId152" Type="http://schemas.openxmlformats.org/officeDocument/2006/relationships/hyperlink" Target="https://www.itu.int/hub/publication/r-reg-rr-2024/" TargetMode="External"/><Relationship Id="rId173" Type="http://schemas.openxmlformats.org/officeDocument/2006/relationships/hyperlink" Target="https://www.equalsintech.org/" TargetMode="External"/><Relationship Id="rId194" Type="http://schemas.openxmlformats.org/officeDocument/2006/relationships/hyperlink" Target="https://www.itu.int/en/ITU-T/extcoop/ai4resilience/Pages/default.aspx" TargetMode="External"/><Relationship Id="rId208" Type="http://schemas.openxmlformats.org/officeDocument/2006/relationships/hyperlink" Target="https://broadbandcommission.org/event/2024-annual-fall-meeting-of-the-broadband-commission/" TargetMode="External"/><Relationship Id="rId229" Type="http://schemas.openxmlformats.org/officeDocument/2006/relationships/hyperlink" Target="https://www.itu.int/cities/dt-resource-hub/" TargetMode="External"/><Relationship Id="rId240" Type="http://schemas.openxmlformats.org/officeDocument/2006/relationships/hyperlink" Target="https://www.worldstandardsday.org/home.html" TargetMode="External"/><Relationship Id="rId261" Type="http://schemas.openxmlformats.org/officeDocument/2006/relationships/hyperlink" Target="https://app.powerbi.com/view?r=eyJrIjoiNTNlMzVkYmItZWE5ZC00NTMwLTk2ZTgtZjJiM2IxZmJjY2UyIiwidCI6IjIzZTQ2NGQ3LTA0ZTYtNGI4Ny05MTNjLTI0YmQ4OTIxOWZkMyIsImMiOjl9" TargetMode="External"/><Relationship Id="rId14" Type="http://schemas.openxmlformats.org/officeDocument/2006/relationships/hyperlink" Target="https://www.itu.int/osg/year-in-review-2024/" TargetMode="External"/><Relationship Id="rId35" Type="http://schemas.openxmlformats.org/officeDocument/2006/relationships/image" Target="media/image6.emf"/><Relationship Id="rId56" Type="http://schemas.openxmlformats.org/officeDocument/2006/relationships/hyperlink" Target="https://www.itu.int/pub/R-REC/fr" TargetMode="External"/><Relationship Id="rId77" Type="http://schemas.openxmlformats.org/officeDocument/2006/relationships/hyperlink" Target="https://www.itu.int/dms_pub/itu-t/opb/res/T-RES-T.101-2024-PDF-F.pdf" TargetMode="External"/><Relationship Id="rId100" Type="http://schemas.openxmlformats.org/officeDocument/2006/relationships/hyperlink" Target="https://www.itu.int/metaverse/un-virtual-worlds-day/thinkathon/" TargetMode="External"/><Relationship Id="rId8" Type="http://schemas.openxmlformats.org/officeDocument/2006/relationships/hyperlink" Target="https://www.itu.int/en/council/Documents/basic-texts-2023/RES-151-F.pdf" TargetMode="External"/><Relationship Id="rId98" Type="http://schemas.openxmlformats.org/officeDocument/2006/relationships/hyperlink" Target="https://www.itu.int/en/ITU-T/focusgroups/mv/Pages/default.aspx" TargetMode="External"/><Relationship Id="rId121" Type="http://schemas.openxmlformats.org/officeDocument/2006/relationships/chart" Target="charts/chart1.xml"/><Relationship Id="rId142" Type="http://schemas.openxmlformats.org/officeDocument/2006/relationships/hyperlink" Target="https://www.itu.int/en/journal/j-fet/Pages/default.aspx" TargetMode="External"/><Relationship Id="rId163" Type="http://schemas.openxmlformats.org/officeDocument/2006/relationships/hyperlink" Target="https://www.itu.int/fr/ITU-D/Pages/regional-initiatives-2023-2025.aspx" TargetMode="External"/><Relationship Id="rId184" Type="http://schemas.openxmlformats.org/officeDocument/2006/relationships/hyperlink" Target="https://aiforgood.itu.int/the-5th-edition-of-the-itu-ai-ml-in-5g-challenge-a-year-of-competitions-in-review/" TargetMode="External"/><Relationship Id="rId219" Type="http://schemas.openxmlformats.org/officeDocument/2006/relationships/hyperlink" Target="https://www.itu.int/un-virtual-worlds-day/2025/" TargetMode="External"/><Relationship Id="rId230" Type="http://schemas.openxmlformats.org/officeDocument/2006/relationships/hyperlink" Target="https://www.itu.int/en/ITU-T/ITS/Pages/WTSA-Resolution-104.aspx" TargetMode="External"/><Relationship Id="rId251" Type="http://schemas.openxmlformats.org/officeDocument/2006/relationships/hyperlink" Target="https://www.itu.int/pub/T-FG-AI4NDM-2022-1/fr" TargetMode="External"/><Relationship Id="rId25" Type="http://schemas.openxmlformats.org/officeDocument/2006/relationships/hyperlink" Target="https://www.itu.int/wtsa/2024/related-events/" TargetMode="External"/><Relationship Id="rId46" Type="http://schemas.openxmlformats.org/officeDocument/2006/relationships/hyperlink" Target="https://globalewaste.org/" TargetMode="External"/><Relationship Id="rId67" Type="http://schemas.openxmlformats.org/officeDocument/2006/relationships/hyperlink" Target="https://www.itu.int/pub/T-RES-T.55-2024/fr" TargetMode="External"/><Relationship Id="rId272" Type="http://schemas.openxmlformats.org/officeDocument/2006/relationships/header" Target="header3.xml"/><Relationship Id="rId88" Type="http://schemas.openxmlformats.org/officeDocument/2006/relationships/hyperlink" Target="https://www.itu.int/en/ITU-T/studygroups/2025-2028/13/Pages/default.aspx" TargetMode="External"/><Relationship Id="rId111" Type="http://schemas.openxmlformats.org/officeDocument/2006/relationships/hyperlink" Target="https://unstats.un.org/bigdata/task-teams/mobile-phone/index.cshtml" TargetMode="External"/><Relationship Id="rId132" Type="http://schemas.openxmlformats.org/officeDocument/2006/relationships/hyperlink" Target="https://s41721.pcdn.co/wp-content/uploads/2024/12/t-ai4g-ai4good-2024-9-pdf-e.pdf" TargetMode="External"/><Relationship Id="rId153" Type="http://schemas.openxmlformats.org/officeDocument/2006/relationships/hyperlink" Target="https://www.itu.int/en/ITU-R/seminars/rrs/rrs-24-cis/Pages/default.aspx" TargetMode="External"/><Relationship Id="rId174" Type="http://schemas.openxmlformats.org/officeDocument/2006/relationships/hyperlink" Target="https://www.itu.int/women-and-girls/women-in-ict/ai-skills-accelerator-for-girls/" TargetMode="External"/><Relationship Id="rId195" Type="http://schemas.openxmlformats.org/officeDocument/2006/relationships/hyperlink" Target="https://www.itu.int/hub/2024/08/new-un-initiative-to-reduce-disaster-risk-with-ai/" TargetMode="External"/><Relationship Id="rId209" Type="http://schemas.openxmlformats.org/officeDocument/2006/relationships/hyperlink" Target="https://broadbandcommission.org/publication/state-of-broadband-2024/" TargetMode="External"/><Relationship Id="rId220" Type="http://schemas.openxmlformats.org/officeDocument/2006/relationships/hyperlink" Target="https://u4ssc.itu.int/" TargetMode="External"/><Relationship Id="rId241" Type="http://schemas.openxmlformats.org/officeDocument/2006/relationships/hyperlink" Target="https://www.worldstandardscooperation.org/what-we-do/world-standards-day/" TargetMode="External"/><Relationship Id="rId15" Type="http://schemas.openxmlformats.org/officeDocument/2006/relationships/hyperlink" Target="https://www.itu.int/en/council/Documents/basic-texts-2023/RES-071-F.pdf" TargetMode="External"/><Relationship Id="rId36" Type="http://schemas.openxmlformats.org/officeDocument/2006/relationships/hyperlink" Target="https://www.itu.int/itu-d/reports/statistics/2024/11/10/ff24-mobile-phone-ownership/" TargetMode="External"/><Relationship Id="rId57" Type="http://schemas.openxmlformats.org/officeDocument/2006/relationships/hyperlink" Target="https://www.itu.int/itu-t/workprog/wp_search.aspx?isn_sp=8265&amp;isn_status=-1,2&amp;adf=2024-01-01&amp;adt=2024-12-31&amp;details=0&amp;field=acdefghijo" TargetMode="External"/><Relationship Id="rId262" Type="http://schemas.openxmlformats.org/officeDocument/2006/relationships/image" Target="media/image15.png"/><Relationship Id="rId78" Type="http://schemas.openxmlformats.org/officeDocument/2006/relationships/hyperlink" Target="https://www.itu.int/en/ITU-T/focusgroups/ainn/Pages/default.aspx" TargetMode="External"/><Relationship Id="rId99" Type="http://schemas.openxmlformats.org/officeDocument/2006/relationships/hyperlink" Target="https://www.itu.int/en/ITU-T/focusgroups/mv/Pages/deliverables.aspx" TargetMode="External"/><Relationship Id="rId101" Type="http://schemas.openxmlformats.org/officeDocument/2006/relationships/hyperlink" Target="https://www.itu.int/metaverse/virtual-worlds/1st-un-citiverse-challenge/" TargetMode="External"/><Relationship Id="rId122" Type="http://schemas.openxmlformats.org/officeDocument/2006/relationships/hyperlink" Target="https://www.itu.int/itu-d/sites/projects/home/projects/" TargetMode="External"/><Relationship Id="rId143" Type="http://schemas.openxmlformats.org/officeDocument/2006/relationships/hyperlink" Target="https://www.itu.int/en/ITU-T/academia/kaleidoscope/Pages/default.aspx" TargetMode="External"/><Relationship Id="rId164" Type="http://schemas.openxmlformats.org/officeDocument/2006/relationships/hyperlink" Target="https://www.itu.int/itu-d/sites/digital-impact-unlocked/a-new-national-e-waste-policy-in-malawi/" TargetMode="External"/><Relationship Id="rId185" Type="http://schemas.openxmlformats.org/officeDocument/2006/relationships/hyperlink" Target="https://aiforgood.itu.int/robotics-for-good-youth-challenge/" TargetMode="External"/><Relationship Id="rId9" Type="http://schemas.openxmlformats.org/officeDocument/2006/relationships/hyperlink" Target="https://www.itu.int/en/council/Documents/basic-texts-2023/RES-200-F.pdf" TargetMode="External"/><Relationship Id="rId210" Type="http://schemas.openxmlformats.org/officeDocument/2006/relationships/hyperlink" Target="https://www.broadbandcommission.org/contributions-to-un-processes/" TargetMode="External"/><Relationship Id="rId26" Type="http://schemas.openxmlformats.org/officeDocument/2006/relationships/hyperlink" Target="https://www.itu.int/en/ITU-D/Statistics/Pages/facts/default.aspx" TargetMode="External"/><Relationship Id="rId231" Type="http://schemas.openxmlformats.org/officeDocument/2006/relationships/hyperlink" Target="https://www.itu.int/en/ITU-T/extcoop/cits/Pages/default.aspx" TargetMode="External"/><Relationship Id="rId252" Type="http://schemas.openxmlformats.org/officeDocument/2006/relationships/hyperlink" Target="https://www.itu.int/pub/T-FG-AI4NDM-2023-3/fr" TargetMode="External"/><Relationship Id="rId273" Type="http://schemas.openxmlformats.org/officeDocument/2006/relationships/footer" Target="footer3.xml"/><Relationship Id="rId47" Type="http://schemas.openxmlformats.org/officeDocument/2006/relationships/hyperlink" Target="https://www.itu.int/hub/publication/d-str-digital-04-2024/" TargetMode="External"/><Relationship Id="rId68" Type="http://schemas.openxmlformats.org/officeDocument/2006/relationships/hyperlink" Target="https://www.itu.int/pub/T-RES-T.107-2024/fr" TargetMode="External"/><Relationship Id="rId89" Type="http://schemas.openxmlformats.org/officeDocument/2006/relationships/hyperlink" Target="https://www.itu.int/en/ITU-T/studygroups/2025-2028/15/Pages/default.aspx" TargetMode="External"/><Relationship Id="rId112" Type="http://schemas.openxmlformats.org/officeDocument/2006/relationships/hyperlink" Target="https://www.itu.int/en/ITU-D/Statistics/Pages/publications/default.aspx" TargetMode="External"/><Relationship Id="rId133" Type="http://schemas.openxmlformats.org/officeDocument/2006/relationships/hyperlink" Target="https://aiforgood.itu.int/young-ai-leaders-community/" TargetMode="External"/><Relationship Id="rId154" Type="http://schemas.openxmlformats.org/officeDocument/2006/relationships/hyperlink" Target="https://www.itu.int/en/ITU-R/seminars/rrs/RRS-24-Americas/Pages/default.aspx" TargetMode="External"/><Relationship Id="rId175" Type="http://schemas.openxmlformats.org/officeDocument/2006/relationships/hyperlink" Target="https://www.equalsintech.org/her-digital-skills/" TargetMode="External"/><Relationship Id="rId196" Type="http://schemas.openxmlformats.org/officeDocument/2006/relationships/hyperlink" Target="https://www.itu.int/hub/2025/04/ai-standards-and-future-disaster-resilience/" TargetMode="External"/><Relationship Id="rId200" Type="http://schemas.openxmlformats.org/officeDocument/2006/relationships/hyperlink" Target="https://www.linkedin.com/pulse/harnessing-ai-sustainable-future-cop29-climate-bahme/" TargetMode="External"/><Relationship Id="rId16" Type="http://schemas.openxmlformats.org/officeDocument/2006/relationships/image" Target="media/image1.png"/><Relationship Id="rId221" Type="http://schemas.openxmlformats.org/officeDocument/2006/relationships/hyperlink" Target="https://u4ssc.itu.int/u4ssc-kpis-report/" TargetMode="External"/><Relationship Id="rId242" Type="http://schemas.openxmlformats.org/officeDocument/2006/relationships/hyperlink" Target="https://aiforgood.itu.int/multimedia-authenticity/" TargetMode="External"/><Relationship Id="rId263" Type="http://schemas.openxmlformats.org/officeDocument/2006/relationships/hyperlink" Target="https://www.itu.int/md/S25-CL-C-0066/fr" TargetMode="External"/><Relationship Id="rId37" Type="http://schemas.openxmlformats.org/officeDocument/2006/relationships/hyperlink" Target="https://www.unesco.org/fr/sdg4scorecard-dashboard" TargetMode="External"/><Relationship Id="rId58" Type="http://schemas.openxmlformats.org/officeDocument/2006/relationships/hyperlink" Target="https://www.itu.int/itu-t/workprog/wp_search.aspx?isn_sp=9677&amp;isn_status=-1,2&amp;adf=2024-01-01&amp;adt=2024-12-31&amp;details=0&amp;field=acdefghijo" TargetMode="External"/><Relationship Id="rId79" Type="http://schemas.openxmlformats.org/officeDocument/2006/relationships/hyperlink" Target="https://www.itu.int/en/ITU-T/extcoop/ai4resilience/Pages/default.aspx" TargetMode="External"/><Relationship Id="rId102" Type="http://schemas.openxmlformats.org/officeDocument/2006/relationships/hyperlink" Target="https://www.itu.int/net/epub/TSB/2024-UN-Executive-Briefing-on-unlocking-potential/index.html" TargetMode="External"/><Relationship Id="rId123" Type="http://schemas.openxmlformats.org/officeDocument/2006/relationships/hyperlink" Target="https://www.itu.int/en/ITU-D/Projects/Pages/reports/default.aspx" TargetMode="External"/><Relationship Id="rId144" Type="http://schemas.openxmlformats.org/officeDocument/2006/relationships/hyperlink" Target="https://www.itu.int/en/journal/j-fet/Pages/default.aspx" TargetMode="External"/><Relationship Id="rId90" Type="http://schemas.openxmlformats.org/officeDocument/2006/relationships/hyperlink" Target="https://www.itu.int/en/ITU-T/studygroups/2025-2028/17/Pages/default.aspx" TargetMode="External"/><Relationship Id="rId165" Type="http://schemas.openxmlformats.org/officeDocument/2006/relationships/hyperlink" Target="https://www.itu.int/itu-d/sites/digital-impact-unlocked/crisis-response-itus-response-to-hurricane-beryl/" TargetMode="External"/><Relationship Id="rId186" Type="http://schemas.openxmlformats.org/officeDocument/2006/relationships/hyperlink" Target="https://www.itu.int/md/S25-CL-C-0031/fr" TargetMode="External"/><Relationship Id="rId211" Type="http://schemas.openxmlformats.org/officeDocument/2006/relationships/hyperlink" Target="https://www.broadbandcommission.org/wp-content/uploads/2024/04/Broadband-Commission-Championing-Digital-Equality-1.pdf" TargetMode="External"/><Relationship Id="rId232" Type="http://schemas.openxmlformats.org/officeDocument/2006/relationships/hyperlink" Target="https://unece.org/transport/vehicle-regulations" TargetMode="External"/><Relationship Id="rId253" Type="http://schemas.openxmlformats.org/officeDocument/2006/relationships/hyperlink" Target="https://www.itu.int/en/ITU-T/focusgroups/ai4ndm/Documents/Deliverables/FG-AI4NDM%20WG-MODELING%20-%20AI%20for%20Modeling.pdf" TargetMode="External"/><Relationship Id="rId274" Type="http://schemas.openxmlformats.org/officeDocument/2006/relationships/fontTable" Target="fontTable.xml"/><Relationship Id="rId27" Type="http://schemas.openxmlformats.org/officeDocument/2006/relationships/image" Target="media/image2.png"/><Relationship Id="rId48" Type="http://schemas.openxmlformats.org/officeDocument/2006/relationships/hyperlink" Target="https://www.itu.int/pub/R-REG-RR/fr" TargetMode="External"/><Relationship Id="rId69" Type="http://schemas.openxmlformats.org/officeDocument/2006/relationships/hyperlink" Target="https://www.itu.int/myworkspace/" TargetMode="External"/><Relationship Id="rId113" Type="http://schemas.openxmlformats.org/officeDocument/2006/relationships/hyperlink" Target="https://www.itu.int/en/ITU-D/Statistics/Pages/capacitydev/default.aspx" TargetMode="External"/><Relationship Id="rId134" Type="http://schemas.openxmlformats.org/officeDocument/2006/relationships/hyperlink" Target="https://aiforgood.itu.int/" TargetMode="External"/><Relationship Id="rId80" Type="http://schemas.openxmlformats.org/officeDocument/2006/relationships/hyperlink" Target="https://s41721.pcdn.co/wp-content/uploads/2021/06/2401225_AI_Governance_Day_2024_Report-E.pdf" TargetMode="External"/><Relationship Id="rId155" Type="http://schemas.openxmlformats.org/officeDocument/2006/relationships/hyperlink" Target="https://www.itu.int/en/ITU-R/seminars/rrs/rrs-24-asia%26pacific/Pages/default.aspx" TargetMode="External"/><Relationship Id="rId176" Type="http://schemas.openxmlformats.org/officeDocument/2006/relationships/hyperlink" Target="https://www.itu.int/en/ITU-D/Cybersecurity/Pages/Skills-Development/Her-CyberTracks.aspx" TargetMode="External"/><Relationship Id="rId197" Type="http://schemas.openxmlformats.org/officeDocument/2006/relationships/hyperlink" Target="https://www.itu.int/pub/R-GEN-CLC-2025/fr" TargetMode="External"/><Relationship Id="rId201" Type="http://schemas.openxmlformats.org/officeDocument/2006/relationships/hyperlink" Target="https://www.itu.int/en/ITU-D/Environment/Pages/Publications/The-Global-E-waste-Monitor-2024.aspx" TargetMode="External"/><Relationship Id="rId222" Type="http://schemas.openxmlformats.org/officeDocument/2006/relationships/hyperlink" Target="https://u4ssc.itu.int/u4ssc-kpis-report/" TargetMode="External"/><Relationship Id="rId243" Type="http://schemas.openxmlformats.org/officeDocument/2006/relationships/hyperlink" Target="https://www.itu.int/en/ITU-T/extcoop/amas/Documents/Terms%20of%20reference%20for%20AI%20and%20multimedia%20authenticity%20standards%20collaboration.pdf" TargetMode="External"/><Relationship Id="rId264" Type="http://schemas.openxmlformats.org/officeDocument/2006/relationships/hyperlink" Target="https://www.itu.int/md/S25-CL-C-0055/fr" TargetMode="External"/><Relationship Id="rId17" Type="http://schemas.openxmlformats.org/officeDocument/2006/relationships/hyperlink" Target="https://www.itu.int/wtsa/2024/" TargetMode="External"/><Relationship Id="rId38" Type="http://schemas.openxmlformats.org/officeDocument/2006/relationships/image" Target="media/image7.emf"/><Relationship Id="rId59" Type="http://schemas.openxmlformats.org/officeDocument/2006/relationships/hyperlink" Target="https://www.itu.int/fr/ITU-T/publications/Pages/recs.aspx" TargetMode="External"/><Relationship Id="rId103" Type="http://schemas.openxmlformats.org/officeDocument/2006/relationships/hyperlink" Target="https://www.itu.int/itu-d/sites/statistics/fr/" TargetMode="External"/><Relationship Id="rId124" Type="http://schemas.openxmlformats.org/officeDocument/2006/relationships/hyperlink" Target="https://www.itu.int/net4/wsis/forum/2024/fr/Home/About" TargetMode="External"/><Relationship Id="rId70" Type="http://schemas.openxmlformats.org/officeDocument/2006/relationships/hyperlink" Target="https://www.itu.int/pub/T-RES-T.32-2024/fr" TargetMode="External"/><Relationship Id="rId91" Type="http://schemas.openxmlformats.org/officeDocument/2006/relationships/hyperlink" Target="https://www.itu.int/en/ITU-T/jca/qkdn/Pages/default.aspx" TargetMode="External"/><Relationship Id="rId145" Type="http://schemas.openxmlformats.org/officeDocument/2006/relationships/hyperlink" Target="https://www.itu.int/en/journal/j-fet/2024/002/Pages/default.aspx" TargetMode="External"/><Relationship Id="rId166" Type="http://schemas.openxmlformats.org/officeDocument/2006/relationships/hyperlink" Target="https://www.itu.int/itu-d/sites/digital-impact-unlocked/bdt4impact-case-study-record-breaking-cyber-response-trainings/" TargetMode="External"/><Relationship Id="rId187" Type="http://schemas.openxmlformats.org/officeDocument/2006/relationships/hyperlink" Target="https://www.itu.int/wtsa/2024/" TargetMode="External"/><Relationship Id="rId1" Type="http://schemas.openxmlformats.org/officeDocument/2006/relationships/customXml" Target="../customXml/item1.xml"/><Relationship Id="rId212" Type="http://schemas.openxmlformats.org/officeDocument/2006/relationships/hyperlink" Target="https://www.broadbandcommission.org/global-digital-compact-data-governance/" TargetMode="External"/><Relationship Id="rId233" Type="http://schemas.openxmlformats.org/officeDocument/2006/relationships/hyperlink" Target="https://www.itu.int/en/ITU-T/extcoop/cits/egcomad/Pages/default.aspx" TargetMode="External"/><Relationship Id="rId254" Type="http://schemas.openxmlformats.org/officeDocument/2006/relationships/hyperlink" Target="https://www.itu.int/en/ITU-T/focusgroups/ai4ndm/Pages/events.aspx" TargetMode="External"/><Relationship Id="rId28" Type="http://schemas.openxmlformats.org/officeDocument/2006/relationships/hyperlink" Target="https://www.itu.int/itu-d/reports/statistics/2024/11/10/ff24-internet-use/" TargetMode="External"/><Relationship Id="rId49" Type="http://schemas.openxmlformats.org/officeDocument/2006/relationships/hyperlink" Target="https://www.itu.int/wrc-23/" TargetMode="External"/><Relationship Id="rId114" Type="http://schemas.openxmlformats.org/officeDocument/2006/relationships/hyperlink" Target="https://www.itu.int/en/ITU-D/Statistics/Pages/intlcoop/default.aspx" TargetMode="External"/><Relationship Id="rId275" Type="http://schemas.openxmlformats.org/officeDocument/2006/relationships/theme" Target="theme/theme1.xml"/><Relationship Id="rId60" Type="http://schemas.openxmlformats.org/officeDocument/2006/relationships/hyperlink" Target="https://www.itu.int/en/ITU-T/studygroups/2025-2028/Pages/default.aspx" TargetMode="External"/><Relationship Id="rId81" Type="http://schemas.openxmlformats.org/officeDocument/2006/relationships/hyperlink" Target="https://aiforgood.itu.int/about-us/un-ai-actions/" TargetMode="External"/><Relationship Id="rId135" Type="http://schemas.openxmlformats.org/officeDocument/2006/relationships/hyperlink" Target="https://aiforgood.itu.int/ai-skills-coalition/" TargetMode="External"/><Relationship Id="rId156" Type="http://schemas.openxmlformats.org/officeDocument/2006/relationships/hyperlink" Target="https://www.itu.int/en/ITU-R/seminars/ntfa/Pages/default.aspx" TargetMode="External"/><Relationship Id="rId177" Type="http://schemas.openxmlformats.org/officeDocument/2006/relationships/hyperlink" Target="https://www.itu.int/now4wrc/" TargetMode="External"/><Relationship Id="rId198" Type="http://schemas.openxmlformats.org/officeDocument/2006/relationships/hyperlink" Target="https://www.itu.int/pub/T-ENV-ENV-2024-1/fr" TargetMode="External"/><Relationship Id="rId202" Type="http://schemas.openxmlformats.org/officeDocument/2006/relationships/hyperlink" Target="https://www.itu.int/en/action/environment-and-climate-change/Pages/greening-ITU.aspx" TargetMode="External"/><Relationship Id="rId223" Type="http://schemas.openxmlformats.org/officeDocument/2006/relationships/hyperlink" Target="https://u4ssc.itu.int/publications/" TargetMode="External"/><Relationship Id="rId244" Type="http://schemas.openxmlformats.org/officeDocument/2006/relationships/hyperlink" Target="https://aiforgood.itu.int/ai-standards/" TargetMode="External"/><Relationship Id="rId18" Type="http://schemas.openxmlformats.org/officeDocument/2006/relationships/hyperlink" Target="https://gss.itu.int/" TargetMode="External"/><Relationship Id="rId39" Type="http://schemas.openxmlformats.org/officeDocument/2006/relationships/hyperlink" Target="https://www.itu.int/itu-d/reports/statistics/2024/11/10/ff24-internet-use-in-urban-and-rural-areas/" TargetMode="External"/><Relationship Id="rId265" Type="http://schemas.openxmlformats.org/officeDocument/2006/relationships/hyperlink" Target="https://www.itu.int/md/S24-CL-C-0052/fr" TargetMode="External"/><Relationship Id="rId50" Type="http://schemas.openxmlformats.org/officeDocument/2006/relationships/hyperlink" Target="https://www.itu.int/pub/R-REG-RR-2024/fr" TargetMode="External"/><Relationship Id="rId104" Type="http://schemas.openxmlformats.org/officeDocument/2006/relationships/hyperlink" Target="https://www.itu.int/itu-d/meetings/statistics/umc2030/" TargetMode="External"/><Relationship Id="rId125" Type="http://schemas.openxmlformats.org/officeDocument/2006/relationships/hyperlink" Target="https://www.itu.int/net/wsis/review/2025.html" TargetMode="External"/><Relationship Id="rId146" Type="http://schemas.openxmlformats.org/officeDocument/2006/relationships/hyperlink" Target="https://www.itu.int/en/journal/j-fet/2024/001/Pages/default.aspx" TargetMode="External"/><Relationship Id="rId167" Type="http://schemas.openxmlformats.org/officeDocument/2006/relationships/hyperlink" Target="https://www.itu.int/itu-d/sites/digital-impact-unlocked/digital-training-empowers-vanilla-farmers-in-papua-new-guinea-to-find-new-markets/" TargetMode="External"/><Relationship Id="rId188" Type="http://schemas.openxmlformats.org/officeDocument/2006/relationships/hyperlink" Target="https://www.itu.int/dms_pub/itu-t/opb/res/T-RES-T.107-2024-PDF-F.pdf" TargetMode="External"/><Relationship Id="rId71" Type="http://schemas.openxmlformats.org/officeDocument/2006/relationships/hyperlink" Target="https://www.itu.int/pub/T-RES-T.67-2024/fr" TargetMode="External"/><Relationship Id="rId92" Type="http://schemas.openxmlformats.org/officeDocument/2006/relationships/hyperlink" Target="https://www.itu.int/en/ITU-T/Workshops-and-Seminars/2024/0517/Pages/default.aspx" TargetMode="External"/><Relationship Id="rId213" Type="http://schemas.openxmlformats.org/officeDocument/2006/relationships/hyperlink" Target="https://extranet.itu.int/rsg-meetings/ccv/Share/CCT%20meeting%202023-07-21/Input%20contributions/001e.docx?web=1" TargetMode="External"/><Relationship Id="rId234" Type="http://schemas.openxmlformats.org/officeDocument/2006/relationships/hyperlink" Target="https://www.itu.int/en/ITU-T/extcoop/cits/egcomad/wg01/Pages/default.aspx" TargetMode="External"/><Relationship Id="rId2" Type="http://schemas.openxmlformats.org/officeDocument/2006/relationships/styles" Target="styles.xml"/><Relationship Id="rId29" Type="http://schemas.openxmlformats.org/officeDocument/2006/relationships/image" Target="media/image3.emf"/><Relationship Id="rId255" Type="http://schemas.openxmlformats.org/officeDocument/2006/relationships/hyperlink" Target="https://www.itu.int/pub/T-FG-AI4NDM-2024-4/fr" TargetMode="External"/><Relationship Id="rId40" Type="http://schemas.openxmlformats.org/officeDocument/2006/relationships/hyperlink" Target="https://www.itu.int/dms_pub/itu-d/opb/ind/d-ind-ict_mdd-2024-4-pdf-e.pdf" TargetMode="External"/><Relationship Id="rId115" Type="http://schemas.openxmlformats.org/officeDocument/2006/relationships/hyperlink" Target="https://www.itu.int/itu-d/sites/projectumc/" TargetMode="External"/><Relationship Id="rId136" Type="http://schemas.openxmlformats.org/officeDocument/2006/relationships/hyperlink" Target="https://www.itu.int/hub/2025/03/ai-skills-for-the-future-a-new-un-training-platform/" TargetMode="External"/><Relationship Id="rId157" Type="http://schemas.openxmlformats.org/officeDocument/2006/relationships/hyperlink" Target="https://aiforgood.itu.int/" TargetMode="External"/><Relationship Id="rId178" Type="http://schemas.openxmlformats.org/officeDocument/2006/relationships/hyperlink" Target="https://www.itu.int/en/ITU-T/NoW/Pages/default.aspx" TargetMode="External"/><Relationship Id="rId61" Type="http://schemas.openxmlformats.org/officeDocument/2006/relationships/hyperlink" Target="https://www.itu.int/en/ITU-T/focusgroups/Pages/default.aspx" TargetMode="External"/><Relationship Id="rId82" Type="http://schemas.openxmlformats.org/officeDocument/2006/relationships/hyperlink" Target="https://unsceb.org/sites/default/files/2024-04/United%20Nations%20System%20White%20Paper%20on%20AI%20Governance.pdf" TargetMode="External"/><Relationship Id="rId199" Type="http://schemas.openxmlformats.org/officeDocument/2006/relationships/hyperlink" Target="https://www.sustainableaicoalition.org/wp-content/uploads/Standardization_AI_Sustainability.pdf" TargetMode="External"/><Relationship Id="rId203" Type="http://schemas.openxmlformats.org/officeDocument/2006/relationships/hyperlink" Target="https://www.itu.int/en/action/environment-and-climate-change/Documents/ITU%20Environmental%20Sustainability%20Policy%20%282025%29.pdf" TargetMode="External"/><Relationship Id="rId19" Type="http://schemas.openxmlformats.org/officeDocument/2006/relationships/hyperlink" Target="https://www.itu.int/fr/ITU-T/studygroups/2022-2024/09/Pages/default.aspx" TargetMode="External"/><Relationship Id="rId224" Type="http://schemas.openxmlformats.org/officeDocument/2006/relationships/hyperlink" Target="https://u4ssc.itu.int/latest-meetings/8th-meeting/" TargetMode="External"/><Relationship Id="rId245" Type="http://schemas.openxmlformats.org/officeDocument/2006/relationships/hyperlink" Target="https://www.itu.int/en/ITU-D/Emergency-Telecommunications/Pages/AI-Sub-Group-EW4All-.aspx" TargetMode="External"/><Relationship Id="rId266" Type="http://schemas.openxmlformats.org/officeDocument/2006/relationships/hyperlink" Target="https://www.itu.int/md/S25-CL-C-0055/fr" TargetMode="External"/><Relationship Id="rId30" Type="http://schemas.openxmlformats.org/officeDocument/2006/relationships/hyperlink" Target="https://www.itu.int/itu-d/reports/statistics/2024/11/10/ff24-affordability-of-ict-services/" TargetMode="External"/><Relationship Id="rId105" Type="http://schemas.openxmlformats.org/officeDocument/2006/relationships/hyperlink" Target="https://www.itu.int/en/ITU-D/Statistics/Pages/facts/default.aspx" TargetMode="External"/><Relationship Id="rId126" Type="http://schemas.openxmlformats.org/officeDocument/2006/relationships/hyperlink" Target="https://www.itu.int/en/council/cwg-wsis/Pages/default.aspx" TargetMode="External"/><Relationship Id="rId147" Type="http://schemas.openxmlformats.org/officeDocument/2006/relationships/hyperlink" Target="https://www.itu.int/en/journal/j-fet/2023/003/Pages/default.aspx" TargetMode="External"/><Relationship Id="rId168" Type="http://schemas.openxmlformats.org/officeDocument/2006/relationships/hyperlink" Target="https://www.itu.int/itu-d/sites/digital-impact-unlocked/enhancing-azerbaijans-ict-data-systems/" TargetMode="External"/><Relationship Id="rId51" Type="http://schemas.openxmlformats.org/officeDocument/2006/relationships/hyperlink" Target="https://www.itu.int/fr/ITU-R/Pages/default.aspx" TargetMode="External"/><Relationship Id="rId72" Type="http://schemas.openxmlformats.org/officeDocument/2006/relationships/hyperlink" Target="https://www.itu.int/md/S25-CL-C-0018/fr" TargetMode="External"/><Relationship Id="rId93" Type="http://schemas.openxmlformats.org/officeDocument/2006/relationships/hyperlink" Target="https://www.itu.int/itu-t/landscape/?topic=tx467&amp;group=g&amp;search_text=" TargetMode="External"/><Relationship Id="rId189" Type="http://schemas.openxmlformats.org/officeDocument/2006/relationships/hyperlink" Target="https://www.itu.int/en/ITU-T/academia/kaleidoscope/2024/Pages/default.aspx" TargetMode="External"/><Relationship Id="rId3" Type="http://schemas.openxmlformats.org/officeDocument/2006/relationships/settings" Target="settings.xml"/><Relationship Id="rId214" Type="http://schemas.openxmlformats.org/officeDocument/2006/relationships/hyperlink" Target="https://www.broadbandcommission.org/working-groups/ai-capacity-building/" TargetMode="External"/><Relationship Id="rId235" Type="http://schemas.openxmlformats.org/officeDocument/2006/relationships/hyperlink" Target="https://www.itu.int/en/ITU-T/extcoop/cits/egcomad/wg02/Pages/default.aspx" TargetMode="External"/><Relationship Id="rId256" Type="http://schemas.openxmlformats.org/officeDocument/2006/relationships/hyperlink" Target="https://www.medewsa.eu/" TargetMode="External"/><Relationship Id="rId116" Type="http://schemas.openxmlformats.org/officeDocument/2006/relationships/hyperlink" Target="https://www.itu.int/itu-d/meetings/wtis24/" TargetMode="External"/><Relationship Id="rId137" Type="http://schemas.openxmlformats.org/officeDocument/2006/relationships/hyperlink" Target="https://aiforgood.itu.int/event/ai-for-good-impact-india/" TargetMode="External"/><Relationship Id="rId158" Type="http://schemas.openxmlformats.org/officeDocument/2006/relationships/hyperlink" Target="https://www.itu.int/en/ITU-T/Workshops-and-Seminars/2024/Pages/default.aspx" TargetMode="External"/><Relationship Id="rId20" Type="http://schemas.openxmlformats.org/officeDocument/2006/relationships/hyperlink" Target="https://www.itu.int/fr/ITU-T/studygroups/2022-2024/16/Pages/default.aspx" TargetMode="External"/><Relationship Id="rId41" Type="http://schemas.openxmlformats.org/officeDocument/2006/relationships/image" Target="media/image8.emf"/><Relationship Id="rId62" Type="http://schemas.openxmlformats.org/officeDocument/2006/relationships/hyperlink" Target="https://www.itu.int/pub/R-REC/fr" TargetMode="External"/><Relationship Id="rId83" Type="http://schemas.openxmlformats.org/officeDocument/2006/relationships/hyperlink" Target="https://www.itu.int/hub/2023/07/new-un-initiative-aims-to-step-up-ais-contribution-to-health/" TargetMode="External"/><Relationship Id="rId179" Type="http://schemas.openxmlformats.org/officeDocument/2006/relationships/hyperlink" Target="https://www.itu.int/en/ITU-D/Digital-Inclusion/Women-and-Girls/NoW/Pages/default.aspx" TargetMode="External"/><Relationship Id="rId190" Type="http://schemas.openxmlformats.org/officeDocument/2006/relationships/hyperlink" Target="https://aiforgood.itu.int/event/robotics-for-good-youth-challenge-india/" TargetMode="External"/><Relationship Id="rId204" Type="http://schemas.openxmlformats.org/officeDocument/2006/relationships/hyperlink" Target="https://www.itu.int/md/S25-CL-C-0045/fr" TargetMode="External"/><Relationship Id="rId225" Type="http://schemas.openxmlformats.org/officeDocument/2006/relationships/hyperlink" Target="https://u4ssc.itu.int/publications/" TargetMode="External"/><Relationship Id="rId246" Type="http://schemas.openxmlformats.org/officeDocument/2006/relationships/hyperlink" Target="https://dcm.itu.int/" TargetMode="External"/><Relationship Id="rId267" Type="http://schemas.openxmlformats.org/officeDocument/2006/relationships/hyperlink" Target="https://www.itu.int/net4/Search/CL25/Main/Reader" TargetMode="External"/><Relationship Id="rId106" Type="http://schemas.openxmlformats.org/officeDocument/2006/relationships/image" Target="media/image11.png"/><Relationship Id="rId127" Type="http://schemas.openxmlformats.org/officeDocument/2006/relationships/hyperlink" Target="https://www.itu.int/net4/wsis/ungis/" TargetMode="External"/><Relationship Id="rId10" Type="http://schemas.openxmlformats.org/officeDocument/2006/relationships/hyperlink" Target="https://www.itu.int/en/council/Documents/basic-texts-2023/Convention-F.pdf" TargetMode="External"/><Relationship Id="rId31" Type="http://schemas.openxmlformats.org/officeDocument/2006/relationships/image" Target="media/image4.emf"/><Relationship Id="rId52" Type="http://schemas.openxmlformats.org/officeDocument/2006/relationships/hyperlink" Target="https://www.itu.int/fr/ITU-R/Pages/default.aspx" TargetMode="External"/><Relationship Id="rId73" Type="http://schemas.openxmlformats.org/officeDocument/2006/relationships/hyperlink" Target="https://www.itu.int/en/action/cybersecurity/Pages/default.aspx" TargetMode="External"/><Relationship Id="rId94" Type="http://schemas.openxmlformats.org/officeDocument/2006/relationships/hyperlink" Target="https://docs.un.org/fr/A/RES/78/287" TargetMode="External"/><Relationship Id="rId148" Type="http://schemas.openxmlformats.org/officeDocument/2006/relationships/hyperlink" Target="https://www.itu.int/en/journal/j-fet/2024/003/Pages/default.aspx" TargetMode="External"/><Relationship Id="rId169" Type="http://schemas.openxmlformats.org/officeDocument/2006/relationships/hyperlink" Target="https://www.itu.int/itu-d/sites/digital-impact-unlocked/digital-innovation-profile-co-creation-advances-innovation-in-albania/" TargetMode="External"/><Relationship Id="rId4" Type="http://schemas.openxmlformats.org/officeDocument/2006/relationships/webSettings" Target="webSettings.xml"/><Relationship Id="rId180" Type="http://schemas.openxmlformats.org/officeDocument/2006/relationships/hyperlink" Target="http://www.itu.int/gender" TargetMode="External"/><Relationship Id="rId215" Type="http://schemas.openxmlformats.org/officeDocument/2006/relationships/hyperlink" Target="https://www.equalsintech.org/" TargetMode="External"/><Relationship Id="rId236" Type="http://schemas.openxmlformats.org/officeDocument/2006/relationships/hyperlink" Target="https://fnc.itu.int/" TargetMode="External"/><Relationship Id="rId257" Type="http://schemas.openxmlformats.org/officeDocument/2006/relationships/hyperlink" Target="https://www.itu.int/en/ITU-T/extcoop/ai4resilience/Pages/default.aspx" TargetMode="External"/><Relationship Id="rId42" Type="http://schemas.openxmlformats.org/officeDocument/2006/relationships/hyperlink" Target="https://www.itu.int/itu-d/reports/statistics/2024/11/10/ff24-the-gender-digital-divide/" TargetMode="External"/><Relationship Id="rId84" Type="http://schemas.openxmlformats.org/officeDocument/2006/relationships/hyperlink" Target="https://aiforgood.itu.int/summit23/" TargetMode="External"/><Relationship Id="rId138" Type="http://schemas.openxmlformats.org/officeDocument/2006/relationships/hyperlink" Target="https://gss.itu.int/" TargetMode="External"/><Relationship Id="rId191" Type="http://schemas.openxmlformats.org/officeDocument/2006/relationships/hyperlink" Target="https://challenge.aiforgood.itu.int/match/matchitem/95" TargetMode="External"/><Relationship Id="rId205" Type="http://schemas.openxmlformats.org/officeDocument/2006/relationships/hyperlink" Target="https://www.itu.int/partner2connect/" TargetMode="External"/><Relationship Id="rId247" Type="http://schemas.openxmlformats.org/officeDocument/2006/relationships/hyperlink" Target="https://www.youtube.com/watch?v=xjKjamBKHAw" TargetMode="External"/><Relationship Id="rId107" Type="http://schemas.openxmlformats.org/officeDocument/2006/relationships/hyperlink" Target="https://www.itu.int/itu-d/sites/statistics/fr/" TargetMode="External"/><Relationship Id="rId11" Type="http://schemas.openxmlformats.org/officeDocument/2006/relationships/hyperlink" Target="https://www.itu.int/en/council/Documents/basic-texts-2023/Convention-F.pdf" TargetMode="External"/><Relationship Id="rId53" Type="http://schemas.openxmlformats.org/officeDocument/2006/relationships/hyperlink" Target="https://www.itu.int/en/ITU-R/space/brific/Pages/default.aspx" TargetMode="External"/><Relationship Id="rId149" Type="http://schemas.openxmlformats.org/officeDocument/2006/relationships/hyperlink" Target="https://www.itu.int/en/journal/j-fet/webinars/Pages/defaul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zziala\AppData\Roaming\Microsoft\Templates\POOL%20F%20-%20ITU\SG\PF_Council2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pool\TRAD\F\POOL\TableauxExcel\C25\2501137_Figures-for-pages-13-15-31-12-14-17-41-16-17_Fi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GB" sz="1600" b="1" baseline="0">
                <a:solidFill>
                  <a:sysClr val="windowText" lastClr="000000"/>
                </a:solidFill>
              </a:rPr>
              <a:t>Nouveaux projets signés par l'UIT </a:t>
            </a:r>
            <a:r>
              <a:rPr lang="fr-CH" sz="1600" b="1" i="0" u="none" strike="noStrike" baseline="0">
                <a:effectLst/>
              </a:rPr>
              <a:t>–</a:t>
            </a:r>
            <a:r>
              <a:rPr lang="en-GB" sz="1600" b="1">
                <a:solidFill>
                  <a:sysClr val="windowText" lastClr="000000"/>
                </a:solidFill>
              </a:rPr>
              <a:t> Total du financement</a:t>
            </a:r>
            <a:r>
              <a:rPr lang="en-GB" sz="1600" b="1" baseline="0">
                <a:solidFill>
                  <a:sysClr val="windowText" lastClr="000000"/>
                </a:solidFill>
              </a:rPr>
              <a:t> (en millions CHF)</a:t>
            </a:r>
            <a:endParaRPr lang="en-GB"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'P.31 - New Projects'!$A$2:$A$12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'P.31 - New Projects'!$B$2:$B$12</c:f>
              <c:numCache>
                <c:formatCode>General</c:formatCode>
                <c:ptCount val="11"/>
                <c:pt idx="0">
                  <c:v>7.67</c:v>
                </c:pt>
                <c:pt idx="1">
                  <c:v>5.29</c:v>
                </c:pt>
                <c:pt idx="2">
                  <c:v>2.77</c:v>
                </c:pt>
                <c:pt idx="3">
                  <c:v>9.73</c:v>
                </c:pt>
                <c:pt idx="4">
                  <c:v>10.72</c:v>
                </c:pt>
                <c:pt idx="5">
                  <c:v>13.61</c:v>
                </c:pt>
                <c:pt idx="6">
                  <c:v>14.9</c:v>
                </c:pt>
                <c:pt idx="7">
                  <c:v>19.32</c:v>
                </c:pt>
                <c:pt idx="8">
                  <c:v>5.34</c:v>
                </c:pt>
                <c:pt idx="9">
                  <c:v>20.97</c:v>
                </c:pt>
                <c:pt idx="10">
                  <c:v>28.66</c:v>
                </c:pt>
              </c:numCache>
            </c:numRef>
          </c:val>
          <c:extLst>
            <c:ext xmlns:c16="http://schemas.microsoft.com/office/drawing/2014/chart" uri="{C3380CC4-5D6E-409C-BE32-E72D297353CC}">
              <c16:uniqueId val="{00000000-681C-4932-9606-9FB28A0D9D10}"/>
            </c:ext>
          </c:extLst>
        </c:ser>
        <c:dLbls>
          <c:showLegendKey val="0"/>
          <c:showVal val="0"/>
          <c:showCatName val="0"/>
          <c:showSerName val="0"/>
          <c:showPercent val="0"/>
          <c:showBubbleSize val="0"/>
        </c:dLbls>
        <c:gapWidth val="219"/>
        <c:overlap val="-27"/>
        <c:axId val="1636352272"/>
        <c:axId val="1636348912"/>
      </c:barChart>
      <c:catAx>
        <c:axId val="163635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636348912"/>
        <c:crosses val="autoZero"/>
        <c:auto val="1"/>
        <c:lblAlgn val="ctr"/>
        <c:lblOffset val="100"/>
        <c:noMultiLvlLbl val="0"/>
      </c:catAx>
      <c:valAx>
        <c:axId val="1636348912"/>
        <c:scaling>
          <c:orientation val="minMax"/>
        </c:scaling>
        <c:delete val="1"/>
        <c:axPos val="l"/>
        <c:numFmt formatCode="General" sourceLinked="1"/>
        <c:majorTickMark val="none"/>
        <c:minorTickMark val="none"/>
        <c:tickLblPos val="nextTo"/>
        <c:crossAx val="163635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676E5-35E0-4DA4-9FF7-4D2B7C5B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PF_Council25.dotx</Template>
  <TotalTime>19</TotalTime>
  <Pages>70</Pages>
  <Words>28615</Words>
  <Characters>185632</Characters>
  <Application>Microsoft Office Word</Application>
  <DocSecurity>0</DocSecurity>
  <Lines>1546</Lines>
  <Paragraphs>427</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213820</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Conseil 2024 de l'UIT</dc:subject>
  <dc:creator>French</dc:creator>
  <cp:keywords>C2024, C24, Council-24</cp:keywords>
  <dc:description/>
  <cp:lastModifiedBy>GBS</cp:lastModifiedBy>
  <cp:revision>3</cp:revision>
  <cp:lastPrinted>2000-07-18T08:55:00Z</cp:lastPrinted>
  <dcterms:created xsi:type="dcterms:W3CDTF">2025-06-09T14:47:00Z</dcterms:created>
  <dcterms:modified xsi:type="dcterms:W3CDTF">2025-06-09T15:06:00Z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3b117b70c20e9b2783321a6b7cab6c2f080bb257cb74c6787543e88ec12dc3bd</vt:lpwstr>
  </property>
</Properties>
</file>