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BFDEC" w14:textId="59B41CDC" w:rsidR="42C58080" w:rsidRPr="00DA76FF" w:rsidRDefault="42C58080"/>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DA76FF" w14:paraId="1591300A" w14:textId="77777777" w:rsidTr="2730026C">
        <w:trPr>
          <w:cantSplit/>
          <w:trHeight w:val="23"/>
        </w:trPr>
        <w:tc>
          <w:tcPr>
            <w:tcW w:w="3969" w:type="dxa"/>
            <w:vMerge w:val="restart"/>
            <w:tcMar>
              <w:left w:w="0" w:type="dxa"/>
            </w:tcMar>
          </w:tcPr>
          <w:p w14:paraId="4F2DE73B" w14:textId="61BA6D17" w:rsidR="00AD3606" w:rsidRPr="00DA76FF" w:rsidRDefault="00AD3606" w:rsidP="00472BAD">
            <w:pPr>
              <w:tabs>
                <w:tab w:val="left" w:pos="851"/>
              </w:tabs>
              <w:spacing w:before="0" w:line="240" w:lineRule="atLeast"/>
              <w:rPr>
                <w:b/>
              </w:rPr>
            </w:pPr>
            <w:bookmarkStart w:id="0" w:name="dmeeting" w:colFirst="0" w:colLast="0"/>
            <w:bookmarkStart w:id="1" w:name="dnum" w:colFirst="1" w:colLast="1"/>
            <w:r w:rsidRPr="00DA76FF">
              <w:rPr>
                <w:b/>
              </w:rPr>
              <w:t xml:space="preserve">Agenda item: </w:t>
            </w:r>
            <w:r w:rsidR="0011467A" w:rsidRPr="00DA76FF">
              <w:rPr>
                <w:b/>
              </w:rPr>
              <w:t xml:space="preserve">PL </w:t>
            </w:r>
            <w:r w:rsidR="00DE38D4" w:rsidRPr="00DA76FF">
              <w:rPr>
                <w:b/>
              </w:rPr>
              <w:t>1</w:t>
            </w:r>
          </w:p>
        </w:tc>
        <w:tc>
          <w:tcPr>
            <w:tcW w:w="5245" w:type="dxa"/>
          </w:tcPr>
          <w:p w14:paraId="2F0CB53A" w14:textId="66A30CF5" w:rsidR="00AD3606" w:rsidRPr="00DA76FF" w:rsidRDefault="00AD3606" w:rsidP="21D85B89">
            <w:pPr>
              <w:tabs>
                <w:tab w:val="left" w:pos="851"/>
              </w:tabs>
              <w:spacing w:before="0" w:line="240" w:lineRule="atLeast"/>
              <w:jc w:val="right"/>
              <w:rPr>
                <w:b/>
                <w:bCs/>
              </w:rPr>
            </w:pPr>
            <w:r w:rsidRPr="00DA76FF">
              <w:rPr>
                <w:b/>
                <w:bCs/>
              </w:rPr>
              <w:t>Document C2</w:t>
            </w:r>
            <w:r w:rsidR="008B462B" w:rsidRPr="00DA76FF">
              <w:rPr>
                <w:b/>
                <w:bCs/>
              </w:rPr>
              <w:t>5</w:t>
            </w:r>
            <w:r w:rsidRPr="00DA76FF">
              <w:rPr>
                <w:b/>
                <w:bCs/>
              </w:rPr>
              <w:t>/</w:t>
            </w:r>
            <w:r w:rsidR="0011467A" w:rsidRPr="00DA76FF">
              <w:rPr>
                <w:b/>
                <w:bCs/>
              </w:rPr>
              <w:t>35</w:t>
            </w:r>
            <w:r w:rsidRPr="00DA76FF">
              <w:rPr>
                <w:b/>
                <w:bCs/>
              </w:rPr>
              <w:t>-E</w:t>
            </w:r>
          </w:p>
        </w:tc>
      </w:tr>
      <w:tr w:rsidR="00AD3606" w:rsidRPr="00DA76FF" w14:paraId="777833CB" w14:textId="77777777" w:rsidTr="2730026C">
        <w:trPr>
          <w:cantSplit/>
        </w:trPr>
        <w:tc>
          <w:tcPr>
            <w:tcW w:w="3969" w:type="dxa"/>
            <w:vMerge/>
          </w:tcPr>
          <w:p w14:paraId="7DECAB6C" w14:textId="77777777" w:rsidR="00AD3606" w:rsidRPr="00DA76FF" w:rsidRDefault="00AD3606" w:rsidP="00AD3606">
            <w:pPr>
              <w:tabs>
                <w:tab w:val="left" w:pos="851"/>
              </w:tabs>
              <w:spacing w:line="240" w:lineRule="atLeast"/>
              <w:rPr>
                <w:b/>
              </w:rPr>
            </w:pPr>
            <w:bookmarkStart w:id="2" w:name="ddate" w:colFirst="1" w:colLast="1"/>
            <w:bookmarkEnd w:id="0"/>
            <w:bookmarkEnd w:id="1"/>
          </w:p>
        </w:tc>
        <w:tc>
          <w:tcPr>
            <w:tcW w:w="5245" w:type="dxa"/>
          </w:tcPr>
          <w:p w14:paraId="7B794C7C" w14:textId="0AF961A6" w:rsidR="00AD3606" w:rsidRPr="00DA76FF" w:rsidRDefault="00967B11" w:rsidP="00AD3606">
            <w:pPr>
              <w:tabs>
                <w:tab w:val="left" w:pos="851"/>
              </w:tabs>
              <w:spacing w:before="0"/>
              <w:jc w:val="right"/>
              <w:rPr>
                <w:b/>
              </w:rPr>
            </w:pPr>
            <w:r>
              <w:rPr>
                <w:b/>
              </w:rPr>
              <w:t>1</w:t>
            </w:r>
            <w:r w:rsidR="00AB7AE5">
              <w:rPr>
                <w:b/>
              </w:rPr>
              <w:t>9</w:t>
            </w:r>
            <w:r w:rsidR="008A18BB" w:rsidRPr="00DA76FF">
              <w:rPr>
                <w:b/>
              </w:rPr>
              <w:t xml:space="preserve"> </w:t>
            </w:r>
            <w:r w:rsidR="002F68E6">
              <w:rPr>
                <w:b/>
              </w:rPr>
              <w:t xml:space="preserve">May </w:t>
            </w:r>
            <w:r w:rsidR="00AD3606" w:rsidRPr="00DA76FF">
              <w:rPr>
                <w:b/>
              </w:rPr>
              <w:t>202</w:t>
            </w:r>
            <w:r w:rsidR="008B462B" w:rsidRPr="00DA76FF">
              <w:rPr>
                <w:b/>
              </w:rPr>
              <w:t>5</w:t>
            </w:r>
          </w:p>
        </w:tc>
      </w:tr>
      <w:tr w:rsidR="00AD3606" w:rsidRPr="00DA76FF" w14:paraId="082C2282" w14:textId="77777777" w:rsidTr="2730026C">
        <w:trPr>
          <w:cantSplit/>
          <w:trHeight w:val="23"/>
        </w:trPr>
        <w:tc>
          <w:tcPr>
            <w:tcW w:w="3969" w:type="dxa"/>
            <w:vMerge/>
          </w:tcPr>
          <w:p w14:paraId="5967F199" w14:textId="77777777" w:rsidR="00AD3606" w:rsidRPr="00DA76FF" w:rsidRDefault="00AD3606" w:rsidP="00AD3606">
            <w:pPr>
              <w:tabs>
                <w:tab w:val="left" w:pos="851"/>
              </w:tabs>
              <w:spacing w:line="240" w:lineRule="atLeast"/>
              <w:rPr>
                <w:b/>
              </w:rPr>
            </w:pPr>
            <w:bookmarkStart w:id="3" w:name="dorlang" w:colFirst="1" w:colLast="1"/>
            <w:bookmarkEnd w:id="2"/>
          </w:p>
        </w:tc>
        <w:tc>
          <w:tcPr>
            <w:tcW w:w="5245" w:type="dxa"/>
          </w:tcPr>
          <w:p w14:paraId="03AC685B" w14:textId="77777777" w:rsidR="00AD3606" w:rsidRPr="00DA76FF" w:rsidRDefault="00AD3606" w:rsidP="00AD3606">
            <w:pPr>
              <w:tabs>
                <w:tab w:val="left" w:pos="851"/>
              </w:tabs>
              <w:spacing w:before="0" w:line="240" w:lineRule="atLeast"/>
              <w:jc w:val="right"/>
              <w:rPr>
                <w:b/>
              </w:rPr>
            </w:pPr>
            <w:r w:rsidRPr="00DA76FF">
              <w:rPr>
                <w:b/>
              </w:rPr>
              <w:t>Original: English</w:t>
            </w:r>
          </w:p>
        </w:tc>
      </w:tr>
      <w:tr w:rsidR="00472BAD" w:rsidRPr="00DA76FF" w14:paraId="3C9C7706" w14:textId="77777777" w:rsidTr="2730026C">
        <w:trPr>
          <w:cantSplit/>
          <w:trHeight w:val="23"/>
        </w:trPr>
        <w:tc>
          <w:tcPr>
            <w:tcW w:w="3969" w:type="dxa"/>
          </w:tcPr>
          <w:p w14:paraId="20349897" w14:textId="77777777" w:rsidR="00472BAD" w:rsidRPr="00DA76FF" w:rsidRDefault="00472BAD" w:rsidP="00AD3606">
            <w:pPr>
              <w:tabs>
                <w:tab w:val="left" w:pos="851"/>
              </w:tabs>
              <w:spacing w:line="240" w:lineRule="atLeast"/>
              <w:rPr>
                <w:b/>
              </w:rPr>
            </w:pPr>
          </w:p>
        </w:tc>
        <w:tc>
          <w:tcPr>
            <w:tcW w:w="5245" w:type="dxa"/>
          </w:tcPr>
          <w:p w14:paraId="1CCE97A6" w14:textId="77777777" w:rsidR="00472BAD" w:rsidRPr="00DA76FF" w:rsidRDefault="00472BAD" w:rsidP="00AD3606">
            <w:pPr>
              <w:tabs>
                <w:tab w:val="left" w:pos="851"/>
              </w:tabs>
              <w:spacing w:before="0" w:line="240" w:lineRule="atLeast"/>
              <w:jc w:val="right"/>
              <w:rPr>
                <w:b/>
              </w:rPr>
            </w:pPr>
          </w:p>
        </w:tc>
      </w:tr>
      <w:tr w:rsidR="00AD3606" w:rsidRPr="00DA76FF" w14:paraId="5BEAAFE0" w14:textId="77777777" w:rsidTr="2730026C">
        <w:trPr>
          <w:cantSplit/>
        </w:trPr>
        <w:tc>
          <w:tcPr>
            <w:tcW w:w="9214" w:type="dxa"/>
            <w:gridSpan w:val="2"/>
            <w:tcMar>
              <w:left w:w="0" w:type="dxa"/>
            </w:tcMar>
          </w:tcPr>
          <w:p w14:paraId="598EF21A" w14:textId="77777777" w:rsidR="00AD3606" w:rsidRPr="00A952B8" w:rsidRDefault="00AD3606" w:rsidP="00A952B8">
            <w:pPr>
              <w:pStyle w:val="Source"/>
              <w:framePr w:hSpace="0" w:wrap="auto" w:vAnchor="margin" w:hAnchor="text" w:xAlign="left" w:yAlign="inline"/>
            </w:pPr>
            <w:bookmarkStart w:id="4" w:name="dsource" w:colFirst="0" w:colLast="0"/>
            <w:bookmarkEnd w:id="3"/>
            <w:r w:rsidRPr="00A952B8">
              <w:t>Report by the Secretary-General</w:t>
            </w:r>
          </w:p>
        </w:tc>
      </w:tr>
      <w:tr w:rsidR="00AD3606" w:rsidRPr="00DA76FF" w14:paraId="62B9C291" w14:textId="77777777" w:rsidTr="2730026C">
        <w:trPr>
          <w:cantSplit/>
          <w:trHeight w:val="1240"/>
        </w:trPr>
        <w:tc>
          <w:tcPr>
            <w:tcW w:w="9214" w:type="dxa"/>
            <w:gridSpan w:val="2"/>
            <w:tcMar>
              <w:left w:w="0" w:type="dxa"/>
            </w:tcMar>
          </w:tcPr>
          <w:p w14:paraId="556A1BCF" w14:textId="0870ABFE" w:rsidR="00AD3606" w:rsidRPr="00A952B8" w:rsidRDefault="096A7338" w:rsidP="00A952B8">
            <w:pPr>
              <w:pStyle w:val="Subtitle1"/>
              <w:framePr w:hSpace="0" w:wrap="auto" w:xAlign="left" w:yAlign="inline"/>
            </w:pPr>
            <w:bookmarkStart w:id="5" w:name="_Hlk197519202"/>
            <w:bookmarkStart w:id="6" w:name="dtitle1"/>
            <w:bookmarkEnd w:id="4"/>
            <w:r w:rsidRPr="00A952B8">
              <w:t xml:space="preserve">ANNUAL </w:t>
            </w:r>
            <w:r w:rsidR="0CD93A4B" w:rsidRPr="00A952B8">
              <w:t xml:space="preserve">REPORT ON THE IMPLEMENTATION OF THE STRATEGIC PLAN AND THE ACTIVITIES OF THE UNION, </w:t>
            </w:r>
            <w:r w:rsidR="008B462B" w:rsidRPr="00A952B8">
              <w:t>2024</w:t>
            </w:r>
            <w:bookmarkEnd w:id="5"/>
          </w:p>
        </w:tc>
      </w:tr>
      <w:tr w:rsidR="00AD3606" w:rsidRPr="00DA76FF" w14:paraId="59287389" w14:textId="77777777" w:rsidTr="2730026C">
        <w:trPr>
          <w:cantSplit/>
        </w:trPr>
        <w:tc>
          <w:tcPr>
            <w:tcW w:w="9214" w:type="dxa"/>
            <w:gridSpan w:val="2"/>
            <w:tcBorders>
              <w:top w:val="single" w:sz="4" w:space="0" w:color="auto"/>
              <w:bottom w:val="single" w:sz="4" w:space="0" w:color="auto"/>
            </w:tcBorders>
            <w:tcMar>
              <w:left w:w="0" w:type="dxa"/>
            </w:tcMar>
          </w:tcPr>
          <w:p w14:paraId="0B6A23DF" w14:textId="73C74459" w:rsidR="00AD3606" w:rsidRPr="00DA76FF" w:rsidRDefault="00F16BAB" w:rsidP="00F16BAB">
            <w:pPr>
              <w:spacing w:before="160"/>
              <w:rPr>
                <w:b/>
                <w:bCs/>
                <w:sz w:val="26"/>
                <w:szCs w:val="26"/>
              </w:rPr>
            </w:pPr>
            <w:r w:rsidRPr="00DA76FF">
              <w:rPr>
                <w:b/>
                <w:bCs/>
                <w:sz w:val="26"/>
                <w:szCs w:val="26"/>
              </w:rPr>
              <w:t>Purpose</w:t>
            </w:r>
          </w:p>
          <w:p w14:paraId="01EEEAC5" w14:textId="3DBC1949" w:rsidR="00AD3606" w:rsidRPr="00DA76FF" w:rsidRDefault="0011467A" w:rsidP="00A952B8">
            <w:pPr>
              <w:jc w:val="both"/>
            </w:pPr>
            <w:r w:rsidRPr="00DA76FF">
              <w:t>Report</w:t>
            </w:r>
            <w:r w:rsidR="00325BE1">
              <w:t>ing</w:t>
            </w:r>
            <w:r w:rsidRPr="00DA76FF">
              <w:t xml:space="preserve"> on implementation of the </w:t>
            </w:r>
            <w:r w:rsidR="00325BE1">
              <w:t>s</w:t>
            </w:r>
            <w:r w:rsidRPr="00DA76FF">
              <w:t xml:space="preserve">trategic </w:t>
            </w:r>
            <w:r w:rsidR="00325BE1">
              <w:t>p</w:t>
            </w:r>
            <w:r w:rsidRPr="00DA76FF">
              <w:t xml:space="preserve">lan </w:t>
            </w:r>
            <w:r w:rsidR="00325BE1">
              <w:t>of</w:t>
            </w:r>
            <w:r w:rsidRPr="00DA76FF">
              <w:t xml:space="preserve"> the </w:t>
            </w:r>
            <w:r w:rsidR="00325BE1">
              <w:t xml:space="preserve">International Telecommunication </w:t>
            </w:r>
            <w:r w:rsidRPr="00DA76FF">
              <w:t>Union</w:t>
            </w:r>
            <w:r w:rsidR="00325BE1">
              <w:t xml:space="preserve"> (ITU)</w:t>
            </w:r>
            <w:r w:rsidR="00122C09">
              <w:t xml:space="preserve"> for </w:t>
            </w:r>
            <w:r w:rsidR="00122C09" w:rsidRPr="00DA76FF">
              <w:t>2024-2027</w:t>
            </w:r>
            <w:r w:rsidR="186A4F7C" w:rsidRPr="00DA76FF">
              <w:t xml:space="preserve">, </w:t>
            </w:r>
            <w:r w:rsidR="00122C09">
              <w:t xml:space="preserve">highlighting </w:t>
            </w:r>
            <w:r w:rsidR="58C98385" w:rsidRPr="00DA76FF">
              <w:t>activities</w:t>
            </w:r>
            <w:r w:rsidR="00F87078" w:rsidRPr="00DA76FF">
              <w:t xml:space="preserve"> undertaken</w:t>
            </w:r>
            <w:r w:rsidR="00122C09">
              <w:t xml:space="preserve"> and </w:t>
            </w:r>
            <w:r w:rsidR="58C98385" w:rsidRPr="00DA76FF">
              <w:t>results</w:t>
            </w:r>
            <w:r w:rsidR="408EB417" w:rsidRPr="00DA76FF">
              <w:t xml:space="preserve"> </w:t>
            </w:r>
            <w:r w:rsidR="00F87078" w:rsidRPr="00DA76FF">
              <w:t xml:space="preserve">achieved </w:t>
            </w:r>
            <w:r w:rsidR="58C98385" w:rsidRPr="00DA76FF">
              <w:t xml:space="preserve">during </w:t>
            </w:r>
            <w:r w:rsidR="00485B11" w:rsidRPr="00DA76FF">
              <w:t>2024</w:t>
            </w:r>
            <w:r w:rsidR="00122C09">
              <w:t>.</w:t>
            </w:r>
          </w:p>
          <w:p w14:paraId="45B1495A" w14:textId="77777777" w:rsidR="00AD3606" w:rsidRPr="00DA76FF" w:rsidRDefault="00AD3606" w:rsidP="00A952B8">
            <w:pPr>
              <w:spacing w:before="160"/>
              <w:jc w:val="both"/>
              <w:rPr>
                <w:b/>
                <w:bCs/>
                <w:sz w:val="26"/>
                <w:szCs w:val="26"/>
              </w:rPr>
            </w:pPr>
            <w:r w:rsidRPr="00DA76FF">
              <w:rPr>
                <w:b/>
                <w:bCs/>
                <w:sz w:val="26"/>
                <w:szCs w:val="26"/>
              </w:rPr>
              <w:t>Action required</w:t>
            </w:r>
            <w:r w:rsidR="00F16BAB" w:rsidRPr="00DA76FF">
              <w:rPr>
                <w:b/>
                <w:bCs/>
                <w:sz w:val="26"/>
                <w:szCs w:val="26"/>
              </w:rPr>
              <w:t xml:space="preserve"> by the Council</w:t>
            </w:r>
          </w:p>
          <w:p w14:paraId="3D57EDF8" w14:textId="73DD2EC8" w:rsidR="00AD3606" w:rsidRPr="00DA76FF" w:rsidRDefault="00DE38D4" w:rsidP="00A952B8">
            <w:pPr>
              <w:jc w:val="both"/>
            </w:pPr>
            <w:r w:rsidRPr="00DA76FF">
              <w:t xml:space="preserve">Council is invited </w:t>
            </w:r>
            <w:r w:rsidRPr="00DA76FF">
              <w:rPr>
                <w:b/>
                <w:bCs/>
              </w:rPr>
              <w:t>to a</w:t>
            </w:r>
            <w:r w:rsidR="0011467A" w:rsidRPr="00DA76FF">
              <w:rPr>
                <w:b/>
                <w:bCs/>
              </w:rPr>
              <w:t>pprove</w:t>
            </w:r>
            <w:r w:rsidR="0011467A" w:rsidRPr="00DA76FF">
              <w:t xml:space="preserve"> the report</w:t>
            </w:r>
            <w:r w:rsidRPr="00DA76FF">
              <w:t>.</w:t>
            </w:r>
          </w:p>
          <w:p w14:paraId="71511FA1" w14:textId="36FAEC3A" w:rsidR="00F16BAB" w:rsidRPr="00DA76FF" w:rsidRDefault="00F16BAB" w:rsidP="00A952B8">
            <w:pPr>
              <w:spacing w:before="160"/>
              <w:jc w:val="both"/>
              <w:rPr>
                <w:b/>
                <w:bCs/>
                <w:sz w:val="26"/>
                <w:szCs w:val="26"/>
              </w:rPr>
            </w:pPr>
            <w:r w:rsidRPr="00DA76FF">
              <w:rPr>
                <w:b/>
                <w:bCs/>
                <w:sz w:val="26"/>
                <w:szCs w:val="26"/>
              </w:rPr>
              <w:t>Relevant link</w:t>
            </w:r>
            <w:r w:rsidR="00A54171" w:rsidRPr="00DA76FF">
              <w:rPr>
                <w:b/>
                <w:bCs/>
                <w:sz w:val="26"/>
                <w:szCs w:val="26"/>
              </w:rPr>
              <w:t>(s)</w:t>
            </w:r>
            <w:r w:rsidRPr="00DA76FF">
              <w:rPr>
                <w:b/>
                <w:bCs/>
                <w:sz w:val="26"/>
                <w:szCs w:val="26"/>
              </w:rPr>
              <w:t xml:space="preserve"> with the </w:t>
            </w:r>
            <w:r w:rsidR="00CA4020">
              <w:rPr>
                <w:b/>
                <w:bCs/>
                <w:sz w:val="26"/>
                <w:szCs w:val="26"/>
              </w:rPr>
              <w:t xml:space="preserve">ITU </w:t>
            </w:r>
            <w:r w:rsidRPr="00DA76FF">
              <w:rPr>
                <w:b/>
                <w:bCs/>
                <w:sz w:val="26"/>
                <w:szCs w:val="26"/>
              </w:rPr>
              <w:t>Strategic Plan</w:t>
            </w:r>
          </w:p>
          <w:p w14:paraId="503749D7" w14:textId="6582F46E" w:rsidR="00F16BAB" w:rsidRPr="00DA76FF" w:rsidRDefault="0011467A" w:rsidP="00A952B8">
            <w:pPr>
              <w:jc w:val="both"/>
            </w:pPr>
            <w:r w:rsidRPr="00DA76FF">
              <w:t xml:space="preserve">As instructed by </w:t>
            </w:r>
            <w:r w:rsidR="00DE38D4" w:rsidRPr="00DA76FF">
              <w:t>Resolution</w:t>
            </w:r>
            <w:r w:rsidRPr="00DA76FF">
              <w:t xml:space="preserve"> 71</w:t>
            </w:r>
            <w:r w:rsidR="00DE38D4" w:rsidRPr="00DA76FF">
              <w:t xml:space="preserve"> (Rev. Bucharest, 2022) of the Plenipotentiary Conference</w:t>
            </w:r>
            <w:r w:rsidRPr="00DA76FF">
              <w:t xml:space="preserve">, this is the annual report to </w:t>
            </w:r>
            <w:r w:rsidR="00CA4020">
              <w:t xml:space="preserve">ITU </w:t>
            </w:r>
            <w:r w:rsidRPr="00DA76FF">
              <w:t xml:space="preserve">Council on the implementation of </w:t>
            </w:r>
            <w:r w:rsidR="00CA4020">
              <w:t>ITU’s</w:t>
            </w:r>
            <w:r w:rsidRPr="00DA76FF">
              <w:t xml:space="preserve"> </w:t>
            </w:r>
            <w:r w:rsidR="00DE38D4" w:rsidRPr="00DA76FF">
              <w:t>strategic plan</w:t>
            </w:r>
            <w:r w:rsidRPr="00DA76FF">
              <w:t xml:space="preserve"> and activities (combining the requirement by No. 102 of the Convention, i.e. an annual activities report; and by No. 61 of the Convention, i.e. a report on the implementation of the strategic plan)</w:t>
            </w:r>
            <w:r w:rsidR="00A952B8">
              <w:t>.</w:t>
            </w:r>
          </w:p>
          <w:p w14:paraId="0EBC340A" w14:textId="77777777" w:rsidR="00AD3606" w:rsidRPr="00DA76FF" w:rsidRDefault="00AD3606" w:rsidP="00F16BAB">
            <w:pPr>
              <w:spacing w:before="160"/>
              <w:rPr>
                <w:b/>
                <w:bCs/>
                <w:sz w:val="26"/>
                <w:szCs w:val="26"/>
              </w:rPr>
            </w:pPr>
            <w:r w:rsidRPr="00DA76FF">
              <w:rPr>
                <w:b/>
                <w:bCs/>
                <w:sz w:val="26"/>
                <w:szCs w:val="26"/>
              </w:rPr>
              <w:t>References</w:t>
            </w:r>
          </w:p>
          <w:p w14:paraId="65250B1E" w14:textId="5F39D5E7" w:rsidR="00AD3606" w:rsidRPr="00967B11" w:rsidRDefault="0011467A" w:rsidP="00A952B8">
            <w:pPr>
              <w:spacing w:after="160"/>
              <w:jc w:val="both"/>
              <w:rPr>
                <w:i/>
                <w:sz w:val="22"/>
                <w:szCs w:val="22"/>
              </w:rPr>
            </w:pPr>
            <w:hyperlink r:id="rId11" w:history="1">
              <w:r w:rsidRPr="00967B11">
                <w:rPr>
                  <w:rStyle w:val="Hyperlink"/>
                  <w:i/>
                  <w:sz w:val="22"/>
                  <w:szCs w:val="22"/>
                </w:rPr>
                <w:t>Resolutions 71</w:t>
              </w:r>
            </w:hyperlink>
            <w:r w:rsidR="00DE38D4" w:rsidRPr="00967B11">
              <w:rPr>
                <w:i/>
                <w:sz w:val="22"/>
                <w:szCs w:val="22"/>
              </w:rPr>
              <w:t xml:space="preserve"> (Rev. Bucharest, 2022) of the Plenipotentiary Conference</w:t>
            </w:r>
            <w:r w:rsidRPr="00967B11">
              <w:rPr>
                <w:i/>
                <w:sz w:val="22"/>
                <w:szCs w:val="22"/>
              </w:rPr>
              <w:t xml:space="preserve">, </w:t>
            </w:r>
            <w:hyperlink r:id="rId12" w:history="1">
              <w:r w:rsidR="00DE38D4" w:rsidRPr="00967B11">
                <w:rPr>
                  <w:rStyle w:val="Hyperlink"/>
                  <w:i/>
                  <w:sz w:val="22"/>
                  <w:szCs w:val="22"/>
                </w:rPr>
                <w:t xml:space="preserve">Resolution </w:t>
              </w:r>
              <w:r w:rsidRPr="00967B11">
                <w:rPr>
                  <w:rStyle w:val="Hyperlink"/>
                  <w:i/>
                  <w:sz w:val="22"/>
                  <w:szCs w:val="22"/>
                </w:rPr>
                <w:t>151</w:t>
              </w:r>
            </w:hyperlink>
            <w:r w:rsidR="00A952B8">
              <w:rPr>
                <w:sz w:val="22"/>
                <w:szCs w:val="22"/>
              </w:rPr>
              <w:t xml:space="preserve"> </w:t>
            </w:r>
            <w:r w:rsidR="00DE38D4" w:rsidRPr="00967B11">
              <w:rPr>
                <w:i/>
                <w:sz w:val="22"/>
                <w:szCs w:val="22"/>
              </w:rPr>
              <w:t>(Rev. Bucharest, 2022) of the Plenipotentiary Conference,</w:t>
            </w:r>
            <w:r w:rsidRPr="00967B11">
              <w:rPr>
                <w:i/>
                <w:sz w:val="22"/>
                <w:szCs w:val="22"/>
              </w:rPr>
              <w:t xml:space="preserve"> </w:t>
            </w:r>
            <w:hyperlink r:id="rId13" w:history="1">
              <w:r w:rsidR="00DE38D4" w:rsidRPr="00967B11">
                <w:rPr>
                  <w:rStyle w:val="Hyperlink"/>
                  <w:i/>
                  <w:sz w:val="22"/>
                  <w:szCs w:val="22"/>
                </w:rPr>
                <w:t xml:space="preserve">Resolution </w:t>
              </w:r>
              <w:r w:rsidRPr="00967B11">
                <w:rPr>
                  <w:rStyle w:val="Hyperlink"/>
                  <w:i/>
                  <w:sz w:val="22"/>
                  <w:szCs w:val="22"/>
                </w:rPr>
                <w:t>200</w:t>
              </w:r>
            </w:hyperlink>
            <w:r w:rsidR="00DE38D4" w:rsidRPr="00967B11">
              <w:rPr>
                <w:i/>
                <w:sz w:val="22"/>
                <w:szCs w:val="22"/>
              </w:rPr>
              <w:t xml:space="preserve"> (Rev. Bucharest, 2022) of the Plenipotentiary Conference</w:t>
            </w:r>
            <w:r w:rsidRPr="00967B11">
              <w:rPr>
                <w:i/>
                <w:sz w:val="22"/>
                <w:szCs w:val="22"/>
              </w:rPr>
              <w:t xml:space="preserve">; and </w:t>
            </w:r>
            <w:hyperlink r:id="rId14" w:history="1">
              <w:r w:rsidRPr="00967B11">
                <w:rPr>
                  <w:rStyle w:val="Hyperlink"/>
                  <w:i/>
                  <w:sz w:val="22"/>
                  <w:szCs w:val="22"/>
                </w:rPr>
                <w:t>CV102 and 61</w:t>
              </w:r>
            </w:hyperlink>
          </w:p>
        </w:tc>
      </w:tr>
      <w:bookmarkEnd w:id="6"/>
    </w:tbl>
    <w:p w14:paraId="7FE52F59" w14:textId="77777777" w:rsidR="0090147A" w:rsidRPr="00DA76FF"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DA76FF">
        <w:br w:type="page"/>
      </w:r>
    </w:p>
    <w:p w14:paraId="30949B99" w14:textId="208E5A44" w:rsidR="00E83B52" w:rsidRPr="00B24DED" w:rsidRDefault="00E601F5" w:rsidP="00B24DED">
      <w:pPr>
        <w:jc w:val="both"/>
        <w:rPr>
          <w:rFonts w:cstheme="majorBidi"/>
          <w:b/>
          <w:bCs/>
          <w:sz w:val="22"/>
          <w:szCs w:val="22"/>
        </w:rPr>
      </w:pPr>
      <w:bookmarkStart w:id="7" w:name="_Hlk67565195"/>
      <w:r w:rsidRPr="00DA76FF">
        <w:rPr>
          <w:b/>
          <w:bCs/>
          <w:sz w:val="22"/>
          <w:szCs w:val="22"/>
        </w:rPr>
        <w:lastRenderedPageBreak/>
        <w:t>Foreword</w:t>
      </w:r>
      <w:bookmarkEnd w:id="7"/>
    </w:p>
    <w:p w14:paraId="2DFD8CCE" w14:textId="77777777" w:rsidR="00E13ABE" w:rsidRPr="00E13ABE" w:rsidRDefault="00E13ABE" w:rsidP="00AB7AE5">
      <w:pPr>
        <w:spacing w:before="360" w:after="120"/>
        <w:jc w:val="both"/>
        <w:rPr>
          <w:rFonts w:asciiTheme="minorHAnsi" w:hAnsiTheme="minorHAnsi" w:cstheme="minorHAnsi"/>
          <w:sz w:val="22"/>
          <w:szCs w:val="18"/>
        </w:rPr>
      </w:pPr>
      <w:r w:rsidRPr="00E13ABE">
        <w:rPr>
          <w:rFonts w:asciiTheme="minorHAnsi" w:hAnsiTheme="minorHAnsi" w:cstheme="minorHAnsi"/>
          <w:sz w:val="22"/>
          <w:szCs w:val="18"/>
        </w:rPr>
        <w:t>Dear members of the ITU family,</w:t>
      </w:r>
    </w:p>
    <w:p w14:paraId="730F85D6" w14:textId="7777777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As the International Telecommunication Union marks its 160th anniversary this year, digital technologies continue to shape every facet of our lives.</w:t>
      </w:r>
    </w:p>
    <w:p w14:paraId="31711B5B" w14:textId="3DE7808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Throughout 2024, the first year of our current strategic plan, we made important progress towards our shared goals of universal connectivity and sustainable digital transformation.</w:t>
      </w:r>
      <w:r w:rsidR="0015652C">
        <w:rPr>
          <w:rFonts w:asciiTheme="minorHAnsi" w:hAnsiTheme="minorHAnsi" w:cstheme="minorHAnsi"/>
          <w:sz w:val="22"/>
          <w:szCs w:val="18"/>
        </w:rPr>
        <w:t xml:space="preserve"> </w:t>
      </w:r>
      <w:r w:rsidRPr="00E13ABE">
        <w:rPr>
          <w:rFonts w:asciiTheme="minorHAnsi" w:hAnsiTheme="minorHAnsi" w:cstheme="minorHAnsi"/>
          <w:sz w:val="22"/>
          <w:szCs w:val="18"/>
        </w:rPr>
        <w:t>2024 also saw more people using the Internet than ever before.</w:t>
      </w:r>
    </w:p>
    <w:p w14:paraId="5897B7E0" w14:textId="2ED0F33E"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Gaps in skills and affordability narrowed in some regions, and new standards laid important foundations for emerging technologies to serve humanity.</w:t>
      </w:r>
      <w:r w:rsidR="00B24DED">
        <w:rPr>
          <w:rFonts w:asciiTheme="minorHAnsi" w:hAnsiTheme="minorHAnsi" w:cstheme="minorHAnsi"/>
          <w:sz w:val="22"/>
          <w:szCs w:val="18"/>
        </w:rPr>
        <w:t xml:space="preserve"> </w:t>
      </w:r>
      <w:r w:rsidRPr="00E13ABE">
        <w:rPr>
          <w:rFonts w:asciiTheme="minorHAnsi" w:hAnsiTheme="minorHAnsi" w:cstheme="minorHAnsi"/>
          <w:sz w:val="22"/>
          <w:szCs w:val="18"/>
        </w:rPr>
        <w:t>Yet with 2.6 billion people worldwide still offline, much work lies ahead.</w:t>
      </w:r>
    </w:p>
    <w:p w14:paraId="4F75E5B0" w14:textId="5F31213E" w:rsidR="00E13ABE" w:rsidRPr="00E13ABE" w:rsidRDefault="4F7F0714" w:rsidP="00E13ABE">
      <w:pPr>
        <w:spacing w:after="120"/>
        <w:jc w:val="both"/>
        <w:rPr>
          <w:rFonts w:asciiTheme="minorHAnsi" w:hAnsiTheme="minorHAnsi" w:cstheme="minorBidi"/>
          <w:sz w:val="22"/>
          <w:szCs w:val="22"/>
        </w:rPr>
      </w:pPr>
      <w:r w:rsidRPr="2C0EAE0F">
        <w:rPr>
          <w:rFonts w:asciiTheme="minorHAnsi" w:hAnsiTheme="minorHAnsi" w:cstheme="minorBidi"/>
          <w:sz w:val="22"/>
          <w:szCs w:val="22"/>
        </w:rPr>
        <w:t>Lags in development</w:t>
      </w:r>
      <w:r w:rsidR="00E13ABE" w:rsidRPr="2C0EAE0F">
        <w:rPr>
          <w:rFonts w:asciiTheme="minorHAnsi" w:hAnsiTheme="minorHAnsi" w:cstheme="minorBidi"/>
          <w:sz w:val="22"/>
          <w:szCs w:val="22"/>
        </w:rPr>
        <w:t xml:space="preserve">, economic uncertainty, and </w:t>
      </w:r>
      <w:r w:rsidR="740DEE63" w:rsidRPr="2C0EAE0F">
        <w:rPr>
          <w:rFonts w:asciiTheme="minorHAnsi" w:hAnsiTheme="minorHAnsi" w:cstheme="minorBidi"/>
          <w:sz w:val="22"/>
          <w:szCs w:val="22"/>
        </w:rPr>
        <w:t xml:space="preserve">humanitarian crises as well as </w:t>
      </w:r>
      <w:r w:rsidR="00E13ABE" w:rsidRPr="2C0EAE0F">
        <w:rPr>
          <w:rFonts w:asciiTheme="minorHAnsi" w:hAnsiTheme="minorHAnsi" w:cstheme="minorBidi"/>
          <w:sz w:val="22"/>
          <w:szCs w:val="22"/>
        </w:rPr>
        <w:t>climate-related disasters continue to remind us that digital solutions must be accessible, affordable, resilient, and meaningful for all.</w:t>
      </w:r>
    </w:p>
    <w:p w14:paraId="78F97E8E" w14:textId="31A3A929"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At the same time, advances in artificial intelligence</w:t>
      </w:r>
      <w:r w:rsidR="00967B11">
        <w:rPr>
          <w:rFonts w:asciiTheme="minorHAnsi" w:hAnsiTheme="minorHAnsi" w:cstheme="minorHAnsi"/>
          <w:sz w:val="22"/>
          <w:szCs w:val="18"/>
        </w:rPr>
        <w:t xml:space="preserve"> (AI)</w:t>
      </w:r>
      <w:r w:rsidRPr="00E13ABE">
        <w:rPr>
          <w:rFonts w:asciiTheme="minorHAnsi" w:hAnsiTheme="minorHAnsi" w:cstheme="minorHAnsi"/>
          <w:sz w:val="22"/>
          <w:szCs w:val="18"/>
        </w:rPr>
        <w:t xml:space="preserve"> and quantum technologies raised urgent questions about trust, security, and inclusivity in the digital age.</w:t>
      </w:r>
    </w:p>
    <w:p w14:paraId="167903D3" w14:textId="7777777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Against this backdrop, ITU deepened its work across all sectors.</w:t>
      </w:r>
    </w:p>
    <w:p w14:paraId="3B948168" w14:textId="7AD53A03" w:rsidR="00E13ABE" w:rsidRPr="00E13ABE" w:rsidRDefault="00E13ABE" w:rsidP="00E13ABE">
      <w:pPr>
        <w:spacing w:after="120"/>
        <w:jc w:val="both"/>
        <w:rPr>
          <w:rFonts w:asciiTheme="minorHAnsi" w:hAnsiTheme="minorHAnsi" w:cstheme="minorBidi"/>
          <w:sz w:val="22"/>
          <w:szCs w:val="22"/>
        </w:rPr>
      </w:pPr>
      <w:r w:rsidRPr="2C0EAE0F">
        <w:rPr>
          <w:rFonts w:asciiTheme="minorHAnsi" w:hAnsiTheme="minorHAnsi" w:cstheme="minorBidi"/>
          <w:sz w:val="22"/>
          <w:szCs w:val="22"/>
        </w:rPr>
        <w:t xml:space="preserve">Our Radiocommunication Sector published a new edition of the Radio Regulations and strengthened </w:t>
      </w:r>
      <w:r w:rsidR="28F938B3" w:rsidRPr="62091E39">
        <w:rPr>
          <w:rFonts w:asciiTheme="minorHAnsi" w:hAnsiTheme="minorHAnsi" w:cstheme="minorBidi"/>
          <w:sz w:val="22"/>
          <w:szCs w:val="22"/>
        </w:rPr>
        <w:t xml:space="preserve">work </w:t>
      </w:r>
      <w:r w:rsidRPr="2C0EAE0F">
        <w:rPr>
          <w:rFonts w:asciiTheme="minorHAnsi" w:hAnsiTheme="minorHAnsi" w:cstheme="minorBidi"/>
          <w:sz w:val="22"/>
          <w:szCs w:val="22"/>
        </w:rPr>
        <w:t>on spectrum management to support crucial services across land, sea, air, and space.</w:t>
      </w:r>
    </w:p>
    <w:p w14:paraId="4B353EC2" w14:textId="4426D7B9"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This includes the processing of over 123</w:t>
      </w:r>
      <w:r w:rsidR="00967B11">
        <w:rPr>
          <w:rFonts w:asciiTheme="minorHAnsi" w:hAnsiTheme="minorHAnsi" w:cstheme="minorHAnsi"/>
          <w:sz w:val="22"/>
          <w:szCs w:val="18"/>
        </w:rPr>
        <w:t> </w:t>
      </w:r>
      <w:r w:rsidRPr="00E13ABE">
        <w:rPr>
          <w:rFonts w:asciiTheme="minorHAnsi" w:hAnsiTheme="minorHAnsi" w:cstheme="minorHAnsi"/>
          <w:sz w:val="22"/>
          <w:szCs w:val="18"/>
        </w:rPr>
        <w:t>000 requests related to space and terrestrial services, as well as updating tools to navigate the Radio Regulations and explore satellite filings more easily.</w:t>
      </w:r>
    </w:p>
    <w:p w14:paraId="54B5795C" w14:textId="7777777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The World Telecommunication Standardization Assembly (WTSA-24) in New Delhi reinforced efforts to bridge the standardization gap, and the AI for Good Global Summit brought together experts, innovators, and policymakers to drive practical applications of AI for sustainable development.</w:t>
      </w:r>
    </w:p>
    <w:p w14:paraId="50FD92F1" w14:textId="0EAE7E00" w:rsidR="00E13ABE" w:rsidRPr="00E13ABE" w:rsidRDefault="00D90B9F" w:rsidP="00E13ABE">
      <w:pPr>
        <w:spacing w:after="120"/>
        <w:jc w:val="both"/>
        <w:rPr>
          <w:rFonts w:asciiTheme="minorHAnsi" w:hAnsiTheme="minorHAnsi" w:cstheme="minorHAnsi"/>
          <w:sz w:val="22"/>
          <w:szCs w:val="18"/>
        </w:rPr>
      </w:pPr>
      <w:r>
        <w:rPr>
          <w:rFonts w:asciiTheme="minorHAnsi" w:hAnsiTheme="minorHAnsi" w:cstheme="minorHAnsi"/>
          <w:sz w:val="22"/>
          <w:szCs w:val="18"/>
        </w:rPr>
        <w:t>The</w:t>
      </w:r>
      <w:r w:rsidR="00E13ABE" w:rsidRPr="00E13ABE">
        <w:rPr>
          <w:rFonts w:asciiTheme="minorHAnsi" w:hAnsiTheme="minorHAnsi" w:cstheme="minorHAnsi"/>
          <w:sz w:val="22"/>
          <w:szCs w:val="18"/>
        </w:rPr>
        <w:t xml:space="preserve"> Partner2Connect Digital Coalition</w:t>
      </w:r>
      <w:r>
        <w:rPr>
          <w:rFonts w:asciiTheme="minorHAnsi" w:hAnsiTheme="minorHAnsi" w:cstheme="minorHAnsi"/>
          <w:sz w:val="22"/>
          <w:szCs w:val="18"/>
        </w:rPr>
        <w:t xml:space="preserve"> </w:t>
      </w:r>
      <w:r w:rsidR="00E13ABE" w:rsidRPr="00E13ABE">
        <w:rPr>
          <w:rFonts w:asciiTheme="minorHAnsi" w:hAnsiTheme="minorHAnsi" w:cstheme="minorHAnsi"/>
          <w:sz w:val="22"/>
          <w:szCs w:val="18"/>
        </w:rPr>
        <w:t>surpassed USD</w:t>
      </w:r>
      <w:r w:rsidR="00362006">
        <w:rPr>
          <w:rFonts w:asciiTheme="minorHAnsi" w:hAnsiTheme="minorHAnsi" w:cstheme="minorHAnsi"/>
          <w:sz w:val="22"/>
          <w:szCs w:val="18"/>
        </w:rPr>
        <w:t> </w:t>
      </w:r>
      <w:r w:rsidR="00E13ABE" w:rsidRPr="00E13ABE">
        <w:rPr>
          <w:rFonts w:asciiTheme="minorHAnsi" w:hAnsiTheme="minorHAnsi" w:cstheme="minorHAnsi"/>
          <w:sz w:val="22"/>
          <w:szCs w:val="18"/>
        </w:rPr>
        <w:t>73 billion in pledges, underscoring the power and potential of collaboration to bridge digital divides and unlock opportunity for all.</w:t>
      </w:r>
    </w:p>
    <w:p w14:paraId="27779BDF" w14:textId="13955230" w:rsidR="00E13ABE" w:rsidRPr="00E13ABE" w:rsidRDefault="00E13ABE" w:rsidP="39D58444">
      <w:pPr>
        <w:spacing w:after="120"/>
        <w:jc w:val="both"/>
        <w:rPr>
          <w:rFonts w:asciiTheme="minorHAnsi" w:hAnsiTheme="minorHAnsi" w:cstheme="minorBidi"/>
          <w:sz w:val="22"/>
          <w:szCs w:val="22"/>
        </w:rPr>
      </w:pPr>
      <w:r w:rsidRPr="2C0EAE0F">
        <w:rPr>
          <w:rFonts w:asciiTheme="minorHAnsi" w:hAnsiTheme="minorHAnsi" w:cstheme="minorBidi"/>
          <w:sz w:val="22"/>
          <w:szCs w:val="22"/>
        </w:rPr>
        <w:t>ITU issued 412 new telecommunication standards (ITU-T Recommendations) in 2024</w:t>
      </w:r>
      <w:r w:rsidR="1F2A11DE" w:rsidRPr="0E6A8A1A">
        <w:rPr>
          <w:rFonts w:asciiTheme="minorHAnsi" w:hAnsiTheme="minorHAnsi" w:cstheme="minorBidi"/>
          <w:sz w:val="22"/>
          <w:szCs w:val="22"/>
        </w:rPr>
        <w:t xml:space="preserve">. </w:t>
      </w:r>
    </w:p>
    <w:p w14:paraId="2AFAFD32" w14:textId="7B5BA482" w:rsidR="00E13ABE" w:rsidRPr="00E13ABE" w:rsidRDefault="00904A9E" w:rsidP="00E13ABE">
      <w:pPr>
        <w:spacing w:after="120"/>
        <w:jc w:val="both"/>
        <w:rPr>
          <w:rFonts w:asciiTheme="minorHAnsi" w:hAnsiTheme="minorHAnsi" w:cstheme="minorBidi"/>
          <w:sz w:val="22"/>
          <w:szCs w:val="22"/>
        </w:rPr>
      </w:pPr>
      <w:r>
        <w:rPr>
          <w:rFonts w:asciiTheme="minorHAnsi" w:hAnsiTheme="minorHAnsi" w:cstheme="minorBidi"/>
          <w:sz w:val="22"/>
          <w:szCs w:val="22"/>
        </w:rPr>
        <w:t>T</w:t>
      </w:r>
      <w:r w:rsidR="11B31862" w:rsidRPr="39D58444">
        <w:rPr>
          <w:rFonts w:asciiTheme="minorHAnsi" w:hAnsiTheme="minorHAnsi" w:cstheme="minorBidi"/>
          <w:sz w:val="22"/>
          <w:szCs w:val="22"/>
        </w:rPr>
        <w:t>hroughout the warmest year on record, ITU championed</w:t>
      </w:r>
      <w:r w:rsidR="00E13ABE" w:rsidRPr="2C0EAE0F">
        <w:rPr>
          <w:rFonts w:asciiTheme="minorHAnsi" w:hAnsiTheme="minorHAnsi" w:cstheme="minorBidi"/>
          <w:sz w:val="22"/>
          <w:szCs w:val="22"/>
        </w:rPr>
        <w:t xml:space="preserve"> Green Digital Action, e-waste solutions, and early warning systems to strengthen climate resilience.</w:t>
      </w:r>
    </w:p>
    <w:p w14:paraId="5A8427E8" w14:textId="4C41BC03" w:rsidR="00D90B9F" w:rsidRPr="00E13ABE" w:rsidRDefault="00904A9E" w:rsidP="39D58444">
      <w:pPr>
        <w:spacing w:after="120"/>
        <w:jc w:val="both"/>
        <w:rPr>
          <w:rFonts w:asciiTheme="minorHAnsi" w:hAnsiTheme="minorHAnsi" w:cstheme="minorBidi"/>
          <w:sz w:val="22"/>
          <w:szCs w:val="22"/>
        </w:rPr>
      </w:pPr>
      <w:r>
        <w:rPr>
          <w:rFonts w:asciiTheme="minorHAnsi" w:hAnsiTheme="minorHAnsi" w:cstheme="minorBidi"/>
          <w:sz w:val="22"/>
          <w:szCs w:val="22"/>
        </w:rPr>
        <w:t>And we</w:t>
      </w:r>
      <w:r w:rsidR="00427274">
        <w:rPr>
          <w:rFonts w:asciiTheme="minorHAnsi" w:hAnsiTheme="minorHAnsi" w:cstheme="minorBidi"/>
          <w:sz w:val="22"/>
          <w:szCs w:val="22"/>
        </w:rPr>
        <w:t xml:space="preserve"> </w:t>
      </w:r>
      <w:r w:rsidR="00D2165B">
        <w:rPr>
          <w:rFonts w:asciiTheme="minorHAnsi" w:hAnsiTheme="minorHAnsi" w:cstheme="minorBidi"/>
          <w:sz w:val="22"/>
          <w:szCs w:val="22"/>
        </w:rPr>
        <w:t>galvanized</w:t>
      </w:r>
      <w:r w:rsidR="00427274">
        <w:rPr>
          <w:rFonts w:asciiTheme="minorHAnsi" w:hAnsiTheme="minorHAnsi" w:cstheme="minorBidi"/>
          <w:sz w:val="22"/>
          <w:szCs w:val="22"/>
        </w:rPr>
        <w:t xml:space="preserve"> </w:t>
      </w:r>
      <w:r w:rsidR="00445D08">
        <w:rPr>
          <w:rFonts w:asciiTheme="minorHAnsi" w:hAnsiTheme="minorHAnsi" w:cstheme="minorBidi"/>
          <w:sz w:val="22"/>
          <w:szCs w:val="22"/>
        </w:rPr>
        <w:t xml:space="preserve">efforts to strengthen </w:t>
      </w:r>
      <w:r w:rsidR="00B073E7">
        <w:rPr>
          <w:rFonts w:asciiTheme="minorHAnsi" w:hAnsiTheme="minorHAnsi" w:cstheme="minorBidi"/>
          <w:sz w:val="22"/>
          <w:szCs w:val="22"/>
        </w:rPr>
        <w:t>global</w:t>
      </w:r>
      <w:r w:rsidR="00D2165B">
        <w:rPr>
          <w:rFonts w:asciiTheme="minorHAnsi" w:hAnsiTheme="minorHAnsi" w:cstheme="minorBidi"/>
          <w:sz w:val="22"/>
          <w:szCs w:val="22"/>
        </w:rPr>
        <w:t xml:space="preserve"> digital infrastructure</w:t>
      </w:r>
      <w:r w:rsidR="00427274">
        <w:rPr>
          <w:rFonts w:asciiTheme="minorHAnsi" w:hAnsiTheme="minorHAnsi" w:cstheme="minorBidi"/>
          <w:sz w:val="22"/>
          <w:szCs w:val="22"/>
        </w:rPr>
        <w:t xml:space="preserve"> </w:t>
      </w:r>
      <w:r w:rsidR="00445D08">
        <w:rPr>
          <w:rFonts w:asciiTheme="minorHAnsi" w:hAnsiTheme="minorHAnsi" w:cstheme="minorBidi"/>
          <w:sz w:val="22"/>
          <w:szCs w:val="22"/>
        </w:rPr>
        <w:t>by establishing</w:t>
      </w:r>
      <w:r w:rsidR="00427274">
        <w:rPr>
          <w:rFonts w:asciiTheme="minorHAnsi" w:hAnsiTheme="minorHAnsi" w:cstheme="minorBidi"/>
          <w:sz w:val="22"/>
          <w:szCs w:val="22"/>
        </w:rPr>
        <w:t xml:space="preserve"> </w:t>
      </w:r>
      <w:r w:rsidR="00B073E7">
        <w:rPr>
          <w:rFonts w:asciiTheme="minorHAnsi" w:hAnsiTheme="minorHAnsi" w:cstheme="minorBidi"/>
          <w:sz w:val="22"/>
          <w:szCs w:val="22"/>
        </w:rPr>
        <w:t>both</w:t>
      </w:r>
      <w:r w:rsidR="00427274">
        <w:rPr>
          <w:rFonts w:asciiTheme="minorHAnsi" w:hAnsiTheme="minorHAnsi" w:cstheme="minorBidi"/>
          <w:sz w:val="22"/>
          <w:szCs w:val="22"/>
        </w:rPr>
        <w:t xml:space="preserve"> the </w:t>
      </w:r>
      <w:r w:rsidR="000E4CFB">
        <w:rPr>
          <w:rFonts w:asciiTheme="minorHAnsi" w:hAnsiTheme="minorHAnsi" w:cstheme="minorBidi"/>
          <w:sz w:val="22"/>
          <w:szCs w:val="22"/>
        </w:rPr>
        <w:t>International Advisory Body for Submarine Cable Resilience</w:t>
      </w:r>
      <w:r w:rsidR="00445D08">
        <w:rPr>
          <w:rFonts w:asciiTheme="minorHAnsi" w:hAnsiTheme="minorHAnsi" w:cstheme="minorBidi"/>
          <w:sz w:val="22"/>
          <w:szCs w:val="22"/>
        </w:rPr>
        <w:t xml:space="preserve"> and </w:t>
      </w:r>
      <w:r w:rsidR="00B073E7">
        <w:rPr>
          <w:rFonts w:asciiTheme="minorHAnsi" w:hAnsiTheme="minorHAnsi" w:cstheme="minorBidi"/>
          <w:sz w:val="22"/>
          <w:szCs w:val="22"/>
        </w:rPr>
        <w:t xml:space="preserve">the </w:t>
      </w:r>
      <w:r w:rsidR="00445D08">
        <w:rPr>
          <w:rFonts w:asciiTheme="minorHAnsi" w:hAnsiTheme="minorHAnsi" w:cstheme="minorBidi"/>
          <w:sz w:val="22"/>
          <w:szCs w:val="22"/>
        </w:rPr>
        <w:t>Digital Infrastructure Investment Initiative in 2024.</w:t>
      </w:r>
    </w:p>
    <w:p w14:paraId="79D0323D" w14:textId="7777777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 xml:space="preserve">The Pact for the Future and its Global Digital Compact, adopted at the United Nations General Assembly in September 2024, have brought renewed momentum to our shared mission of harnessing digital technologies for the benefit of people and planet. </w:t>
      </w:r>
    </w:p>
    <w:p w14:paraId="43244E83" w14:textId="7777777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The WSIS+20 Review in December 2025 offers a timely opportunity to reflect on progress and recalibrate collective action in this regard.</w:t>
      </w:r>
    </w:p>
    <w:p w14:paraId="62E4D745" w14:textId="44754A28" w:rsidR="00E13ABE" w:rsidRPr="00E13ABE" w:rsidRDefault="00E13ABE" w:rsidP="00E13ABE">
      <w:pPr>
        <w:spacing w:after="120"/>
        <w:jc w:val="both"/>
        <w:rPr>
          <w:rFonts w:asciiTheme="minorHAnsi" w:hAnsiTheme="minorHAnsi" w:cstheme="minorBidi"/>
          <w:sz w:val="22"/>
          <w:szCs w:val="22"/>
        </w:rPr>
      </w:pPr>
      <w:r w:rsidRPr="2C0EAE0F">
        <w:rPr>
          <w:rFonts w:asciiTheme="minorHAnsi" w:hAnsiTheme="minorHAnsi" w:cstheme="minorBidi"/>
          <w:sz w:val="22"/>
          <w:szCs w:val="22"/>
        </w:rPr>
        <w:t>As we look ahead to 2026, sustaining this momentum will be vital.</w:t>
      </w:r>
    </w:p>
    <w:p w14:paraId="0023708D" w14:textId="7777777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We must continue scaling solutions, strengthening partnerships, and translating global commitments into real impact on the ground.</w:t>
      </w:r>
    </w:p>
    <w:p w14:paraId="6AA175B6" w14:textId="77777777" w:rsidR="00E13ABE" w:rsidRPr="00E13ABE" w:rsidRDefault="00E13ABE" w:rsidP="00E13ABE">
      <w:pPr>
        <w:spacing w:after="120"/>
        <w:jc w:val="both"/>
        <w:rPr>
          <w:rFonts w:asciiTheme="minorHAnsi" w:hAnsiTheme="minorHAnsi" w:cstheme="minorHAnsi"/>
          <w:sz w:val="22"/>
          <w:szCs w:val="18"/>
        </w:rPr>
      </w:pPr>
      <w:r w:rsidRPr="00E13ABE">
        <w:rPr>
          <w:rFonts w:asciiTheme="minorHAnsi" w:hAnsiTheme="minorHAnsi" w:cstheme="minorHAnsi"/>
          <w:sz w:val="22"/>
          <w:szCs w:val="18"/>
        </w:rPr>
        <w:t xml:space="preserve">I am deeply grateful to our members, partners, and staff for their steadfast dedication to building a fit-for-purpose, fit-for-future ITU. </w:t>
      </w:r>
    </w:p>
    <w:p w14:paraId="4F2DB291" w14:textId="77777777" w:rsidR="00E13ABE" w:rsidRPr="00E13ABE" w:rsidRDefault="00E13ABE" w:rsidP="00AB7AE5">
      <w:pPr>
        <w:keepNext/>
        <w:spacing w:after="120"/>
        <w:jc w:val="both"/>
        <w:rPr>
          <w:rFonts w:asciiTheme="minorHAnsi" w:hAnsiTheme="minorHAnsi" w:cstheme="minorHAnsi"/>
          <w:sz w:val="22"/>
          <w:szCs w:val="18"/>
        </w:rPr>
      </w:pPr>
      <w:r w:rsidRPr="00E13ABE">
        <w:rPr>
          <w:rFonts w:asciiTheme="minorHAnsi" w:hAnsiTheme="minorHAnsi" w:cstheme="minorHAnsi"/>
          <w:sz w:val="22"/>
          <w:szCs w:val="18"/>
        </w:rPr>
        <w:lastRenderedPageBreak/>
        <w:t>Since embarking on this transformation journey together in 2023, identifying efficiencies and adapting to new challenges have been key to our shared success.</w:t>
      </w:r>
    </w:p>
    <w:p w14:paraId="4D12E9B6" w14:textId="5F093FA3" w:rsidR="00E13ABE" w:rsidRPr="00E13ABE" w:rsidRDefault="00E13ABE" w:rsidP="00AB7AE5">
      <w:pPr>
        <w:keepNext/>
        <w:spacing w:after="120"/>
        <w:jc w:val="both"/>
        <w:rPr>
          <w:rFonts w:asciiTheme="minorHAnsi" w:hAnsiTheme="minorHAnsi" w:cstheme="minorBidi"/>
          <w:sz w:val="22"/>
          <w:szCs w:val="22"/>
        </w:rPr>
      </w:pPr>
      <w:r w:rsidRPr="0B5F0F2F">
        <w:rPr>
          <w:rFonts w:asciiTheme="minorHAnsi" w:hAnsiTheme="minorHAnsi" w:cstheme="minorBidi"/>
          <w:sz w:val="22"/>
          <w:szCs w:val="22"/>
        </w:rPr>
        <w:t>I invite you to explore the collective achievements captured in this report — and to join us as we continue shaping our shared digital future together.</w:t>
      </w:r>
    </w:p>
    <w:p w14:paraId="1C53ED36" w14:textId="41013F5F" w:rsidR="0B5F0F2F" w:rsidRDefault="0B5F0F2F" w:rsidP="0B5F0F2F">
      <w:pPr>
        <w:spacing w:after="120"/>
        <w:jc w:val="both"/>
        <w:rPr>
          <w:rFonts w:asciiTheme="minorHAnsi" w:hAnsiTheme="minorHAnsi" w:cstheme="minorBidi"/>
          <w:sz w:val="22"/>
          <w:szCs w:val="22"/>
        </w:rPr>
      </w:pPr>
    </w:p>
    <w:p w14:paraId="699CD30A" w14:textId="77777777" w:rsidR="00E13ABE" w:rsidRPr="00E13ABE" w:rsidRDefault="00E13ABE" w:rsidP="00E13ABE">
      <w:pPr>
        <w:spacing w:after="120"/>
        <w:contextualSpacing/>
        <w:jc w:val="both"/>
        <w:rPr>
          <w:rFonts w:asciiTheme="minorHAnsi" w:hAnsiTheme="minorHAnsi" w:cstheme="minorHAnsi"/>
          <w:sz w:val="22"/>
          <w:szCs w:val="18"/>
        </w:rPr>
      </w:pPr>
      <w:r w:rsidRPr="00E13ABE">
        <w:rPr>
          <w:rFonts w:asciiTheme="minorHAnsi" w:hAnsiTheme="minorHAnsi" w:cstheme="minorHAnsi"/>
          <w:sz w:val="22"/>
          <w:szCs w:val="18"/>
        </w:rPr>
        <w:t>Doreen Bogdan-Martin</w:t>
      </w:r>
    </w:p>
    <w:p w14:paraId="0BEB18EB" w14:textId="7E737DC3" w:rsidR="00D91C53" w:rsidRDefault="00E13ABE" w:rsidP="00E13ABE">
      <w:pPr>
        <w:spacing w:after="120"/>
        <w:contextualSpacing/>
        <w:jc w:val="both"/>
        <w:rPr>
          <w:rFonts w:asciiTheme="minorHAnsi" w:hAnsiTheme="minorHAnsi" w:cstheme="minorHAnsi"/>
          <w:sz w:val="22"/>
          <w:szCs w:val="18"/>
        </w:rPr>
      </w:pPr>
      <w:r w:rsidRPr="00E13ABE">
        <w:rPr>
          <w:rFonts w:asciiTheme="minorHAnsi" w:hAnsiTheme="minorHAnsi" w:cstheme="minorHAnsi"/>
          <w:sz w:val="22"/>
          <w:szCs w:val="18"/>
        </w:rPr>
        <w:t>Secretary-General</w:t>
      </w:r>
      <w:r w:rsidR="004074B4">
        <w:rPr>
          <w:rFonts w:asciiTheme="minorHAnsi" w:hAnsiTheme="minorHAnsi" w:cstheme="minorHAnsi"/>
          <w:sz w:val="22"/>
          <w:szCs w:val="18"/>
        </w:rPr>
        <w:t xml:space="preserve">, </w:t>
      </w:r>
      <w:r w:rsidRPr="00E13ABE">
        <w:rPr>
          <w:rFonts w:asciiTheme="minorHAnsi" w:hAnsiTheme="minorHAnsi" w:cstheme="minorHAnsi"/>
          <w:sz w:val="22"/>
          <w:szCs w:val="18"/>
        </w:rPr>
        <w:t>International Telecommunication Union</w:t>
      </w:r>
    </w:p>
    <w:p w14:paraId="2FACAA36" w14:textId="77777777" w:rsidR="00D91C53" w:rsidRDefault="00D91C5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18"/>
        </w:rPr>
      </w:pPr>
      <w:r>
        <w:rPr>
          <w:rFonts w:asciiTheme="minorHAnsi" w:hAnsiTheme="minorHAnsi" w:cstheme="minorHAnsi"/>
          <w:sz w:val="22"/>
          <w:szCs w:val="18"/>
        </w:rPr>
        <w:br w:type="page"/>
      </w:r>
    </w:p>
    <w:sdt>
      <w:sdtPr>
        <w:rPr>
          <w:rFonts w:eastAsia="Times New Roman" w:cs="Times New Roman"/>
          <w:color w:val="auto"/>
          <w:sz w:val="24"/>
          <w:szCs w:val="20"/>
          <w:lang w:val="en-GB"/>
        </w:rPr>
        <w:id w:val="1075373131"/>
        <w:docPartObj>
          <w:docPartGallery w:val="Table of Contents"/>
          <w:docPartUnique/>
        </w:docPartObj>
      </w:sdtPr>
      <w:sdtEndPr>
        <w:rPr>
          <w:rFonts w:eastAsia="MS Mincho"/>
          <w:szCs w:val="24"/>
        </w:rPr>
      </w:sdtEndPr>
      <w:sdtContent>
        <w:p w14:paraId="029B36E1" w14:textId="199EEE11" w:rsidR="000B2C4F" w:rsidRPr="00362006" w:rsidRDefault="000B2C4F" w:rsidP="00D515D8">
          <w:pPr>
            <w:pStyle w:val="TOCHeading"/>
            <w:jc w:val="both"/>
            <w:rPr>
              <w:color w:val="auto"/>
              <w:lang w:val="en-GB"/>
            </w:rPr>
          </w:pPr>
          <w:r w:rsidRPr="00362006">
            <w:rPr>
              <w:color w:val="auto"/>
              <w:lang w:val="en-GB"/>
            </w:rPr>
            <w:t>Contents</w:t>
          </w:r>
        </w:p>
        <w:p w14:paraId="58246416" w14:textId="0053ACD4" w:rsidR="00305ADF" w:rsidRDefault="00E625C4">
          <w:pPr>
            <w:pStyle w:val="TOC1"/>
            <w:rPr>
              <w:rFonts w:asciiTheme="minorHAnsi" w:eastAsiaTheme="minorEastAsia" w:hAnsiTheme="minorHAnsi" w:cstheme="minorBidi"/>
              <w:noProof/>
              <w:kern w:val="2"/>
              <w:szCs w:val="24"/>
              <w:lang w:eastAsia="en-GB"/>
              <w14:ligatures w14:val="standardContextual"/>
            </w:rPr>
          </w:pPr>
          <w:r w:rsidRPr="00362006">
            <w:fldChar w:fldCharType="begin"/>
          </w:r>
          <w:r w:rsidR="00A32E5F" w:rsidRPr="00362006">
            <w:instrText>TOC \o "1-3" \h \z \u</w:instrText>
          </w:r>
          <w:r w:rsidRPr="00362006">
            <w:fldChar w:fldCharType="separate"/>
          </w:r>
          <w:hyperlink w:anchor="_Toc198569343" w:history="1">
            <w:r w:rsidR="00305ADF" w:rsidRPr="00862C86">
              <w:rPr>
                <w:rStyle w:val="Hyperlink"/>
                <w:rFonts w:eastAsia="Times New Roman"/>
                <w:noProof/>
              </w:rPr>
              <w:t>i.</w:t>
            </w:r>
            <w:r w:rsidR="00305ADF">
              <w:rPr>
                <w:rFonts w:asciiTheme="minorHAnsi" w:eastAsiaTheme="minorEastAsia" w:hAnsiTheme="minorHAnsi" w:cstheme="minorBidi"/>
                <w:noProof/>
                <w:kern w:val="2"/>
                <w:szCs w:val="24"/>
                <w:lang w:eastAsia="en-GB"/>
                <w14:ligatures w14:val="standardContextual"/>
              </w:rPr>
              <w:tab/>
            </w:r>
            <w:r w:rsidR="00305ADF" w:rsidRPr="00862C86">
              <w:rPr>
                <w:rStyle w:val="Hyperlink"/>
                <w:bCs/>
                <w:noProof/>
              </w:rPr>
              <w:t>Executive summary</w:t>
            </w:r>
            <w:r w:rsidR="00305ADF">
              <w:rPr>
                <w:noProof/>
                <w:webHidden/>
              </w:rPr>
              <w:tab/>
            </w:r>
            <w:r w:rsidR="00305ADF">
              <w:rPr>
                <w:noProof/>
                <w:webHidden/>
              </w:rPr>
              <w:fldChar w:fldCharType="begin"/>
            </w:r>
            <w:r w:rsidR="00305ADF">
              <w:rPr>
                <w:noProof/>
                <w:webHidden/>
              </w:rPr>
              <w:instrText xml:space="preserve"> PAGEREF _Toc198569343 \h </w:instrText>
            </w:r>
            <w:r w:rsidR="00305ADF">
              <w:rPr>
                <w:noProof/>
                <w:webHidden/>
              </w:rPr>
            </w:r>
            <w:r w:rsidR="00305ADF">
              <w:rPr>
                <w:noProof/>
                <w:webHidden/>
              </w:rPr>
              <w:fldChar w:fldCharType="separate"/>
            </w:r>
            <w:r w:rsidR="00AD3A45">
              <w:rPr>
                <w:noProof/>
                <w:webHidden/>
              </w:rPr>
              <w:t>6</w:t>
            </w:r>
            <w:r w:rsidR="00305ADF">
              <w:rPr>
                <w:noProof/>
                <w:webHidden/>
              </w:rPr>
              <w:fldChar w:fldCharType="end"/>
            </w:r>
          </w:hyperlink>
        </w:p>
        <w:p w14:paraId="07207497" w14:textId="27A4BF64" w:rsidR="00305ADF" w:rsidRDefault="00305ADF">
          <w:pPr>
            <w:pStyle w:val="TOC1"/>
            <w:rPr>
              <w:rFonts w:asciiTheme="minorHAnsi" w:eastAsiaTheme="minorEastAsia" w:hAnsiTheme="minorHAnsi" w:cstheme="minorBidi"/>
              <w:noProof/>
              <w:kern w:val="2"/>
              <w:szCs w:val="24"/>
              <w:lang w:eastAsia="en-GB"/>
              <w14:ligatures w14:val="standardContextual"/>
            </w:rPr>
          </w:pPr>
          <w:hyperlink w:anchor="_Toc198569344" w:history="1">
            <w:r w:rsidRPr="00862C86">
              <w:rPr>
                <w:rStyle w:val="Hyperlink"/>
                <w:rFonts w:eastAsia="Times New Roman"/>
                <w:noProof/>
              </w:rPr>
              <w:t>ii.</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Insights and takeaways from 2024</w:t>
            </w:r>
            <w:r>
              <w:rPr>
                <w:noProof/>
                <w:webHidden/>
              </w:rPr>
              <w:tab/>
            </w:r>
            <w:r>
              <w:rPr>
                <w:noProof/>
                <w:webHidden/>
              </w:rPr>
              <w:fldChar w:fldCharType="begin"/>
            </w:r>
            <w:r>
              <w:rPr>
                <w:noProof/>
                <w:webHidden/>
              </w:rPr>
              <w:instrText xml:space="preserve"> PAGEREF _Toc198569344 \h </w:instrText>
            </w:r>
            <w:r>
              <w:rPr>
                <w:noProof/>
                <w:webHidden/>
              </w:rPr>
            </w:r>
            <w:r>
              <w:rPr>
                <w:noProof/>
                <w:webHidden/>
              </w:rPr>
              <w:fldChar w:fldCharType="separate"/>
            </w:r>
            <w:r w:rsidR="00AD3A45">
              <w:rPr>
                <w:noProof/>
                <w:webHidden/>
              </w:rPr>
              <w:t>8</w:t>
            </w:r>
            <w:r>
              <w:rPr>
                <w:noProof/>
                <w:webHidden/>
              </w:rPr>
              <w:fldChar w:fldCharType="end"/>
            </w:r>
          </w:hyperlink>
        </w:p>
        <w:p w14:paraId="03257B1C" w14:textId="76FF76C8" w:rsidR="00305ADF" w:rsidRDefault="00305ADF">
          <w:pPr>
            <w:pStyle w:val="TOC1"/>
            <w:rPr>
              <w:rFonts w:asciiTheme="minorHAnsi" w:eastAsiaTheme="minorEastAsia" w:hAnsiTheme="minorHAnsi" w:cstheme="minorBidi"/>
              <w:noProof/>
              <w:kern w:val="2"/>
              <w:szCs w:val="24"/>
              <w:lang w:eastAsia="en-GB"/>
              <w14:ligatures w14:val="standardContextual"/>
            </w:rPr>
          </w:pPr>
          <w:hyperlink w:anchor="_Toc198569345" w:history="1">
            <w:r w:rsidRPr="00862C86">
              <w:rPr>
                <w:rStyle w:val="Hyperlink"/>
                <w:noProof/>
              </w:rPr>
              <w:t>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Introduction</w:t>
            </w:r>
            <w:r>
              <w:rPr>
                <w:noProof/>
                <w:webHidden/>
              </w:rPr>
              <w:tab/>
            </w:r>
            <w:r>
              <w:rPr>
                <w:noProof/>
                <w:webHidden/>
              </w:rPr>
              <w:fldChar w:fldCharType="begin"/>
            </w:r>
            <w:r>
              <w:rPr>
                <w:noProof/>
                <w:webHidden/>
              </w:rPr>
              <w:instrText xml:space="preserve"> PAGEREF _Toc198569345 \h </w:instrText>
            </w:r>
            <w:r>
              <w:rPr>
                <w:noProof/>
                <w:webHidden/>
              </w:rPr>
            </w:r>
            <w:r>
              <w:rPr>
                <w:noProof/>
                <w:webHidden/>
              </w:rPr>
              <w:fldChar w:fldCharType="separate"/>
            </w:r>
            <w:r w:rsidR="00AD3A45">
              <w:rPr>
                <w:noProof/>
                <w:webHidden/>
              </w:rPr>
              <w:t>10</w:t>
            </w:r>
            <w:r>
              <w:rPr>
                <w:noProof/>
                <w:webHidden/>
              </w:rPr>
              <w:fldChar w:fldCharType="end"/>
            </w:r>
          </w:hyperlink>
        </w:p>
        <w:p w14:paraId="4FF081C4" w14:textId="070488C9" w:rsidR="00305ADF" w:rsidRDefault="00305ADF">
          <w:pPr>
            <w:pStyle w:val="TOC1"/>
            <w:rPr>
              <w:rFonts w:asciiTheme="minorHAnsi" w:eastAsiaTheme="minorEastAsia" w:hAnsiTheme="minorHAnsi" w:cstheme="minorBidi"/>
              <w:noProof/>
              <w:kern w:val="2"/>
              <w:szCs w:val="24"/>
              <w:lang w:eastAsia="en-GB"/>
              <w14:ligatures w14:val="standardContextual"/>
            </w:rPr>
          </w:pPr>
          <w:hyperlink w:anchor="_Toc198569346" w:history="1">
            <w:r w:rsidRPr="00862C86">
              <w:rPr>
                <w:rStyle w:val="Hyperlink"/>
                <w:noProof/>
              </w:rPr>
              <w:t>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Global statutory conferences in 2024</w:t>
            </w:r>
            <w:r>
              <w:rPr>
                <w:noProof/>
                <w:webHidden/>
              </w:rPr>
              <w:tab/>
            </w:r>
            <w:r>
              <w:rPr>
                <w:noProof/>
                <w:webHidden/>
              </w:rPr>
              <w:fldChar w:fldCharType="begin"/>
            </w:r>
            <w:r>
              <w:rPr>
                <w:noProof/>
                <w:webHidden/>
              </w:rPr>
              <w:instrText xml:space="preserve"> PAGEREF _Toc198569346 \h </w:instrText>
            </w:r>
            <w:r>
              <w:rPr>
                <w:noProof/>
                <w:webHidden/>
              </w:rPr>
            </w:r>
            <w:r>
              <w:rPr>
                <w:noProof/>
                <w:webHidden/>
              </w:rPr>
              <w:fldChar w:fldCharType="separate"/>
            </w:r>
            <w:r w:rsidR="00AD3A45">
              <w:rPr>
                <w:noProof/>
                <w:webHidden/>
              </w:rPr>
              <w:t>10</w:t>
            </w:r>
            <w:r>
              <w:rPr>
                <w:noProof/>
                <w:webHidden/>
              </w:rPr>
              <w:fldChar w:fldCharType="end"/>
            </w:r>
          </w:hyperlink>
        </w:p>
        <w:p w14:paraId="58AF1691" w14:textId="3208754C"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47" w:history="1">
            <w:r w:rsidRPr="00862C86">
              <w:rPr>
                <w:rStyle w:val="Hyperlink"/>
                <w:noProof/>
              </w:rPr>
              <w:t>2.1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World Telecommunication Standardization Assembly</w:t>
            </w:r>
            <w:r>
              <w:rPr>
                <w:noProof/>
                <w:webHidden/>
              </w:rPr>
              <w:tab/>
            </w:r>
            <w:r>
              <w:rPr>
                <w:noProof/>
                <w:webHidden/>
              </w:rPr>
              <w:fldChar w:fldCharType="begin"/>
            </w:r>
            <w:r>
              <w:rPr>
                <w:noProof/>
                <w:webHidden/>
              </w:rPr>
              <w:instrText xml:space="preserve"> PAGEREF _Toc198569347 \h </w:instrText>
            </w:r>
            <w:r>
              <w:rPr>
                <w:noProof/>
                <w:webHidden/>
              </w:rPr>
            </w:r>
            <w:r>
              <w:rPr>
                <w:noProof/>
                <w:webHidden/>
              </w:rPr>
              <w:fldChar w:fldCharType="separate"/>
            </w:r>
            <w:r w:rsidR="00AD3A45">
              <w:rPr>
                <w:noProof/>
                <w:webHidden/>
              </w:rPr>
              <w:t>10</w:t>
            </w:r>
            <w:r>
              <w:rPr>
                <w:noProof/>
                <w:webHidden/>
              </w:rPr>
              <w:fldChar w:fldCharType="end"/>
            </w:r>
          </w:hyperlink>
        </w:p>
        <w:p w14:paraId="5001ABC4" w14:textId="4929CCAD" w:rsidR="00305ADF" w:rsidRDefault="00305ADF">
          <w:pPr>
            <w:pStyle w:val="TOC1"/>
            <w:rPr>
              <w:rFonts w:asciiTheme="minorHAnsi" w:eastAsiaTheme="minorEastAsia" w:hAnsiTheme="minorHAnsi" w:cstheme="minorBidi"/>
              <w:noProof/>
              <w:kern w:val="2"/>
              <w:szCs w:val="24"/>
              <w:lang w:eastAsia="en-GB"/>
              <w14:ligatures w14:val="standardContextual"/>
            </w:rPr>
          </w:pPr>
          <w:hyperlink w:anchor="_Toc198569348" w:history="1">
            <w:r w:rsidRPr="00862C86">
              <w:rPr>
                <w:rStyle w:val="Hyperlink"/>
                <w:noProof/>
              </w:rPr>
              <w:t>3.</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Impact of ITU’s work</w:t>
            </w:r>
            <w:r>
              <w:rPr>
                <w:noProof/>
                <w:webHidden/>
              </w:rPr>
              <w:tab/>
            </w:r>
            <w:r>
              <w:rPr>
                <w:noProof/>
                <w:webHidden/>
              </w:rPr>
              <w:fldChar w:fldCharType="begin"/>
            </w:r>
            <w:r>
              <w:rPr>
                <w:noProof/>
                <w:webHidden/>
              </w:rPr>
              <w:instrText xml:space="preserve"> PAGEREF _Toc198569348 \h </w:instrText>
            </w:r>
            <w:r>
              <w:rPr>
                <w:noProof/>
                <w:webHidden/>
              </w:rPr>
            </w:r>
            <w:r>
              <w:rPr>
                <w:noProof/>
                <w:webHidden/>
              </w:rPr>
              <w:fldChar w:fldCharType="separate"/>
            </w:r>
            <w:r w:rsidR="00AD3A45">
              <w:rPr>
                <w:noProof/>
                <w:webHidden/>
              </w:rPr>
              <w:t>12</w:t>
            </w:r>
            <w:r>
              <w:rPr>
                <w:noProof/>
                <w:webHidden/>
              </w:rPr>
              <w:fldChar w:fldCharType="end"/>
            </w:r>
          </w:hyperlink>
        </w:p>
        <w:p w14:paraId="6B27580A" w14:textId="4F825A75"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49" w:history="1">
            <w:r w:rsidRPr="00862C86">
              <w:rPr>
                <w:rStyle w:val="Hyperlink"/>
                <w:noProof/>
              </w:rPr>
              <w:t xml:space="preserve">3.1 </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Universal Connectivity</w:t>
            </w:r>
            <w:r>
              <w:rPr>
                <w:noProof/>
                <w:webHidden/>
              </w:rPr>
              <w:tab/>
            </w:r>
            <w:r>
              <w:rPr>
                <w:noProof/>
                <w:webHidden/>
              </w:rPr>
              <w:fldChar w:fldCharType="begin"/>
            </w:r>
            <w:r>
              <w:rPr>
                <w:noProof/>
                <w:webHidden/>
              </w:rPr>
              <w:instrText xml:space="preserve"> PAGEREF _Toc198569349 \h </w:instrText>
            </w:r>
            <w:r>
              <w:rPr>
                <w:noProof/>
                <w:webHidden/>
              </w:rPr>
            </w:r>
            <w:r>
              <w:rPr>
                <w:noProof/>
                <w:webHidden/>
              </w:rPr>
              <w:fldChar w:fldCharType="separate"/>
            </w:r>
            <w:r w:rsidR="00AD3A45">
              <w:rPr>
                <w:noProof/>
                <w:webHidden/>
              </w:rPr>
              <w:t>12</w:t>
            </w:r>
            <w:r>
              <w:rPr>
                <w:noProof/>
                <w:webHidden/>
              </w:rPr>
              <w:fldChar w:fldCharType="end"/>
            </w:r>
          </w:hyperlink>
        </w:p>
        <w:p w14:paraId="5F696FAB" w14:textId="5445D04E"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50" w:history="1">
            <w:r w:rsidRPr="00862C86">
              <w:rPr>
                <w:rStyle w:val="Hyperlink"/>
                <w:noProof/>
              </w:rPr>
              <w:t>3.2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Sustainable Digital Transformation</w:t>
            </w:r>
            <w:r>
              <w:rPr>
                <w:noProof/>
                <w:webHidden/>
              </w:rPr>
              <w:tab/>
            </w:r>
            <w:r>
              <w:rPr>
                <w:noProof/>
                <w:webHidden/>
              </w:rPr>
              <w:fldChar w:fldCharType="begin"/>
            </w:r>
            <w:r>
              <w:rPr>
                <w:noProof/>
                <w:webHidden/>
              </w:rPr>
              <w:instrText xml:space="preserve"> PAGEREF _Toc198569350 \h </w:instrText>
            </w:r>
            <w:r>
              <w:rPr>
                <w:noProof/>
                <w:webHidden/>
              </w:rPr>
            </w:r>
            <w:r>
              <w:rPr>
                <w:noProof/>
                <w:webHidden/>
              </w:rPr>
              <w:fldChar w:fldCharType="separate"/>
            </w:r>
            <w:r w:rsidR="00AD3A45">
              <w:rPr>
                <w:noProof/>
                <w:webHidden/>
              </w:rPr>
              <w:t>17</w:t>
            </w:r>
            <w:r>
              <w:rPr>
                <w:noProof/>
                <w:webHidden/>
              </w:rPr>
              <w:fldChar w:fldCharType="end"/>
            </w:r>
          </w:hyperlink>
        </w:p>
        <w:p w14:paraId="6AEDCCA8" w14:textId="0763A003" w:rsidR="00305ADF" w:rsidRDefault="00305ADF">
          <w:pPr>
            <w:pStyle w:val="TOC1"/>
            <w:rPr>
              <w:rFonts w:asciiTheme="minorHAnsi" w:eastAsiaTheme="minorEastAsia" w:hAnsiTheme="minorHAnsi" w:cstheme="minorBidi"/>
              <w:noProof/>
              <w:kern w:val="2"/>
              <w:szCs w:val="24"/>
              <w:lang w:eastAsia="en-GB"/>
              <w14:ligatures w14:val="standardContextual"/>
            </w:rPr>
          </w:pPr>
          <w:hyperlink w:anchor="_Toc198569351" w:history="1">
            <w:r w:rsidRPr="00862C86">
              <w:rPr>
                <w:rStyle w:val="Hyperlink"/>
                <w:noProof/>
              </w:rPr>
              <w:t>4.</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Products and services</w:t>
            </w:r>
            <w:r>
              <w:rPr>
                <w:noProof/>
                <w:webHidden/>
              </w:rPr>
              <w:tab/>
            </w:r>
            <w:r>
              <w:rPr>
                <w:noProof/>
                <w:webHidden/>
              </w:rPr>
              <w:fldChar w:fldCharType="begin"/>
            </w:r>
            <w:r>
              <w:rPr>
                <w:noProof/>
                <w:webHidden/>
              </w:rPr>
              <w:instrText xml:space="preserve"> PAGEREF _Toc198569351 \h </w:instrText>
            </w:r>
            <w:r>
              <w:rPr>
                <w:noProof/>
                <w:webHidden/>
              </w:rPr>
            </w:r>
            <w:r>
              <w:rPr>
                <w:noProof/>
                <w:webHidden/>
              </w:rPr>
              <w:fldChar w:fldCharType="separate"/>
            </w:r>
            <w:r w:rsidR="00AD3A45">
              <w:rPr>
                <w:noProof/>
                <w:webHidden/>
              </w:rPr>
              <w:t>21</w:t>
            </w:r>
            <w:r>
              <w:rPr>
                <w:noProof/>
                <w:webHidden/>
              </w:rPr>
              <w:fldChar w:fldCharType="end"/>
            </w:r>
          </w:hyperlink>
        </w:p>
        <w:p w14:paraId="3FD14B8F" w14:textId="705FF57B"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52" w:history="1">
            <w:r w:rsidRPr="00862C86">
              <w:rPr>
                <w:rStyle w:val="Hyperlink"/>
                <w:noProof/>
              </w:rPr>
              <w:t>4.1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Development and application of ITU Administrative Regulations</w:t>
            </w:r>
            <w:r>
              <w:rPr>
                <w:noProof/>
                <w:webHidden/>
              </w:rPr>
              <w:tab/>
            </w:r>
            <w:r>
              <w:rPr>
                <w:noProof/>
                <w:webHidden/>
              </w:rPr>
              <w:fldChar w:fldCharType="begin"/>
            </w:r>
            <w:r>
              <w:rPr>
                <w:noProof/>
                <w:webHidden/>
              </w:rPr>
              <w:instrText xml:space="preserve"> PAGEREF _Toc198569352 \h </w:instrText>
            </w:r>
            <w:r>
              <w:rPr>
                <w:noProof/>
                <w:webHidden/>
              </w:rPr>
            </w:r>
            <w:r>
              <w:rPr>
                <w:noProof/>
                <w:webHidden/>
              </w:rPr>
              <w:fldChar w:fldCharType="separate"/>
            </w:r>
            <w:r w:rsidR="00AD3A45">
              <w:rPr>
                <w:noProof/>
                <w:webHidden/>
              </w:rPr>
              <w:t>21</w:t>
            </w:r>
            <w:r>
              <w:rPr>
                <w:noProof/>
                <w:webHidden/>
              </w:rPr>
              <w:fldChar w:fldCharType="end"/>
            </w:r>
          </w:hyperlink>
        </w:p>
        <w:p w14:paraId="5B4C709C" w14:textId="33A08B03"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53" w:history="1">
            <w:r w:rsidRPr="00862C86">
              <w:rPr>
                <w:rStyle w:val="Hyperlink"/>
                <w:noProof/>
              </w:rPr>
              <w:t>4.1.1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Radio Regulations</w:t>
            </w:r>
            <w:r>
              <w:rPr>
                <w:noProof/>
                <w:webHidden/>
              </w:rPr>
              <w:tab/>
            </w:r>
            <w:r>
              <w:rPr>
                <w:noProof/>
                <w:webHidden/>
              </w:rPr>
              <w:fldChar w:fldCharType="begin"/>
            </w:r>
            <w:r>
              <w:rPr>
                <w:noProof/>
                <w:webHidden/>
              </w:rPr>
              <w:instrText xml:space="preserve"> PAGEREF _Toc198569353 \h </w:instrText>
            </w:r>
            <w:r>
              <w:rPr>
                <w:noProof/>
                <w:webHidden/>
              </w:rPr>
            </w:r>
            <w:r>
              <w:rPr>
                <w:noProof/>
                <w:webHidden/>
              </w:rPr>
              <w:fldChar w:fldCharType="separate"/>
            </w:r>
            <w:r w:rsidR="00AD3A45">
              <w:rPr>
                <w:noProof/>
                <w:webHidden/>
              </w:rPr>
              <w:t>21</w:t>
            </w:r>
            <w:r>
              <w:rPr>
                <w:noProof/>
                <w:webHidden/>
              </w:rPr>
              <w:fldChar w:fldCharType="end"/>
            </w:r>
          </w:hyperlink>
        </w:p>
        <w:p w14:paraId="1E88EB56" w14:textId="295A5BD7"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54" w:history="1">
            <w:r w:rsidRPr="00862C86">
              <w:rPr>
                <w:rStyle w:val="Hyperlink"/>
                <w:noProof/>
              </w:rPr>
              <w:t>4.2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Allocation and management of resources</w:t>
            </w:r>
            <w:r>
              <w:rPr>
                <w:noProof/>
                <w:webHidden/>
              </w:rPr>
              <w:tab/>
            </w:r>
            <w:r>
              <w:rPr>
                <w:noProof/>
                <w:webHidden/>
              </w:rPr>
              <w:fldChar w:fldCharType="begin"/>
            </w:r>
            <w:r>
              <w:rPr>
                <w:noProof/>
                <w:webHidden/>
              </w:rPr>
              <w:instrText xml:space="preserve"> PAGEREF _Toc198569354 \h </w:instrText>
            </w:r>
            <w:r>
              <w:rPr>
                <w:noProof/>
                <w:webHidden/>
              </w:rPr>
            </w:r>
            <w:r>
              <w:rPr>
                <w:noProof/>
                <w:webHidden/>
              </w:rPr>
              <w:fldChar w:fldCharType="separate"/>
            </w:r>
            <w:r w:rsidR="00AD3A45">
              <w:rPr>
                <w:noProof/>
                <w:webHidden/>
              </w:rPr>
              <w:t>21</w:t>
            </w:r>
            <w:r>
              <w:rPr>
                <w:noProof/>
                <w:webHidden/>
              </w:rPr>
              <w:fldChar w:fldCharType="end"/>
            </w:r>
          </w:hyperlink>
        </w:p>
        <w:p w14:paraId="05B913D8" w14:textId="19136F76"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55" w:history="1">
            <w:r w:rsidRPr="00862C86">
              <w:rPr>
                <w:rStyle w:val="Hyperlink"/>
                <w:noProof/>
              </w:rPr>
              <w:t>4.2.1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Spectrum use for space and terrestrial services</w:t>
            </w:r>
            <w:r>
              <w:rPr>
                <w:noProof/>
                <w:webHidden/>
              </w:rPr>
              <w:tab/>
            </w:r>
            <w:r>
              <w:rPr>
                <w:noProof/>
                <w:webHidden/>
              </w:rPr>
              <w:fldChar w:fldCharType="begin"/>
            </w:r>
            <w:r>
              <w:rPr>
                <w:noProof/>
                <w:webHidden/>
              </w:rPr>
              <w:instrText xml:space="preserve"> PAGEREF _Toc198569355 \h </w:instrText>
            </w:r>
            <w:r>
              <w:rPr>
                <w:noProof/>
                <w:webHidden/>
              </w:rPr>
            </w:r>
            <w:r>
              <w:rPr>
                <w:noProof/>
                <w:webHidden/>
              </w:rPr>
              <w:fldChar w:fldCharType="separate"/>
            </w:r>
            <w:r w:rsidR="00AD3A45">
              <w:rPr>
                <w:noProof/>
                <w:webHidden/>
              </w:rPr>
              <w:t>21</w:t>
            </w:r>
            <w:r>
              <w:rPr>
                <w:noProof/>
                <w:webHidden/>
              </w:rPr>
              <w:fldChar w:fldCharType="end"/>
            </w:r>
          </w:hyperlink>
        </w:p>
        <w:p w14:paraId="283AF187" w14:textId="7005C4C9"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56" w:history="1">
            <w:r w:rsidRPr="00862C86">
              <w:rPr>
                <w:rStyle w:val="Hyperlink"/>
                <w:noProof/>
              </w:rPr>
              <w:t>4.2.2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Numbering, naming, addressing and identification resources</w:t>
            </w:r>
            <w:r>
              <w:rPr>
                <w:noProof/>
                <w:webHidden/>
              </w:rPr>
              <w:tab/>
            </w:r>
            <w:r>
              <w:rPr>
                <w:noProof/>
                <w:webHidden/>
              </w:rPr>
              <w:fldChar w:fldCharType="begin"/>
            </w:r>
            <w:r>
              <w:rPr>
                <w:noProof/>
                <w:webHidden/>
              </w:rPr>
              <w:instrText xml:space="preserve"> PAGEREF _Toc198569356 \h </w:instrText>
            </w:r>
            <w:r>
              <w:rPr>
                <w:noProof/>
                <w:webHidden/>
              </w:rPr>
            </w:r>
            <w:r>
              <w:rPr>
                <w:noProof/>
                <w:webHidden/>
              </w:rPr>
              <w:fldChar w:fldCharType="separate"/>
            </w:r>
            <w:r w:rsidR="00AD3A45">
              <w:rPr>
                <w:noProof/>
                <w:webHidden/>
              </w:rPr>
              <w:t>23</w:t>
            </w:r>
            <w:r>
              <w:rPr>
                <w:noProof/>
                <w:webHidden/>
              </w:rPr>
              <w:fldChar w:fldCharType="end"/>
            </w:r>
          </w:hyperlink>
        </w:p>
        <w:p w14:paraId="78509A63" w14:textId="4EE772A5"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57" w:history="1">
            <w:r w:rsidRPr="00862C86">
              <w:rPr>
                <w:rStyle w:val="Hyperlink"/>
                <w:noProof/>
              </w:rPr>
              <w:t>4.3</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Development of international standards</w:t>
            </w:r>
            <w:r>
              <w:rPr>
                <w:noProof/>
                <w:webHidden/>
              </w:rPr>
              <w:tab/>
            </w:r>
            <w:r>
              <w:rPr>
                <w:noProof/>
                <w:webHidden/>
              </w:rPr>
              <w:fldChar w:fldCharType="begin"/>
            </w:r>
            <w:r>
              <w:rPr>
                <w:noProof/>
                <w:webHidden/>
              </w:rPr>
              <w:instrText xml:space="preserve"> PAGEREF _Toc198569357 \h </w:instrText>
            </w:r>
            <w:r>
              <w:rPr>
                <w:noProof/>
                <w:webHidden/>
              </w:rPr>
            </w:r>
            <w:r>
              <w:rPr>
                <w:noProof/>
                <w:webHidden/>
              </w:rPr>
              <w:fldChar w:fldCharType="separate"/>
            </w:r>
            <w:r w:rsidR="00AD3A45">
              <w:rPr>
                <w:noProof/>
                <w:webHidden/>
              </w:rPr>
              <w:t>24</w:t>
            </w:r>
            <w:r>
              <w:rPr>
                <w:noProof/>
                <w:webHidden/>
              </w:rPr>
              <w:fldChar w:fldCharType="end"/>
            </w:r>
          </w:hyperlink>
        </w:p>
        <w:p w14:paraId="473FB9B5" w14:textId="2C243F50"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58" w:history="1">
            <w:r w:rsidRPr="00862C86">
              <w:rPr>
                <w:rStyle w:val="Hyperlink"/>
                <w:noProof/>
              </w:rPr>
              <w:t>4.3.1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ITU-T Recommendations</w:t>
            </w:r>
            <w:r>
              <w:rPr>
                <w:noProof/>
                <w:webHidden/>
              </w:rPr>
              <w:tab/>
            </w:r>
            <w:r>
              <w:rPr>
                <w:noProof/>
                <w:webHidden/>
              </w:rPr>
              <w:fldChar w:fldCharType="begin"/>
            </w:r>
            <w:r>
              <w:rPr>
                <w:noProof/>
                <w:webHidden/>
              </w:rPr>
              <w:instrText xml:space="preserve"> PAGEREF _Toc198569358 \h </w:instrText>
            </w:r>
            <w:r>
              <w:rPr>
                <w:noProof/>
                <w:webHidden/>
              </w:rPr>
            </w:r>
            <w:r>
              <w:rPr>
                <w:noProof/>
                <w:webHidden/>
              </w:rPr>
              <w:fldChar w:fldCharType="separate"/>
            </w:r>
            <w:r w:rsidR="00AD3A45">
              <w:rPr>
                <w:noProof/>
                <w:webHidden/>
              </w:rPr>
              <w:t>24</w:t>
            </w:r>
            <w:r>
              <w:rPr>
                <w:noProof/>
                <w:webHidden/>
              </w:rPr>
              <w:fldChar w:fldCharType="end"/>
            </w:r>
          </w:hyperlink>
        </w:p>
        <w:p w14:paraId="72C42466" w14:textId="4CD86EFE"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59" w:history="1">
            <w:r w:rsidRPr="00862C86">
              <w:rPr>
                <w:rStyle w:val="Hyperlink"/>
                <w:noProof/>
              </w:rPr>
              <w:t>4.3.2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ITU-R Recommendations</w:t>
            </w:r>
            <w:r>
              <w:rPr>
                <w:noProof/>
                <w:webHidden/>
              </w:rPr>
              <w:tab/>
            </w:r>
            <w:r>
              <w:rPr>
                <w:noProof/>
                <w:webHidden/>
              </w:rPr>
              <w:fldChar w:fldCharType="begin"/>
            </w:r>
            <w:r>
              <w:rPr>
                <w:noProof/>
                <w:webHidden/>
              </w:rPr>
              <w:instrText xml:space="preserve"> PAGEREF _Toc198569359 \h </w:instrText>
            </w:r>
            <w:r>
              <w:rPr>
                <w:noProof/>
                <w:webHidden/>
              </w:rPr>
            </w:r>
            <w:r>
              <w:rPr>
                <w:noProof/>
                <w:webHidden/>
              </w:rPr>
              <w:fldChar w:fldCharType="separate"/>
            </w:r>
            <w:r w:rsidR="00AD3A45">
              <w:rPr>
                <w:noProof/>
                <w:webHidden/>
              </w:rPr>
              <w:t>25</w:t>
            </w:r>
            <w:r>
              <w:rPr>
                <w:noProof/>
                <w:webHidden/>
              </w:rPr>
              <w:fldChar w:fldCharType="end"/>
            </w:r>
          </w:hyperlink>
        </w:p>
        <w:p w14:paraId="69B5607A" w14:textId="4F3BB8D0"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60" w:history="1">
            <w:r w:rsidRPr="00862C86">
              <w:rPr>
                <w:rStyle w:val="Hyperlink"/>
                <w:noProof/>
              </w:rPr>
              <w:t>4.3.3</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Bridging the standardization gap</w:t>
            </w:r>
            <w:r>
              <w:rPr>
                <w:noProof/>
                <w:webHidden/>
              </w:rPr>
              <w:tab/>
            </w:r>
            <w:r>
              <w:rPr>
                <w:noProof/>
                <w:webHidden/>
              </w:rPr>
              <w:fldChar w:fldCharType="begin"/>
            </w:r>
            <w:r>
              <w:rPr>
                <w:noProof/>
                <w:webHidden/>
              </w:rPr>
              <w:instrText xml:space="preserve"> PAGEREF _Toc198569360 \h </w:instrText>
            </w:r>
            <w:r>
              <w:rPr>
                <w:noProof/>
                <w:webHidden/>
              </w:rPr>
            </w:r>
            <w:r>
              <w:rPr>
                <w:noProof/>
                <w:webHidden/>
              </w:rPr>
              <w:fldChar w:fldCharType="separate"/>
            </w:r>
            <w:r w:rsidR="00AD3A45">
              <w:rPr>
                <w:noProof/>
                <w:webHidden/>
              </w:rPr>
              <w:t>25</w:t>
            </w:r>
            <w:r>
              <w:rPr>
                <w:noProof/>
                <w:webHidden/>
              </w:rPr>
              <w:fldChar w:fldCharType="end"/>
            </w:r>
          </w:hyperlink>
        </w:p>
        <w:p w14:paraId="6E43193C" w14:textId="425BAF17"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61" w:history="1">
            <w:r w:rsidRPr="00862C86">
              <w:rPr>
                <w:rStyle w:val="Hyperlink"/>
                <w:noProof/>
              </w:rPr>
              <w:t>4.4</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Development of policy frameworks and knowledge products</w:t>
            </w:r>
            <w:r>
              <w:rPr>
                <w:noProof/>
                <w:webHidden/>
              </w:rPr>
              <w:tab/>
            </w:r>
            <w:r>
              <w:rPr>
                <w:noProof/>
                <w:webHidden/>
              </w:rPr>
              <w:fldChar w:fldCharType="begin"/>
            </w:r>
            <w:r>
              <w:rPr>
                <w:noProof/>
                <w:webHidden/>
              </w:rPr>
              <w:instrText xml:space="preserve"> PAGEREF _Toc198569361 \h </w:instrText>
            </w:r>
            <w:r>
              <w:rPr>
                <w:noProof/>
                <w:webHidden/>
              </w:rPr>
            </w:r>
            <w:r>
              <w:rPr>
                <w:noProof/>
                <w:webHidden/>
              </w:rPr>
              <w:fldChar w:fldCharType="separate"/>
            </w:r>
            <w:r w:rsidR="00AD3A45">
              <w:rPr>
                <w:noProof/>
                <w:webHidden/>
              </w:rPr>
              <w:t>25</w:t>
            </w:r>
            <w:r>
              <w:rPr>
                <w:noProof/>
                <w:webHidden/>
              </w:rPr>
              <w:fldChar w:fldCharType="end"/>
            </w:r>
          </w:hyperlink>
        </w:p>
        <w:p w14:paraId="1F2C08BD" w14:textId="096BC4C7"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62" w:history="1">
            <w:r w:rsidRPr="00862C86">
              <w:rPr>
                <w:rStyle w:val="Hyperlink"/>
                <w:noProof/>
                <w:lang w:eastAsia="en-GB"/>
              </w:rPr>
              <w:t>4.4.1</w:t>
            </w:r>
            <w:r>
              <w:rPr>
                <w:rFonts w:asciiTheme="minorHAnsi" w:eastAsiaTheme="minorEastAsia" w:hAnsiTheme="minorHAnsi" w:cstheme="minorBidi"/>
                <w:noProof/>
                <w:kern w:val="2"/>
                <w:szCs w:val="24"/>
                <w:lang w:eastAsia="en-GB"/>
                <w14:ligatures w14:val="standardContextual"/>
              </w:rPr>
              <w:tab/>
            </w:r>
            <w:r w:rsidRPr="00862C86">
              <w:rPr>
                <w:rStyle w:val="Hyperlink"/>
                <w:noProof/>
                <w:lang w:eastAsia="en-GB"/>
              </w:rPr>
              <w:t>Cybersecurity: building confidence and security in ICTs</w:t>
            </w:r>
            <w:r>
              <w:rPr>
                <w:noProof/>
                <w:webHidden/>
              </w:rPr>
              <w:tab/>
            </w:r>
            <w:r>
              <w:rPr>
                <w:noProof/>
                <w:webHidden/>
              </w:rPr>
              <w:fldChar w:fldCharType="begin"/>
            </w:r>
            <w:r>
              <w:rPr>
                <w:noProof/>
                <w:webHidden/>
              </w:rPr>
              <w:instrText xml:space="preserve"> PAGEREF _Toc198569362 \h </w:instrText>
            </w:r>
            <w:r>
              <w:rPr>
                <w:noProof/>
                <w:webHidden/>
              </w:rPr>
            </w:r>
            <w:r>
              <w:rPr>
                <w:noProof/>
                <w:webHidden/>
              </w:rPr>
              <w:fldChar w:fldCharType="separate"/>
            </w:r>
            <w:r w:rsidR="00AD3A45">
              <w:rPr>
                <w:noProof/>
                <w:webHidden/>
              </w:rPr>
              <w:t>26</w:t>
            </w:r>
            <w:r>
              <w:rPr>
                <w:noProof/>
                <w:webHidden/>
              </w:rPr>
              <w:fldChar w:fldCharType="end"/>
            </w:r>
          </w:hyperlink>
        </w:p>
        <w:p w14:paraId="7757EA89" w14:textId="5BEC2F82"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63" w:history="1">
            <w:r w:rsidRPr="00862C86">
              <w:rPr>
                <w:rStyle w:val="Hyperlink"/>
                <w:noProof/>
              </w:rPr>
              <w:t>4.4.2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Emerging techs: Shaping frameworks for transformation</w:t>
            </w:r>
            <w:r>
              <w:rPr>
                <w:noProof/>
                <w:webHidden/>
              </w:rPr>
              <w:tab/>
            </w:r>
            <w:r>
              <w:rPr>
                <w:noProof/>
                <w:webHidden/>
              </w:rPr>
              <w:fldChar w:fldCharType="begin"/>
            </w:r>
            <w:r>
              <w:rPr>
                <w:noProof/>
                <w:webHidden/>
              </w:rPr>
              <w:instrText xml:space="preserve"> PAGEREF _Toc198569363 \h </w:instrText>
            </w:r>
            <w:r>
              <w:rPr>
                <w:noProof/>
                <w:webHidden/>
              </w:rPr>
            </w:r>
            <w:r>
              <w:rPr>
                <w:noProof/>
                <w:webHidden/>
              </w:rPr>
              <w:fldChar w:fldCharType="separate"/>
            </w:r>
            <w:r w:rsidR="00AD3A45">
              <w:rPr>
                <w:noProof/>
                <w:webHidden/>
              </w:rPr>
              <w:t>26</w:t>
            </w:r>
            <w:r>
              <w:rPr>
                <w:noProof/>
                <w:webHidden/>
              </w:rPr>
              <w:fldChar w:fldCharType="end"/>
            </w:r>
          </w:hyperlink>
        </w:p>
        <w:p w14:paraId="02CD8C99" w14:textId="544390D6"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64" w:history="1">
            <w:r w:rsidRPr="00862C86">
              <w:rPr>
                <w:rStyle w:val="Hyperlink"/>
                <w:noProof/>
              </w:rPr>
              <w:t>4.5</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Provision of data and statistics</w:t>
            </w:r>
            <w:r>
              <w:rPr>
                <w:noProof/>
                <w:webHidden/>
              </w:rPr>
              <w:tab/>
            </w:r>
            <w:r>
              <w:rPr>
                <w:noProof/>
                <w:webHidden/>
              </w:rPr>
              <w:fldChar w:fldCharType="begin"/>
            </w:r>
            <w:r>
              <w:rPr>
                <w:noProof/>
                <w:webHidden/>
              </w:rPr>
              <w:instrText xml:space="preserve"> PAGEREF _Toc198569364 \h </w:instrText>
            </w:r>
            <w:r>
              <w:rPr>
                <w:noProof/>
                <w:webHidden/>
              </w:rPr>
            </w:r>
            <w:r>
              <w:rPr>
                <w:noProof/>
                <w:webHidden/>
              </w:rPr>
              <w:fldChar w:fldCharType="separate"/>
            </w:r>
            <w:r w:rsidR="00AD3A45">
              <w:rPr>
                <w:noProof/>
                <w:webHidden/>
              </w:rPr>
              <w:t>29</w:t>
            </w:r>
            <w:r>
              <w:rPr>
                <w:noProof/>
                <w:webHidden/>
              </w:rPr>
              <w:fldChar w:fldCharType="end"/>
            </w:r>
          </w:hyperlink>
        </w:p>
        <w:p w14:paraId="229782C1" w14:textId="1AADE5CF"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65" w:history="1">
            <w:r w:rsidRPr="00862C86">
              <w:rPr>
                <w:rStyle w:val="Hyperlink"/>
                <w:noProof/>
              </w:rPr>
              <w:t>4.6</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Capacity development</w:t>
            </w:r>
            <w:r>
              <w:rPr>
                <w:noProof/>
                <w:webHidden/>
              </w:rPr>
              <w:tab/>
            </w:r>
            <w:r>
              <w:rPr>
                <w:noProof/>
                <w:webHidden/>
              </w:rPr>
              <w:fldChar w:fldCharType="begin"/>
            </w:r>
            <w:r>
              <w:rPr>
                <w:noProof/>
                <w:webHidden/>
              </w:rPr>
              <w:instrText xml:space="preserve"> PAGEREF _Toc198569365 \h </w:instrText>
            </w:r>
            <w:r>
              <w:rPr>
                <w:noProof/>
                <w:webHidden/>
              </w:rPr>
            </w:r>
            <w:r>
              <w:rPr>
                <w:noProof/>
                <w:webHidden/>
              </w:rPr>
              <w:fldChar w:fldCharType="separate"/>
            </w:r>
            <w:r w:rsidR="00AD3A45">
              <w:rPr>
                <w:noProof/>
                <w:webHidden/>
              </w:rPr>
              <w:t>30</w:t>
            </w:r>
            <w:r>
              <w:rPr>
                <w:noProof/>
                <w:webHidden/>
              </w:rPr>
              <w:fldChar w:fldCharType="end"/>
            </w:r>
          </w:hyperlink>
        </w:p>
        <w:p w14:paraId="297FF04C" w14:textId="047C608E"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66" w:history="1">
            <w:r w:rsidRPr="00862C86">
              <w:rPr>
                <w:rStyle w:val="Hyperlink"/>
                <w:noProof/>
              </w:rPr>
              <w:t>4.7</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Provision of technical assistance</w:t>
            </w:r>
            <w:r>
              <w:rPr>
                <w:noProof/>
                <w:webHidden/>
              </w:rPr>
              <w:tab/>
            </w:r>
            <w:r>
              <w:rPr>
                <w:noProof/>
                <w:webHidden/>
              </w:rPr>
              <w:fldChar w:fldCharType="begin"/>
            </w:r>
            <w:r>
              <w:rPr>
                <w:noProof/>
                <w:webHidden/>
              </w:rPr>
              <w:instrText xml:space="preserve"> PAGEREF _Toc198569366 \h </w:instrText>
            </w:r>
            <w:r>
              <w:rPr>
                <w:noProof/>
                <w:webHidden/>
              </w:rPr>
            </w:r>
            <w:r>
              <w:rPr>
                <w:noProof/>
                <w:webHidden/>
              </w:rPr>
              <w:fldChar w:fldCharType="separate"/>
            </w:r>
            <w:r w:rsidR="00AD3A45">
              <w:rPr>
                <w:noProof/>
                <w:webHidden/>
              </w:rPr>
              <w:t>31</w:t>
            </w:r>
            <w:r>
              <w:rPr>
                <w:noProof/>
                <w:webHidden/>
              </w:rPr>
              <w:fldChar w:fldCharType="end"/>
            </w:r>
          </w:hyperlink>
        </w:p>
        <w:p w14:paraId="2C325759" w14:textId="6FFD3D4F"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67" w:history="1">
            <w:r w:rsidRPr="00862C86">
              <w:rPr>
                <w:rStyle w:val="Hyperlink"/>
                <w:noProof/>
              </w:rPr>
              <w:t>4.8</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Convening platforms</w:t>
            </w:r>
            <w:r>
              <w:rPr>
                <w:noProof/>
                <w:webHidden/>
              </w:rPr>
              <w:tab/>
            </w:r>
            <w:r>
              <w:rPr>
                <w:noProof/>
                <w:webHidden/>
              </w:rPr>
              <w:fldChar w:fldCharType="begin"/>
            </w:r>
            <w:r>
              <w:rPr>
                <w:noProof/>
                <w:webHidden/>
              </w:rPr>
              <w:instrText xml:space="preserve"> PAGEREF _Toc198569367 \h </w:instrText>
            </w:r>
            <w:r>
              <w:rPr>
                <w:noProof/>
                <w:webHidden/>
              </w:rPr>
            </w:r>
            <w:r>
              <w:rPr>
                <w:noProof/>
                <w:webHidden/>
              </w:rPr>
              <w:fldChar w:fldCharType="separate"/>
            </w:r>
            <w:r w:rsidR="00AD3A45">
              <w:rPr>
                <w:noProof/>
                <w:webHidden/>
              </w:rPr>
              <w:t>32</w:t>
            </w:r>
            <w:r>
              <w:rPr>
                <w:noProof/>
                <w:webHidden/>
              </w:rPr>
              <w:fldChar w:fldCharType="end"/>
            </w:r>
          </w:hyperlink>
        </w:p>
        <w:p w14:paraId="224DAC9A" w14:textId="1C56033E"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68" w:history="1">
            <w:r w:rsidRPr="00862C86">
              <w:rPr>
                <w:rStyle w:val="Hyperlink"/>
                <w:noProof/>
                <w:lang w:eastAsia="zh-CN"/>
              </w:rPr>
              <w:t>4.8.1</w:t>
            </w:r>
            <w:r>
              <w:rPr>
                <w:rFonts w:asciiTheme="minorHAnsi" w:eastAsiaTheme="minorEastAsia" w:hAnsiTheme="minorHAnsi" w:cstheme="minorBidi"/>
                <w:noProof/>
                <w:kern w:val="2"/>
                <w:szCs w:val="24"/>
                <w:lang w:eastAsia="en-GB"/>
                <w14:ligatures w14:val="standardContextual"/>
              </w:rPr>
              <w:tab/>
            </w:r>
            <w:r w:rsidRPr="00862C86">
              <w:rPr>
                <w:rStyle w:val="Hyperlink"/>
                <w:noProof/>
                <w:lang w:eastAsia="zh-CN"/>
              </w:rPr>
              <w:t>World Summit on the Information Society (WSIS) process</w:t>
            </w:r>
            <w:r>
              <w:rPr>
                <w:noProof/>
                <w:webHidden/>
              </w:rPr>
              <w:tab/>
            </w:r>
            <w:r>
              <w:rPr>
                <w:noProof/>
                <w:webHidden/>
              </w:rPr>
              <w:fldChar w:fldCharType="begin"/>
            </w:r>
            <w:r>
              <w:rPr>
                <w:noProof/>
                <w:webHidden/>
              </w:rPr>
              <w:instrText xml:space="preserve"> PAGEREF _Toc198569368 \h </w:instrText>
            </w:r>
            <w:r>
              <w:rPr>
                <w:noProof/>
                <w:webHidden/>
              </w:rPr>
            </w:r>
            <w:r>
              <w:rPr>
                <w:noProof/>
                <w:webHidden/>
              </w:rPr>
              <w:fldChar w:fldCharType="separate"/>
            </w:r>
            <w:r w:rsidR="00AD3A45">
              <w:rPr>
                <w:noProof/>
                <w:webHidden/>
              </w:rPr>
              <w:t>32</w:t>
            </w:r>
            <w:r>
              <w:rPr>
                <w:noProof/>
                <w:webHidden/>
              </w:rPr>
              <w:fldChar w:fldCharType="end"/>
            </w:r>
          </w:hyperlink>
        </w:p>
        <w:p w14:paraId="18E35D6D" w14:textId="223CAD94"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69" w:history="1">
            <w:r w:rsidRPr="00862C86">
              <w:rPr>
                <w:rStyle w:val="Hyperlink"/>
                <w:noProof/>
              </w:rPr>
              <w:t>4.8.2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AI for Good</w:t>
            </w:r>
            <w:r>
              <w:rPr>
                <w:noProof/>
                <w:webHidden/>
              </w:rPr>
              <w:tab/>
            </w:r>
            <w:r>
              <w:rPr>
                <w:noProof/>
                <w:webHidden/>
              </w:rPr>
              <w:fldChar w:fldCharType="begin"/>
            </w:r>
            <w:r>
              <w:rPr>
                <w:noProof/>
                <w:webHidden/>
              </w:rPr>
              <w:instrText xml:space="preserve"> PAGEREF _Toc198569369 \h </w:instrText>
            </w:r>
            <w:r>
              <w:rPr>
                <w:noProof/>
                <w:webHidden/>
              </w:rPr>
            </w:r>
            <w:r>
              <w:rPr>
                <w:noProof/>
                <w:webHidden/>
              </w:rPr>
              <w:fldChar w:fldCharType="separate"/>
            </w:r>
            <w:r w:rsidR="00AD3A45">
              <w:rPr>
                <w:noProof/>
                <w:webHidden/>
              </w:rPr>
              <w:t>34</w:t>
            </w:r>
            <w:r>
              <w:rPr>
                <w:noProof/>
                <w:webHidden/>
              </w:rPr>
              <w:fldChar w:fldCharType="end"/>
            </w:r>
          </w:hyperlink>
        </w:p>
        <w:p w14:paraId="6583CB07" w14:textId="2FF4B5CD"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70" w:history="1">
            <w:r w:rsidRPr="00862C86">
              <w:rPr>
                <w:rStyle w:val="Hyperlink"/>
                <w:noProof/>
                <w:lang w:eastAsia="en-GB"/>
              </w:rPr>
              <w:t>4.8.3</w:t>
            </w:r>
            <w:r>
              <w:rPr>
                <w:rFonts w:asciiTheme="minorHAnsi" w:eastAsiaTheme="minorEastAsia" w:hAnsiTheme="minorHAnsi" w:cstheme="minorBidi"/>
                <w:noProof/>
                <w:kern w:val="2"/>
                <w:szCs w:val="24"/>
                <w:lang w:eastAsia="en-GB"/>
                <w14:ligatures w14:val="standardContextual"/>
              </w:rPr>
              <w:tab/>
            </w:r>
            <w:r w:rsidRPr="00862C86">
              <w:rPr>
                <w:rStyle w:val="Hyperlink"/>
                <w:noProof/>
                <w:lang w:eastAsia="en-GB"/>
              </w:rPr>
              <w:t>Global Standards Symposium (GSS-24)</w:t>
            </w:r>
            <w:r>
              <w:rPr>
                <w:noProof/>
                <w:webHidden/>
              </w:rPr>
              <w:tab/>
            </w:r>
            <w:r>
              <w:rPr>
                <w:noProof/>
                <w:webHidden/>
              </w:rPr>
              <w:fldChar w:fldCharType="begin"/>
            </w:r>
            <w:r>
              <w:rPr>
                <w:noProof/>
                <w:webHidden/>
              </w:rPr>
              <w:instrText xml:space="preserve"> PAGEREF _Toc198569370 \h </w:instrText>
            </w:r>
            <w:r>
              <w:rPr>
                <w:noProof/>
                <w:webHidden/>
              </w:rPr>
            </w:r>
            <w:r>
              <w:rPr>
                <w:noProof/>
                <w:webHidden/>
              </w:rPr>
              <w:fldChar w:fldCharType="separate"/>
            </w:r>
            <w:r w:rsidR="00AD3A45">
              <w:rPr>
                <w:noProof/>
                <w:webHidden/>
              </w:rPr>
              <w:t>35</w:t>
            </w:r>
            <w:r>
              <w:rPr>
                <w:noProof/>
                <w:webHidden/>
              </w:rPr>
              <w:fldChar w:fldCharType="end"/>
            </w:r>
          </w:hyperlink>
        </w:p>
        <w:p w14:paraId="0C10C0BC" w14:textId="0CB45E82"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71" w:history="1">
            <w:r w:rsidRPr="00862C86">
              <w:rPr>
                <w:rStyle w:val="Hyperlink"/>
                <w:noProof/>
              </w:rPr>
              <w:t>4.8.4</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Global Symposium for Regulators</w:t>
            </w:r>
            <w:r>
              <w:rPr>
                <w:noProof/>
                <w:webHidden/>
              </w:rPr>
              <w:tab/>
            </w:r>
            <w:r>
              <w:rPr>
                <w:noProof/>
                <w:webHidden/>
              </w:rPr>
              <w:fldChar w:fldCharType="begin"/>
            </w:r>
            <w:r>
              <w:rPr>
                <w:noProof/>
                <w:webHidden/>
              </w:rPr>
              <w:instrText xml:space="preserve"> PAGEREF _Toc198569371 \h </w:instrText>
            </w:r>
            <w:r>
              <w:rPr>
                <w:noProof/>
                <w:webHidden/>
              </w:rPr>
            </w:r>
            <w:r>
              <w:rPr>
                <w:noProof/>
                <w:webHidden/>
              </w:rPr>
              <w:fldChar w:fldCharType="separate"/>
            </w:r>
            <w:r w:rsidR="00AD3A45">
              <w:rPr>
                <w:noProof/>
                <w:webHidden/>
              </w:rPr>
              <w:t>35</w:t>
            </w:r>
            <w:r>
              <w:rPr>
                <w:noProof/>
                <w:webHidden/>
              </w:rPr>
              <w:fldChar w:fldCharType="end"/>
            </w:r>
          </w:hyperlink>
        </w:p>
        <w:p w14:paraId="79BEA311" w14:textId="40D6DD4B"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72" w:history="1">
            <w:r w:rsidRPr="00862C86">
              <w:rPr>
                <w:rStyle w:val="Hyperlink"/>
                <w:noProof/>
                <w:lang w:eastAsia="en-GB"/>
              </w:rPr>
              <w:t>4.8.5</w:t>
            </w:r>
            <w:r>
              <w:rPr>
                <w:rFonts w:asciiTheme="minorHAnsi" w:eastAsiaTheme="minorEastAsia" w:hAnsiTheme="minorHAnsi" w:cstheme="minorBidi"/>
                <w:noProof/>
                <w:kern w:val="2"/>
                <w:szCs w:val="24"/>
                <w:lang w:eastAsia="en-GB"/>
                <w14:ligatures w14:val="standardContextual"/>
              </w:rPr>
              <w:tab/>
            </w:r>
            <w:r w:rsidRPr="00862C86">
              <w:rPr>
                <w:rStyle w:val="Hyperlink"/>
                <w:noProof/>
                <w:lang w:eastAsia="en-GB"/>
              </w:rPr>
              <w:t>Engaging academia in ITU’s work</w:t>
            </w:r>
            <w:r>
              <w:rPr>
                <w:noProof/>
                <w:webHidden/>
              </w:rPr>
              <w:tab/>
            </w:r>
            <w:r>
              <w:rPr>
                <w:noProof/>
                <w:webHidden/>
              </w:rPr>
              <w:fldChar w:fldCharType="begin"/>
            </w:r>
            <w:r>
              <w:rPr>
                <w:noProof/>
                <w:webHidden/>
              </w:rPr>
              <w:instrText xml:space="preserve"> PAGEREF _Toc198569372 \h </w:instrText>
            </w:r>
            <w:r>
              <w:rPr>
                <w:noProof/>
                <w:webHidden/>
              </w:rPr>
            </w:r>
            <w:r>
              <w:rPr>
                <w:noProof/>
                <w:webHidden/>
              </w:rPr>
              <w:fldChar w:fldCharType="separate"/>
            </w:r>
            <w:r w:rsidR="00AD3A45">
              <w:rPr>
                <w:noProof/>
                <w:webHidden/>
              </w:rPr>
              <w:t>35</w:t>
            </w:r>
            <w:r>
              <w:rPr>
                <w:noProof/>
                <w:webHidden/>
              </w:rPr>
              <w:fldChar w:fldCharType="end"/>
            </w:r>
          </w:hyperlink>
        </w:p>
        <w:p w14:paraId="2182BAEA" w14:textId="6C319754"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73" w:history="1">
            <w:r w:rsidRPr="00862C86">
              <w:rPr>
                <w:rStyle w:val="Hyperlink"/>
                <w:noProof/>
              </w:rPr>
              <w:t>4.8.6</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ITU Journal</w:t>
            </w:r>
            <w:r>
              <w:rPr>
                <w:noProof/>
                <w:webHidden/>
              </w:rPr>
              <w:tab/>
            </w:r>
            <w:r>
              <w:rPr>
                <w:noProof/>
                <w:webHidden/>
              </w:rPr>
              <w:fldChar w:fldCharType="begin"/>
            </w:r>
            <w:r>
              <w:rPr>
                <w:noProof/>
                <w:webHidden/>
              </w:rPr>
              <w:instrText xml:space="preserve"> PAGEREF _Toc198569373 \h </w:instrText>
            </w:r>
            <w:r>
              <w:rPr>
                <w:noProof/>
                <w:webHidden/>
              </w:rPr>
            </w:r>
            <w:r>
              <w:rPr>
                <w:noProof/>
                <w:webHidden/>
              </w:rPr>
              <w:fldChar w:fldCharType="separate"/>
            </w:r>
            <w:r w:rsidR="00AD3A45">
              <w:rPr>
                <w:noProof/>
                <w:webHidden/>
              </w:rPr>
              <w:t>35</w:t>
            </w:r>
            <w:r>
              <w:rPr>
                <w:noProof/>
                <w:webHidden/>
              </w:rPr>
              <w:fldChar w:fldCharType="end"/>
            </w:r>
          </w:hyperlink>
        </w:p>
        <w:p w14:paraId="2F4960AD" w14:textId="441A6A0F"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74" w:history="1">
            <w:r w:rsidRPr="00862C86">
              <w:rPr>
                <w:rStyle w:val="Hyperlink"/>
                <w:noProof/>
              </w:rPr>
              <w:t>4.8.7</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Kaleidoscope academic conference</w:t>
            </w:r>
            <w:r>
              <w:rPr>
                <w:noProof/>
                <w:webHidden/>
              </w:rPr>
              <w:tab/>
            </w:r>
            <w:r>
              <w:rPr>
                <w:noProof/>
                <w:webHidden/>
              </w:rPr>
              <w:fldChar w:fldCharType="begin"/>
            </w:r>
            <w:r>
              <w:rPr>
                <w:noProof/>
                <w:webHidden/>
              </w:rPr>
              <w:instrText xml:space="preserve"> PAGEREF _Toc198569374 \h </w:instrText>
            </w:r>
            <w:r>
              <w:rPr>
                <w:noProof/>
                <w:webHidden/>
              </w:rPr>
            </w:r>
            <w:r>
              <w:rPr>
                <w:noProof/>
                <w:webHidden/>
              </w:rPr>
              <w:fldChar w:fldCharType="separate"/>
            </w:r>
            <w:r w:rsidR="00AD3A45">
              <w:rPr>
                <w:noProof/>
                <w:webHidden/>
              </w:rPr>
              <w:t>35</w:t>
            </w:r>
            <w:r>
              <w:rPr>
                <w:noProof/>
                <w:webHidden/>
              </w:rPr>
              <w:fldChar w:fldCharType="end"/>
            </w:r>
          </w:hyperlink>
        </w:p>
        <w:p w14:paraId="2D0E9322" w14:textId="4EFC6927"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75" w:history="1">
            <w:r w:rsidRPr="00862C86">
              <w:rPr>
                <w:rStyle w:val="Hyperlink"/>
                <w:noProof/>
                <w:lang w:eastAsia="en-GB"/>
              </w:rPr>
              <w:t>4.8.8</w:t>
            </w:r>
            <w:r>
              <w:rPr>
                <w:rFonts w:asciiTheme="minorHAnsi" w:eastAsiaTheme="minorEastAsia" w:hAnsiTheme="minorHAnsi" w:cstheme="minorBidi"/>
                <w:noProof/>
                <w:kern w:val="2"/>
                <w:szCs w:val="24"/>
                <w:lang w:eastAsia="en-GB"/>
                <w14:ligatures w14:val="standardContextual"/>
              </w:rPr>
              <w:tab/>
            </w:r>
            <w:r w:rsidRPr="00862C86">
              <w:rPr>
                <w:rStyle w:val="Hyperlink"/>
                <w:noProof/>
                <w:lang w:eastAsia="en-GB"/>
              </w:rPr>
              <w:t>Seminars and workshops: Diving deeper</w:t>
            </w:r>
            <w:r>
              <w:rPr>
                <w:noProof/>
                <w:webHidden/>
              </w:rPr>
              <w:tab/>
            </w:r>
            <w:r>
              <w:rPr>
                <w:noProof/>
                <w:webHidden/>
              </w:rPr>
              <w:fldChar w:fldCharType="begin"/>
            </w:r>
            <w:r>
              <w:rPr>
                <w:noProof/>
                <w:webHidden/>
              </w:rPr>
              <w:instrText xml:space="preserve"> PAGEREF _Toc198569375 \h </w:instrText>
            </w:r>
            <w:r>
              <w:rPr>
                <w:noProof/>
                <w:webHidden/>
              </w:rPr>
            </w:r>
            <w:r>
              <w:rPr>
                <w:noProof/>
                <w:webHidden/>
              </w:rPr>
              <w:fldChar w:fldCharType="separate"/>
            </w:r>
            <w:r w:rsidR="00AD3A45">
              <w:rPr>
                <w:noProof/>
                <w:webHidden/>
              </w:rPr>
              <w:t>35</w:t>
            </w:r>
            <w:r>
              <w:rPr>
                <w:noProof/>
                <w:webHidden/>
              </w:rPr>
              <w:fldChar w:fldCharType="end"/>
            </w:r>
          </w:hyperlink>
        </w:p>
        <w:p w14:paraId="232F415E" w14:textId="5A3C5D67" w:rsidR="00305ADF" w:rsidRDefault="00305ADF">
          <w:pPr>
            <w:pStyle w:val="TOC1"/>
            <w:rPr>
              <w:rFonts w:asciiTheme="minorHAnsi" w:eastAsiaTheme="minorEastAsia" w:hAnsiTheme="minorHAnsi" w:cstheme="minorBidi"/>
              <w:noProof/>
              <w:kern w:val="2"/>
              <w:szCs w:val="24"/>
              <w:lang w:eastAsia="en-GB"/>
              <w14:ligatures w14:val="standardContextual"/>
            </w:rPr>
          </w:pPr>
          <w:hyperlink w:anchor="_Toc198569376" w:history="1">
            <w:r w:rsidRPr="00862C86">
              <w:rPr>
                <w:rStyle w:val="Hyperlink"/>
                <w:noProof/>
              </w:rPr>
              <w:t>5.</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Enablers</w:t>
            </w:r>
            <w:r>
              <w:rPr>
                <w:noProof/>
                <w:webHidden/>
              </w:rPr>
              <w:tab/>
            </w:r>
            <w:r>
              <w:rPr>
                <w:noProof/>
                <w:webHidden/>
              </w:rPr>
              <w:fldChar w:fldCharType="begin"/>
            </w:r>
            <w:r>
              <w:rPr>
                <w:noProof/>
                <w:webHidden/>
              </w:rPr>
              <w:instrText xml:space="preserve"> PAGEREF _Toc198569376 \h </w:instrText>
            </w:r>
            <w:r>
              <w:rPr>
                <w:noProof/>
                <w:webHidden/>
              </w:rPr>
            </w:r>
            <w:r>
              <w:rPr>
                <w:noProof/>
                <w:webHidden/>
              </w:rPr>
              <w:fldChar w:fldCharType="separate"/>
            </w:r>
            <w:r w:rsidR="00AD3A45">
              <w:rPr>
                <w:noProof/>
                <w:webHidden/>
              </w:rPr>
              <w:t>38</w:t>
            </w:r>
            <w:r>
              <w:rPr>
                <w:noProof/>
                <w:webHidden/>
              </w:rPr>
              <w:fldChar w:fldCharType="end"/>
            </w:r>
          </w:hyperlink>
        </w:p>
        <w:p w14:paraId="66EB6799" w14:textId="6489041B"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77" w:history="1">
            <w:r w:rsidRPr="00862C86">
              <w:rPr>
                <w:rStyle w:val="Hyperlink"/>
                <w:noProof/>
              </w:rPr>
              <w:t>5.1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Membership-driven approach</w:t>
            </w:r>
            <w:r>
              <w:rPr>
                <w:noProof/>
                <w:webHidden/>
              </w:rPr>
              <w:tab/>
            </w:r>
            <w:r>
              <w:rPr>
                <w:noProof/>
                <w:webHidden/>
              </w:rPr>
              <w:fldChar w:fldCharType="begin"/>
            </w:r>
            <w:r>
              <w:rPr>
                <w:noProof/>
                <w:webHidden/>
              </w:rPr>
              <w:instrText xml:space="preserve"> PAGEREF _Toc198569377 \h </w:instrText>
            </w:r>
            <w:r>
              <w:rPr>
                <w:noProof/>
                <w:webHidden/>
              </w:rPr>
            </w:r>
            <w:r>
              <w:rPr>
                <w:noProof/>
                <w:webHidden/>
              </w:rPr>
              <w:fldChar w:fldCharType="separate"/>
            </w:r>
            <w:r w:rsidR="00AD3A45">
              <w:rPr>
                <w:noProof/>
                <w:webHidden/>
              </w:rPr>
              <w:t>38</w:t>
            </w:r>
            <w:r>
              <w:rPr>
                <w:noProof/>
                <w:webHidden/>
              </w:rPr>
              <w:fldChar w:fldCharType="end"/>
            </w:r>
          </w:hyperlink>
        </w:p>
        <w:p w14:paraId="6FF2381D" w14:textId="66F68C8A"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78" w:history="1">
            <w:r w:rsidRPr="00862C86">
              <w:rPr>
                <w:rStyle w:val="Hyperlink"/>
                <w:noProof/>
              </w:rPr>
              <w:t>5.2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Regional presence</w:t>
            </w:r>
            <w:r>
              <w:rPr>
                <w:noProof/>
                <w:webHidden/>
              </w:rPr>
              <w:tab/>
            </w:r>
            <w:r>
              <w:rPr>
                <w:noProof/>
                <w:webHidden/>
              </w:rPr>
              <w:fldChar w:fldCharType="begin"/>
            </w:r>
            <w:r>
              <w:rPr>
                <w:noProof/>
                <w:webHidden/>
              </w:rPr>
              <w:instrText xml:space="preserve"> PAGEREF _Toc198569378 \h </w:instrText>
            </w:r>
            <w:r>
              <w:rPr>
                <w:noProof/>
                <w:webHidden/>
              </w:rPr>
            </w:r>
            <w:r>
              <w:rPr>
                <w:noProof/>
                <w:webHidden/>
              </w:rPr>
              <w:fldChar w:fldCharType="separate"/>
            </w:r>
            <w:r w:rsidR="00AD3A45">
              <w:rPr>
                <w:noProof/>
                <w:webHidden/>
              </w:rPr>
              <w:t>39</w:t>
            </w:r>
            <w:r>
              <w:rPr>
                <w:noProof/>
                <w:webHidden/>
              </w:rPr>
              <w:fldChar w:fldCharType="end"/>
            </w:r>
          </w:hyperlink>
        </w:p>
        <w:p w14:paraId="3A5FA114" w14:textId="0A38158D"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79" w:history="1">
            <w:r w:rsidRPr="00862C86">
              <w:rPr>
                <w:rStyle w:val="Hyperlink"/>
                <w:noProof/>
              </w:rPr>
              <w:t>5.3</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Bringing everyone to the table</w:t>
            </w:r>
            <w:r>
              <w:rPr>
                <w:noProof/>
                <w:webHidden/>
              </w:rPr>
              <w:tab/>
            </w:r>
            <w:r>
              <w:rPr>
                <w:noProof/>
                <w:webHidden/>
              </w:rPr>
              <w:fldChar w:fldCharType="begin"/>
            </w:r>
            <w:r>
              <w:rPr>
                <w:noProof/>
                <w:webHidden/>
              </w:rPr>
              <w:instrText xml:space="preserve"> PAGEREF _Toc198569379 \h </w:instrText>
            </w:r>
            <w:r>
              <w:rPr>
                <w:noProof/>
                <w:webHidden/>
              </w:rPr>
            </w:r>
            <w:r>
              <w:rPr>
                <w:noProof/>
                <w:webHidden/>
              </w:rPr>
              <w:fldChar w:fldCharType="separate"/>
            </w:r>
            <w:r w:rsidR="00AD3A45">
              <w:rPr>
                <w:noProof/>
                <w:webHidden/>
              </w:rPr>
              <w:t>40</w:t>
            </w:r>
            <w:r>
              <w:rPr>
                <w:noProof/>
                <w:webHidden/>
              </w:rPr>
              <w:fldChar w:fldCharType="end"/>
            </w:r>
          </w:hyperlink>
        </w:p>
        <w:p w14:paraId="01B34F84" w14:textId="49BDA427"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0" w:history="1">
            <w:r w:rsidRPr="00862C86">
              <w:rPr>
                <w:rStyle w:val="Hyperlink"/>
                <w:noProof/>
                <w:lang w:eastAsia="en-GB"/>
              </w:rPr>
              <w:t>5.3.1</w:t>
            </w:r>
            <w:r>
              <w:rPr>
                <w:rFonts w:asciiTheme="minorHAnsi" w:eastAsiaTheme="minorEastAsia" w:hAnsiTheme="minorHAnsi" w:cstheme="minorBidi"/>
                <w:noProof/>
                <w:kern w:val="2"/>
                <w:szCs w:val="24"/>
                <w:lang w:eastAsia="en-GB"/>
                <w14:ligatures w14:val="standardContextual"/>
              </w:rPr>
              <w:tab/>
            </w:r>
            <w:r w:rsidRPr="00862C86">
              <w:rPr>
                <w:rStyle w:val="Hyperlink"/>
                <w:noProof/>
                <w:lang w:eastAsia="en-GB"/>
              </w:rPr>
              <w:t>Gender equality</w:t>
            </w:r>
            <w:r>
              <w:rPr>
                <w:noProof/>
                <w:webHidden/>
              </w:rPr>
              <w:tab/>
            </w:r>
            <w:r>
              <w:rPr>
                <w:noProof/>
                <w:webHidden/>
              </w:rPr>
              <w:fldChar w:fldCharType="begin"/>
            </w:r>
            <w:r>
              <w:rPr>
                <w:noProof/>
                <w:webHidden/>
              </w:rPr>
              <w:instrText xml:space="preserve"> PAGEREF _Toc198569380 \h </w:instrText>
            </w:r>
            <w:r>
              <w:rPr>
                <w:noProof/>
                <w:webHidden/>
              </w:rPr>
            </w:r>
            <w:r>
              <w:rPr>
                <w:noProof/>
                <w:webHidden/>
              </w:rPr>
              <w:fldChar w:fldCharType="separate"/>
            </w:r>
            <w:r w:rsidR="00AD3A45">
              <w:rPr>
                <w:noProof/>
                <w:webHidden/>
              </w:rPr>
              <w:t>40</w:t>
            </w:r>
            <w:r>
              <w:rPr>
                <w:noProof/>
                <w:webHidden/>
              </w:rPr>
              <w:fldChar w:fldCharType="end"/>
            </w:r>
          </w:hyperlink>
        </w:p>
        <w:p w14:paraId="56FE26DC" w14:textId="721094A0"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1" w:history="1">
            <w:r w:rsidRPr="00862C86">
              <w:rPr>
                <w:rStyle w:val="Hyperlink"/>
                <w:noProof/>
                <w:lang w:eastAsia="en-GB"/>
              </w:rPr>
              <w:t>5.3.2</w:t>
            </w:r>
            <w:r>
              <w:rPr>
                <w:rFonts w:asciiTheme="minorHAnsi" w:eastAsiaTheme="minorEastAsia" w:hAnsiTheme="minorHAnsi" w:cstheme="minorBidi"/>
                <w:noProof/>
                <w:kern w:val="2"/>
                <w:szCs w:val="24"/>
                <w:lang w:eastAsia="en-GB"/>
                <w14:ligatures w14:val="standardContextual"/>
              </w:rPr>
              <w:tab/>
            </w:r>
            <w:r w:rsidRPr="00862C86">
              <w:rPr>
                <w:rStyle w:val="Hyperlink"/>
                <w:noProof/>
                <w:lang w:eastAsia="en-GB"/>
              </w:rPr>
              <w:t>Youth empowerment</w:t>
            </w:r>
            <w:r>
              <w:rPr>
                <w:noProof/>
                <w:webHidden/>
              </w:rPr>
              <w:tab/>
            </w:r>
            <w:r>
              <w:rPr>
                <w:noProof/>
                <w:webHidden/>
              </w:rPr>
              <w:fldChar w:fldCharType="begin"/>
            </w:r>
            <w:r>
              <w:rPr>
                <w:noProof/>
                <w:webHidden/>
              </w:rPr>
              <w:instrText xml:space="preserve"> PAGEREF _Toc198569381 \h </w:instrText>
            </w:r>
            <w:r>
              <w:rPr>
                <w:noProof/>
                <w:webHidden/>
              </w:rPr>
            </w:r>
            <w:r>
              <w:rPr>
                <w:noProof/>
                <w:webHidden/>
              </w:rPr>
              <w:fldChar w:fldCharType="separate"/>
            </w:r>
            <w:r w:rsidR="00AD3A45">
              <w:rPr>
                <w:noProof/>
                <w:webHidden/>
              </w:rPr>
              <w:t>41</w:t>
            </w:r>
            <w:r>
              <w:rPr>
                <w:noProof/>
                <w:webHidden/>
              </w:rPr>
              <w:fldChar w:fldCharType="end"/>
            </w:r>
          </w:hyperlink>
        </w:p>
        <w:p w14:paraId="6F25B0B2" w14:textId="194E2C71"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2" w:history="1">
            <w:r w:rsidRPr="00862C86">
              <w:rPr>
                <w:rStyle w:val="Hyperlink"/>
                <w:noProof/>
              </w:rPr>
              <w:t>5.3.3</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ICT accessibility</w:t>
            </w:r>
            <w:r>
              <w:rPr>
                <w:noProof/>
                <w:webHidden/>
              </w:rPr>
              <w:tab/>
            </w:r>
            <w:r>
              <w:rPr>
                <w:noProof/>
                <w:webHidden/>
              </w:rPr>
              <w:fldChar w:fldCharType="begin"/>
            </w:r>
            <w:r>
              <w:rPr>
                <w:noProof/>
                <w:webHidden/>
              </w:rPr>
              <w:instrText xml:space="preserve"> PAGEREF _Toc198569382 \h </w:instrText>
            </w:r>
            <w:r>
              <w:rPr>
                <w:noProof/>
                <w:webHidden/>
              </w:rPr>
            </w:r>
            <w:r>
              <w:rPr>
                <w:noProof/>
                <w:webHidden/>
              </w:rPr>
              <w:fldChar w:fldCharType="separate"/>
            </w:r>
            <w:r w:rsidR="00AD3A45">
              <w:rPr>
                <w:noProof/>
                <w:webHidden/>
              </w:rPr>
              <w:t>42</w:t>
            </w:r>
            <w:r>
              <w:rPr>
                <w:noProof/>
                <w:webHidden/>
              </w:rPr>
              <w:fldChar w:fldCharType="end"/>
            </w:r>
          </w:hyperlink>
        </w:p>
        <w:p w14:paraId="13F8874A" w14:textId="60F26784"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3" w:history="1">
            <w:r w:rsidRPr="00862C86">
              <w:rPr>
                <w:rStyle w:val="Hyperlink"/>
                <w:noProof/>
              </w:rPr>
              <w:t>5.3.4</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Support for ageing populations</w:t>
            </w:r>
            <w:r>
              <w:rPr>
                <w:noProof/>
                <w:webHidden/>
              </w:rPr>
              <w:tab/>
            </w:r>
            <w:r>
              <w:rPr>
                <w:noProof/>
                <w:webHidden/>
              </w:rPr>
              <w:fldChar w:fldCharType="begin"/>
            </w:r>
            <w:r>
              <w:rPr>
                <w:noProof/>
                <w:webHidden/>
              </w:rPr>
              <w:instrText xml:space="preserve"> PAGEREF _Toc198569383 \h </w:instrText>
            </w:r>
            <w:r>
              <w:rPr>
                <w:noProof/>
                <w:webHidden/>
              </w:rPr>
            </w:r>
            <w:r>
              <w:rPr>
                <w:noProof/>
                <w:webHidden/>
              </w:rPr>
              <w:fldChar w:fldCharType="separate"/>
            </w:r>
            <w:r w:rsidR="00AD3A45">
              <w:rPr>
                <w:noProof/>
                <w:webHidden/>
              </w:rPr>
              <w:t>43</w:t>
            </w:r>
            <w:r>
              <w:rPr>
                <w:noProof/>
                <w:webHidden/>
              </w:rPr>
              <w:fldChar w:fldCharType="end"/>
            </w:r>
          </w:hyperlink>
        </w:p>
        <w:p w14:paraId="406AE7A4" w14:textId="01059E2B"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4" w:history="1">
            <w:r w:rsidRPr="00862C86">
              <w:rPr>
                <w:rStyle w:val="Hyperlink"/>
                <w:noProof/>
              </w:rPr>
              <w:t>5.4</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Commitment to environmental sustainability</w:t>
            </w:r>
            <w:r>
              <w:rPr>
                <w:noProof/>
                <w:webHidden/>
              </w:rPr>
              <w:tab/>
            </w:r>
            <w:r>
              <w:rPr>
                <w:noProof/>
                <w:webHidden/>
              </w:rPr>
              <w:fldChar w:fldCharType="begin"/>
            </w:r>
            <w:r>
              <w:rPr>
                <w:noProof/>
                <w:webHidden/>
              </w:rPr>
              <w:instrText xml:space="preserve"> PAGEREF _Toc198569384 \h </w:instrText>
            </w:r>
            <w:r>
              <w:rPr>
                <w:noProof/>
                <w:webHidden/>
              </w:rPr>
            </w:r>
            <w:r>
              <w:rPr>
                <w:noProof/>
                <w:webHidden/>
              </w:rPr>
              <w:fldChar w:fldCharType="separate"/>
            </w:r>
            <w:r w:rsidR="00AD3A45">
              <w:rPr>
                <w:noProof/>
                <w:webHidden/>
              </w:rPr>
              <w:t>43</w:t>
            </w:r>
            <w:r>
              <w:rPr>
                <w:noProof/>
                <w:webHidden/>
              </w:rPr>
              <w:fldChar w:fldCharType="end"/>
            </w:r>
          </w:hyperlink>
        </w:p>
        <w:p w14:paraId="60455C89" w14:textId="1ACFE20D"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5" w:history="1">
            <w:r w:rsidRPr="00862C86">
              <w:rPr>
                <w:rStyle w:val="Hyperlink"/>
                <w:noProof/>
              </w:rPr>
              <w:t>5.5</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Partnerships and international cooperation</w:t>
            </w:r>
            <w:r>
              <w:rPr>
                <w:noProof/>
                <w:webHidden/>
              </w:rPr>
              <w:tab/>
            </w:r>
            <w:r>
              <w:rPr>
                <w:noProof/>
                <w:webHidden/>
              </w:rPr>
              <w:fldChar w:fldCharType="begin"/>
            </w:r>
            <w:r>
              <w:rPr>
                <w:noProof/>
                <w:webHidden/>
              </w:rPr>
              <w:instrText xml:space="preserve"> PAGEREF _Toc198569385 \h </w:instrText>
            </w:r>
            <w:r>
              <w:rPr>
                <w:noProof/>
                <w:webHidden/>
              </w:rPr>
            </w:r>
            <w:r>
              <w:rPr>
                <w:noProof/>
                <w:webHidden/>
              </w:rPr>
              <w:fldChar w:fldCharType="separate"/>
            </w:r>
            <w:r w:rsidR="00AD3A45">
              <w:rPr>
                <w:noProof/>
                <w:webHidden/>
              </w:rPr>
              <w:t>45</w:t>
            </w:r>
            <w:r>
              <w:rPr>
                <w:noProof/>
                <w:webHidden/>
              </w:rPr>
              <w:fldChar w:fldCharType="end"/>
            </w:r>
          </w:hyperlink>
        </w:p>
        <w:p w14:paraId="5FFBEB6E" w14:textId="27AA1711"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6" w:history="1">
            <w:r w:rsidRPr="00862C86">
              <w:rPr>
                <w:rStyle w:val="Hyperlink"/>
                <w:noProof/>
              </w:rPr>
              <w:t>5.6</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Resource mobilization</w:t>
            </w:r>
            <w:r>
              <w:rPr>
                <w:noProof/>
                <w:webHidden/>
              </w:rPr>
              <w:tab/>
            </w:r>
            <w:r>
              <w:rPr>
                <w:noProof/>
                <w:webHidden/>
              </w:rPr>
              <w:fldChar w:fldCharType="begin"/>
            </w:r>
            <w:r>
              <w:rPr>
                <w:noProof/>
                <w:webHidden/>
              </w:rPr>
              <w:instrText xml:space="preserve"> PAGEREF _Toc198569386 \h </w:instrText>
            </w:r>
            <w:r>
              <w:rPr>
                <w:noProof/>
                <w:webHidden/>
              </w:rPr>
            </w:r>
            <w:r>
              <w:rPr>
                <w:noProof/>
                <w:webHidden/>
              </w:rPr>
              <w:fldChar w:fldCharType="separate"/>
            </w:r>
            <w:r w:rsidR="00AD3A45">
              <w:rPr>
                <w:noProof/>
                <w:webHidden/>
              </w:rPr>
              <w:t>50</w:t>
            </w:r>
            <w:r>
              <w:rPr>
                <w:noProof/>
                <w:webHidden/>
              </w:rPr>
              <w:fldChar w:fldCharType="end"/>
            </w:r>
          </w:hyperlink>
        </w:p>
        <w:p w14:paraId="5E83B7DF" w14:textId="09C38385"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7" w:history="1">
            <w:r w:rsidRPr="00862C86">
              <w:rPr>
                <w:rStyle w:val="Hyperlink"/>
                <w:noProof/>
              </w:rPr>
              <w:t>5.7</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Excellence in human resources and organizational innovation</w:t>
            </w:r>
            <w:r>
              <w:rPr>
                <w:noProof/>
                <w:webHidden/>
              </w:rPr>
              <w:tab/>
            </w:r>
            <w:r>
              <w:rPr>
                <w:noProof/>
                <w:webHidden/>
              </w:rPr>
              <w:fldChar w:fldCharType="begin"/>
            </w:r>
            <w:r>
              <w:rPr>
                <w:noProof/>
                <w:webHidden/>
              </w:rPr>
              <w:instrText xml:space="preserve"> PAGEREF _Toc198569387 \h </w:instrText>
            </w:r>
            <w:r>
              <w:rPr>
                <w:noProof/>
                <w:webHidden/>
              </w:rPr>
            </w:r>
            <w:r>
              <w:rPr>
                <w:noProof/>
                <w:webHidden/>
              </w:rPr>
              <w:fldChar w:fldCharType="separate"/>
            </w:r>
            <w:r w:rsidR="00AD3A45">
              <w:rPr>
                <w:noProof/>
                <w:webHidden/>
              </w:rPr>
              <w:t>51</w:t>
            </w:r>
            <w:r>
              <w:rPr>
                <w:noProof/>
                <w:webHidden/>
              </w:rPr>
              <w:fldChar w:fldCharType="end"/>
            </w:r>
          </w:hyperlink>
        </w:p>
        <w:p w14:paraId="7E31C8D7" w14:textId="07EAB3A9" w:rsidR="00305ADF" w:rsidRDefault="00305ADF">
          <w:pPr>
            <w:pStyle w:val="TOC2"/>
            <w:rPr>
              <w:rFonts w:asciiTheme="minorHAnsi" w:eastAsiaTheme="minorEastAsia" w:hAnsiTheme="minorHAnsi" w:cstheme="minorBidi"/>
              <w:noProof/>
              <w:kern w:val="2"/>
              <w:szCs w:val="24"/>
              <w:lang w:eastAsia="en-GB"/>
              <w14:ligatures w14:val="standardContextual"/>
            </w:rPr>
          </w:pPr>
          <w:hyperlink w:anchor="_Toc198569388" w:history="1">
            <w:r w:rsidRPr="00862C86">
              <w:rPr>
                <w:rStyle w:val="Hyperlink"/>
                <w:noProof/>
              </w:rPr>
              <w:t>5.7.1</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Human resources</w:t>
            </w:r>
            <w:r>
              <w:rPr>
                <w:noProof/>
                <w:webHidden/>
              </w:rPr>
              <w:tab/>
            </w:r>
            <w:r>
              <w:rPr>
                <w:noProof/>
                <w:webHidden/>
              </w:rPr>
              <w:fldChar w:fldCharType="begin"/>
            </w:r>
            <w:r>
              <w:rPr>
                <w:noProof/>
                <w:webHidden/>
              </w:rPr>
              <w:instrText xml:space="preserve"> PAGEREF _Toc198569388 \h </w:instrText>
            </w:r>
            <w:r>
              <w:rPr>
                <w:noProof/>
                <w:webHidden/>
              </w:rPr>
            </w:r>
            <w:r>
              <w:rPr>
                <w:noProof/>
                <w:webHidden/>
              </w:rPr>
              <w:fldChar w:fldCharType="separate"/>
            </w:r>
            <w:r w:rsidR="00AD3A45">
              <w:rPr>
                <w:noProof/>
                <w:webHidden/>
              </w:rPr>
              <w:t>51</w:t>
            </w:r>
            <w:r>
              <w:rPr>
                <w:noProof/>
                <w:webHidden/>
              </w:rPr>
              <w:fldChar w:fldCharType="end"/>
            </w:r>
          </w:hyperlink>
        </w:p>
        <w:p w14:paraId="56F2D059" w14:textId="6B0757C6" w:rsidR="00305ADF" w:rsidRDefault="00305ADF">
          <w:pPr>
            <w:pStyle w:val="TOC3"/>
            <w:rPr>
              <w:rFonts w:asciiTheme="minorHAnsi" w:eastAsiaTheme="minorEastAsia" w:hAnsiTheme="minorHAnsi" w:cstheme="minorBidi"/>
              <w:noProof/>
              <w:kern w:val="2"/>
              <w:szCs w:val="24"/>
              <w:lang w:eastAsia="en-GB"/>
              <w14:ligatures w14:val="standardContextual"/>
            </w:rPr>
          </w:pPr>
          <w:hyperlink w:anchor="_Toc198569389" w:history="1">
            <w:r w:rsidRPr="00862C86">
              <w:rPr>
                <w:rStyle w:val="Hyperlink"/>
                <w:noProof/>
              </w:rPr>
              <w:t>5.7.2</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Transformation Process</w:t>
            </w:r>
            <w:r>
              <w:rPr>
                <w:noProof/>
                <w:webHidden/>
              </w:rPr>
              <w:tab/>
            </w:r>
            <w:r>
              <w:rPr>
                <w:noProof/>
                <w:webHidden/>
              </w:rPr>
              <w:fldChar w:fldCharType="begin"/>
            </w:r>
            <w:r>
              <w:rPr>
                <w:noProof/>
                <w:webHidden/>
              </w:rPr>
              <w:instrText xml:space="preserve"> PAGEREF _Toc198569389 \h </w:instrText>
            </w:r>
            <w:r>
              <w:rPr>
                <w:noProof/>
                <w:webHidden/>
              </w:rPr>
            </w:r>
            <w:r>
              <w:rPr>
                <w:noProof/>
                <w:webHidden/>
              </w:rPr>
              <w:fldChar w:fldCharType="separate"/>
            </w:r>
            <w:r w:rsidR="00AD3A45">
              <w:rPr>
                <w:noProof/>
                <w:webHidden/>
              </w:rPr>
              <w:t>52</w:t>
            </w:r>
            <w:r>
              <w:rPr>
                <w:noProof/>
                <w:webHidden/>
              </w:rPr>
              <w:fldChar w:fldCharType="end"/>
            </w:r>
          </w:hyperlink>
        </w:p>
        <w:p w14:paraId="3C2FC411" w14:textId="32E537E7" w:rsidR="00305ADF" w:rsidRDefault="00305ADF">
          <w:pPr>
            <w:pStyle w:val="TOC1"/>
            <w:rPr>
              <w:rFonts w:asciiTheme="minorHAnsi" w:eastAsiaTheme="minorEastAsia" w:hAnsiTheme="minorHAnsi" w:cstheme="minorBidi"/>
              <w:noProof/>
              <w:kern w:val="2"/>
              <w:szCs w:val="24"/>
              <w:lang w:eastAsia="en-GB"/>
              <w14:ligatures w14:val="standardContextual"/>
            </w:rPr>
          </w:pPr>
          <w:hyperlink w:anchor="_Toc198569390" w:history="1">
            <w:r w:rsidRPr="00862C86">
              <w:rPr>
                <w:rStyle w:val="Hyperlink"/>
                <w:noProof/>
              </w:rPr>
              <w:t>6</w:t>
            </w:r>
            <w:r>
              <w:rPr>
                <w:rFonts w:asciiTheme="minorHAnsi" w:eastAsiaTheme="minorEastAsia" w:hAnsiTheme="minorHAnsi" w:cstheme="minorBidi"/>
                <w:noProof/>
                <w:kern w:val="2"/>
                <w:szCs w:val="24"/>
                <w:lang w:eastAsia="en-GB"/>
                <w14:ligatures w14:val="standardContextual"/>
              </w:rPr>
              <w:tab/>
            </w:r>
            <w:r w:rsidRPr="00862C86">
              <w:rPr>
                <w:rStyle w:val="Hyperlink"/>
                <w:noProof/>
              </w:rPr>
              <w:t>Implementation of the Resolutions from the Plenipotentiary Conference</w:t>
            </w:r>
            <w:r>
              <w:rPr>
                <w:noProof/>
                <w:webHidden/>
              </w:rPr>
              <w:tab/>
            </w:r>
            <w:r>
              <w:rPr>
                <w:noProof/>
                <w:webHidden/>
              </w:rPr>
              <w:fldChar w:fldCharType="begin"/>
            </w:r>
            <w:r>
              <w:rPr>
                <w:noProof/>
                <w:webHidden/>
              </w:rPr>
              <w:instrText xml:space="preserve"> PAGEREF _Toc198569390 \h </w:instrText>
            </w:r>
            <w:r>
              <w:rPr>
                <w:noProof/>
                <w:webHidden/>
              </w:rPr>
            </w:r>
            <w:r>
              <w:rPr>
                <w:noProof/>
                <w:webHidden/>
              </w:rPr>
              <w:fldChar w:fldCharType="separate"/>
            </w:r>
            <w:r w:rsidR="00AD3A45">
              <w:rPr>
                <w:noProof/>
                <w:webHidden/>
              </w:rPr>
              <w:t>53</w:t>
            </w:r>
            <w:r>
              <w:rPr>
                <w:noProof/>
                <w:webHidden/>
              </w:rPr>
              <w:fldChar w:fldCharType="end"/>
            </w:r>
          </w:hyperlink>
        </w:p>
        <w:p w14:paraId="5F05AB90" w14:textId="0F81A2EF" w:rsidR="006377C8" w:rsidRPr="00362006" w:rsidRDefault="00E625C4" w:rsidP="00682130">
          <w:pPr>
            <w:pStyle w:val="TOC1"/>
            <w:tabs>
              <w:tab w:val="right" w:leader="dot" w:pos="9060"/>
            </w:tabs>
            <w:rPr>
              <w:rStyle w:val="Hyperlink"/>
              <w:color w:val="auto"/>
              <w:kern w:val="2"/>
              <w:lang w:eastAsia="en-GB"/>
              <w14:ligatures w14:val="standardContextual"/>
            </w:rPr>
          </w:pPr>
          <w:r w:rsidRPr="00362006">
            <w:fldChar w:fldCharType="end"/>
          </w:r>
        </w:p>
      </w:sdtContent>
    </w:sdt>
    <w:p w14:paraId="179500D3" w14:textId="77938D26" w:rsidR="000B2C4F" w:rsidRPr="00DA76FF" w:rsidRDefault="000B2C4F"/>
    <w:p w14:paraId="5713FA8E" w14:textId="77777777" w:rsidR="0011467A" w:rsidRPr="00DA76FF" w:rsidRDefault="0011467A" w:rsidP="0011467A">
      <w:pPr>
        <w:sectPr w:rsidR="0011467A" w:rsidRPr="00DA76FF" w:rsidSect="00BD6928">
          <w:headerReference w:type="default" r:id="rId15"/>
          <w:footerReference w:type="default" r:id="rId16"/>
          <w:headerReference w:type="first" r:id="rId17"/>
          <w:footerReference w:type="first" r:id="rId18"/>
          <w:pgSz w:w="11906" w:h="16838" w:code="9"/>
          <w:pgMar w:top="568" w:right="1418" w:bottom="1418" w:left="1418" w:header="567" w:footer="567" w:gutter="0"/>
          <w:pgNumType w:fmt="lowerRoman" w:start="1"/>
          <w:cols w:space="708"/>
          <w:titlePg/>
          <w:docGrid w:linePitch="360"/>
        </w:sectPr>
      </w:pPr>
    </w:p>
    <w:p w14:paraId="680C6F97" w14:textId="49413141" w:rsidR="00B307AE" w:rsidRDefault="00B307AE" w:rsidP="00A00703">
      <w:pPr>
        <w:pStyle w:val="Heading1"/>
        <w:numPr>
          <w:ilvl w:val="0"/>
          <w:numId w:val="13"/>
        </w:numPr>
        <w:tabs>
          <w:tab w:val="clear" w:pos="567"/>
          <w:tab w:val="clear" w:pos="1134"/>
        </w:tabs>
        <w:ind w:left="1134" w:hanging="564"/>
        <w:rPr>
          <w:rStyle w:val="Strong"/>
          <w:b/>
        </w:rPr>
      </w:pPr>
      <w:bookmarkStart w:id="10" w:name="_Toc198569343"/>
      <w:bookmarkStart w:id="11" w:name="_Toc148012655"/>
      <w:bookmarkStart w:id="12" w:name="_Toc37860454"/>
      <w:bookmarkStart w:id="13" w:name="_Toc37861215"/>
      <w:bookmarkStart w:id="14" w:name="_Toc37943334"/>
      <w:r w:rsidRPr="2C0EAE0F">
        <w:rPr>
          <w:rStyle w:val="Strong"/>
          <w:b/>
        </w:rPr>
        <w:lastRenderedPageBreak/>
        <w:t>Executive summary</w:t>
      </w:r>
    </w:p>
    <w:bookmarkEnd w:id="10"/>
    <w:p w14:paraId="57582123" w14:textId="698AECE0" w:rsidR="00C048B5" w:rsidRPr="00817A77" w:rsidRDefault="00C048B5" w:rsidP="00362006">
      <w:pPr>
        <w:spacing w:before="360"/>
        <w:jc w:val="both"/>
        <w:rPr>
          <w:rFonts w:cs="Calibri"/>
          <w:sz w:val="22"/>
          <w:szCs w:val="22"/>
        </w:rPr>
      </w:pPr>
      <w:r>
        <w:rPr>
          <w:rFonts w:cs="Calibri"/>
          <w:sz w:val="22"/>
          <w:szCs w:val="22"/>
        </w:rPr>
        <w:t xml:space="preserve">This is the first annual report </w:t>
      </w:r>
      <w:r w:rsidRPr="00817A77">
        <w:rPr>
          <w:rFonts w:cs="Calibri"/>
          <w:sz w:val="22"/>
          <w:szCs w:val="22"/>
        </w:rPr>
        <w:t xml:space="preserve">since ITU’s </w:t>
      </w:r>
      <w:r>
        <w:rPr>
          <w:rFonts w:cs="Calibri"/>
          <w:sz w:val="22"/>
          <w:szCs w:val="22"/>
        </w:rPr>
        <w:t xml:space="preserve">current </w:t>
      </w:r>
      <w:r w:rsidRPr="00817A77">
        <w:rPr>
          <w:rFonts w:cs="Calibri"/>
          <w:sz w:val="22"/>
          <w:szCs w:val="22"/>
        </w:rPr>
        <w:t>strategic plan (2024-2027) entered into force.</w:t>
      </w:r>
      <w:r w:rsidRPr="00780677">
        <w:rPr>
          <w:rFonts w:cs="Calibri"/>
          <w:sz w:val="22"/>
          <w:szCs w:val="22"/>
        </w:rPr>
        <w:t xml:space="preserve"> It is </w:t>
      </w:r>
      <w:r w:rsidRPr="00817A77">
        <w:rPr>
          <w:rFonts w:cs="Calibri"/>
          <w:sz w:val="22"/>
          <w:szCs w:val="22"/>
        </w:rPr>
        <w:t xml:space="preserve">based on a results framework linking product and service delivery to </w:t>
      </w:r>
      <w:r w:rsidR="0003074E">
        <w:rPr>
          <w:rFonts w:cs="Calibri"/>
          <w:sz w:val="22"/>
          <w:szCs w:val="22"/>
        </w:rPr>
        <w:t xml:space="preserve">thematic priorities </w:t>
      </w:r>
      <w:r w:rsidR="00F170EE">
        <w:rPr>
          <w:rFonts w:cs="Calibri"/>
          <w:sz w:val="22"/>
          <w:szCs w:val="22"/>
        </w:rPr>
        <w:t>and corresponding outcomes</w:t>
      </w:r>
      <w:r w:rsidRPr="00817A77">
        <w:rPr>
          <w:rFonts w:cs="Calibri"/>
          <w:sz w:val="22"/>
          <w:szCs w:val="22"/>
        </w:rPr>
        <w:t xml:space="preserve">, </w:t>
      </w:r>
      <w:r w:rsidR="006C04EA">
        <w:rPr>
          <w:rFonts w:cs="Calibri"/>
          <w:sz w:val="22"/>
          <w:szCs w:val="22"/>
        </w:rPr>
        <w:t>ITU strategic goals</w:t>
      </w:r>
      <w:r w:rsidR="0003074E">
        <w:rPr>
          <w:rFonts w:cs="Calibri"/>
          <w:sz w:val="22"/>
          <w:szCs w:val="22"/>
        </w:rPr>
        <w:t xml:space="preserve">, </w:t>
      </w:r>
      <w:r w:rsidRPr="00780677">
        <w:rPr>
          <w:rFonts w:cs="Calibri"/>
          <w:sz w:val="22"/>
          <w:szCs w:val="22"/>
        </w:rPr>
        <w:t>the ITU mission</w:t>
      </w:r>
      <w:r w:rsidRPr="00817A77">
        <w:rPr>
          <w:rFonts w:cs="Calibri"/>
          <w:sz w:val="22"/>
          <w:szCs w:val="22"/>
        </w:rPr>
        <w:t xml:space="preserve"> and </w:t>
      </w:r>
      <w:r w:rsidRPr="00780677">
        <w:rPr>
          <w:rFonts w:cs="Calibri"/>
          <w:sz w:val="22"/>
          <w:szCs w:val="22"/>
        </w:rPr>
        <w:t xml:space="preserve">shared global </w:t>
      </w:r>
      <w:r w:rsidR="00536C21">
        <w:rPr>
          <w:rFonts w:cs="Calibri"/>
          <w:sz w:val="22"/>
          <w:szCs w:val="22"/>
        </w:rPr>
        <w:t xml:space="preserve">development </w:t>
      </w:r>
      <w:r w:rsidRPr="00780677">
        <w:rPr>
          <w:rFonts w:cs="Calibri"/>
          <w:sz w:val="22"/>
          <w:szCs w:val="22"/>
        </w:rPr>
        <w:t>goals.</w:t>
      </w:r>
    </w:p>
    <w:p w14:paraId="143CF4B4" w14:textId="77777777" w:rsidR="007038C5" w:rsidRPr="00780677" w:rsidRDefault="007038C5" w:rsidP="007038C5">
      <w:pPr>
        <w:spacing w:after="120"/>
        <w:jc w:val="both"/>
        <w:rPr>
          <w:rFonts w:cs="Calibri"/>
          <w:sz w:val="22"/>
          <w:szCs w:val="22"/>
        </w:rPr>
      </w:pPr>
      <w:r w:rsidRPr="00780677">
        <w:rPr>
          <w:rFonts w:cs="Calibri"/>
          <w:sz w:val="22"/>
          <w:szCs w:val="22"/>
        </w:rPr>
        <w:t>Progress continued globally in 2024 towards universal connectivity, as well as in advancing</w:t>
      </w:r>
      <w:r>
        <w:rPr>
          <w:rFonts w:cs="Calibri"/>
          <w:sz w:val="22"/>
          <w:szCs w:val="22"/>
        </w:rPr>
        <w:t xml:space="preserve"> sustainable</w:t>
      </w:r>
      <w:r w:rsidRPr="00780677">
        <w:rPr>
          <w:rFonts w:cs="Calibri"/>
          <w:sz w:val="22"/>
          <w:szCs w:val="22"/>
        </w:rPr>
        <w:t xml:space="preserve"> digital transformation</w:t>
      </w:r>
      <w:r>
        <w:rPr>
          <w:rFonts w:cs="Calibri"/>
          <w:sz w:val="22"/>
          <w:szCs w:val="22"/>
        </w:rPr>
        <w:t>, the two strategic goals in the Strategic Plan 2024-2027</w:t>
      </w:r>
      <w:r w:rsidRPr="00780677">
        <w:rPr>
          <w:rFonts w:cs="Calibri"/>
          <w:sz w:val="22"/>
          <w:szCs w:val="22"/>
        </w:rPr>
        <w:t>.</w:t>
      </w:r>
    </w:p>
    <w:p w14:paraId="01845943" w14:textId="77777777" w:rsidR="007038C5" w:rsidRDefault="007038C5" w:rsidP="007038C5">
      <w:pPr>
        <w:spacing w:after="120"/>
        <w:jc w:val="both"/>
        <w:rPr>
          <w:rFonts w:cs="Calibri"/>
          <w:sz w:val="22"/>
          <w:szCs w:val="22"/>
        </w:rPr>
      </w:pPr>
      <w:r w:rsidRPr="00780677">
        <w:rPr>
          <w:rFonts w:cs="Calibri"/>
          <w:sz w:val="22"/>
          <w:szCs w:val="22"/>
        </w:rPr>
        <w:t xml:space="preserve">ITU’s latest </w:t>
      </w:r>
      <w:r w:rsidRPr="00780677">
        <w:rPr>
          <w:rFonts w:cs="Calibri"/>
          <w:i/>
          <w:iCs/>
          <w:sz w:val="22"/>
          <w:szCs w:val="22"/>
        </w:rPr>
        <w:t>Facts and Figures</w:t>
      </w:r>
      <w:r w:rsidRPr="00780677">
        <w:rPr>
          <w:rFonts w:cs="Calibri"/>
          <w:sz w:val="22"/>
          <w:szCs w:val="22"/>
        </w:rPr>
        <w:t xml:space="preserve"> report shows </w:t>
      </w:r>
      <w:r w:rsidRPr="00817A77">
        <w:rPr>
          <w:rFonts w:cs="Calibri"/>
          <w:sz w:val="22"/>
          <w:szCs w:val="22"/>
        </w:rPr>
        <w:t>5.5 billion people</w:t>
      </w:r>
      <w:r>
        <w:rPr>
          <w:rFonts w:cs="Calibri"/>
          <w:sz w:val="22"/>
          <w:szCs w:val="22"/>
        </w:rPr>
        <w:t xml:space="preserve"> </w:t>
      </w:r>
      <w:r w:rsidRPr="00817A77">
        <w:rPr>
          <w:rFonts w:cs="Calibri"/>
          <w:sz w:val="22"/>
          <w:szCs w:val="22"/>
        </w:rPr>
        <w:t>(68</w:t>
      </w:r>
      <w:r>
        <w:rPr>
          <w:rFonts w:cs="Calibri"/>
          <w:sz w:val="22"/>
          <w:szCs w:val="22"/>
        </w:rPr>
        <w:t> per cent</w:t>
      </w:r>
      <w:r w:rsidRPr="00817A77">
        <w:rPr>
          <w:rFonts w:cs="Calibri"/>
          <w:sz w:val="22"/>
          <w:szCs w:val="22"/>
        </w:rPr>
        <w:t xml:space="preserve"> of the world's population) </w:t>
      </w:r>
      <w:r w:rsidRPr="00780677">
        <w:rPr>
          <w:rFonts w:cs="Calibri"/>
          <w:sz w:val="22"/>
          <w:szCs w:val="22"/>
        </w:rPr>
        <w:t>using the Internet in 2024</w:t>
      </w:r>
      <w:r w:rsidRPr="00817A77">
        <w:rPr>
          <w:rFonts w:cs="Calibri"/>
          <w:sz w:val="22"/>
          <w:szCs w:val="22"/>
        </w:rPr>
        <w:t>, up from 65</w:t>
      </w:r>
      <w:r>
        <w:rPr>
          <w:rFonts w:cs="Calibri"/>
          <w:sz w:val="22"/>
          <w:szCs w:val="22"/>
        </w:rPr>
        <w:t> per cent</w:t>
      </w:r>
      <w:r w:rsidRPr="00817A77">
        <w:rPr>
          <w:rFonts w:cs="Calibri"/>
          <w:sz w:val="22"/>
          <w:szCs w:val="22"/>
        </w:rPr>
        <w:t xml:space="preserve"> in 2023. However,</w:t>
      </w:r>
      <w:r>
        <w:rPr>
          <w:rFonts w:cs="Calibri"/>
          <w:sz w:val="22"/>
          <w:szCs w:val="22"/>
        </w:rPr>
        <w:t xml:space="preserve"> </w:t>
      </w:r>
      <w:r w:rsidRPr="00817A77">
        <w:rPr>
          <w:rFonts w:cs="Calibri"/>
          <w:sz w:val="22"/>
          <w:szCs w:val="22"/>
        </w:rPr>
        <w:t>2.6 billion people</w:t>
      </w:r>
      <w:r>
        <w:rPr>
          <w:rFonts w:cs="Calibri"/>
          <w:sz w:val="22"/>
          <w:szCs w:val="22"/>
        </w:rPr>
        <w:t xml:space="preserve"> </w:t>
      </w:r>
      <w:r w:rsidRPr="00817A77">
        <w:rPr>
          <w:rFonts w:cs="Calibri"/>
          <w:sz w:val="22"/>
          <w:szCs w:val="22"/>
        </w:rPr>
        <w:t>remain offline.</w:t>
      </w:r>
      <w:r w:rsidRPr="00780677">
        <w:rPr>
          <w:rFonts w:cs="Calibri"/>
          <w:sz w:val="22"/>
          <w:szCs w:val="22"/>
        </w:rPr>
        <w:t xml:space="preserve"> In fact, nearly </w:t>
      </w:r>
      <w:r w:rsidRPr="00817A77">
        <w:rPr>
          <w:rFonts w:cs="Calibri"/>
          <w:sz w:val="22"/>
          <w:szCs w:val="22"/>
        </w:rPr>
        <w:t>9</w:t>
      </w:r>
      <w:r w:rsidRPr="00780677">
        <w:rPr>
          <w:rFonts w:cs="Calibri"/>
          <w:sz w:val="22"/>
          <w:szCs w:val="22"/>
        </w:rPr>
        <w:t>8</w:t>
      </w:r>
      <w:r>
        <w:rPr>
          <w:rFonts w:cs="Calibri"/>
          <w:sz w:val="22"/>
          <w:szCs w:val="22"/>
        </w:rPr>
        <w:t> per cent</w:t>
      </w:r>
      <w:r w:rsidRPr="00817A77">
        <w:rPr>
          <w:rFonts w:cs="Calibri"/>
          <w:sz w:val="22"/>
          <w:szCs w:val="22"/>
        </w:rPr>
        <w:t xml:space="preserve"> of households</w:t>
      </w:r>
      <w:r>
        <w:rPr>
          <w:rFonts w:cs="Calibri"/>
          <w:sz w:val="22"/>
          <w:szCs w:val="22"/>
        </w:rPr>
        <w:t xml:space="preserve"> </w:t>
      </w:r>
      <w:r w:rsidRPr="00817A77">
        <w:rPr>
          <w:rFonts w:cs="Calibri"/>
          <w:sz w:val="22"/>
          <w:szCs w:val="22"/>
        </w:rPr>
        <w:t>worldwide now have Internet access</w:t>
      </w:r>
      <w:r w:rsidRPr="00780677">
        <w:rPr>
          <w:rFonts w:cs="Calibri"/>
          <w:sz w:val="22"/>
          <w:szCs w:val="22"/>
        </w:rPr>
        <w:t>, but usage gaps persist due to unaffordability and inadequate skills, particularly in the least developed countries</w:t>
      </w:r>
      <w:r w:rsidRPr="00817A77">
        <w:rPr>
          <w:rFonts w:cs="Calibri"/>
          <w:sz w:val="22"/>
          <w:szCs w:val="22"/>
        </w:rPr>
        <w:t>.</w:t>
      </w:r>
    </w:p>
    <w:p w14:paraId="6AFC12EE" w14:textId="07B32E5E" w:rsidR="00C048B5" w:rsidRPr="00817A77" w:rsidRDefault="007038C5" w:rsidP="00A00703">
      <w:pPr>
        <w:spacing w:after="120"/>
        <w:rPr>
          <w:rFonts w:cs="Calibri"/>
          <w:b/>
          <w:bCs/>
          <w:sz w:val="22"/>
          <w:szCs w:val="22"/>
        </w:rPr>
      </w:pPr>
      <w:r>
        <w:rPr>
          <w:rFonts w:cs="Calibri"/>
          <w:b/>
          <w:bCs/>
          <w:sz w:val="22"/>
          <w:szCs w:val="22"/>
        </w:rPr>
        <w:t>S</w:t>
      </w:r>
      <w:r w:rsidR="00C048B5">
        <w:rPr>
          <w:rFonts w:cs="Calibri"/>
          <w:b/>
          <w:bCs/>
          <w:sz w:val="22"/>
          <w:szCs w:val="22"/>
        </w:rPr>
        <w:t>tandards for everyone</w:t>
      </w:r>
    </w:p>
    <w:p w14:paraId="636F1EC8" w14:textId="491A58A0" w:rsidR="00C048B5" w:rsidRPr="00780677" w:rsidRDefault="00C048B5" w:rsidP="00A00703">
      <w:pPr>
        <w:spacing w:after="120"/>
        <w:jc w:val="both"/>
        <w:rPr>
          <w:rFonts w:cs="Calibri"/>
          <w:sz w:val="22"/>
          <w:szCs w:val="22"/>
        </w:rPr>
      </w:pPr>
      <w:r w:rsidRPr="00780677">
        <w:rPr>
          <w:rFonts w:cs="Calibri"/>
          <w:sz w:val="22"/>
          <w:szCs w:val="22"/>
        </w:rPr>
        <w:t>ITU’s latest statutory conference, the World Telecommunication Standardization Assembly (WTSA-24) in New Delhi, India, strengthened the organization’s mandate to develop and promote technical standards for the good of everyone worldwide.</w:t>
      </w:r>
    </w:p>
    <w:p w14:paraId="38FCD545" w14:textId="0E55AE3A" w:rsidR="00C048B5" w:rsidRPr="00780677" w:rsidRDefault="00C048B5" w:rsidP="00A00703">
      <w:pPr>
        <w:spacing w:after="120"/>
        <w:jc w:val="both"/>
        <w:rPr>
          <w:rFonts w:cs="Calibri"/>
          <w:sz w:val="22"/>
          <w:szCs w:val="22"/>
        </w:rPr>
      </w:pPr>
      <w:r w:rsidRPr="00780677">
        <w:rPr>
          <w:rFonts w:cs="Calibri"/>
          <w:sz w:val="22"/>
          <w:szCs w:val="22"/>
        </w:rPr>
        <w:t xml:space="preserve">New conference resolutions have reinforced ITU’s standards work to meet fast-evolving global needs (see </w:t>
      </w:r>
      <w:hyperlink r:id="rId19" w:history="1">
        <w:r w:rsidRPr="00780677">
          <w:rPr>
            <w:rStyle w:val="Hyperlink"/>
            <w:rFonts w:cs="Calibri"/>
            <w:sz w:val="22"/>
            <w:szCs w:val="22"/>
          </w:rPr>
          <w:t>WTSA-24 snapshot report</w:t>
        </w:r>
      </w:hyperlink>
      <w:r w:rsidRPr="00780677">
        <w:rPr>
          <w:rFonts w:cs="Calibri"/>
          <w:sz w:val="22"/>
          <w:szCs w:val="22"/>
        </w:rPr>
        <w:t xml:space="preserve">). Other </w:t>
      </w:r>
      <w:r w:rsidR="00F170EE">
        <w:rPr>
          <w:rFonts w:cs="Calibri"/>
          <w:sz w:val="22"/>
          <w:szCs w:val="22"/>
        </w:rPr>
        <w:t>result</w:t>
      </w:r>
      <w:r w:rsidRPr="00780677">
        <w:rPr>
          <w:rFonts w:cs="Calibri"/>
          <w:sz w:val="22"/>
          <w:szCs w:val="22"/>
        </w:rPr>
        <w:t xml:space="preserve"> included appointing chairs and vice-chairs for 10 telecommunication standardization (ITU-T) study groups and consolidating two former study groups into a single group for technologies for multimedia, content delivery and cable television. </w:t>
      </w:r>
    </w:p>
    <w:p w14:paraId="568E8025" w14:textId="77777777" w:rsidR="00C048B5" w:rsidRPr="00817A77" w:rsidRDefault="00C048B5" w:rsidP="00A00703">
      <w:pPr>
        <w:spacing w:after="120"/>
        <w:jc w:val="both"/>
        <w:rPr>
          <w:rFonts w:cs="Calibri"/>
          <w:sz w:val="22"/>
          <w:szCs w:val="22"/>
        </w:rPr>
      </w:pPr>
      <w:r w:rsidRPr="00780677">
        <w:rPr>
          <w:rFonts w:cs="Calibri"/>
          <w:sz w:val="22"/>
          <w:szCs w:val="22"/>
        </w:rPr>
        <w:t xml:space="preserve">Another WTSA-24 resolution reaffirmed ITU’s commitment to bridging the standardization gap, aiming </w:t>
      </w:r>
      <w:r w:rsidRPr="00817A77">
        <w:rPr>
          <w:rFonts w:cs="Calibri"/>
          <w:sz w:val="22"/>
          <w:szCs w:val="22"/>
        </w:rPr>
        <w:t xml:space="preserve">to </w:t>
      </w:r>
      <w:r w:rsidRPr="00780677">
        <w:rPr>
          <w:rFonts w:cs="Calibri"/>
          <w:sz w:val="22"/>
          <w:szCs w:val="22"/>
        </w:rPr>
        <w:t>ensure developing countries can</w:t>
      </w:r>
      <w:r w:rsidRPr="00817A77">
        <w:rPr>
          <w:rFonts w:cs="Calibri"/>
          <w:sz w:val="22"/>
          <w:szCs w:val="22"/>
        </w:rPr>
        <w:t xml:space="preserve"> participate in ITU-T standards development and implementation.</w:t>
      </w:r>
    </w:p>
    <w:p w14:paraId="758662A6" w14:textId="2F2DBD6F" w:rsidR="00C048B5" w:rsidRPr="00780677" w:rsidRDefault="002D6C64" w:rsidP="00A00703">
      <w:pPr>
        <w:spacing w:after="120"/>
        <w:rPr>
          <w:rFonts w:cs="Calibri"/>
          <w:sz w:val="22"/>
          <w:szCs w:val="22"/>
        </w:rPr>
      </w:pPr>
      <w:r>
        <w:rPr>
          <w:rFonts w:cs="Calibri"/>
          <w:b/>
          <w:bCs/>
          <w:sz w:val="22"/>
          <w:szCs w:val="22"/>
        </w:rPr>
        <w:t>G</w:t>
      </w:r>
      <w:r w:rsidR="00C048B5">
        <w:rPr>
          <w:rFonts w:cs="Calibri"/>
          <w:b/>
          <w:bCs/>
          <w:sz w:val="22"/>
          <w:szCs w:val="22"/>
        </w:rPr>
        <w:t>uidance and technical support</w:t>
      </w:r>
    </w:p>
    <w:p w14:paraId="3F83781C" w14:textId="4FD29DC2" w:rsidR="00C048B5" w:rsidRDefault="00C048B5" w:rsidP="00A00703">
      <w:pPr>
        <w:spacing w:after="120"/>
        <w:jc w:val="both"/>
        <w:rPr>
          <w:rFonts w:cs="Calibri"/>
          <w:sz w:val="22"/>
          <w:szCs w:val="22"/>
        </w:rPr>
      </w:pPr>
      <w:r w:rsidRPr="00732A05">
        <w:rPr>
          <w:rFonts w:cs="Calibri"/>
          <w:sz w:val="22"/>
          <w:szCs w:val="22"/>
        </w:rPr>
        <w:t>ITU processed</w:t>
      </w:r>
      <w:r w:rsidRPr="00AF49EB">
        <w:rPr>
          <w:rFonts w:cs="Calibri"/>
          <w:sz w:val="22"/>
          <w:szCs w:val="22"/>
        </w:rPr>
        <w:t xml:space="preserve"> over 5</w:t>
      </w:r>
      <w:r w:rsidR="00D84235">
        <w:rPr>
          <w:rFonts w:cs="Calibri"/>
          <w:sz w:val="22"/>
          <w:szCs w:val="22"/>
        </w:rPr>
        <w:t> </w:t>
      </w:r>
      <w:r w:rsidRPr="00AF49EB">
        <w:rPr>
          <w:rFonts w:cs="Calibri"/>
          <w:sz w:val="22"/>
          <w:szCs w:val="22"/>
        </w:rPr>
        <w:t xml:space="preserve">000 requests </w:t>
      </w:r>
      <w:r w:rsidRPr="00732A05">
        <w:rPr>
          <w:rFonts w:cs="Calibri"/>
          <w:sz w:val="22"/>
          <w:szCs w:val="22"/>
        </w:rPr>
        <w:t xml:space="preserve">related to space services </w:t>
      </w:r>
      <w:r w:rsidR="00764CAE">
        <w:rPr>
          <w:rFonts w:cs="Calibri"/>
          <w:sz w:val="22"/>
          <w:szCs w:val="22"/>
        </w:rPr>
        <w:t xml:space="preserve">in </w:t>
      </w:r>
      <w:r w:rsidR="00764CAE" w:rsidRPr="00764CAE">
        <w:rPr>
          <w:rFonts w:cs="Calibri"/>
          <w:sz w:val="22"/>
          <w:szCs w:val="22"/>
        </w:rPr>
        <w:t>2019-2024</w:t>
      </w:r>
      <w:r w:rsidR="00764CAE">
        <w:rPr>
          <w:rFonts w:cs="Calibri"/>
          <w:sz w:val="22"/>
          <w:szCs w:val="22"/>
        </w:rPr>
        <w:t>,</w:t>
      </w:r>
      <w:r w:rsidRPr="00732A05">
        <w:rPr>
          <w:rFonts w:cs="Calibri"/>
          <w:sz w:val="22"/>
          <w:szCs w:val="22"/>
        </w:rPr>
        <w:t xml:space="preserve"> </w:t>
      </w:r>
      <w:r w:rsidRPr="00AF49EB">
        <w:rPr>
          <w:rFonts w:cs="Calibri"/>
          <w:sz w:val="22"/>
          <w:szCs w:val="22"/>
        </w:rPr>
        <w:t>and 118</w:t>
      </w:r>
      <w:r w:rsidR="00D84235">
        <w:rPr>
          <w:rFonts w:cs="Calibri"/>
          <w:sz w:val="22"/>
          <w:szCs w:val="22"/>
        </w:rPr>
        <w:t> </w:t>
      </w:r>
      <w:r w:rsidRPr="00AF49EB">
        <w:rPr>
          <w:rFonts w:cs="Calibri"/>
          <w:sz w:val="22"/>
          <w:szCs w:val="22"/>
        </w:rPr>
        <w:t>000 notices</w:t>
      </w:r>
      <w:r w:rsidRPr="00732A05">
        <w:rPr>
          <w:rFonts w:cs="Calibri"/>
          <w:sz w:val="22"/>
          <w:szCs w:val="22"/>
        </w:rPr>
        <w:t xml:space="preserve"> on terrestrial services in 2024</w:t>
      </w:r>
      <w:r w:rsidRPr="2C0EAE0F">
        <w:rPr>
          <w:rFonts w:cs="Calibri"/>
          <w:sz w:val="22"/>
          <w:szCs w:val="22"/>
        </w:rPr>
        <w:t xml:space="preserve">. </w:t>
      </w:r>
      <w:r w:rsidRPr="00732A05">
        <w:rPr>
          <w:rFonts w:cs="Calibri"/>
          <w:sz w:val="22"/>
          <w:szCs w:val="22"/>
        </w:rPr>
        <w:t xml:space="preserve">Following the latest updates to the </w:t>
      </w:r>
      <w:r>
        <w:rPr>
          <w:rFonts w:cs="Calibri"/>
          <w:sz w:val="22"/>
          <w:szCs w:val="22"/>
        </w:rPr>
        <w:t>key</w:t>
      </w:r>
      <w:r w:rsidRPr="00AF49EB">
        <w:rPr>
          <w:rFonts w:cs="Calibri"/>
          <w:sz w:val="22"/>
          <w:szCs w:val="22"/>
        </w:rPr>
        <w:t xml:space="preserve"> Radio Regulations </w:t>
      </w:r>
      <w:r w:rsidRPr="00732A05">
        <w:rPr>
          <w:rFonts w:cs="Calibri"/>
          <w:sz w:val="22"/>
          <w:szCs w:val="22"/>
        </w:rPr>
        <w:t xml:space="preserve">treaty, the </w:t>
      </w:r>
      <w:r w:rsidRPr="00970A9E">
        <w:rPr>
          <w:rFonts w:cs="Calibri"/>
          <w:sz w:val="22"/>
          <w:szCs w:val="22"/>
        </w:rPr>
        <w:t>organization</w:t>
      </w:r>
      <w:r w:rsidRPr="00732A05">
        <w:rPr>
          <w:rFonts w:cs="Calibri"/>
          <w:sz w:val="22"/>
          <w:szCs w:val="22"/>
        </w:rPr>
        <w:t xml:space="preserve"> introduced new </w:t>
      </w:r>
      <w:r>
        <w:rPr>
          <w:rFonts w:cs="Calibri"/>
          <w:sz w:val="22"/>
          <w:szCs w:val="22"/>
        </w:rPr>
        <w:t>tools to navigate the regulations, find radio-frequency information, and explore filings for geostationary and non-geostationary satellites, earth stations and radio-astronomy services.</w:t>
      </w:r>
    </w:p>
    <w:p w14:paraId="31A3A31D" w14:textId="752718A1" w:rsidR="00C048B5" w:rsidRDefault="00C048B5" w:rsidP="00A00703">
      <w:pPr>
        <w:spacing w:after="120"/>
        <w:jc w:val="both"/>
        <w:rPr>
          <w:rFonts w:cs="Calibri"/>
          <w:sz w:val="22"/>
          <w:szCs w:val="22"/>
        </w:rPr>
      </w:pPr>
      <w:r w:rsidRPr="00D25D8A">
        <w:rPr>
          <w:rFonts w:cs="Calibri"/>
          <w:sz w:val="22"/>
          <w:szCs w:val="22"/>
        </w:rPr>
        <w:t>ITU issued 412 new telecommunication standards (ITU-T Recommendations) and 24 new radiocommunication standards (ITU-R Recommendations) in 2024.</w:t>
      </w:r>
    </w:p>
    <w:p w14:paraId="3DAABE91" w14:textId="5E6C1F09" w:rsidR="004135A1" w:rsidRDefault="00C048B5" w:rsidP="00A00703">
      <w:pPr>
        <w:spacing w:after="120"/>
        <w:jc w:val="both"/>
        <w:rPr>
          <w:rFonts w:cs="Calibri"/>
          <w:sz w:val="22"/>
          <w:szCs w:val="22"/>
        </w:rPr>
      </w:pPr>
      <w:r w:rsidRPr="00B94807">
        <w:rPr>
          <w:rFonts w:cs="Calibri"/>
          <w:sz w:val="22"/>
          <w:szCs w:val="22"/>
        </w:rPr>
        <w:t xml:space="preserve">In the crucial field of advancing development through technologies, ITU </w:t>
      </w:r>
      <w:r w:rsidR="004135A1">
        <w:rPr>
          <w:rFonts w:cs="Calibri"/>
          <w:sz w:val="22"/>
          <w:szCs w:val="22"/>
        </w:rPr>
        <w:t xml:space="preserve">was engaged on </w:t>
      </w:r>
      <w:r w:rsidRPr="00B94807">
        <w:rPr>
          <w:rFonts w:cs="Calibri"/>
          <w:sz w:val="22"/>
          <w:szCs w:val="22"/>
        </w:rPr>
        <w:t>105 projects worth CHF</w:t>
      </w:r>
      <w:r w:rsidR="00D84235">
        <w:rPr>
          <w:rFonts w:cs="Calibri"/>
          <w:sz w:val="22"/>
          <w:szCs w:val="22"/>
        </w:rPr>
        <w:t> </w:t>
      </w:r>
      <w:r w:rsidRPr="00B94807">
        <w:rPr>
          <w:rFonts w:cs="Calibri"/>
          <w:sz w:val="22"/>
          <w:szCs w:val="22"/>
        </w:rPr>
        <w:t>91.8 million (~USD</w:t>
      </w:r>
      <w:r w:rsidR="00D84235">
        <w:rPr>
          <w:rFonts w:cs="Calibri"/>
          <w:sz w:val="22"/>
          <w:szCs w:val="22"/>
        </w:rPr>
        <w:t> </w:t>
      </w:r>
      <w:r w:rsidRPr="00B94807">
        <w:rPr>
          <w:rFonts w:cs="Calibri"/>
          <w:sz w:val="22"/>
          <w:szCs w:val="22"/>
        </w:rPr>
        <w:t xml:space="preserve">107 million) </w:t>
      </w:r>
      <w:r>
        <w:rPr>
          <w:rFonts w:cs="Calibri"/>
          <w:sz w:val="22"/>
          <w:szCs w:val="22"/>
        </w:rPr>
        <w:t xml:space="preserve">and signed agreements </w:t>
      </w:r>
      <w:r w:rsidRPr="00ED4005">
        <w:rPr>
          <w:rFonts w:cs="Calibri"/>
          <w:sz w:val="22"/>
          <w:szCs w:val="22"/>
        </w:rPr>
        <w:t xml:space="preserve">on 37 new projects valued at </w:t>
      </w:r>
      <w:r w:rsidR="00FA485F" w:rsidRPr="00ED4005">
        <w:rPr>
          <w:rFonts w:cs="Calibri"/>
          <w:sz w:val="22"/>
          <w:szCs w:val="22"/>
        </w:rPr>
        <w:t>CHF</w:t>
      </w:r>
      <w:r w:rsidR="00FA485F">
        <w:rPr>
          <w:rFonts w:cs="Calibri"/>
          <w:sz w:val="22"/>
          <w:szCs w:val="22"/>
        </w:rPr>
        <w:t> </w:t>
      </w:r>
      <w:r w:rsidRPr="00ED4005">
        <w:rPr>
          <w:rFonts w:cs="Calibri"/>
          <w:sz w:val="22"/>
          <w:szCs w:val="22"/>
        </w:rPr>
        <w:t xml:space="preserve">28.6 million </w:t>
      </w:r>
      <w:r w:rsidRPr="00B94807">
        <w:rPr>
          <w:rFonts w:cs="Calibri"/>
          <w:sz w:val="22"/>
          <w:szCs w:val="22"/>
        </w:rPr>
        <w:t xml:space="preserve">over the course of the year. </w:t>
      </w:r>
    </w:p>
    <w:p w14:paraId="6DB55A50" w14:textId="2E884ACF" w:rsidR="00C048B5" w:rsidRPr="00AF49EB" w:rsidRDefault="00C048B5" w:rsidP="00A00703">
      <w:pPr>
        <w:spacing w:after="120"/>
        <w:jc w:val="both"/>
        <w:rPr>
          <w:rFonts w:cs="Calibri"/>
          <w:sz w:val="22"/>
          <w:szCs w:val="22"/>
        </w:rPr>
      </w:pPr>
      <w:r w:rsidRPr="00333BF1">
        <w:rPr>
          <w:rFonts w:cs="Calibri"/>
          <w:sz w:val="22"/>
          <w:szCs w:val="22"/>
        </w:rPr>
        <w:t>The annual Global Symposium for Regulators (GSR-24)</w:t>
      </w:r>
      <w:r>
        <w:rPr>
          <w:rFonts w:cs="Calibri"/>
          <w:sz w:val="22"/>
          <w:szCs w:val="22"/>
        </w:rPr>
        <w:t xml:space="preserve"> in Kampala, Uganda, </w:t>
      </w:r>
      <w:r w:rsidRPr="00333BF1">
        <w:rPr>
          <w:rFonts w:cs="Calibri"/>
          <w:sz w:val="22"/>
          <w:szCs w:val="22"/>
        </w:rPr>
        <w:t xml:space="preserve">highlighted the need for digital </w:t>
      </w:r>
      <w:r w:rsidRPr="00AF49EB">
        <w:rPr>
          <w:rFonts w:cs="Calibri"/>
          <w:sz w:val="22"/>
          <w:szCs w:val="22"/>
        </w:rPr>
        <w:t>capacity development</w:t>
      </w:r>
      <w:r w:rsidRPr="00333BF1">
        <w:rPr>
          <w:rFonts w:cs="Calibri"/>
          <w:sz w:val="22"/>
          <w:szCs w:val="22"/>
        </w:rPr>
        <w:t xml:space="preserve">, </w:t>
      </w:r>
      <w:r w:rsidRPr="00AF49EB">
        <w:rPr>
          <w:rFonts w:cs="Calibri"/>
          <w:sz w:val="22"/>
          <w:szCs w:val="22"/>
        </w:rPr>
        <w:t>technical assistance</w:t>
      </w:r>
      <w:r w:rsidRPr="00333BF1">
        <w:rPr>
          <w:rFonts w:cs="Calibri"/>
          <w:sz w:val="22"/>
          <w:szCs w:val="22"/>
        </w:rPr>
        <w:t>, and regulation for impact</w:t>
      </w:r>
      <w:r w:rsidRPr="00AF49EB">
        <w:rPr>
          <w:rFonts w:cs="Calibri"/>
          <w:sz w:val="22"/>
          <w:szCs w:val="22"/>
        </w:rPr>
        <w:t>.</w:t>
      </w:r>
    </w:p>
    <w:p w14:paraId="27A8ADAB" w14:textId="77777777" w:rsidR="003F1CE5" w:rsidRPr="000B3268" w:rsidRDefault="003F1CE5" w:rsidP="003F1CE5">
      <w:pPr>
        <w:spacing w:after="160" w:line="278" w:lineRule="auto"/>
        <w:jc w:val="both"/>
        <w:rPr>
          <w:rFonts w:cs="Calibri"/>
          <w:b/>
          <w:bCs/>
          <w:sz w:val="22"/>
          <w:szCs w:val="22"/>
        </w:rPr>
      </w:pPr>
      <w:r w:rsidRPr="000B3268">
        <w:rPr>
          <w:rFonts w:cs="Calibri"/>
          <w:b/>
          <w:bCs/>
          <w:sz w:val="22"/>
          <w:szCs w:val="22"/>
        </w:rPr>
        <w:t>Meaningful connectivity and resilience</w:t>
      </w:r>
    </w:p>
    <w:p w14:paraId="4019C9D1" w14:textId="2A7EF6B4" w:rsidR="00D57727" w:rsidRPr="00B23251" w:rsidRDefault="00C048B5" w:rsidP="00AB7AE5">
      <w:pPr>
        <w:spacing w:after="120"/>
        <w:jc w:val="both"/>
        <w:rPr>
          <w:rFonts w:cs="Calibri"/>
          <w:sz w:val="22"/>
          <w:szCs w:val="22"/>
        </w:rPr>
      </w:pPr>
      <w:r>
        <w:rPr>
          <w:rFonts w:cs="Calibri"/>
          <w:sz w:val="22"/>
          <w:szCs w:val="22"/>
        </w:rPr>
        <w:t xml:space="preserve">ITU’s </w:t>
      </w:r>
      <w:r w:rsidR="004F7682">
        <w:rPr>
          <w:rFonts w:cs="Calibri"/>
          <w:sz w:val="22"/>
          <w:szCs w:val="22"/>
        </w:rPr>
        <w:t xml:space="preserve">multifaceted work </w:t>
      </w:r>
      <w:r w:rsidR="004837A8">
        <w:rPr>
          <w:rFonts w:cs="Calibri"/>
          <w:sz w:val="22"/>
          <w:szCs w:val="22"/>
        </w:rPr>
        <w:t>is consistently dedicated</w:t>
      </w:r>
      <w:r>
        <w:rPr>
          <w:rFonts w:cs="Calibri"/>
          <w:sz w:val="22"/>
          <w:szCs w:val="22"/>
        </w:rPr>
        <w:t xml:space="preserve"> to bridging digital divide</w:t>
      </w:r>
      <w:r w:rsidR="004837A8">
        <w:rPr>
          <w:rFonts w:cs="Calibri"/>
          <w:sz w:val="22"/>
          <w:szCs w:val="22"/>
        </w:rPr>
        <w:t>s</w:t>
      </w:r>
      <w:r>
        <w:rPr>
          <w:rFonts w:cs="Calibri"/>
          <w:sz w:val="22"/>
          <w:szCs w:val="22"/>
        </w:rPr>
        <w:t xml:space="preserve"> and fostering a more connected world. </w:t>
      </w:r>
      <w:r w:rsidRPr="007D5EB2">
        <w:rPr>
          <w:rFonts w:cs="Calibri"/>
          <w:sz w:val="22"/>
          <w:szCs w:val="22"/>
        </w:rPr>
        <w:t>The ITU-led</w:t>
      </w:r>
      <w:r w:rsidRPr="00585553">
        <w:rPr>
          <w:rFonts w:cs="Calibri"/>
          <w:sz w:val="22"/>
          <w:szCs w:val="22"/>
        </w:rPr>
        <w:t xml:space="preserve"> Partner2Connect Digital Coalition </w:t>
      </w:r>
      <w:r w:rsidR="00D9051E">
        <w:rPr>
          <w:rFonts w:cs="Calibri"/>
          <w:sz w:val="22"/>
          <w:szCs w:val="22"/>
        </w:rPr>
        <w:t xml:space="preserve">has </w:t>
      </w:r>
      <w:r w:rsidRPr="007D5EB2">
        <w:rPr>
          <w:rFonts w:cs="Calibri"/>
          <w:sz w:val="22"/>
          <w:szCs w:val="22"/>
        </w:rPr>
        <w:t>continued mobilizing public and private</w:t>
      </w:r>
      <w:r w:rsidRPr="00585553">
        <w:rPr>
          <w:rFonts w:cs="Calibri"/>
          <w:sz w:val="22"/>
          <w:szCs w:val="22"/>
        </w:rPr>
        <w:t xml:space="preserve"> pledge</w:t>
      </w:r>
      <w:r w:rsidRPr="007D5EB2">
        <w:rPr>
          <w:rFonts w:cs="Calibri"/>
          <w:sz w:val="22"/>
          <w:szCs w:val="22"/>
        </w:rPr>
        <w:t>s, which exceeded USD 54 billion by end-2024 and USD 73 billion by March 2025</w:t>
      </w:r>
      <w:r w:rsidRPr="00585553">
        <w:rPr>
          <w:rFonts w:cs="Calibri"/>
          <w:sz w:val="22"/>
          <w:szCs w:val="22"/>
        </w:rPr>
        <w:t>.</w:t>
      </w:r>
      <w:r w:rsidR="00FE531A">
        <w:rPr>
          <w:rFonts w:cs="Calibri"/>
          <w:sz w:val="22"/>
          <w:szCs w:val="22"/>
        </w:rPr>
        <w:t xml:space="preserve"> </w:t>
      </w:r>
      <w:r w:rsidR="00D57727" w:rsidRPr="00B23251">
        <w:rPr>
          <w:rFonts w:cs="Calibri"/>
          <w:sz w:val="22"/>
          <w:szCs w:val="22"/>
        </w:rPr>
        <w:t xml:space="preserve">New initiatives launched in 2024 </w:t>
      </w:r>
      <w:r w:rsidR="006706C8">
        <w:rPr>
          <w:rFonts w:cs="Calibri"/>
          <w:sz w:val="22"/>
          <w:szCs w:val="22"/>
        </w:rPr>
        <w:t xml:space="preserve">also </w:t>
      </w:r>
      <w:r w:rsidR="00D57727" w:rsidRPr="00B23251">
        <w:rPr>
          <w:rFonts w:cs="Calibri"/>
          <w:sz w:val="22"/>
          <w:szCs w:val="22"/>
        </w:rPr>
        <w:t xml:space="preserve">aimed to expand digital infrastructure </w:t>
      </w:r>
      <w:r w:rsidR="006706C8">
        <w:rPr>
          <w:rFonts w:cs="Calibri"/>
          <w:sz w:val="22"/>
          <w:szCs w:val="22"/>
        </w:rPr>
        <w:t>and</w:t>
      </w:r>
      <w:r w:rsidR="00D57727" w:rsidRPr="00B23251">
        <w:rPr>
          <w:rFonts w:cs="Calibri"/>
          <w:sz w:val="22"/>
          <w:szCs w:val="22"/>
        </w:rPr>
        <w:t xml:space="preserve"> enhance service delivery</w:t>
      </w:r>
      <w:r w:rsidR="006706C8">
        <w:rPr>
          <w:rFonts w:cs="Calibri"/>
          <w:sz w:val="22"/>
          <w:szCs w:val="22"/>
        </w:rPr>
        <w:t xml:space="preserve"> for the good of all</w:t>
      </w:r>
      <w:r w:rsidR="00D57727" w:rsidRPr="00B23251">
        <w:rPr>
          <w:rFonts w:cs="Calibri"/>
          <w:sz w:val="22"/>
          <w:szCs w:val="22"/>
        </w:rPr>
        <w:t xml:space="preserve">. </w:t>
      </w:r>
    </w:p>
    <w:p w14:paraId="49896044" w14:textId="0C68D254" w:rsidR="00D57727" w:rsidRPr="00B23251" w:rsidRDefault="00D57727" w:rsidP="00D57727">
      <w:pPr>
        <w:spacing w:after="160" w:line="278" w:lineRule="auto"/>
        <w:jc w:val="both"/>
        <w:rPr>
          <w:rFonts w:cs="Calibri"/>
          <w:sz w:val="22"/>
          <w:szCs w:val="22"/>
        </w:rPr>
      </w:pPr>
      <w:r w:rsidRPr="00B23251">
        <w:rPr>
          <w:rFonts w:cs="Calibri"/>
          <w:sz w:val="22"/>
          <w:szCs w:val="22"/>
        </w:rPr>
        <w:t>The new Digital Infrastructure Investment initiative (DIII)</w:t>
      </w:r>
      <w:r w:rsidR="006706C8">
        <w:rPr>
          <w:rFonts w:cs="Calibri"/>
          <w:sz w:val="22"/>
          <w:szCs w:val="22"/>
        </w:rPr>
        <w:t>,</w:t>
      </w:r>
      <w:r w:rsidRPr="00B23251">
        <w:rPr>
          <w:rFonts w:cs="Calibri"/>
          <w:sz w:val="22"/>
          <w:szCs w:val="22"/>
        </w:rPr>
        <w:t xml:space="preserve"> led by ITU with leading development finance institutions (DFIs)</w:t>
      </w:r>
      <w:r w:rsidR="006706C8">
        <w:rPr>
          <w:rFonts w:cs="Calibri"/>
          <w:sz w:val="22"/>
          <w:szCs w:val="22"/>
        </w:rPr>
        <w:t>,</w:t>
      </w:r>
      <w:r w:rsidRPr="00B23251">
        <w:rPr>
          <w:rFonts w:cs="Calibri"/>
          <w:sz w:val="22"/>
          <w:szCs w:val="22"/>
        </w:rPr>
        <w:t xml:space="preserve"> aims to close the estimated USD 1.6 trillion investment gap to connect everyone meaningfully by 2030. The newly formed International Advisory Body on Submarine Cable Resilience promotes dialogue and cooperation to strengthen vital undersea communications infrastructure.</w:t>
      </w:r>
    </w:p>
    <w:p w14:paraId="363EEA8B" w14:textId="6BD8D1B2" w:rsidR="00D57727" w:rsidRDefault="00D57727" w:rsidP="00D57727">
      <w:pPr>
        <w:spacing w:after="120"/>
        <w:jc w:val="both"/>
        <w:rPr>
          <w:rFonts w:eastAsia="Aptos" w:cs="Calibri"/>
          <w:color w:val="000000" w:themeColor="text1"/>
          <w:sz w:val="22"/>
          <w:szCs w:val="22"/>
        </w:rPr>
      </w:pPr>
      <w:r w:rsidRPr="00B23251">
        <w:rPr>
          <w:rFonts w:cs="Calibri"/>
          <w:sz w:val="22"/>
          <w:szCs w:val="22"/>
        </w:rPr>
        <w:lastRenderedPageBreak/>
        <w:t xml:space="preserve">ITU also engaged with UN partners, the World Bank, and others </w:t>
      </w:r>
      <w:r w:rsidRPr="00B23251">
        <w:rPr>
          <w:rFonts w:cs="Calibri"/>
          <w:color w:val="000000" w:themeColor="text1"/>
          <w:sz w:val="22"/>
          <w:szCs w:val="22"/>
        </w:rPr>
        <w:t xml:space="preserve">to explore how safe, inclusive, and interoperable digital public infrastructure (DPI) can enable more effective service delivery, foster innovation, and strengthen digital cooperation across borders. </w:t>
      </w:r>
      <w:r w:rsidR="00110FF8">
        <w:rPr>
          <w:rFonts w:cs="Calibri"/>
          <w:color w:val="000000" w:themeColor="text1"/>
          <w:sz w:val="22"/>
          <w:szCs w:val="22"/>
        </w:rPr>
        <w:t>Meanwhile</w:t>
      </w:r>
      <w:r w:rsidRPr="00B23251">
        <w:rPr>
          <w:rFonts w:cs="Calibri"/>
          <w:color w:val="000000" w:themeColor="text1"/>
          <w:sz w:val="22"/>
          <w:szCs w:val="22"/>
        </w:rPr>
        <w:t xml:space="preserve">, ITU’s first Space Sustainability Forum </w:t>
      </w:r>
      <w:r w:rsidRPr="00B23251">
        <w:rPr>
          <w:rFonts w:eastAsia="Aptos" w:cs="Calibri"/>
          <w:color w:val="000000" w:themeColor="text1"/>
          <w:sz w:val="22"/>
          <w:szCs w:val="22"/>
        </w:rPr>
        <w:t xml:space="preserve">brought together space and telecom agencies, industry experts, governments, civil society and key UN agencies </w:t>
      </w:r>
      <w:r>
        <w:rPr>
          <w:rFonts w:eastAsia="Aptos" w:cs="Calibri"/>
          <w:color w:val="000000" w:themeColor="text1"/>
          <w:sz w:val="22"/>
          <w:szCs w:val="22"/>
        </w:rPr>
        <w:t>with the common aim of keeping outer space viable for future generations.</w:t>
      </w:r>
      <w:r w:rsidRPr="00B23251">
        <w:rPr>
          <w:rFonts w:eastAsia="Aptos" w:cs="Calibri"/>
          <w:color w:val="000000" w:themeColor="text1"/>
          <w:sz w:val="22"/>
          <w:szCs w:val="22"/>
        </w:rPr>
        <w:t xml:space="preserve"> </w:t>
      </w:r>
    </w:p>
    <w:p w14:paraId="3057D745" w14:textId="6524CC39" w:rsidR="002D6C64" w:rsidRPr="00AB7AE5" w:rsidRDefault="002D6C64" w:rsidP="00D57727">
      <w:pPr>
        <w:spacing w:after="120"/>
        <w:jc w:val="both"/>
        <w:rPr>
          <w:rFonts w:cs="Calibri"/>
          <w:b/>
          <w:bCs/>
          <w:sz w:val="22"/>
          <w:szCs w:val="22"/>
        </w:rPr>
      </w:pPr>
      <w:r w:rsidRPr="00AB7AE5">
        <w:rPr>
          <w:rFonts w:eastAsia="Aptos" w:cs="Calibri"/>
          <w:b/>
          <w:bCs/>
          <w:color w:val="000000" w:themeColor="text1"/>
          <w:sz w:val="22"/>
          <w:szCs w:val="22"/>
        </w:rPr>
        <w:t>Artificial intelligence for humanity</w:t>
      </w:r>
    </w:p>
    <w:p w14:paraId="53BFAA1A" w14:textId="77777777" w:rsidR="006706C8" w:rsidRDefault="006706C8" w:rsidP="006706C8">
      <w:pPr>
        <w:spacing w:after="120"/>
        <w:jc w:val="both"/>
        <w:rPr>
          <w:rFonts w:cs="Calibri"/>
          <w:sz w:val="22"/>
          <w:szCs w:val="22"/>
        </w:rPr>
      </w:pPr>
      <w:r>
        <w:rPr>
          <w:rFonts w:cs="Calibri"/>
          <w:sz w:val="22"/>
          <w:szCs w:val="22"/>
        </w:rPr>
        <w:t>The ITU-led</w:t>
      </w:r>
      <w:r w:rsidRPr="009A3B6B">
        <w:rPr>
          <w:rFonts w:cs="Calibri"/>
          <w:sz w:val="22"/>
          <w:szCs w:val="22"/>
        </w:rPr>
        <w:t xml:space="preserve"> AI for Good initiative</w:t>
      </w:r>
      <w:r>
        <w:rPr>
          <w:rFonts w:cs="Calibri"/>
          <w:sz w:val="22"/>
          <w:szCs w:val="22"/>
        </w:rPr>
        <w:t xml:space="preserve"> </w:t>
      </w:r>
      <w:r w:rsidRPr="009A3B6B">
        <w:rPr>
          <w:rFonts w:cs="Calibri"/>
          <w:sz w:val="22"/>
          <w:szCs w:val="22"/>
        </w:rPr>
        <w:t>continued growing as a global showcase for responsible AI aligned with development</w:t>
      </w:r>
      <w:r>
        <w:rPr>
          <w:rFonts w:cs="Calibri"/>
          <w:sz w:val="22"/>
          <w:szCs w:val="22"/>
        </w:rPr>
        <w:t xml:space="preserve"> priorities such as the 2030 Agenda</w:t>
      </w:r>
      <w:r w:rsidRPr="009A3B6B">
        <w:rPr>
          <w:rFonts w:cs="Calibri"/>
          <w:sz w:val="22"/>
          <w:szCs w:val="22"/>
        </w:rPr>
        <w:t xml:space="preserve">. </w:t>
      </w:r>
      <w:r>
        <w:rPr>
          <w:rFonts w:cs="Calibri"/>
          <w:sz w:val="22"/>
          <w:szCs w:val="22"/>
        </w:rPr>
        <w:t>Annual summit discussions</w:t>
      </w:r>
      <w:r w:rsidRPr="009A3B6B">
        <w:rPr>
          <w:rFonts w:cs="Calibri"/>
          <w:sz w:val="22"/>
          <w:szCs w:val="22"/>
        </w:rPr>
        <w:t xml:space="preserve"> tackled key AI governance questions, exploring the crucial shift from theory to practice. </w:t>
      </w:r>
      <w:r>
        <w:rPr>
          <w:rFonts w:cs="Calibri"/>
          <w:sz w:val="22"/>
          <w:szCs w:val="22"/>
        </w:rPr>
        <w:t>In parallel, stakeholders explored the future of digital cooperation based on the World Summit on the Information Society (WSIS), pending the WSIS+20 review at the UN General Assembly later in 2025.</w:t>
      </w:r>
    </w:p>
    <w:p w14:paraId="279A6DDA" w14:textId="4E38E7D3" w:rsidR="00D57727" w:rsidRPr="00AB7AE5" w:rsidRDefault="00D57727" w:rsidP="00A00703">
      <w:pPr>
        <w:spacing w:after="120"/>
        <w:jc w:val="both"/>
        <w:rPr>
          <w:rFonts w:cs="Calibri"/>
          <w:b/>
          <w:bCs/>
          <w:sz w:val="22"/>
          <w:szCs w:val="22"/>
        </w:rPr>
      </w:pPr>
      <w:r w:rsidRPr="00AB7AE5">
        <w:rPr>
          <w:rFonts w:cs="Calibri"/>
          <w:b/>
          <w:bCs/>
          <w:sz w:val="22"/>
          <w:szCs w:val="22"/>
        </w:rPr>
        <w:t>Addressing</w:t>
      </w:r>
      <w:r>
        <w:rPr>
          <w:rFonts w:cs="Calibri"/>
          <w:b/>
          <w:bCs/>
          <w:sz w:val="22"/>
          <w:szCs w:val="22"/>
        </w:rPr>
        <w:t xml:space="preserve"> environmental</w:t>
      </w:r>
      <w:r w:rsidRPr="00AB7AE5">
        <w:rPr>
          <w:rFonts w:cs="Calibri"/>
          <w:b/>
          <w:bCs/>
          <w:sz w:val="22"/>
          <w:szCs w:val="22"/>
        </w:rPr>
        <w:t xml:space="preserve"> impact</w:t>
      </w:r>
    </w:p>
    <w:p w14:paraId="44D246CC" w14:textId="63CB1FC5" w:rsidR="00C048B5" w:rsidRDefault="00C048B5" w:rsidP="00A00703">
      <w:pPr>
        <w:spacing w:after="120"/>
        <w:jc w:val="both"/>
        <w:rPr>
          <w:rFonts w:eastAsiaTheme="minorEastAsia" w:cs="Calibri"/>
          <w:sz w:val="22"/>
          <w:szCs w:val="22"/>
          <w:lang w:eastAsia="zh-CN"/>
        </w:rPr>
      </w:pPr>
      <w:r w:rsidRPr="009A3B6B">
        <w:rPr>
          <w:rFonts w:eastAsiaTheme="minorEastAsia" w:cs="Calibri"/>
          <w:sz w:val="22"/>
          <w:szCs w:val="22"/>
          <w:lang w:eastAsia="zh-CN"/>
        </w:rPr>
        <w:t xml:space="preserve">ITU continued bringing together partners in the global push to reduce tech-related emissions, promote green computing, develop and adopt green standards, and build a circular digital economy, as well as helping leverage radiocommunications for climate monitoring and advanced digital solutions for emergency telecommunications. </w:t>
      </w:r>
      <w:r>
        <w:rPr>
          <w:rFonts w:eastAsiaTheme="minorEastAsia" w:cs="Calibri"/>
          <w:sz w:val="22"/>
          <w:szCs w:val="22"/>
          <w:lang w:eastAsia="zh-CN"/>
        </w:rPr>
        <w:t>An ITU-led sub-group is promoting</w:t>
      </w:r>
      <w:r w:rsidRPr="009A3B6B">
        <w:rPr>
          <w:rFonts w:eastAsiaTheme="minorEastAsia" w:cs="Calibri"/>
          <w:sz w:val="22"/>
          <w:szCs w:val="22"/>
          <w:lang w:eastAsia="zh-CN"/>
        </w:rPr>
        <w:t xml:space="preserve"> AI-enhanced disaster alerts as part of </w:t>
      </w:r>
      <w:r w:rsidR="00D671F6">
        <w:rPr>
          <w:rFonts w:eastAsiaTheme="minorEastAsia" w:cs="Calibri"/>
          <w:sz w:val="22"/>
          <w:szCs w:val="22"/>
          <w:lang w:eastAsia="zh-CN"/>
        </w:rPr>
        <w:t xml:space="preserve">the </w:t>
      </w:r>
      <w:r w:rsidRPr="009A3B6B">
        <w:rPr>
          <w:rFonts w:eastAsiaTheme="minorEastAsia" w:cs="Calibri"/>
          <w:sz w:val="22"/>
          <w:szCs w:val="22"/>
          <w:lang w:eastAsia="zh-CN"/>
        </w:rPr>
        <w:t>Early Warnings for All</w:t>
      </w:r>
      <w:r w:rsidR="00D671F6">
        <w:rPr>
          <w:rFonts w:eastAsiaTheme="minorEastAsia" w:cs="Calibri"/>
          <w:sz w:val="22"/>
          <w:szCs w:val="22"/>
          <w:lang w:eastAsia="zh-CN"/>
        </w:rPr>
        <w:t xml:space="preserve"> initiative</w:t>
      </w:r>
      <w:r w:rsidRPr="009A3B6B">
        <w:rPr>
          <w:rFonts w:eastAsiaTheme="minorEastAsia" w:cs="Calibri"/>
          <w:sz w:val="22"/>
          <w:szCs w:val="22"/>
          <w:lang w:eastAsia="zh-CN"/>
        </w:rPr>
        <w:t xml:space="preserve">. </w:t>
      </w:r>
    </w:p>
    <w:p w14:paraId="51F2CAF6" w14:textId="77777777" w:rsidR="00C048B5" w:rsidRPr="009A3B6B" w:rsidRDefault="00C048B5" w:rsidP="00A00703">
      <w:pPr>
        <w:spacing w:after="120"/>
        <w:jc w:val="both"/>
        <w:rPr>
          <w:rFonts w:eastAsiaTheme="minorEastAsia" w:cs="Calibri"/>
          <w:sz w:val="22"/>
          <w:szCs w:val="22"/>
          <w:lang w:eastAsia="zh-CN"/>
        </w:rPr>
      </w:pPr>
      <w:r>
        <w:rPr>
          <w:rFonts w:cs="Calibri"/>
          <w:sz w:val="22"/>
          <w:szCs w:val="22"/>
        </w:rPr>
        <w:t>T</w:t>
      </w:r>
      <w:r w:rsidRPr="002936F7">
        <w:rPr>
          <w:rFonts w:cs="Calibri"/>
          <w:sz w:val="22"/>
          <w:szCs w:val="22"/>
        </w:rPr>
        <w:t xml:space="preserve">he </w:t>
      </w:r>
      <w:r>
        <w:rPr>
          <w:rFonts w:cs="Calibri"/>
          <w:sz w:val="22"/>
          <w:szCs w:val="22"/>
        </w:rPr>
        <w:t xml:space="preserve">widely endorsed </w:t>
      </w:r>
      <w:r w:rsidRPr="002936F7">
        <w:rPr>
          <w:rFonts w:cs="Calibri"/>
          <w:sz w:val="22"/>
          <w:szCs w:val="22"/>
        </w:rPr>
        <w:t>COP29 Declaration on Green Digital Action</w:t>
      </w:r>
      <w:r>
        <w:rPr>
          <w:rFonts w:cs="Calibri"/>
          <w:sz w:val="22"/>
          <w:szCs w:val="22"/>
        </w:rPr>
        <w:t xml:space="preserve"> helped put digital technologies at the forefront of UN climate change talks.</w:t>
      </w:r>
    </w:p>
    <w:p w14:paraId="6A612AD0" w14:textId="77777777" w:rsidR="00C048B5" w:rsidRPr="00C1041A" w:rsidRDefault="00C048B5" w:rsidP="00A00703">
      <w:pPr>
        <w:spacing w:after="120"/>
        <w:rPr>
          <w:rFonts w:cs="Calibri"/>
          <w:b/>
          <w:bCs/>
          <w:sz w:val="22"/>
          <w:szCs w:val="22"/>
        </w:rPr>
      </w:pPr>
      <w:r w:rsidRPr="00C1041A">
        <w:rPr>
          <w:rFonts w:cs="Calibri"/>
          <w:b/>
          <w:bCs/>
          <w:sz w:val="22"/>
          <w:szCs w:val="22"/>
        </w:rPr>
        <w:t>Ensuring voices are heard</w:t>
      </w:r>
    </w:p>
    <w:p w14:paraId="2CB45989" w14:textId="5BCE2A40" w:rsidR="00C048B5" w:rsidRDefault="00C048B5" w:rsidP="00A00703">
      <w:pPr>
        <w:spacing w:after="120"/>
        <w:jc w:val="both"/>
        <w:rPr>
          <w:rFonts w:cs="Calibri"/>
          <w:sz w:val="22"/>
          <w:szCs w:val="22"/>
        </w:rPr>
      </w:pPr>
      <w:r>
        <w:rPr>
          <w:rFonts w:cs="Calibri"/>
          <w:sz w:val="22"/>
          <w:szCs w:val="22"/>
        </w:rPr>
        <w:t xml:space="preserve">ITU remains dedicated to </w:t>
      </w:r>
      <w:r w:rsidR="00BA6166">
        <w:rPr>
          <w:rFonts w:cs="Calibri"/>
          <w:sz w:val="22"/>
          <w:szCs w:val="22"/>
        </w:rPr>
        <w:t xml:space="preserve">empowering women </w:t>
      </w:r>
      <w:r>
        <w:rPr>
          <w:rFonts w:cs="Calibri"/>
          <w:sz w:val="22"/>
          <w:szCs w:val="22"/>
        </w:rPr>
        <w:t xml:space="preserve">in its work and across the wider global tech industry, with initiatives to address persistent gender divides in digital employment, engagement and skills. </w:t>
      </w:r>
    </w:p>
    <w:p w14:paraId="1DDBACCC" w14:textId="26FAE483" w:rsidR="00C048B5" w:rsidRDefault="002D3BC3" w:rsidP="00A00703">
      <w:pPr>
        <w:spacing w:after="120"/>
        <w:jc w:val="both"/>
        <w:rPr>
          <w:rFonts w:cs="Calibri"/>
          <w:sz w:val="22"/>
          <w:szCs w:val="22"/>
        </w:rPr>
      </w:pPr>
      <w:r>
        <w:rPr>
          <w:rFonts w:cs="Calibri"/>
          <w:sz w:val="22"/>
          <w:szCs w:val="22"/>
        </w:rPr>
        <w:t>T</w:t>
      </w:r>
      <w:r w:rsidR="00C048B5">
        <w:rPr>
          <w:rFonts w:cs="Calibri"/>
          <w:sz w:val="22"/>
          <w:szCs w:val="22"/>
        </w:rPr>
        <w:t xml:space="preserve">he formation of ITU Secretary-General’s inaugural Youth Advisory Board and </w:t>
      </w:r>
      <w:r w:rsidR="006507E5">
        <w:rPr>
          <w:rFonts w:cs="Calibri"/>
          <w:sz w:val="22"/>
          <w:szCs w:val="22"/>
        </w:rPr>
        <w:t>opening the call for</w:t>
      </w:r>
      <w:r w:rsidR="00C048B5">
        <w:rPr>
          <w:rFonts w:cs="Calibri"/>
          <w:sz w:val="22"/>
          <w:szCs w:val="22"/>
        </w:rPr>
        <w:t xml:space="preserve"> Young Professionals in early 2024 signalled the organization’s commitment to meaningful engagement with young people on defining questions for the global digital future.</w:t>
      </w:r>
    </w:p>
    <w:p w14:paraId="0F80C14A" w14:textId="575216A5" w:rsidR="00C048B5" w:rsidRDefault="00C048B5" w:rsidP="00A00703">
      <w:pPr>
        <w:spacing w:after="120"/>
        <w:rPr>
          <w:rFonts w:cs="Calibri"/>
          <w:b/>
          <w:bCs/>
          <w:sz w:val="22"/>
          <w:szCs w:val="22"/>
        </w:rPr>
      </w:pPr>
      <w:r>
        <w:rPr>
          <w:rFonts w:cs="Calibri"/>
          <w:b/>
          <w:bCs/>
          <w:sz w:val="22"/>
          <w:szCs w:val="22"/>
        </w:rPr>
        <w:t>Milestones for the future</w:t>
      </w:r>
    </w:p>
    <w:p w14:paraId="34A8A216" w14:textId="71E59C7E" w:rsidR="00C048B5" w:rsidRPr="002936F7" w:rsidRDefault="00C048B5" w:rsidP="00A00703">
      <w:pPr>
        <w:spacing w:after="120"/>
        <w:jc w:val="both"/>
        <w:rPr>
          <w:rFonts w:cs="Calibri"/>
          <w:sz w:val="22"/>
          <w:szCs w:val="22"/>
        </w:rPr>
      </w:pPr>
      <w:r w:rsidRPr="002936F7">
        <w:rPr>
          <w:rFonts w:cs="Calibri"/>
          <w:sz w:val="22"/>
          <w:szCs w:val="22"/>
        </w:rPr>
        <w:t>The organization also advanced its transformation roadmap, focusing on people and culture, resource optimization, and governance improvements</w:t>
      </w:r>
      <w:r>
        <w:rPr>
          <w:rFonts w:cs="Calibri"/>
          <w:sz w:val="22"/>
          <w:szCs w:val="22"/>
        </w:rPr>
        <w:t>.</w:t>
      </w:r>
    </w:p>
    <w:p w14:paraId="445EF2B8" w14:textId="162F7E34" w:rsidR="00C048B5" w:rsidRDefault="00C048B5" w:rsidP="00A00703">
      <w:pPr>
        <w:spacing w:after="120"/>
        <w:jc w:val="both"/>
        <w:rPr>
          <w:rFonts w:cs="Calibri"/>
          <w:sz w:val="22"/>
          <w:szCs w:val="22"/>
        </w:rPr>
      </w:pPr>
      <w:r>
        <w:rPr>
          <w:rFonts w:cs="Calibri"/>
          <w:sz w:val="22"/>
          <w:szCs w:val="22"/>
        </w:rPr>
        <w:t>Throughout the year, d</w:t>
      </w:r>
      <w:r w:rsidRPr="002936F7">
        <w:rPr>
          <w:rFonts w:cs="Calibri"/>
          <w:sz w:val="22"/>
          <w:szCs w:val="22"/>
        </w:rPr>
        <w:t>igital technolog</w:t>
      </w:r>
      <w:r>
        <w:rPr>
          <w:rFonts w:cs="Calibri"/>
          <w:sz w:val="22"/>
          <w:szCs w:val="22"/>
        </w:rPr>
        <w:t>ies stood out as</w:t>
      </w:r>
      <w:r w:rsidRPr="002936F7">
        <w:rPr>
          <w:rFonts w:cs="Calibri"/>
          <w:sz w:val="22"/>
          <w:szCs w:val="22"/>
        </w:rPr>
        <w:t xml:space="preserve"> a unifying force in </w:t>
      </w:r>
      <w:r>
        <w:rPr>
          <w:rFonts w:cs="Calibri"/>
          <w:sz w:val="22"/>
          <w:szCs w:val="22"/>
        </w:rPr>
        <w:t>a</w:t>
      </w:r>
      <w:r w:rsidRPr="002936F7">
        <w:rPr>
          <w:rFonts w:cs="Calibri"/>
          <w:sz w:val="22"/>
          <w:szCs w:val="22"/>
        </w:rPr>
        <w:t xml:space="preserve"> fragmented world. </w:t>
      </w:r>
      <w:r>
        <w:rPr>
          <w:rFonts w:cs="Calibri"/>
          <w:sz w:val="22"/>
          <w:szCs w:val="22"/>
        </w:rPr>
        <w:t>The</w:t>
      </w:r>
      <w:r w:rsidRPr="002936F7">
        <w:rPr>
          <w:rFonts w:cs="Calibri"/>
          <w:sz w:val="22"/>
          <w:szCs w:val="22"/>
        </w:rPr>
        <w:t xml:space="preserve"> Global Digital Compact</w:t>
      </w:r>
      <w:r>
        <w:rPr>
          <w:rFonts w:cs="Calibri"/>
          <w:sz w:val="22"/>
          <w:szCs w:val="22"/>
        </w:rPr>
        <w:t xml:space="preserve"> – adopted along with the Pact for the Future at the UN General Assembly in September 2024 – provides a framework for digital cooperation going forward</w:t>
      </w:r>
      <w:r w:rsidR="00762300">
        <w:rPr>
          <w:rFonts w:cs="Calibri"/>
          <w:sz w:val="22"/>
          <w:szCs w:val="22"/>
        </w:rPr>
        <w:t xml:space="preserve">, complementing other </w:t>
      </w:r>
      <w:r w:rsidR="005E7FE1">
        <w:rPr>
          <w:rFonts w:cs="Calibri"/>
          <w:sz w:val="22"/>
          <w:szCs w:val="22"/>
        </w:rPr>
        <w:t>frameworks and processes</w:t>
      </w:r>
      <w:r>
        <w:rPr>
          <w:rFonts w:cs="Calibri"/>
          <w:sz w:val="22"/>
          <w:szCs w:val="22"/>
        </w:rPr>
        <w:t xml:space="preserve">. </w:t>
      </w:r>
    </w:p>
    <w:p w14:paraId="6F22E567" w14:textId="024DD370" w:rsidR="009F29CA" w:rsidRDefault="009F29CA" w:rsidP="00A00703">
      <w:pPr>
        <w:spacing w:after="120"/>
        <w:jc w:val="both"/>
        <w:rPr>
          <w:rFonts w:cs="Calibri"/>
          <w:sz w:val="22"/>
          <w:szCs w:val="22"/>
        </w:rPr>
      </w:pPr>
      <w:r w:rsidRPr="002936F7">
        <w:rPr>
          <w:rFonts w:cs="Calibri"/>
          <w:sz w:val="22"/>
          <w:szCs w:val="22"/>
        </w:rPr>
        <w:t>Looking ahead, ITU’s operational plan for 2025</w:t>
      </w:r>
      <w:r>
        <w:rPr>
          <w:rFonts w:cs="Calibri"/>
          <w:sz w:val="22"/>
          <w:szCs w:val="22"/>
        </w:rPr>
        <w:t>-</w:t>
      </w:r>
      <w:r w:rsidRPr="002936F7">
        <w:rPr>
          <w:rFonts w:cs="Calibri"/>
          <w:sz w:val="22"/>
          <w:szCs w:val="22"/>
        </w:rPr>
        <w:t xml:space="preserve">2028 outlines 43 specific outputs aligned with </w:t>
      </w:r>
      <w:r>
        <w:rPr>
          <w:rFonts w:cs="Calibri"/>
          <w:sz w:val="22"/>
          <w:szCs w:val="22"/>
        </w:rPr>
        <w:t>UN goals and global</w:t>
      </w:r>
      <w:r w:rsidRPr="002936F7">
        <w:rPr>
          <w:rFonts w:cs="Calibri"/>
          <w:sz w:val="22"/>
          <w:szCs w:val="22"/>
        </w:rPr>
        <w:t xml:space="preserve"> development </w:t>
      </w:r>
      <w:r>
        <w:rPr>
          <w:rFonts w:cs="Calibri"/>
          <w:sz w:val="22"/>
          <w:szCs w:val="22"/>
        </w:rPr>
        <w:t>priorities</w:t>
      </w:r>
      <w:r w:rsidRPr="002936F7">
        <w:rPr>
          <w:rFonts w:cs="Calibri"/>
          <w:sz w:val="22"/>
          <w:szCs w:val="22"/>
        </w:rPr>
        <w:t>.</w:t>
      </w:r>
    </w:p>
    <w:p w14:paraId="7B4ACF46" w14:textId="78588F44" w:rsidR="00C048B5" w:rsidRPr="00011B05" w:rsidRDefault="00C048B5" w:rsidP="00A00703">
      <w:pPr>
        <w:spacing w:after="120"/>
        <w:jc w:val="both"/>
        <w:rPr>
          <w:rFonts w:cs="Calibri"/>
          <w:sz w:val="22"/>
          <w:szCs w:val="22"/>
        </w:rPr>
      </w:pPr>
      <w:r w:rsidRPr="002936F7">
        <w:rPr>
          <w:rFonts w:cs="Calibri"/>
          <w:sz w:val="22"/>
          <w:szCs w:val="22"/>
        </w:rPr>
        <w:t>ITU</w:t>
      </w:r>
      <w:r>
        <w:rPr>
          <w:rFonts w:cs="Calibri"/>
          <w:sz w:val="22"/>
          <w:szCs w:val="22"/>
        </w:rPr>
        <w:t>, which marks its 160</w:t>
      </w:r>
      <w:r w:rsidRPr="00574B41">
        <w:rPr>
          <w:rFonts w:cs="Calibri"/>
          <w:sz w:val="22"/>
          <w:szCs w:val="22"/>
          <w:vertAlign w:val="superscript"/>
        </w:rPr>
        <w:t>th</w:t>
      </w:r>
      <w:r>
        <w:rPr>
          <w:rFonts w:cs="Calibri"/>
          <w:sz w:val="22"/>
          <w:szCs w:val="22"/>
        </w:rPr>
        <w:t xml:space="preserve"> anniversary in 2025, </w:t>
      </w:r>
      <w:r w:rsidRPr="002936F7">
        <w:rPr>
          <w:rFonts w:cs="Calibri"/>
          <w:sz w:val="22"/>
          <w:szCs w:val="22"/>
        </w:rPr>
        <w:t>remains dedicated to coordinating radiocommunications, setting global standards, and driving digital development for humanity and the planet.</w:t>
      </w:r>
    </w:p>
    <w:p w14:paraId="58128E55" w14:textId="66B4442F" w:rsidR="00BC68C5" w:rsidRPr="00DA76FF" w:rsidRDefault="004F4A59" w:rsidP="00AB7AE5">
      <w:pPr>
        <w:pStyle w:val="Heading1"/>
        <w:numPr>
          <w:ilvl w:val="0"/>
          <w:numId w:val="13"/>
        </w:numPr>
        <w:tabs>
          <w:tab w:val="clear" w:pos="567"/>
          <w:tab w:val="clear" w:pos="1134"/>
        </w:tabs>
        <w:ind w:left="1134" w:hanging="564"/>
      </w:pPr>
      <w:bookmarkStart w:id="15" w:name="_Toc198569344"/>
      <w:r>
        <w:lastRenderedPageBreak/>
        <w:t>Insights and</w:t>
      </w:r>
      <w:r w:rsidR="000C70CC">
        <w:t xml:space="preserve"> takeaways from 2024</w:t>
      </w:r>
      <w:bookmarkEnd w:id="15"/>
    </w:p>
    <w:p w14:paraId="0B70B918" w14:textId="0326F350" w:rsidR="00C048B5" w:rsidRPr="00715509" w:rsidRDefault="00C048B5" w:rsidP="00AB7AE5">
      <w:pPr>
        <w:pStyle w:val="NoSpacing"/>
        <w:keepNext/>
        <w:keepLines/>
        <w:numPr>
          <w:ilvl w:val="0"/>
          <w:numId w:val="52"/>
        </w:numPr>
        <w:spacing w:before="120" w:after="120"/>
        <w:ind w:left="567" w:hanging="283"/>
        <w:jc w:val="both"/>
        <w:rPr>
          <w:rFonts w:ascii="Calibri" w:hAnsi="Calibri" w:cs="Calibri"/>
        </w:rPr>
      </w:pPr>
      <w:r w:rsidRPr="00715509">
        <w:rPr>
          <w:rFonts w:ascii="Calibri" w:hAnsi="Calibri" w:cs="Calibri"/>
        </w:rPr>
        <w:t>An estimated 79% of individuals aged 15 to 24</w:t>
      </w:r>
      <w:r w:rsidR="00D84235">
        <w:rPr>
          <w:rFonts w:ascii="Calibri" w:hAnsi="Calibri" w:cs="Calibri"/>
        </w:rPr>
        <w:t xml:space="preserve"> </w:t>
      </w:r>
      <w:r w:rsidRPr="00715509">
        <w:rPr>
          <w:rFonts w:ascii="Calibri" w:hAnsi="Calibri" w:cs="Calibri"/>
        </w:rPr>
        <w:t>were online in 2024, compared to 66% of the overall population. Significant disparities also persist between urban (83% online) and rural areas (48% online) worldwide.</w:t>
      </w:r>
    </w:p>
    <w:p w14:paraId="173154F8" w14:textId="21C68C1A" w:rsidR="00C048B5" w:rsidRPr="00972698" w:rsidRDefault="56FD108C" w:rsidP="00AB7AE5">
      <w:pPr>
        <w:keepNext/>
        <w:keepLines/>
        <w:numPr>
          <w:ilvl w:val="0"/>
          <w:numId w:val="52"/>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18"/>
        </w:rPr>
      </w:pPr>
      <w:r w:rsidRPr="00972698">
        <w:rPr>
          <w:rFonts w:cs="Calibri"/>
          <w:sz w:val="22"/>
          <w:szCs w:val="18"/>
        </w:rPr>
        <w:t>Globally, some 70% of men and 65% of women used the Internet in 2024, with gender parity improving but still uneven.</w:t>
      </w:r>
    </w:p>
    <w:p w14:paraId="7E798F34" w14:textId="20278B15" w:rsidR="00C048B5" w:rsidRDefault="00C048B5" w:rsidP="00AB7AE5">
      <w:pPr>
        <w:keepNext/>
        <w:keepLines/>
        <w:numPr>
          <w:ilvl w:val="0"/>
          <w:numId w:val="52"/>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817A77">
        <w:rPr>
          <w:rFonts w:cs="Calibri"/>
          <w:sz w:val="22"/>
          <w:szCs w:val="22"/>
        </w:rPr>
        <w:t>The median price of mobile broadband decreased from 1.3% to 1.1% of gross national income (GNI) per capita, and fixed broadband from 2.8% to 2.5%.</w:t>
      </w:r>
    </w:p>
    <w:p w14:paraId="70F8B464" w14:textId="0ECD225E" w:rsidR="003572C4" w:rsidRPr="003572C4" w:rsidRDefault="003572C4" w:rsidP="00AB7AE5">
      <w:pPr>
        <w:pStyle w:val="NoSpacing"/>
        <w:numPr>
          <w:ilvl w:val="0"/>
          <w:numId w:val="52"/>
        </w:numPr>
        <w:spacing w:before="100" w:after="100"/>
        <w:ind w:left="567" w:hanging="283"/>
        <w:jc w:val="both"/>
        <w:rPr>
          <w:rFonts w:ascii="Calibri" w:hAnsi="Calibri" w:cs="Calibri"/>
        </w:rPr>
      </w:pPr>
      <w:r w:rsidRPr="003572C4">
        <w:rPr>
          <w:rFonts w:ascii="Calibri" w:eastAsia="Times New Roman" w:hAnsi="Calibri" w:cs="Calibri"/>
          <w:kern w:val="0"/>
          <w:lang w:eastAsia="en-GB"/>
          <w14:ligatures w14:val="none"/>
        </w:rPr>
        <w:t xml:space="preserve">Global international bandwidth usage reached 322.8 </w:t>
      </w:r>
      <w:r w:rsidR="00DA0B7F" w:rsidRPr="00DA0B7F">
        <w:rPr>
          <w:rFonts w:ascii="Calibri" w:eastAsia="Times New Roman" w:hAnsi="Calibri" w:cs="Calibri"/>
          <w:kern w:val="0"/>
          <w:lang w:eastAsia="en-GB"/>
          <w14:ligatures w14:val="none"/>
        </w:rPr>
        <w:t xml:space="preserve">kbit/s </w:t>
      </w:r>
      <w:r w:rsidR="00DA0B7F">
        <w:rPr>
          <w:rFonts w:ascii="Calibri" w:eastAsia="Times New Roman" w:hAnsi="Calibri" w:cs="Calibri"/>
          <w:kern w:val="0"/>
          <w:lang w:eastAsia="en-GB"/>
          <w14:ligatures w14:val="none"/>
        </w:rPr>
        <w:t>(p</w:t>
      </w:r>
      <w:r w:rsidR="00DA0B7F" w:rsidRPr="00DA0B7F">
        <w:rPr>
          <w:rFonts w:ascii="Calibri" w:eastAsia="Times New Roman" w:hAnsi="Calibri" w:cs="Calibri"/>
          <w:kern w:val="0"/>
          <w:lang w:eastAsia="en-GB"/>
          <w14:ligatures w14:val="none"/>
        </w:rPr>
        <w:t>er Internet user</w:t>
      </w:r>
      <w:r w:rsidR="00DA0B7F">
        <w:rPr>
          <w:rFonts w:ascii="Calibri" w:eastAsia="Times New Roman" w:hAnsi="Calibri" w:cs="Calibri"/>
          <w:kern w:val="0"/>
          <w:lang w:eastAsia="en-GB"/>
          <w14:ligatures w14:val="none"/>
        </w:rPr>
        <w:t xml:space="preserve">) </w:t>
      </w:r>
      <w:r w:rsidRPr="003572C4">
        <w:rPr>
          <w:rFonts w:ascii="Calibri" w:eastAsia="Times New Roman" w:hAnsi="Calibri" w:cs="Calibri"/>
          <w:kern w:val="0"/>
          <w:lang w:eastAsia="en-GB"/>
          <w14:ligatures w14:val="none"/>
        </w:rPr>
        <w:t xml:space="preserve">in 2024, more than doubling since 2020. </w:t>
      </w:r>
      <w:r w:rsidR="006C7CDF">
        <w:rPr>
          <w:rFonts w:ascii="Calibri" w:eastAsia="Times New Roman" w:hAnsi="Calibri" w:cs="Calibri"/>
          <w:kern w:val="0"/>
          <w:lang w:eastAsia="en-GB"/>
          <w14:ligatures w14:val="none"/>
        </w:rPr>
        <w:t>The total bandwidth usage in 2024 was 1.78 Tbits/sec</w:t>
      </w:r>
      <w:r w:rsidR="00862A11">
        <w:rPr>
          <w:rFonts w:ascii="Calibri" w:eastAsia="Times New Roman" w:hAnsi="Calibri" w:cs="Calibri"/>
          <w:kern w:val="0"/>
          <w:lang w:eastAsia="en-GB"/>
          <w14:ligatures w14:val="none"/>
        </w:rPr>
        <w:t xml:space="preserve">, almost a </w:t>
      </w:r>
      <w:r w:rsidR="00714FA8">
        <w:rPr>
          <w:rFonts w:ascii="Calibri" w:eastAsia="Times New Roman" w:hAnsi="Calibri" w:cs="Calibri"/>
          <w:kern w:val="0"/>
          <w:lang w:eastAsia="en-GB"/>
          <w14:ligatures w14:val="none"/>
        </w:rPr>
        <w:t>1</w:t>
      </w:r>
      <w:r w:rsidR="00862A11">
        <w:rPr>
          <w:rFonts w:ascii="Calibri" w:eastAsia="Times New Roman" w:hAnsi="Calibri" w:cs="Calibri"/>
          <w:kern w:val="0"/>
          <w:lang w:eastAsia="en-GB"/>
          <w14:ligatures w14:val="none"/>
        </w:rPr>
        <w:t xml:space="preserve">50% </w:t>
      </w:r>
      <w:r w:rsidR="005C730E">
        <w:rPr>
          <w:rFonts w:ascii="Calibri" w:eastAsia="Times New Roman" w:hAnsi="Calibri" w:cs="Calibri"/>
          <w:kern w:val="0"/>
          <w:lang w:eastAsia="en-GB"/>
          <w14:ligatures w14:val="none"/>
        </w:rPr>
        <w:t>increase from 2020.</w:t>
      </w:r>
    </w:p>
    <w:p w14:paraId="7873475D" w14:textId="0850EAE1" w:rsidR="00C048B5" w:rsidRPr="00715509" w:rsidRDefault="00C048B5" w:rsidP="00AB7AE5">
      <w:pPr>
        <w:pStyle w:val="NoSpacing"/>
        <w:numPr>
          <w:ilvl w:val="0"/>
          <w:numId w:val="52"/>
        </w:numPr>
        <w:spacing w:before="100" w:after="100"/>
        <w:ind w:left="567" w:hanging="283"/>
        <w:jc w:val="both"/>
        <w:rPr>
          <w:rFonts w:ascii="Calibri" w:hAnsi="Calibri" w:cs="Calibri"/>
        </w:rPr>
      </w:pPr>
      <w:r w:rsidRPr="00715509">
        <w:rPr>
          <w:rFonts w:ascii="Calibri" w:hAnsi="Calibri" w:cs="Calibri"/>
        </w:rPr>
        <w:t>Progress is evident in cybersecurity readiness, with 13</w:t>
      </w:r>
      <w:r w:rsidR="00762B3F">
        <w:rPr>
          <w:rFonts w:ascii="Calibri" w:hAnsi="Calibri" w:cs="Calibri"/>
        </w:rPr>
        <w:t>2</w:t>
      </w:r>
      <w:r w:rsidRPr="00715509">
        <w:rPr>
          <w:rFonts w:ascii="Calibri" w:hAnsi="Calibri" w:cs="Calibri"/>
        </w:rPr>
        <w:t xml:space="preserve"> countries establishing computer incident response teams (CIRTs) by 2024, up from 109 in 2020; and 127 countries implementing national cybersecurity strategies and action plans, up from 107 in 2020.</w:t>
      </w:r>
    </w:p>
    <w:p w14:paraId="7985A268" w14:textId="30756507" w:rsidR="00C048B5" w:rsidRPr="00715509" w:rsidRDefault="00C048B5" w:rsidP="00AB7AE5">
      <w:pPr>
        <w:keepNext/>
        <w:keepLines/>
        <w:numPr>
          <w:ilvl w:val="0"/>
          <w:numId w:val="37"/>
        </w:numPr>
        <w:tabs>
          <w:tab w:val="clear" w:pos="567"/>
          <w:tab w:val="clear" w:pos="1134"/>
          <w:tab w:val="clear" w:pos="1701"/>
          <w:tab w:val="clear" w:pos="2268"/>
          <w:tab w:val="clear" w:pos="2835"/>
        </w:tabs>
        <w:overflowPunct/>
        <w:autoSpaceDE/>
        <w:autoSpaceDN/>
        <w:adjustRightInd/>
        <w:spacing w:before="100" w:after="100"/>
        <w:ind w:left="568" w:hanging="284"/>
        <w:jc w:val="both"/>
        <w:textAlignment w:val="auto"/>
        <w:rPr>
          <w:rFonts w:cs="Calibri"/>
          <w:sz w:val="22"/>
          <w:szCs w:val="22"/>
        </w:rPr>
      </w:pPr>
      <w:r w:rsidRPr="00715509">
        <w:rPr>
          <w:rFonts w:cs="Calibri"/>
          <w:b/>
          <w:bCs/>
          <w:sz w:val="22"/>
          <w:szCs w:val="22"/>
        </w:rPr>
        <w:t xml:space="preserve">ITU’s key standards conference, </w:t>
      </w:r>
      <w:r w:rsidRPr="00817A77">
        <w:rPr>
          <w:rFonts w:cs="Calibri"/>
          <w:b/>
          <w:bCs/>
          <w:sz w:val="22"/>
          <w:szCs w:val="22"/>
        </w:rPr>
        <w:t>WTSA-24</w:t>
      </w:r>
      <w:r w:rsidRPr="00715509">
        <w:rPr>
          <w:rFonts w:cs="Calibri"/>
          <w:b/>
          <w:bCs/>
          <w:sz w:val="22"/>
          <w:szCs w:val="22"/>
        </w:rPr>
        <w:t>,</w:t>
      </w:r>
      <w:r w:rsidR="00D84235">
        <w:rPr>
          <w:rFonts w:cs="Calibri"/>
          <w:sz w:val="22"/>
          <w:szCs w:val="22"/>
        </w:rPr>
        <w:t xml:space="preserve"> </w:t>
      </w:r>
      <w:r w:rsidRPr="00715509">
        <w:rPr>
          <w:rFonts w:cs="Calibri"/>
          <w:sz w:val="22"/>
          <w:szCs w:val="22"/>
        </w:rPr>
        <w:t>attracted</w:t>
      </w:r>
      <w:r w:rsidR="00D84235">
        <w:rPr>
          <w:rFonts w:cs="Calibri"/>
          <w:sz w:val="22"/>
          <w:szCs w:val="22"/>
        </w:rPr>
        <w:t xml:space="preserve"> </w:t>
      </w:r>
      <w:r w:rsidRPr="00817A77">
        <w:rPr>
          <w:rFonts w:cs="Calibri"/>
          <w:b/>
          <w:bCs/>
          <w:sz w:val="22"/>
          <w:szCs w:val="22"/>
        </w:rPr>
        <w:t>3</w:t>
      </w:r>
      <w:r w:rsidR="00D84235">
        <w:rPr>
          <w:rFonts w:cs="Calibri"/>
          <w:b/>
          <w:bCs/>
          <w:sz w:val="22"/>
          <w:szCs w:val="22"/>
        </w:rPr>
        <w:t> </w:t>
      </w:r>
      <w:r w:rsidRPr="00817A77">
        <w:rPr>
          <w:rFonts w:cs="Calibri"/>
          <w:b/>
          <w:bCs/>
          <w:sz w:val="22"/>
          <w:szCs w:val="22"/>
        </w:rPr>
        <w:t>700 delegates from 164 countries</w:t>
      </w:r>
      <w:r w:rsidRPr="00817A77">
        <w:rPr>
          <w:rFonts w:cs="Calibri"/>
          <w:sz w:val="22"/>
          <w:szCs w:val="22"/>
        </w:rPr>
        <w:t>, achieving 27%</w:t>
      </w:r>
      <w:r w:rsidRPr="00715509">
        <w:rPr>
          <w:rFonts w:cs="Calibri"/>
          <w:sz w:val="22"/>
          <w:szCs w:val="22"/>
        </w:rPr>
        <w:t xml:space="preserve"> female representation</w:t>
      </w:r>
      <w:r w:rsidRPr="00817A77">
        <w:rPr>
          <w:rFonts w:cs="Calibri"/>
          <w:sz w:val="22"/>
          <w:szCs w:val="22"/>
        </w:rPr>
        <w:t>.</w:t>
      </w:r>
    </w:p>
    <w:p w14:paraId="16B47814" w14:textId="758BD0E5" w:rsidR="00C048B5" w:rsidRPr="00817A77" w:rsidRDefault="00C048B5" w:rsidP="00AB7AE5">
      <w:pPr>
        <w:keepNext/>
        <w:keepLines/>
        <w:numPr>
          <w:ilvl w:val="0"/>
          <w:numId w:val="37"/>
        </w:numPr>
        <w:tabs>
          <w:tab w:val="clear" w:pos="567"/>
          <w:tab w:val="clear" w:pos="1134"/>
          <w:tab w:val="clear" w:pos="1701"/>
          <w:tab w:val="clear" w:pos="2268"/>
          <w:tab w:val="clear" w:pos="2835"/>
        </w:tabs>
        <w:overflowPunct/>
        <w:autoSpaceDE/>
        <w:autoSpaceDN/>
        <w:adjustRightInd/>
        <w:spacing w:before="100" w:after="100"/>
        <w:ind w:left="568" w:hanging="284"/>
        <w:jc w:val="both"/>
        <w:textAlignment w:val="auto"/>
        <w:rPr>
          <w:rFonts w:cs="Calibri"/>
          <w:sz w:val="22"/>
          <w:szCs w:val="22"/>
        </w:rPr>
      </w:pPr>
      <w:r w:rsidRPr="00817A77">
        <w:rPr>
          <w:rFonts w:cs="Calibri"/>
          <w:b/>
          <w:bCs/>
          <w:sz w:val="22"/>
          <w:szCs w:val="22"/>
        </w:rPr>
        <w:t xml:space="preserve">37 </w:t>
      </w:r>
      <w:r w:rsidR="00D84235" w:rsidRPr="00817A77">
        <w:rPr>
          <w:rFonts w:cs="Calibri"/>
          <w:b/>
          <w:bCs/>
          <w:sz w:val="22"/>
          <w:szCs w:val="22"/>
        </w:rPr>
        <w:t>Member States</w:t>
      </w:r>
      <w:r w:rsidR="00D84235">
        <w:rPr>
          <w:rFonts w:cs="Calibri"/>
          <w:sz w:val="22"/>
          <w:szCs w:val="22"/>
        </w:rPr>
        <w:t xml:space="preserve"> </w:t>
      </w:r>
      <w:r w:rsidRPr="00817A77">
        <w:rPr>
          <w:rFonts w:cs="Calibri"/>
          <w:sz w:val="22"/>
          <w:szCs w:val="22"/>
        </w:rPr>
        <w:t>sent ministers</w:t>
      </w:r>
      <w:r w:rsidRPr="00715509">
        <w:rPr>
          <w:rFonts w:cs="Calibri"/>
          <w:sz w:val="22"/>
          <w:szCs w:val="22"/>
        </w:rPr>
        <w:t xml:space="preserve"> to WTSA-24.</w:t>
      </w:r>
    </w:p>
    <w:p w14:paraId="246F5A54" w14:textId="77777777" w:rsidR="00C048B5" w:rsidRPr="00ED4005" w:rsidRDefault="00C048B5" w:rsidP="00AB7AE5">
      <w:pPr>
        <w:numPr>
          <w:ilvl w:val="0"/>
          <w:numId w:val="38"/>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ITU maintains the </w:t>
      </w:r>
      <w:r w:rsidRPr="00ED4005">
        <w:rPr>
          <w:rFonts w:cs="Calibri"/>
          <w:b/>
          <w:bCs/>
          <w:sz w:val="22"/>
          <w:szCs w:val="22"/>
        </w:rPr>
        <w:t>Radio Regulations</w:t>
      </w:r>
      <w:r w:rsidRPr="00ED4005">
        <w:rPr>
          <w:rFonts w:cs="Calibri"/>
          <w:sz w:val="22"/>
          <w:szCs w:val="22"/>
        </w:rPr>
        <w:t>, governing the use of radio-frequency spectrum and satellite orbits.</w:t>
      </w:r>
    </w:p>
    <w:p w14:paraId="5EE911CB" w14:textId="77777777" w:rsidR="00C048B5" w:rsidRPr="00ED4005" w:rsidRDefault="00C048B5" w:rsidP="00AB7AE5">
      <w:pPr>
        <w:numPr>
          <w:ilvl w:val="0"/>
          <w:numId w:val="38"/>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D84235">
        <w:rPr>
          <w:rFonts w:cs="Calibri"/>
          <w:spacing w:val="-2"/>
          <w:sz w:val="22"/>
          <w:szCs w:val="22"/>
        </w:rPr>
        <w:t>In 2024, the ITU Radiocommunication Bureau published a new edition of the Radio Regulations,</w:t>
      </w:r>
      <w:r w:rsidRPr="00715509">
        <w:rPr>
          <w:rFonts w:cs="Calibri"/>
          <w:sz w:val="22"/>
          <w:szCs w:val="22"/>
        </w:rPr>
        <w:t xml:space="preserve"> based on outcomes from the last World Radiocommunication Conference, WRC-23.</w:t>
      </w:r>
    </w:p>
    <w:p w14:paraId="2E5C8B50" w14:textId="77777777" w:rsidR="00C048B5" w:rsidRPr="00ED4005" w:rsidRDefault="00C048B5" w:rsidP="00AB7AE5">
      <w:pPr>
        <w:numPr>
          <w:ilvl w:val="0"/>
          <w:numId w:val="38"/>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The </w:t>
      </w:r>
      <w:r w:rsidRPr="00ED4005">
        <w:rPr>
          <w:rFonts w:cs="Calibri"/>
          <w:b/>
          <w:bCs/>
          <w:sz w:val="22"/>
          <w:szCs w:val="22"/>
        </w:rPr>
        <w:t>Radio Regulation</w:t>
      </w:r>
      <w:r w:rsidRPr="00715509">
        <w:rPr>
          <w:rFonts w:cs="Calibri"/>
          <w:b/>
          <w:bCs/>
          <w:sz w:val="22"/>
          <w:szCs w:val="22"/>
        </w:rPr>
        <w:t>s</w:t>
      </w:r>
      <w:r w:rsidRPr="00ED4005">
        <w:rPr>
          <w:rFonts w:cs="Calibri"/>
          <w:b/>
          <w:bCs/>
          <w:sz w:val="22"/>
          <w:szCs w:val="22"/>
        </w:rPr>
        <w:t xml:space="preserve"> Navigation Tool</w:t>
      </w:r>
      <w:r w:rsidRPr="00ED4005">
        <w:rPr>
          <w:rFonts w:cs="Calibri"/>
          <w:sz w:val="22"/>
          <w:szCs w:val="22"/>
        </w:rPr>
        <w:t xml:space="preserve"> and </w:t>
      </w:r>
      <w:r w:rsidRPr="00ED4005">
        <w:rPr>
          <w:rFonts w:cs="Calibri"/>
          <w:b/>
          <w:bCs/>
          <w:sz w:val="22"/>
          <w:szCs w:val="22"/>
        </w:rPr>
        <w:t>RR5 Table of Frequency Allocations tool</w:t>
      </w:r>
      <w:r w:rsidRPr="00ED4005">
        <w:rPr>
          <w:rFonts w:cs="Calibri"/>
          <w:sz w:val="22"/>
          <w:szCs w:val="22"/>
        </w:rPr>
        <w:t xml:space="preserve"> were updated based on WRC-23 outcomes.</w:t>
      </w:r>
    </w:p>
    <w:p w14:paraId="2F594B7D" w14:textId="77777777" w:rsidR="00C048B5" w:rsidRPr="00ED4005" w:rsidRDefault="00C048B5" w:rsidP="00AB7AE5">
      <w:pPr>
        <w:numPr>
          <w:ilvl w:val="0"/>
          <w:numId w:val="38"/>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The </w:t>
      </w:r>
      <w:r w:rsidRPr="00715509">
        <w:rPr>
          <w:rFonts w:cs="Calibri"/>
          <w:sz w:val="22"/>
          <w:szCs w:val="22"/>
        </w:rPr>
        <w:t xml:space="preserve">latest </w:t>
      </w:r>
      <w:r w:rsidRPr="00ED4005">
        <w:rPr>
          <w:rFonts w:cs="Calibri"/>
          <w:b/>
          <w:bCs/>
          <w:sz w:val="22"/>
          <w:szCs w:val="22"/>
        </w:rPr>
        <w:t>Maritime Manual</w:t>
      </w:r>
      <w:r w:rsidRPr="00715509">
        <w:rPr>
          <w:rFonts w:cs="Calibri"/>
          <w:sz w:val="22"/>
          <w:szCs w:val="22"/>
        </w:rPr>
        <w:t xml:space="preserve">, </w:t>
      </w:r>
      <w:r w:rsidRPr="00ED4005">
        <w:rPr>
          <w:rFonts w:cs="Calibri"/>
          <w:sz w:val="22"/>
          <w:szCs w:val="22"/>
        </w:rPr>
        <w:t>published in December 2024, provid</w:t>
      </w:r>
      <w:r w:rsidRPr="00715509">
        <w:rPr>
          <w:rFonts w:cs="Calibri"/>
          <w:sz w:val="22"/>
          <w:szCs w:val="22"/>
        </w:rPr>
        <w:t>es</w:t>
      </w:r>
      <w:r w:rsidRPr="00ED4005">
        <w:rPr>
          <w:rFonts w:cs="Calibri"/>
          <w:sz w:val="22"/>
          <w:szCs w:val="22"/>
        </w:rPr>
        <w:t xml:space="preserve"> an overview of </w:t>
      </w:r>
      <w:r w:rsidRPr="00715509">
        <w:rPr>
          <w:rFonts w:cs="Calibri"/>
          <w:sz w:val="22"/>
          <w:szCs w:val="22"/>
        </w:rPr>
        <w:t xml:space="preserve">vital information for </w:t>
      </w:r>
      <w:r w:rsidRPr="00ED4005">
        <w:rPr>
          <w:rFonts w:cs="Calibri"/>
          <w:sz w:val="22"/>
          <w:szCs w:val="22"/>
        </w:rPr>
        <w:t>maritime communications</w:t>
      </w:r>
      <w:r w:rsidRPr="00715509">
        <w:rPr>
          <w:rFonts w:cs="Calibri"/>
          <w:sz w:val="22"/>
          <w:szCs w:val="22"/>
        </w:rPr>
        <w:t xml:space="preserve"> and safety at sea</w:t>
      </w:r>
      <w:r w:rsidRPr="00ED4005">
        <w:rPr>
          <w:rFonts w:cs="Calibri"/>
          <w:sz w:val="22"/>
          <w:szCs w:val="22"/>
        </w:rPr>
        <w:t>.</w:t>
      </w:r>
    </w:p>
    <w:p w14:paraId="0FB1C292" w14:textId="06E24F5E" w:rsidR="00C048B5" w:rsidRPr="00ED4005" w:rsidRDefault="00C048B5" w:rsidP="00AB7AE5">
      <w:pPr>
        <w:numPr>
          <w:ilvl w:val="0"/>
          <w:numId w:val="39"/>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715509">
        <w:rPr>
          <w:rFonts w:cs="Calibri"/>
          <w:b/>
          <w:bCs/>
          <w:sz w:val="22"/>
          <w:szCs w:val="22"/>
        </w:rPr>
        <w:t xml:space="preserve">The ITU Radiocommunication Sector (ITU-R) </w:t>
      </w:r>
      <w:r w:rsidRPr="00AB7AE5">
        <w:rPr>
          <w:rFonts w:cs="Calibri"/>
          <w:sz w:val="22"/>
          <w:szCs w:val="22"/>
        </w:rPr>
        <w:t>addressed</w:t>
      </w:r>
      <w:r w:rsidRPr="00715509">
        <w:rPr>
          <w:rFonts w:cs="Calibri"/>
          <w:b/>
          <w:bCs/>
          <w:sz w:val="22"/>
          <w:szCs w:val="22"/>
        </w:rPr>
        <w:t xml:space="preserve"> </w:t>
      </w:r>
      <w:r w:rsidRPr="00ED4005">
        <w:rPr>
          <w:rFonts w:cs="Calibri"/>
          <w:sz w:val="22"/>
          <w:szCs w:val="22"/>
        </w:rPr>
        <w:t xml:space="preserve">over </w:t>
      </w:r>
      <w:r w:rsidRPr="00ED4005">
        <w:rPr>
          <w:rFonts w:cs="Calibri"/>
          <w:b/>
          <w:bCs/>
          <w:sz w:val="22"/>
          <w:szCs w:val="22"/>
        </w:rPr>
        <w:t>1</w:t>
      </w:r>
      <w:r w:rsidR="00D84235">
        <w:rPr>
          <w:rFonts w:cs="Calibri"/>
          <w:b/>
          <w:bCs/>
          <w:sz w:val="22"/>
          <w:szCs w:val="22"/>
        </w:rPr>
        <w:t> </w:t>
      </w:r>
      <w:r w:rsidRPr="00ED4005">
        <w:rPr>
          <w:rFonts w:cs="Calibri"/>
          <w:b/>
          <w:bCs/>
          <w:sz w:val="22"/>
          <w:szCs w:val="22"/>
        </w:rPr>
        <w:t>100 reports of harmful interference</w:t>
      </w:r>
      <w:r w:rsidRPr="00ED4005">
        <w:rPr>
          <w:rFonts w:cs="Calibri"/>
          <w:sz w:val="22"/>
          <w:szCs w:val="22"/>
        </w:rPr>
        <w:t xml:space="preserve"> </w:t>
      </w:r>
      <w:r w:rsidRPr="00715509">
        <w:rPr>
          <w:rFonts w:cs="Calibri"/>
          <w:sz w:val="22"/>
          <w:szCs w:val="22"/>
        </w:rPr>
        <w:t>in 2024</w:t>
      </w:r>
      <w:r w:rsidRPr="00ED4005">
        <w:rPr>
          <w:rFonts w:cs="Calibri"/>
          <w:sz w:val="22"/>
          <w:szCs w:val="22"/>
        </w:rPr>
        <w:t>.</w:t>
      </w:r>
    </w:p>
    <w:p w14:paraId="31820B72" w14:textId="754A763D" w:rsidR="00C048B5" w:rsidRPr="00ED4005" w:rsidRDefault="00C048B5" w:rsidP="00AB7AE5">
      <w:pPr>
        <w:numPr>
          <w:ilvl w:val="0"/>
          <w:numId w:val="40"/>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715509">
        <w:rPr>
          <w:rFonts w:cs="Calibri"/>
          <w:sz w:val="22"/>
          <w:szCs w:val="22"/>
        </w:rPr>
        <w:t>Mobile to mobile (</w:t>
      </w:r>
      <w:r w:rsidRPr="00ED4005">
        <w:rPr>
          <w:rFonts w:cs="Calibri"/>
          <w:sz w:val="22"/>
          <w:szCs w:val="22"/>
        </w:rPr>
        <w:t>M2M</w:t>
      </w:r>
      <w:r w:rsidRPr="00715509">
        <w:rPr>
          <w:rFonts w:cs="Calibri"/>
          <w:sz w:val="22"/>
          <w:szCs w:val="22"/>
        </w:rPr>
        <w:t xml:space="preserve">) </w:t>
      </w:r>
      <w:r w:rsidRPr="00ED4005">
        <w:rPr>
          <w:rFonts w:cs="Calibri"/>
          <w:sz w:val="22"/>
          <w:szCs w:val="22"/>
        </w:rPr>
        <w:t xml:space="preserve">and </w:t>
      </w:r>
      <w:r w:rsidR="002E2E5C" w:rsidRPr="00715509">
        <w:rPr>
          <w:rFonts w:cs="Calibri"/>
          <w:sz w:val="22"/>
          <w:szCs w:val="22"/>
        </w:rPr>
        <w:t>Internet</w:t>
      </w:r>
      <w:r w:rsidRPr="00715509">
        <w:rPr>
          <w:rFonts w:cs="Calibri"/>
          <w:sz w:val="22"/>
          <w:szCs w:val="22"/>
        </w:rPr>
        <w:t xml:space="preserve"> of Things (</w:t>
      </w:r>
      <w:r w:rsidRPr="00ED4005">
        <w:rPr>
          <w:rFonts w:cs="Calibri"/>
          <w:sz w:val="22"/>
          <w:szCs w:val="22"/>
        </w:rPr>
        <w:t>IoT</w:t>
      </w:r>
      <w:r w:rsidRPr="00715509">
        <w:rPr>
          <w:rFonts w:cs="Calibri"/>
          <w:sz w:val="22"/>
          <w:szCs w:val="22"/>
        </w:rPr>
        <w:t>)</w:t>
      </w:r>
      <w:r w:rsidRPr="00ED4005">
        <w:rPr>
          <w:rFonts w:cs="Calibri"/>
          <w:sz w:val="22"/>
          <w:szCs w:val="22"/>
        </w:rPr>
        <w:t xml:space="preserve"> services</w:t>
      </w:r>
      <w:r w:rsidRPr="00715509">
        <w:rPr>
          <w:rFonts w:cs="Calibri"/>
          <w:sz w:val="22"/>
          <w:szCs w:val="22"/>
        </w:rPr>
        <w:t xml:space="preserve"> </w:t>
      </w:r>
      <w:r w:rsidR="57AADDFF" w:rsidRPr="2C0EAE0F">
        <w:rPr>
          <w:rFonts w:cs="Calibri"/>
          <w:sz w:val="22"/>
          <w:szCs w:val="22"/>
        </w:rPr>
        <w:t xml:space="preserve">result in a </w:t>
      </w:r>
      <w:r w:rsidR="00A12798">
        <w:rPr>
          <w:rFonts w:cs="Calibri"/>
          <w:sz w:val="22"/>
          <w:szCs w:val="22"/>
        </w:rPr>
        <w:t>g</w:t>
      </w:r>
      <w:r w:rsidRPr="00ED4005">
        <w:rPr>
          <w:rFonts w:cs="Calibri"/>
          <w:sz w:val="22"/>
          <w:szCs w:val="22"/>
        </w:rPr>
        <w:t xml:space="preserve">rowing demand for </w:t>
      </w:r>
      <w:r w:rsidRPr="00ED4005">
        <w:rPr>
          <w:rFonts w:cs="Calibri"/>
          <w:b/>
          <w:bCs/>
          <w:sz w:val="22"/>
          <w:szCs w:val="22"/>
        </w:rPr>
        <w:t xml:space="preserve">Numbering, Naming, Addressing, and Identification </w:t>
      </w:r>
      <w:r w:rsidRPr="00715509">
        <w:rPr>
          <w:rFonts w:cs="Calibri"/>
          <w:sz w:val="22"/>
          <w:szCs w:val="22"/>
        </w:rPr>
        <w:t>standards and coordination by ITU</w:t>
      </w:r>
      <w:r w:rsidRPr="00ED4005">
        <w:rPr>
          <w:rFonts w:cs="Calibri"/>
          <w:sz w:val="22"/>
          <w:szCs w:val="22"/>
        </w:rPr>
        <w:t>.</w:t>
      </w:r>
    </w:p>
    <w:p w14:paraId="64FDD4ED" w14:textId="77777777" w:rsidR="00C048B5" w:rsidRPr="00715509" w:rsidRDefault="00C048B5" w:rsidP="00AB7AE5">
      <w:pPr>
        <w:numPr>
          <w:ilvl w:val="0"/>
          <w:numId w:val="41"/>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ITU hosted the first </w:t>
      </w:r>
      <w:r w:rsidRPr="00ED4005">
        <w:rPr>
          <w:rFonts w:cs="Calibri"/>
          <w:b/>
          <w:bCs/>
          <w:sz w:val="22"/>
          <w:szCs w:val="22"/>
        </w:rPr>
        <w:t>AI Governance Day</w:t>
      </w:r>
      <w:r w:rsidRPr="00ED4005">
        <w:rPr>
          <w:rFonts w:cs="Calibri"/>
          <w:sz w:val="22"/>
          <w:szCs w:val="22"/>
        </w:rPr>
        <w:t xml:space="preserve"> during the AI for Good Global Summit </w:t>
      </w:r>
      <w:r w:rsidRPr="00715509">
        <w:rPr>
          <w:rFonts w:cs="Calibri"/>
          <w:sz w:val="22"/>
          <w:szCs w:val="22"/>
        </w:rPr>
        <w:t xml:space="preserve">in May </w:t>
      </w:r>
      <w:r w:rsidRPr="00ED4005">
        <w:rPr>
          <w:rFonts w:cs="Calibri"/>
          <w:sz w:val="22"/>
          <w:szCs w:val="22"/>
        </w:rPr>
        <w:t>2024.</w:t>
      </w:r>
    </w:p>
    <w:p w14:paraId="78DE70FE" w14:textId="5C0E41D6" w:rsidR="00C048B5" w:rsidRPr="00ED4005" w:rsidRDefault="00C048B5" w:rsidP="00AB7AE5">
      <w:pPr>
        <w:numPr>
          <w:ilvl w:val="0"/>
          <w:numId w:val="41"/>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The </w:t>
      </w:r>
      <w:r w:rsidRPr="00ED4005">
        <w:rPr>
          <w:rFonts w:cs="Calibri"/>
          <w:b/>
          <w:bCs/>
          <w:sz w:val="22"/>
          <w:szCs w:val="22"/>
        </w:rPr>
        <w:t>AI for Good Global Summit 2024</w:t>
      </w:r>
      <w:r w:rsidRPr="00ED4005">
        <w:rPr>
          <w:rFonts w:cs="Calibri"/>
          <w:sz w:val="22"/>
          <w:szCs w:val="22"/>
        </w:rPr>
        <w:t xml:space="preserve"> </w:t>
      </w:r>
      <w:r w:rsidR="00AC5E4F">
        <w:rPr>
          <w:rFonts w:cs="Calibri"/>
          <w:sz w:val="22"/>
          <w:szCs w:val="22"/>
        </w:rPr>
        <w:t xml:space="preserve">(combined with the WSIS+20 Forum High-Level Event) </w:t>
      </w:r>
      <w:r w:rsidRPr="00ED4005">
        <w:rPr>
          <w:rFonts w:cs="Calibri"/>
          <w:sz w:val="22"/>
          <w:szCs w:val="22"/>
        </w:rPr>
        <w:t xml:space="preserve">attracted over </w:t>
      </w:r>
      <w:r w:rsidRPr="00ED4005">
        <w:rPr>
          <w:rFonts w:cs="Calibri"/>
          <w:b/>
          <w:bCs/>
          <w:sz w:val="22"/>
          <w:szCs w:val="22"/>
        </w:rPr>
        <w:t>5</w:t>
      </w:r>
      <w:r w:rsidR="00D84235">
        <w:rPr>
          <w:rFonts w:cs="Calibri"/>
          <w:b/>
          <w:bCs/>
          <w:sz w:val="22"/>
          <w:szCs w:val="22"/>
        </w:rPr>
        <w:t> </w:t>
      </w:r>
      <w:r w:rsidRPr="00ED4005">
        <w:rPr>
          <w:rFonts w:cs="Calibri"/>
          <w:b/>
          <w:bCs/>
          <w:sz w:val="22"/>
          <w:szCs w:val="22"/>
        </w:rPr>
        <w:t>000 on-site participants</w:t>
      </w:r>
      <w:r w:rsidRPr="00ED4005">
        <w:rPr>
          <w:rFonts w:cs="Calibri"/>
          <w:sz w:val="22"/>
          <w:szCs w:val="22"/>
        </w:rPr>
        <w:t xml:space="preserve"> and </w:t>
      </w:r>
      <w:r w:rsidRPr="00ED4005">
        <w:rPr>
          <w:rFonts w:cs="Calibri"/>
          <w:b/>
          <w:bCs/>
          <w:sz w:val="22"/>
          <w:szCs w:val="22"/>
        </w:rPr>
        <w:t>900</w:t>
      </w:r>
      <w:r w:rsidR="00D84235">
        <w:rPr>
          <w:rFonts w:cs="Calibri"/>
          <w:b/>
          <w:bCs/>
          <w:sz w:val="22"/>
          <w:szCs w:val="22"/>
        </w:rPr>
        <w:t> </w:t>
      </w:r>
      <w:r w:rsidRPr="00ED4005">
        <w:rPr>
          <w:rFonts w:cs="Calibri"/>
          <w:b/>
          <w:bCs/>
          <w:sz w:val="22"/>
          <w:szCs w:val="22"/>
        </w:rPr>
        <w:t>000 views</w:t>
      </w:r>
      <w:r w:rsidRPr="00ED4005">
        <w:rPr>
          <w:rFonts w:cs="Calibri"/>
          <w:sz w:val="22"/>
          <w:szCs w:val="22"/>
        </w:rPr>
        <w:t xml:space="preserve"> online.</w:t>
      </w:r>
    </w:p>
    <w:p w14:paraId="7EC67DE9" w14:textId="77777777" w:rsidR="00C048B5" w:rsidRPr="00ED4005" w:rsidRDefault="00C048B5" w:rsidP="00AB7AE5">
      <w:pPr>
        <w:numPr>
          <w:ilvl w:val="0"/>
          <w:numId w:val="43"/>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The ITU Focus Group on metaverse produced a </w:t>
      </w:r>
      <w:r w:rsidRPr="00715509">
        <w:rPr>
          <w:rFonts w:cs="Calibri"/>
          <w:sz w:val="22"/>
          <w:szCs w:val="22"/>
        </w:rPr>
        <w:t xml:space="preserve">roadmap for </w:t>
      </w:r>
      <w:r w:rsidRPr="00ED4005">
        <w:rPr>
          <w:rFonts w:cs="Calibri"/>
          <w:sz w:val="22"/>
          <w:szCs w:val="22"/>
        </w:rPr>
        <w:t>definition</w:t>
      </w:r>
      <w:r w:rsidRPr="00715509">
        <w:rPr>
          <w:rFonts w:cs="Calibri"/>
          <w:sz w:val="22"/>
          <w:szCs w:val="22"/>
        </w:rPr>
        <w:t>s</w:t>
      </w:r>
      <w:r w:rsidRPr="00ED4005">
        <w:rPr>
          <w:rFonts w:cs="Calibri"/>
          <w:sz w:val="22"/>
          <w:szCs w:val="22"/>
        </w:rPr>
        <w:t xml:space="preserve"> and standardization.</w:t>
      </w:r>
    </w:p>
    <w:p w14:paraId="1FD956B2" w14:textId="77777777" w:rsidR="00C048B5" w:rsidRPr="00ED4005" w:rsidRDefault="00C048B5" w:rsidP="00AB7AE5">
      <w:pPr>
        <w:numPr>
          <w:ilvl w:val="0"/>
          <w:numId w:val="43"/>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The </w:t>
      </w:r>
      <w:r w:rsidRPr="00ED4005">
        <w:rPr>
          <w:rFonts w:cs="Calibri"/>
          <w:b/>
          <w:bCs/>
          <w:sz w:val="22"/>
          <w:szCs w:val="22"/>
        </w:rPr>
        <w:t>Metaverse Think-a-Thon 2024</w:t>
      </w:r>
      <w:r w:rsidRPr="00ED4005">
        <w:rPr>
          <w:rFonts w:cs="Calibri"/>
          <w:sz w:val="22"/>
          <w:szCs w:val="22"/>
        </w:rPr>
        <w:t xml:space="preserve"> challenged participants to design solutions for smart, sustainable cities.</w:t>
      </w:r>
    </w:p>
    <w:p w14:paraId="6FDFB8A9" w14:textId="5C23C40A" w:rsidR="00C048B5" w:rsidRPr="00ED4005" w:rsidRDefault="00C048B5" w:rsidP="00AB7AE5">
      <w:pPr>
        <w:numPr>
          <w:ilvl w:val="0"/>
          <w:numId w:val="44"/>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b/>
          <w:bCs/>
          <w:sz w:val="22"/>
          <w:szCs w:val="22"/>
        </w:rPr>
      </w:pPr>
      <w:r w:rsidRPr="00715509">
        <w:rPr>
          <w:rFonts w:cs="Calibri"/>
          <w:b/>
          <w:bCs/>
          <w:sz w:val="22"/>
          <w:szCs w:val="22"/>
        </w:rPr>
        <w:t xml:space="preserve">ITU’s Global Standards Symposium (GSS-24) </w:t>
      </w:r>
      <w:r w:rsidRPr="00715509">
        <w:rPr>
          <w:rFonts w:cs="Calibri"/>
          <w:sz w:val="22"/>
          <w:szCs w:val="22"/>
        </w:rPr>
        <w:t>attracted</w:t>
      </w:r>
      <w:r w:rsidRPr="00ED4005">
        <w:rPr>
          <w:rFonts w:cs="Calibri"/>
          <w:sz w:val="22"/>
          <w:szCs w:val="22"/>
        </w:rPr>
        <w:t xml:space="preserve"> over </w:t>
      </w:r>
      <w:r w:rsidRPr="00ED4005">
        <w:rPr>
          <w:rFonts w:cs="Calibri"/>
          <w:b/>
          <w:bCs/>
          <w:sz w:val="22"/>
          <w:szCs w:val="22"/>
        </w:rPr>
        <w:t>1</w:t>
      </w:r>
      <w:r w:rsidR="00D84235">
        <w:rPr>
          <w:rFonts w:cs="Calibri"/>
          <w:b/>
          <w:bCs/>
          <w:sz w:val="22"/>
          <w:szCs w:val="22"/>
        </w:rPr>
        <w:t> </w:t>
      </w:r>
      <w:r w:rsidRPr="00ED4005">
        <w:rPr>
          <w:rFonts w:cs="Calibri"/>
          <w:b/>
          <w:bCs/>
          <w:sz w:val="22"/>
          <w:szCs w:val="22"/>
        </w:rPr>
        <w:t>800 participants</w:t>
      </w:r>
      <w:r w:rsidRPr="00715509">
        <w:rPr>
          <w:rFonts w:cs="Calibri"/>
          <w:sz w:val="22"/>
          <w:szCs w:val="22"/>
        </w:rPr>
        <w:t xml:space="preserve"> to explore </w:t>
      </w:r>
      <w:r w:rsidRPr="00ED4005">
        <w:rPr>
          <w:rFonts w:cs="Calibri"/>
          <w:sz w:val="22"/>
          <w:szCs w:val="22"/>
        </w:rPr>
        <w:t>emerging technologies and international standards</w:t>
      </w:r>
      <w:r w:rsidRPr="00715509">
        <w:rPr>
          <w:rFonts w:cs="Calibri"/>
          <w:sz w:val="22"/>
          <w:szCs w:val="22"/>
        </w:rPr>
        <w:t xml:space="preserve"> ahead of WTSA-24.</w:t>
      </w:r>
    </w:p>
    <w:p w14:paraId="74BC2EF7" w14:textId="7B93E993" w:rsidR="00C048B5" w:rsidRPr="00ED4005" w:rsidRDefault="00C048B5" w:rsidP="00AB7AE5">
      <w:pPr>
        <w:numPr>
          <w:ilvl w:val="0"/>
          <w:numId w:val="45"/>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ED4005">
        <w:rPr>
          <w:rFonts w:cs="Calibri"/>
          <w:sz w:val="22"/>
          <w:szCs w:val="22"/>
        </w:rPr>
        <w:t xml:space="preserve">ITU Academia membership, the ITU Journal, and ITU Kaleidoscope conferences </w:t>
      </w:r>
      <w:r w:rsidR="4635DA8D" w:rsidRPr="2C0EAE0F">
        <w:rPr>
          <w:rFonts w:cs="Calibri"/>
          <w:sz w:val="22"/>
          <w:szCs w:val="22"/>
        </w:rPr>
        <w:t xml:space="preserve">continue to </w:t>
      </w:r>
      <w:r w:rsidRPr="00ED4005">
        <w:rPr>
          <w:rFonts w:cs="Calibri"/>
          <w:sz w:val="22"/>
          <w:szCs w:val="22"/>
        </w:rPr>
        <w:t>foster collaboration between academia and industry.</w:t>
      </w:r>
    </w:p>
    <w:p w14:paraId="7262B86E" w14:textId="0EE38F25" w:rsidR="00C048B5" w:rsidRPr="00585553" w:rsidRDefault="00C048B5" w:rsidP="00AB7AE5">
      <w:pPr>
        <w:numPr>
          <w:ilvl w:val="0"/>
          <w:numId w:val="46"/>
        </w:numPr>
        <w:tabs>
          <w:tab w:val="clear" w:pos="567"/>
          <w:tab w:val="clear" w:pos="1134"/>
          <w:tab w:val="clear" w:pos="1701"/>
          <w:tab w:val="clear" w:pos="2268"/>
          <w:tab w:val="clear" w:pos="2835"/>
        </w:tabs>
        <w:overflowPunct/>
        <w:autoSpaceDE/>
        <w:autoSpaceDN/>
        <w:adjustRightInd/>
        <w:spacing w:before="100" w:after="100"/>
        <w:ind w:left="567" w:hanging="283"/>
        <w:jc w:val="both"/>
        <w:textAlignment w:val="auto"/>
        <w:rPr>
          <w:rFonts w:cs="Calibri"/>
          <w:sz w:val="22"/>
          <w:szCs w:val="22"/>
        </w:rPr>
      </w:pPr>
      <w:r w:rsidRPr="00585553">
        <w:rPr>
          <w:rFonts w:cs="Calibri"/>
          <w:sz w:val="22"/>
          <w:szCs w:val="22"/>
        </w:rPr>
        <w:t xml:space="preserve">ITU surpassed </w:t>
      </w:r>
      <w:r w:rsidRPr="00585553">
        <w:rPr>
          <w:rFonts w:cs="Calibri"/>
          <w:b/>
          <w:bCs/>
          <w:sz w:val="22"/>
          <w:szCs w:val="22"/>
        </w:rPr>
        <w:t>1</w:t>
      </w:r>
      <w:r w:rsidR="00D84235">
        <w:rPr>
          <w:rFonts w:cs="Calibri"/>
          <w:b/>
          <w:bCs/>
          <w:sz w:val="22"/>
          <w:szCs w:val="22"/>
        </w:rPr>
        <w:t> </w:t>
      </w:r>
      <w:r w:rsidRPr="00585553">
        <w:rPr>
          <w:rFonts w:cs="Calibri"/>
          <w:b/>
          <w:bCs/>
          <w:sz w:val="22"/>
          <w:szCs w:val="22"/>
        </w:rPr>
        <w:t>000 Sector Members, Associates, and Academia</w:t>
      </w:r>
      <w:r w:rsidRPr="00715509">
        <w:rPr>
          <w:rFonts w:cs="Calibri"/>
          <w:b/>
          <w:bCs/>
          <w:sz w:val="22"/>
          <w:szCs w:val="22"/>
        </w:rPr>
        <w:t xml:space="preserve"> in 2024</w:t>
      </w:r>
      <w:r w:rsidRPr="00585553">
        <w:rPr>
          <w:rFonts w:cs="Calibri"/>
          <w:sz w:val="22"/>
          <w:szCs w:val="22"/>
        </w:rPr>
        <w:t xml:space="preserve">, </w:t>
      </w:r>
      <w:r w:rsidRPr="00715509">
        <w:rPr>
          <w:rFonts w:cs="Calibri"/>
          <w:sz w:val="22"/>
          <w:szCs w:val="22"/>
        </w:rPr>
        <w:t>its</w:t>
      </w:r>
      <w:r w:rsidRPr="00585553">
        <w:rPr>
          <w:rFonts w:cs="Calibri"/>
          <w:sz w:val="22"/>
          <w:szCs w:val="22"/>
        </w:rPr>
        <w:t xml:space="preserve"> highest level of membership ever.</w:t>
      </w:r>
    </w:p>
    <w:p w14:paraId="03797438" w14:textId="1AE40395" w:rsidR="4447FCC0" w:rsidRDefault="00AE0870" w:rsidP="00AB7AE5">
      <w:pPr>
        <w:numPr>
          <w:ilvl w:val="0"/>
          <w:numId w:val="46"/>
        </w:numPr>
        <w:tabs>
          <w:tab w:val="clear" w:pos="567"/>
          <w:tab w:val="clear" w:pos="1134"/>
          <w:tab w:val="clear" w:pos="1701"/>
          <w:tab w:val="clear" w:pos="2268"/>
          <w:tab w:val="clear" w:pos="2835"/>
        </w:tabs>
        <w:spacing w:before="100" w:after="100"/>
        <w:ind w:left="567" w:hanging="283"/>
        <w:jc w:val="both"/>
        <w:rPr>
          <w:rFonts w:cs="Calibri"/>
          <w:sz w:val="22"/>
          <w:szCs w:val="22"/>
        </w:rPr>
      </w:pPr>
      <w:r>
        <w:rPr>
          <w:rFonts w:cs="Calibri"/>
          <w:sz w:val="22"/>
          <w:szCs w:val="22"/>
        </w:rPr>
        <w:t xml:space="preserve">In 2024 </w:t>
      </w:r>
      <w:r w:rsidRPr="00AE0870">
        <w:rPr>
          <w:rFonts w:cs="Calibri"/>
          <w:sz w:val="22"/>
          <w:szCs w:val="22"/>
        </w:rPr>
        <w:t xml:space="preserve">the </w:t>
      </w:r>
      <w:r w:rsidRPr="00AE0870">
        <w:rPr>
          <w:rFonts w:cs="Calibri"/>
          <w:b/>
          <w:bCs/>
          <w:sz w:val="22"/>
          <w:szCs w:val="22"/>
        </w:rPr>
        <w:t>Republic of Palau</w:t>
      </w:r>
      <w:r w:rsidRPr="00AE0870">
        <w:rPr>
          <w:rFonts w:cs="Calibri"/>
          <w:sz w:val="22"/>
          <w:szCs w:val="22"/>
        </w:rPr>
        <w:t xml:space="preserve"> became </w:t>
      </w:r>
      <w:r w:rsidR="003A1794">
        <w:rPr>
          <w:rFonts w:cs="Calibri"/>
          <w:sz w:val="22"/>
          <w:szCs w:val="22"/>
        </w:rPr>
        <w:t>ITU’s</w:t>
      </w:r>
      <w:r w:rsidRPr="00AE0870">
        <w:rPr>
          <w:rFonts w:cs="Calibri"/>
          <w:sz w:val="22"/>
          <w:szCs w:val="22"/>
        </w:rPr>
        <w:t xml:space="preserve"> 194th Member State</w:t>
      </w:r>
    </w:p>
    <w:p w14:paraId="504A5A28" w14:textId="77777777" w:rsidR="00C048B5" w:rsidRPr="00585553" w:rsidRDefault="00C048B5" w:rsidP="00A00703">
      <w:pPr>
        <w:numPr>
          <w:ilvl w:val="0"/>
          <w:numId w:val="47"/>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715509">
        <w:rPr>
          <w:rFonts w:cs="Calibri"/>
          <w:sz w:val="22"/>
          <w:szCs w:val="22"/>
        </w:rPr>
        <w:t>ITU’s</w:t>
      </w:r>
      <w:r w:rsidRPr="00585553">
        <w:rPr>
          <w:rFonts w:cs="Calibri"/>
          <w:sz w:val="22"/>
          <w:szCs w:val="22"/>
        </w:rPr>
        <w:t xml:space="preserve"> </w:t>
      </w:r>
      <w:r w:rsidRPr="00585553">
        <w:rPr>
          <w:rFonts w:cs="Calibri"/>
          <w:b/>
          <w:bCs/>
          <w:sz w:val="22"/>
          <w:szCs w:val="22"/>
        </w:rPr>
        <w:t>Network of Women (NoW)</w:t>
      </w:r>
      <w:r w:rsidRPr="00585553">
        <w:rPr>
          <w:rFonts w:cs="Calibri"/>
          <w:sz w:val="22"/>
          <w:szCs w:val="22"/>
        </w:rPr>
        <w:t xml:space="preserve"> initiatives increased women's leadership appointments, with 26% representation at WTSA-24.</w:t>
      </w:r>
    </w:p>
    <w:p w14:paraId="72EF7AC5" w14:textId="77777777" w:rsidR="00990E49" w:rsidRDefault="00C048B5" w:rsidP="00A00703">
      <w:pPr>
        <w:numPr>
          <w:ilvl w:val="0"/>
          <w:numId w:val="48"/>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lastRenderedPageBreak/>
        <w:t xml:space="preserve">The </w:t>
      </w:r>
      <w:r w:rsidRPr="00585553">
        <w:rPr>
          <w:rFonts w:cs="Calibri"/>
          <w:b/>
          <w:bCs/>
          <w:sz w:val="22"/>
          <w:szCs w:val="22"/>
        </w:rPr>
        <w:t>Youth Task Force</w:t>
      </w:r>
      <w:r w:rsidRPr="00585553">
        <w:rPr>
          <w:rFonts w:cs="Calibri"/>
          <w:sz w:val="22"/>
          <w:szCs w:val="22"/>
        </w:rPr>
        <w:t xml:space="preserve"> and </w:t>
      </w:r>
      <w:r w:rsidRPr="00585553">
        <w:rPr>
          <w:rFonts w:cs="Calibri"/>
          <w:b/>
          <w:bCs/>
          <w:sz w:val="22"/>
          <w:szCs w:val="22"/>
        </w:rPr>
        <w:t>Generation Connect Young Leadership Programme</w:t>
      </w:r>
      <w:r w:rsidRPr="00585553">
        <w:rPr>
          <w:rFonts w:cs="Calibri"/>
          <w:sz w:val="22"/>
          <w:szCs w:val="22"/>
        </w:rPr>
        <w:t xml:space="preserve"> promote youth engagement and digital skills development.</w:t>
      </w:r>
      <w:r w:rsidR="0038547C">
        <w:rPr>
          <w:rFonts w:cs="Calibri"/>
          <w:sz w:val="22"/>
          <w:szCs w:val="22"/>
        </w:rPr>
        <w:t xml:space="preserve"> </w:t>
      </w:r>
    </w:p>
    <w:p w14:paraId="53AD9AF9" w14:textId="4C159484" w:rsidR="00C048B5" w:rsidRPr="00585553" w:rsidRDefault="00C048B5" w:rsidP="00A00703">
      <w:pPr>
        <w:numPr>
          <w:ilvl w:val="0"/>
          <w:numId w:val="48"/>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The number of countries with regulatory frameworks for tech accessibility for persons with disabilities increased by </w:t>
      </w:r>
      <w:r w:rsidRPr="00585553">
        <w:rPr>
          <w:rFonts w:cs="Calibri"/>
          <w:b/>
          <w:bCs/>
          <w:sz w:val="22"/>
          <w:szCs w:val="22"/>
        </w:rPr>
        <w:t>8.5%</w:t>
      </w:r>
      <w:r w:rsidRPr="00585553">
        <w:rPr>
          <w:rFonts w:cs="Calibri"/>
          <w:sz w:val="22"/>
          <w:szCs w:val="22"/>
        </w:rPr>
        <w:t xml:space="preserve">, reaching </w:t>
      </w:r>
      <w:r w:rsidRPr="00585553">
        <w:rPr>
          <w:rFonts w:cs="Calibri"/>
          <w:b/>
          <w:bCs/>
          <w:sz w:val="22"/>
          <w:szCs w:val="22"/>
        </w:rPr>
        <w:t>127 countries</w:t>
      </w:r>
      <w:r w:rsidRPr="00585553">
        <w:rPr>
          <w:rFonts w:cs="Calibri"/>
          <w:sz w:val="22"/>
          <w:szCs w:val="22"/>
        </w:rPr>
        <w:t xml:space="preserve"> in 2024.</w:t>
      </w:r>
    </w:p>
    <w:p w14:paraId="461F2A88" w14:textId="0B1CF533" w:rsidR="00C048B5" w:rsidRPr="00585553" w:rsidRDefault="00C048B5" w:rsidP="00A00703">
      <w:pPr>
        <w:numPr>
          <w:ilvl w:val="0"/>
          <w:numId w:val="48"/>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ITU's online training courses registered </w:t>
      </w:r>
      <w:r w:rsidRPr="00585553">
        <w:rPr>
          <w:rFonts w:cs="Calibri"/>
          <w:b/>
          <w:bCs/>
          <w:sz w:val="22"/>
          <w:szCs w:val="22"/>
        </w:rPr>
        <w:t>1</w:t>
      </w:r>
      <w:r w:rsidR="00D84235">
        <w:rPr>
          <w:rFonts w:cs="Calibri"/>
          <w:b/>
          <w:bCs/>
          <w:sz w:val="22"/>
          <w:szCs w:val="22"/>
        </w:rPr>
        <w:t> </w:t>
      </w:r>
      <w:r w:rsidRPr="00585553">
        <w:rPr>
          <w:rFonts w:cs="Calibri"/>
          <w:b/>
          <w:bCs/>
          <w:sz w:val="22"/>
          <w:szCs w:val="22"/>
        </w:rPr>
        <w:t>055 participants</w:t>
      </w:r>
      <w:r w:rsidRPr="00585553">
        <w:rPr>
          <w:rFonts w:cs="Calibri"/>
          <w:sz w:val="22"/>
          <w:szCs w:val="22"/>
        </w:rPr>
        <w:t xml:space="preserve"> from 144 countries.</w:t>
      </w:r>
    </w:p>
    <w:p w14:paraId="34AF88B6" w14:textId="5447FCDA" w:rsidR="00C048B5" w:rsidRPr="00585553" w:rsidRDefault="00C048B5" w:rsidP="00A00703">
      <w:pPr>
        <w:numPr>
          <w:ilvl w:val="0"/>
          <w:numId w:val="49"/>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ITU </w:t>
      </w:r>
      <w:r w:rsidR="000606F0">
        <w:rPr>
          <w:rFonts w:cs="Calibri"/>
          <w:sz w:val="22"/>
          <w:szCs w:val="22"/>
        </w:rPr>
        <w:t>continued building partnerships</w:t>
      </w:r>
      <w:r w:rsidRPr="00585553">
        <w:rPr>
          <w:rFonts w:cs="Calibri"/>
          <w:sz w:val="22"/>
          <w:szCs w:val="22"/>
        </w:rPr>
        <w:t xml:space="preserve"> to reduce tech-related emissions, promote green standards, </w:t>
      </w:r>
      <w:r w:rsidRPr="00AB7AE5">
        <w:rPr>
          <w:rFonts w:cs="Calibri"/>
          <w:spacing w:val="-4"/>
          <w:sz w:val="22"/>
          <w:szCs w:val="22"/>
        </w:rPr>
        <w:t>and manage e-waste</w:t>
      </w:r>
      <w:r w:rsidR="0040174C" w:rsidRPr="00AB7AE5">
        <w:rPr>
          <w:rFonts w:cs="Calibri"/>
          <w:spacing w:val="-4"/>
          <w:sz w:val="22"/>
          <w:szCs w:val="22"/>
        </w:rPr>
        <w:t>, with t</w:t>
      </w:r>
      <w:r w:rsidR="000606F0" w:rsidRPr="00AB7AE5">
        <w:rPr>
          <w:rFonts w:cs="Calibri"/>
          <w:spacing w:val="-4"/>
          <w:sz w:val="22"/>
          <w:szCs w:val="22"/>
        </w:rPr>
        <w:t xml:space="preserve">he </w:t>
      </w:r>
      <w:r w:rsidR="000606F0" w:rsidRPr="00AB7AE5">
        <w:rPr>
          <w:rFonts w:cs="Calibri"/>
          <w:b/>
          <w:bCs/>
          <w:spacing w:val="-4"/>
          <w:sz w:val="22"/>
          <w:szCs w:val="22"/>
        </w:rPr>
        <w:t>COP29 Declar</w:t>
      </w:r>
      <w:r w:rsidR="0040174C" w:rsidRPr="00AB7AE5">
        <w:rPr>
          <w:rFonts w:cs="Calibri"/>
          <w:b/>
          <w:bCs/>
          <w:spacing w:val="-4"/>
          <w:sz w:val="22"/>
          <w:szCs w:val="22"/>
        </w:rPr>
        <w:t>ation on Green Digital Action</w:t>
      </w:r>
      <w:r w:rsidR="0040174C" w:rsidRPr="00AB7AE5">
        <w:rPr>
          <w:rFonts w:cs="Calibri"/>
          <w:spacing w:val="-4"/>
          <w:sz w:val="22"/>
          <w:szCs w:val="22"/>
        </w:rPr>
        <w:t xml:space="preserve"> receiving endorsements from over 80 countries and about 1</w:t>
      </w:r>
      <w:r w:rsidR="00D707EE" w:rsidRPr="00AB7AE5">
        <w:rPr>
          <w:rFonts w:cs="Calibri"/>
          <w:spacing w:val="-4"/>
          <w:sz w:val="22"/>
          <w:szCs w:val="22"/>
        </w:rPr>
        <w:t> </w:t>
      </w:r>
      <w:r w:rsidR="0040174C" w:rsidRPr="00AB7AE5">
        <w:rPr>
          <w:rFonts w:cs="Calibri"/>
          <w:spacing w:val="-4"/>
          <w:sz w:val="22"/>
          <w:szCs w:val="22"/>
        </w:rPr>
        <w:t xml:space="preserve">800 </w:t>
      </w:r>
      <w:r w:rsidR="002306B2" w:rsidRPr="00AB7AE5">
        <w:rPr>
          <w:rFonts w:cs="Calibri"/>
          <w:spacing w:val="-4"/>
          <w:sz w:val="22"/>
          <w:szCs w:val="22"/>
        </w:rPr>
        <w:t>companies, organizations and other stakeholders.</w:t>
      </w:r>
    </w:p>
    <w:p w14:paraId="4D1C77C5" w14:textId="77777777" w:rsidR="00C048B5" w:rsidRPr="00585553" w:rsidRDefault="00C048B5" w:rsidP="00A00703">
      <w:pPr>
        <w:numPr>
          <w:ilvl w:val="0"/>
          <w:numId w:val="49"/>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The </w:t>
      </w:r>
      <w:r w:rsidRPr="00585553">
        <w:rPr>
          <w:rFonts w:cs="Calibri"/>
          <w:b/>
          <w:bCs/>
          <w:sz w:val="22"/>
          <w:szCs w:val="22"/>
        </w:rPr>
        <w:t>Global Initiative on Resilience to Natural Hazards through AI Solutions</w:t>
      </w:r>
      <w:r w:rsidRPr="00585553">
        <w:rPr>
          <w:rFonts w:cs="Calibri"/>
          <w:sz w:val="22"/>
          <w:szCs w:val="22"/>
        </w:rPr>
        <w:t xml:space="preserve"> explores leveraging AI for disaster management.</w:t>
      </w:r>
    </w:p>
    <w:p w14:paraId="582BAF9C" w14:textId="77777777" w:rsidR="00C048B5" w:rsidRDefault="00C048B5" w:rsidP="00A00703">
      <w:pPr>
        <w:numPr>
          <w:ilvl w:val="0"/>
          <w:numId w:val="49"/>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ITU's </w:t>
      </w:r>
      <w:r w:rsidRPr="00585553">
        <w:rPr>
          <w:rFonts w:cs="Calibri"/>
          <w:b/>
          <w:bCs/>
          <w:sz w:val="22"/>
          <w:szCs w:val="22"/>
        </w:rPr>
        <w:t>Greening Digital Dashboard</w:t>
      </w:r>
      <w:r w:rsidRPr="00585553">
        <w:rPr>
          <w:rFonts w:cs="Calibri"/>
          <w:sz w:val="22"/>
          <w:szCs w:val="22"/>
        </w:rPr>
        <w:t xml:space="preserve"> tracks the climate impact of the tech sector.</w:t>
      </w:r>
    </w:p>
    <w:p w14:paraId="3BCB9657" w14:textId="77777777" w:rsidR="009A10BE" w:rsidRPr="00585553" w:rsidRDefault="009A10BE" w:rsidP="00A00703">
      <w:pPr>
        <w:numPr>
          <w:ilvl w:val="0"/>
          <w:numId w:val="49"/>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Pr>
          <w:rFonts w:cs="Calibri"/>
          <w:sz w:val="22"/>
          <w:szCs w:val="22"/>
        </w:rPr>
        <w:t>The</w:t>
      </w:r>
      <w:r w:rsidRPr="00E15AF5">
        <w:rPr>
          <w:rFonts w:cs="Calibri"/>
          <w:b/>
          <w:bCs/>
          <w:sz w:val="22"/>
          <w:szCs w:val="22"/>
        </w:rPr>
        <w:t xml:space="preserve"> WSIS+20 Forum</w:t>
      </w:r>
      <w:r>
        <w:rPr>
          <w:rFonts w:cs="Calibri"/>
          <w:sz w:val="22"/>
          <w:szCs w:val="22"/>
        </w:rPr>
        <w:t xml:space="preserve"> High-Level Event 2024 welcomed </w:t>
      </w:r>
      <w:r w:rsidRPr="004B4A62">
        <w:rPr>
          <w:rFonts w:cs="Calibri"/>
          <w:sz w:val="22"/>
          <w:szCs w:val="22"/>
        </w:rPr>
        <w:t xml:space="preserve">42 Ministers and </w:t>
      </w:r>
      <w:r>
        <w:rPr>
          <w:rFonts w:cs="Calibri"/>
          <w:sz w:val="22"/>
          <w:szCs w:val="22"/>
        </w:rPr>
        <w:t xml:space="preserve">convened </w:t>
      </w:r>
      <w:r w:rsidRPr="004B4A62">
        <w:rPr>
          <w:rFonts w:cs="Calibri"/>
          <w:sz w:val="22"/>
          <w:szCs w:val="22"/>
        </w:rPr>
        <w:t>227 sessions over 5 days</w:t>
      </w:r>
      <w:r>
        <w:rPr>
          <w:rFonts w:cs="Calibri"/>
          <w:sz w:val="22"/>
          <w:szCs w:val="22"/>
        </w:rPr>
        <w:t>.</w:t>
      </w:r>
    </w:p>
    <w:p w14:paraId="1EFCD4DB" w14:textId="77777777" w:rsidR="00C048B5" w:rsidRPr="00585553" w:rsidRDefault="00C048B5" w:rsidP="00A00703">
      <w:pPr>
        <w:numPr>
          <w:ilvl w:val="0"/>
          <w:numId w:val="50"/>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The </w:t>
      </w:r>
      <w:r w:rsidRPr="00715509">
        <w:rPr>
          <w:rFonts w:cs="Calibri"/>
          <w:sz w:val="22"/>
          <w:szCs w:val="22"/>
        </w:rPr>
        <w:t xml:space="preserve">ITU/UNESCO </w:t>
      </w:r>
      <w:r w:rsidRPr="00585553">
        <w:rPr>
          <w:rFonts w:cs="Calibri"/>
          <w:b/>
          <w:bCs/>
          <w:sz w:val="22"/>
          <w:szCs w:val="22"/>
        </w:rPr>
        <w:t>Broadband Commission for Sustainable Development</w:t>
      </w:r>
      <w:r w:rsidRPr="00585553">
        <w:rPr>
          <w:rFonts w:cs="Calibri"/>
          <w:sz w:val="22"/>
          <w:szCs w:val="22"/>
        </w:rPr>
        <w:t xml:space="preserve"> launched a new </w:t>
      </w:r>
      <w:r w:rsidRPr="00715509">
        <w:rPr>
          <w:rFonts w:cs="Calibri"/>
          <w:sz w:val="22"/>
          <w:szCs w:val="22"/>
        </w:rPr>
        <w:t>w</w:t>
      </w:r>
      <w:r w:rsidRPr="00585553">
        <w:rPr>
          <w:rFonts w:cs="Calibri"/>
          <w:sz w:val="22"/>
          <w:szCs w:val="22"/>
        </w:rPr>
        <w:t xml:space="preserve">orking </w:t>
      </w:r>
      <w:r w:rsidRPr="00715509">
        <w:rPr>
          <w:rFonts w:cs="Calibri"/>
          <w:sz w:val="22"/>
          <w:szCs w:val="22"/>
        </w:rPr>
        <w:t>g</w:t>
      </w:r>
      <w:r w:rsidRPr="00585553">
        <w:rPr>
          <w:rFonts w:cs="Calibri"/>
          <w:sz w:val="22"/>
          <w:szCs w:val="22"/>
        </w:rPr>
        <w:t xml:space="preserve">roup on </w:t>
      </w:r>
      <w:r w:rsidRPr="00715509">
        <w:rPr>
          <w:rFonts w:cs="Calibri"/>
          <w:sz w:val="22"/>
          <w:szCs w:val="22"/>
        </w:rPr>
        <w:t>d</w:t>
      </w:r>
      <w:r w:rsidRPr="00585553">
        <w:rPr>
          <w:rFonts w:cs="Calibri"/>
          <w:sz w:val="22"/>
          <w:szCs w:val="22"/>
        </w:rPr>
        <w:t xml:space="preserve">ata </w:t>
      </w:r>
      <w:r w:rsidRPr="00715509">
        <w:rPr>
          <w:rFonts w:cs="Calibri"/>
          <w:sz w:val="22"/>
          <w:szCs w:val="22"/>
        </w:rPr>
        <w:t>g</w:t>
      </w:r>
      <w:r w:rsidRPr="00585553">
        <w:rPr>
          <w:rFonts w:cs="Calibri"/>
          <w:sz w:val="22"/>
          <w:szCs w:val="22"/>
        </w:rPr>
        <w:t>overnance</w:t>
      </w:r>
      <w:r w:rsidRPr="00715509">
        <w:rPr>
          <w:rFonts w:cs="Calibri"/>
          <w:sz w:val="22"/>
          <w:szCs w:val="22"/>
        </w:rPr>
        <w:t xml:space="preserve"> in 2024</w:t>
      </w:r>
      <w:r w:rsidRPr="00585553">
        <w:rPr>
          <w:rFonts w:cs="Calibri"/>
          <w:sz w:val="22"/>
          <w:szCs w:val="22"/>
        </w:rPr>
        <w:t>.</w:t>
      </w:r>
    </w:p>
    <w:p w14:paraId="647E9F96" w14:textId="77777777" w:rsidR="00C048B5" w:rsidRPr="00585553" w:rsidRDefault="00C048B5" w:rsidP="00A00703">
      <w:pPr>
        <w:numPr>
          <w:ilvl w:val="0"/>
          <w:numId w:val="50"/>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The </w:t>
      </w:r>
      <w:r w:rsidRPr="00585553">
        <w:rPr>
          <w:rFonts w:cs="Calibri"/>
          <w:b/>
          <w:bCs/>
          <w:sz w:val="22"/>
          <w:szCs w:val="22"/>
        </w:rPr>
        <w:t>EQUALS Global Partnership</w:t>
      </w:r>
      <w:r w:rsidRPr="00585553">
        <w:rPr>
          <w:rFonts w:cs="Calibri"/>
          <w:sz w:val="22"/>
          <w:szCs w:val="22"/>
        </w:rPr>
        <w:t xml:space="preserve"> reached over </w:t>
      </w:r>
      <w:r w:rsidRPr="00585553">
        <w:rPr>
          <w:rFonts w:cs="Calibri"/>
          <w:b/>
          <w:bCs/>
          <w:sz w:val="22"/>
          <w:szCs w:val="22"/>
        </w:rPr>
        <w:t>100 partners</w:t>
      </w:r>
      <w:r w:rsidRPr="00585553">
        <w:rPr>
          <w:rFonts w:cs="Calibri"/>
          <w:sz w:val="22"/>
          <w:szCs w:val="22"/>
        </w:rPr>
        <w:t xml:space="preserve"> to promote gender balance in the tech sector.</w:t>
      </w:r>
    </w:p>
    <w:p w14:paraId="68BD2903" w14:textId="15279144" w:rsidR="00C048B5" w:rsidRDefault="00C048B5" w:rsidP="00A00703">
      <w:pPr>
        <w:numPr>
          <w:ilvl w:val="0"/>
          <w:numId w:val="50"/>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585553">
        <w:rPr>
          <w:rFonts w:cs="Calibri"/>
          <w:sz w:val="22"/>
          <w:szCs w:val="22"/>
        </w:rPr>
        <w:t xml:space="preserve">The </w:t>
      </w:r>
      <w:r w:rsidRPr="00715509">
        <w:rPr>
          <w:rFonts w:cs="Calibri"/>
          <w:sz w:val="22"/>
          <w:szCs w:val="22"/>
        </w:rPr>
        <w:t xml:space="preserve">ITU/UNICEF </w:t>
      </w:r>
      <w:r w:rsidRPr="00585553">
        <w:rPr>
          <w:rFonts w:cs="Calibri"/>
          <w:b/>
          <w:bCs/>
          <w:sz w:val="22"/>
          <w:szCs w:val="22"/>
        </w:rPr>
        <w:t>Giga initiative</w:t>
      </w:r>
      <w:r w:rsidRPr="00585553">
        <w:rPr>
          <w:rFonts w:cs="Calibri"/>
          <w:sz w:val="22"/>
          <w:szCs w:val="22"/>
        </w:rPr>
        <w:t xml:space="preserve"> </w:t>
      </w:r>
      <w:r w:rsidR="00D46A73" w:rsidRPr="00715509">
        <w:rPr>
          <w:rFonts w:cs="Calibri"/>
          <w:sz w:val="22"/>
          <w:szCs w:val="22"/>
        </w:rPr>
        <w:t>–</w:t>
      </w:r>
      <w:r w:rsidRPr="00715509">
        <w:rPr>
          <w:rFonts w:cs="Calibri"/>
          <w:sz w:val="22"/>
          <w:szCs w:val="22"/>
        </w:rPr>
        <w:t xml:space="preserve"> aiming</w:t>
      </w:r>
      <w:r w:rsidRPr="00585553">
        <w:rPr>
          <w:rFonts w:cs="Calibri"/>
          <w:sz w:val="22"/>
          <w:szCs w:val="22"/>
        </w:rPr>
        <w:t xml:space="preserve"> to connect every school to the Internet</w:t>
      </w:r>
      <w:r w:rsidRPr="00715509">
        <w:rPr>
          <w:rFonts w:cs="Calibri"/>
          <w:sz w:val="22"/>
          <w:szCs w:val="22"/>
        </w:rPr>
        <w:t xml:space="preserve"> – expanded to 34 countries </w:t>
      </w:r>
      <w:r w:rsidR="00D46A73">
        <w:rPr>
          <w:rFonts w:cs="Calibri"/>
          <w:sz w:val="22"/>
          <w:szCs w:val="22"/>
        </w:rPr>
        <w:t>by the end of</w:t>
      </w:r>
      <w:r w:rsidR="00D46A73" w:rsidRPr="00715509">
        <w:rPr>
          <w:rFonts w:cs="Calibri"/>
          <w:sz w:val="22"/>
          <w:szCs w:val="22"/>
        </w:rPr>
        <w:t xml:space="preserve"> </w:t>
      </w:r>
      <w:r w:rsidRPr="00715509">
        <w:rPr>
          <w:rFonts w:cs="Calibri"/>
          <w:sz w:val="22"/>
          <w:szCs w:val="22"/>
        </w:rPr>
        <w:t>2024</w:t>
      </w:r>
      <w:r w:rsidR="00EB46EE">
        <w:rPr>
          <w:rFonts w:cs="Calibri"/>
          <w:sz w:val="22"/>
          <w:szCs w:val="22"/>
        </w:rPr>
        <w:t xml:space="preserve"> and has continued expanding in 2025</w:t>
      </w:r>
      <w:r w:rsidRPr="00585553">
        <w:rPr>
          <w:rFonts w:cs="Calibri"/>
          <w:sz w:val="22"/>
          <w:szCs w:val="22"/>
        </w:rPr>
        <w:t>.</w:t>
      </w:r>
    </w:p>
    <w:p w14:paraId="43468D65" w14:textId="3B13E18B" w:rsidR="00FC12FD" w:rsidRPr="00585553" w:rsidRDefault="00FC12FD" w:rsidP="00A00703">
      <w:pPr>
        <w:numPr>
          <w:ilvl w:val="0"/>
          <w:numId w:val="50"/>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00FC12FD">
        <w:rPr>
          <w:rFonts w:cs="Calibri"/>
          <w:sz w:val="22"/>
          <w:szCs w:val="22"/>
        </w:rPr>
        <w:t xml:space="preserve">As of 31 December 2024, the </w:t>
      </w:r>
      <w:r w:rsidRPr="00FC12FD">
        <w:rPr>
          <w:rFonts w:cs="Calibri"/>
          <w:b/>
          <w:bCs/>
          <w:sz w:val="22"/>
          <w:szCs w:val="22"/>
        </w:rPr>
        <w:t>P2C</w:t>
      </w:r>
      <w:r w:rsidRPr="00FC12FD">
        <w:rPr>
          <w:rFonts w:cs="Calibri"/>
          <w:sz w:val="22"/>
          <w:szCs w:val="22"/>
        </w:rPr>
        <w:t xml:space="preserve"> Pledging Platform had received </w:t>
      </w:r>
      <w:r w:rsidRPr="00FC12FD">
        <w:rPr>
          <w:rFonts w:cs="Calibri"/>
          <w:b/>
          <w:bCs/>
          <w:sz w:val="22"/>
          <w:szCs w:val="22"/>
        </w:rPr>
        <w:t>956 pledges</w:t>
      </w:r>
      <w:r w:rsidRPr="00FC12FD">
        <w:rPr>
          <w:rFonts w:cs="Calibri"/>
          <w:sz w:val="22"/>
          <w:szCs w:val="22"/>
        </w:rPr>
        <w:t xml:space="preserve"> valued at </w:t>
      </w:r>
      <w:r w:rsidRPr="00FC12FD">
        <w:rPr>
          <w:rFonts w:cs="Calibri"/>
          <w:b/>
          <w:bCs/>
          <w:sz w:val="22"/>
          <w:szCs w:val="22"/>
        </w:rPr>
        <w:t>USD</w:t>
      </w:r>
      <w:r w:rsidR="00D84235">
        <w:rPr>
          <w:rFonts w:cs="Calibri"/>
          <w:b/>
          <w:bCs/>
          <w:sz w:val="22"/>
          <w:szCs w:val="22"/>
        </w:rPr>
        <w:t> </w:t>
      </w:r>
      <w:r w:rsidRPr="00FC12FD">
        <w:rPr>
          <w:rFonts w:cs="Calibri"/>
          <w:b/>
          <w:bCs/>
          <w:sz w:val="22"/>
          <w:szCs w:val="22"/>
        </w:rPr>
        <w:t>54.27</w:t>
      </w:r>
      <w:r w:rsidR="00D84235">
        <w:rPr>
          <w:rFonts w:cs="Calibri"/>
          <w:b/>
          <w:bCs/>
          <w:sz w:val="22"/>
          <w:szCs w:val="22"/>
        </w:rPr>
        <w:t> </w:t>
      </w:r>
      <w:r w:rsidRPr="00FC12FD">
        <w:rPr>
          <w:rFonts w:cs="Calibri"/>
          <w:b/>
          <w:bCs/>
          <w:sz w:val="22"/>
          <w:szCs w:val="22"/>
        </w:rPr>
        <w:t>billion</w:t>
      </w:r>
      <w:r w:rsidRPr="00FC12FD">
        <w:rPr>
          <w:rFonts w:cs="Calibri"/>
          <w:sz w:val="22"/>
          <w:szCs w:val="22"/>
        </w:rPr>
        <w:t xml:space="preserve"> from </w:t>
      </w:r>
      <w:r w:rsidRPr="00FC12FD">
        <w:rPr>
          <w:rFonts w:cs="Calibri"/>
          <w:b/>
          <w:bCs/>
          <w:sz w:val="22"/>
          <w:szCs w:val="22"/>
        </w:rPr>
        <w:t>452 entities</w:t>
      </w:r>
      <w:r w:rsidRPr="00FC12FD">
        <w:rPr>
          <w:rFonts w:cs="Calibri"/>
          <w:sz w:val="22"/>
          <w:szCs w:val="22"/>
        </w:rPr>
        <w:t xml:space="preserve"> across </w:t>
      </w:r>
      <w:r w:rsidRPr="00FC12FD">
        <w:rPr>
          <w:rFonts w:cs="Calibri"/>
          <w:b/>
          <w:bCs/>
          <w:sz w:val="22"/>
          <w:szCs w:val="22"/>
        </w:rPr>
        <w:t>146 countries</w:t>
      </w:r>
      <w:r w:rsidRPr="00FC12FD">
        <w:rPr>
          <w:rFonts w:cs="Calibri"/>
          <w:sz w:val="22"/>
          <w:szCs w:val="22"/>
        </w:rPr>
        <w:t xml:space="preserve"> worldwide</w:t>
      </w:r>
    </w:p>
    <w:p w14:paraId="3BDB4B08" w14:textId="5D345706" w:rsidR="00C048B5" w:rsidRPr="00585553" w:rsidRDefault="76D972F5" w:rsidP="00A00703">
      <w:pPr>
        <w:numPr>
          <w:ilvl w:val="0"/>
          <w:numId w:val="51"/>
        </w:numPr>
        <w:tabs>
          <w:tab w:val="clear" w:pos="567"/>
          <w:tab w:val="clear" w:pos="1134"/>
          <w:tab w:val="clear" w:pos="1701"/>
          <w:tab w:val="clear" w:pos="2268"/>
          <w:tab w:val="clear" w:pos="2835"/>
        </w:tabs>
        <w:overflowPunct/>
        <w:autoSpaceDE/>
        <w:autoSpaceDN/>
        <w:adjustRightInd/>
        <w:spacing w:after="120"/>
        <w:ind w:left="567" w:hanging="283"/>
        <w:jc w:val="both"/>
        <w:textAlignment w:val="auto"/>
        <w:rPr>
          <w:rFonts w:cs="Calibri"/>
          <w:sz w:val="22"/>
          <w:szCs w:val="22"/>
        </w:rPr>
      </w:pPr>
      <w:r w:rsidRPr="2C0EAE0F">
        <w:rPr>
          <w:rFonts w:cs="Calibri"/>
          <w:sz w:val="22"/>
          <w:szCs w:val="22"/>
        </w:rPr>
        <w:t xml:space="preserve">The secretariat continues to advance a </w:t>
      </w:r>
      <w:r w:rsidR="00C048B5" w:rsidRPr="00585553">
        <w:rPr>
          <w:rFonts w:cs="Calibri"/>
          <w:sz w:val="22"/>
          <w:szCs w:val="22"/>
        </w:rPr>
        <w:t xml:space="preserve">resource mobilization strategy </w:t>
      </w:r>
      <w:r w:rsidR="00C048B5" w:rsidRPr="2C0EAE0F">
        <w:rPr>
          <w:rFonts w:cs="Calibri"/>
          <w:sz w:val="22"/>
          <w:szCs w:val="22"/>
        </w:rPr>
        <w:t>focus</w:t>
      </w:r>
      <w:r w:rsidR="672D3A60" w:rsidRPr="2C0EAE0F">
        <w:rPr>
          <w:rFonts w:cs="Calibri"/>
          <w:sz w:val="22"/>
          <w:szCs w:val="22"/>
        </w:rPr>
        <w:t>ing</w:t>
      </w:r>
      <w:r w:rsidR="00C048B5" w:rsidRPr="00585553">
        <w:rPr>
          <w:rFonts w:cs="Calibri"/>
          <w:sz w:val="22"/>
          <w:szCs w:val="22"/>
        </w:rPr>
        <w:t xml:space="preserve"> on strengthening member engagement, leveraging events, and increasing voluntary contributions.</w:t>
      </w:r>
      <w:r w:rsidR="126B0663" w:rsidRPr="2C0EAE0F">
        <w:rPr>
          <w:rFonts w:cs="Calibri"/>
          <w:sz w:val="22"/>
          <w:szCs w:val="22"/>
        </w:rPr>
        <w:t xml:space="preserve"> </w:t>
      </w:r>
    </w:p>
    <w:p w14:paraId="719E72E3" w14:textId="35B1770C" w:rsidR="37CE2FC3" w:rsidRPr="00323E50" w:rsidRDefault="00EB46EE" w:rsidP="2C0EAE0F">
      <w:pPr>
        <w:numPr>
          <w:ilvl w:val="0"/>
          <w:numId w:val="51"/>
        </w:numPr>
        <w:tabs>
          <w:tab w:val="clear" w:pos="567"/>
          <w:tab w:val="clear" w:pos="1134"/>
          <w:tab w:val="clear" w:pos="1701"/>
          <w:tab w:val="clear" w:pos="2268"/>
          <w:tab w:val="clear" w:pos="2835"/>
        </w:tabs>
        <w:spacing w:after="120"/>
        <w:ind w:left="567" w:hanging="283"/>
        <w:jc w:val="both"/>
        <w:rPr>
          <w:rFonts w:cs="Calibri"/>
          <w:sz w:val="22"/>
          <w:szCs w:val="22"/>
        </w:rPr>
      </w:pPr>
      <w:r w:rsidRPr="00323E50">
        <w:rPr>
          <w:rFonts w:cs="Calibri"/>
          <w:sz w:val="22"/>
          <w:szCs w:val="22"/>
        </w:rPr>
        <w:t xml:space="preserve">The </w:t>
      </w:r>
      <w:r w:rsidRPr="00AB7AE5">
        <w:rPr>
          <w:rFonts w:cs="Calibri"/>
          <w:b/>
          <w:bCs/>
          <w:sz w:val="22"/>
          <w:szCs w:val="22"/>
        </w:rPr>
        <w:t>Digital Infrastructure Investment Initiative</w:t>
      </w:r>
      <w:r w:rsidRPr="00323E50">
        <w:rPr>
          <w:rFonts w:cs="Calibri"/>
          <w:sz w:val="22"/>
          <w:szCs w:val="22"/>
        </w:rPr>
        <w:t xml:space="preserve"> led by ITU and leading development finance institutions </w:t>
      </w:r>
      <w:r w:rsidR="00C16123" w:rsidRPr="00323E50">
        <w:rPr>
          <w:rFonts w:cs="Calibri"/>
          <w:sz w:val="22"/>
          <w:szCs w:val="22"/>
        </w:rPr>
        <w:t xml:space="preserve">identified key enablers to close an </w:t>
      </w:r>
      <w:r w:rsidR="00C33340" w:rsidRPr="00323E50">
        <w:rPr>
          <w:rFonts w:cs="Calibri"/>
          <w:sz w:val="22"/>
          <w:szCs w:val="22"/>
        </w:rPr>
        <w:t xml:space="preserve">estimated </w:t>
      </w:r>
      <w:r w:rsidR="00C33340" w:rsidRPr="00AB7AE5">
        <w:rPr>
          <w:rFonts w:cs="Calibri"/>
          <w:b/>
          <w:bCs/>
          <w:sz w:val="22"/>
          <w:szCs w:val="22"/>
        </w:rPr>
        <w:t>USD 1.6 trillion investment gap</w:t>
      </w:r>
      <w:r w:rsidR="00C33340" w:rsidRPr="00323E50">
        <w:rPr>
          <w:rFonts w:cs="Calibri"/>
          <w:sz w:val="22"/>
          <w:szCs w:val="22"/>
        </w:rPr>
        <w:t xml:space="preserve"> </w:t>
      </w:r>
      <w:r w:rsidR="00C16123" w:rsidRPr="00323E50">
        <w:rPr>
          <w:rFonts w:cs="Calibri"/>
          <w:sz w:val="22"/>
          <w:szCs w:val="22"/>
        </w:rPr>
        <w:t>and</w:t>
      </w:r>
      <w:r w:rsidR="00C33340" w:rsidRPr="00323E50">
        <w:rPr>
          <w:rFonts w:cs="Calibri"/>
          <w:sz w:val="22"/>
          <w:szCs w:val="22"/>
        </w:rPr>
        <w:t xml:space="preserve"> connect everyone meaningfully by 2030. </w:t>
      </w:r>
    </w:p>
    <w:p w14:paraId="42A5CA23" w14:textId="01EF4FBC" w:rsidR="002D4039" w:rsidRDefault="00861DFE" w:rsidP="002D4039">
      <w:pPr>
        <w:numPr>
          <w:ilvl w:val="0"/>
          <w:numId w:val="51"/>
        </w:numPr>
        <w:tabs>
          <w:tab w:val="clear" w:pos="567"/>
          <w:tab w:val="clear" w:pos="1134"/>
          <w:tab w:val="clear" w:pos="1701"/>
          <w:tab w:val="clear" w:pos="2268"/>
          <w:tab w:val="clear" w:pos="2835"/>
        </w:tabs>
        <w:spacing w:after="120"/>
        <w:ind w:left="567" w:hanging="283"/>
        <w:jc w:val="both"/>
        <w:rPr>
          <w:rFonts w:cs="Calibri"/>
          <w:sz w:val="22"/>
          <w:szCs w:val="22"/>
        </w:rPr>
      </w:pPr>
      <w:r w:rsidRPr="00AB7AE5">
        <w:rPr>
          <w:rFonts w:cs="Calibri"/>
          <w:sz w:val="22"/>
          <w:szCs w:val="22"/>
        </w:rPr>
        <w:t>The new</w:t>
      </w:r>
      <w:r w:rsidR="37CE2FC3" w:rsidRPr="00AB7AE5">
        <w:rPr>
          <w:rFonts w:cs="Calibri"/>
          <w:sz w:val="22"/>
          <w:szCs w:val="22"/>
        </w:rPr>
        <w:t xml:space="preserve"> </w:t>
      </w:r>
      <w:r w:rsidR="37CE2FC3" w:rsidRPr="00AB7AE5">
        <w:rPr>
          <w:rFonts w:cs="Calibri"/>
          <w:b/>
          <w:sz w:val="22"/>
          <w:szCs w:val="22"/>
        </w:rPr>
        <w:t>International Advisory Body on Submarine Cable Resilience</w:t>
      </w:r>
      <w:r w:rsidR="009E37BF" w:rsidRPr="00AB7AE5">
        <w:rPr>
          <w:rFonts w:cs="Calibri"/>
          <w:sz w:val="22"/>
          <w:szCs w:val="22"/>
        </w:rPr>
        <w:t xml:space="preserve"> </w:t>
      </w:r>
      <w:r w:rsidR="37CE2FC3" w:rsidRPr="00AB7AE5">
        <w:rPr>
          <w:rFonts w:cs="Calibri"/>
          <w:sz w:val="22"/>
          <w:szCs w:val="22"/>
        </w:rPr>
        <w:t>brings together 4</w:t>
      </w:r>
      <w:r w:rsidR="009E37BF" w:rsidRPr="00AB7AE5">
        <w:rPr>
          <w:rFonts w:cs="Calibri"/>
          <w:sz w:val="22"/>
          <w:szCs w:val="22"/>
        </w:rPr>
        <w:t>2</w:t>
      </w:r>
      <w:r w:rsidR="37CE2FC3" w:rsidRPr="00AB7AE5">
        <w:rPr>
          <w:rFonts w:cs="Calibri"/>
          <w:sz w:val="22"/>
          <w:szCs w:val="22"/>
        </w:rPr>
        <w:t xml:space="preserve"> </w:t>
      </w:r>
      <w:r w:rsidR="009E37BF" w:rsidRPr="00AB7AE5">
        <w:rPr>
          <w:rFonts w:cs="Calibri"/>
          <w:sz w:val="22"/>
          <w:szCs w:val="22"/>
        </w:rPr>
        <w:t>leaders and</w:t>
      </w:r>
      <w:r w:rsidR="37CE2FC3" w:rsidRPr="00AB7AE5">
        <w:rPr>
          <w:rFonts w:cs="Calibri"/>
          <w:sz w:val="22"/>
          <w:szCs w:val="22"/>
        </w:rPr>
        <w:t xml:space="preserve"> hig</w:t>
      </w:r>
      <w:r w:rsidR="4A816412" w:rsidRPr="00AB7AE5">
        <w:rPr>
          <w:rFonts w:cs="Calibri"/>
          <w:sz w:val="22"/>
          <w:szCs w:val="22"/>
        </w:rPr>
        <w:t>h-level experts</w:t>
      </w:r>
      <w:r w:rsidR="009E37BF" w:rsidRPr="00AB7AE5">
        <w:rPr>
          <w:rFonts w:cs="Calibri"/>
          <w:sz w:val="22"/>
          <w:szCs w:val="22"/>
        </w:rPr>
        <w:t xml:space="preserve"> </w:t>
      </w:r>
      <w:r w:rsidR="00AC0406" w:rsidRPr="00AB7AE5">
        <w:rPr>
          <w:rFonts w:cs="Calibri"/>
          <w:sz w:val="22"/>
          <w:szCs w:val="22"/>
        </w:rPr>
        <w:t xml:space="preserve">with the </w:t>
      </w:r>
      <w:r w:rsidR="00AC0406">
        <w:rPr>
          <w:rFonts w:cs="Calibri"/>
          <w:sz w:val="22"/>
          <w:szCs w:val="22"/>
        </w:rPr>
        <w:t xml:space="preserve">aim of </w:t>
      </w:r>
      <w:r w:rsidR="005C297D">
        <w:rPr>
          <w:rFonts w:cs="Calibri"/>
          <w:sz w:val="22"/>
          <w:szCs w:val="22"/>
        </w:rPr>
        <w:t>strengthening the vital undersea infrastructure that carries over 99% of international communications.</w:t>
      </w:r>
    </w:p>
    <w:p w14:paraId="201EC426" w14:textId="2940FFF1" w:rsidR="000E376C" w:rsidRPr="00AB7AE5" w:rsidRDefault="002D4039" w:rsidP="002D4039">
      <w:pPr>
        <w:numPr>
          <w:ilvl w:val="0"/>
          <w:numId w:val="51"/>
        </w:numPr>
        <w:tabs>
          <w:tab w:val="clear" w:pos="567"/>
          <w:tab w:val="clear" w:pos="1134"/>
          <w:tab w:val="clear" w:pos="1701"/>
          <w:tab w:val="clear" w:pos="2268"/>
          <w:tab w:val="clear" w:pos="2835"/>
        </w:tabs>
        <w:spacing w:after="120"/>
        <w:ind w:left="567" w:hanging="283"/>
        <w:jc w:val="both"/>
        <w:rPr>
          <w:rFonts w:cs="Calibri"/>
          <w:sz w:val="22"/>
          <w:szCs w:val="22"/>
        </w:rPr>
      </w:pPr>
      <w:r>
        <w:rPr>
          <w:rFonts w:cs="Calibri"/>
          <w:sz w:val="22"/>
          <w:szCs w:val="22"/>
        </w:rPr>
        <w:t xml:space="preserve">ITU </w:t>
      </w:r>
      <w:r w:rsidR="00DC1DC3">
        <w:rPr>
          <w:rFonts w:cs="Calibri"/>
          <w:sz w:val="22"/>
          <w:szCs w:val="22"/>
        </w:rPr>
        <w:t xml:space="preserve">has continued </w:t>
      </w:r>
      <w:r>
        <w:rPr>
          <w:rFonts w:cs="Calibri"/>
          <w:sz w:val="22"/>
          <w:szCs w:val="22"/>
        </w:rPr>
        <w:t>enhanc</w:t>
      </w:r>
      <w:r w:rsidR="00DC1DC3">
        <w:rPr>
          <w:rFonts w:cs="Calibri"/>
          <w:sz w:val="22"/>
          <w:szCs w:val="22"/>
        </w:rPr>
        <w:t>ing</w:t>
      </w:r>
      <w:r w:rsidRPr="002D4039">
        <w:rPr>
          <w:rFonts w:cs="Calibri"/>
          <w:sz w:val="22"/>
          <w:szCs w:val="22"/>
        </w:rPr>
        <w:t xml:space="preserve"> </w:t>
      </w:r>
      <w:r w:rsidRPr="00ED4005">
        <w:rPr>
          <w:rFonts w:cs="Calibri"/>
          <w:sz w:val="22"/>
          <w:szCs w:val="22"/>
        </w:rPr>
        <w:t xml:space="preserve">the scope of </w:t>
      </w:r>
      <w:r>
        <w:rPr>
          <w:rFonts w:cs="Calibri"/>
          <w:sz w:val="22"/>
          <w:szCs w:val="22"/>
        </w:rPr>
        <w:t xml:space="preserve">its </w:t>
      </w:r>
      <w:r w:rsidRPr="00ED4005">
        <w:rPr>
          <w:rFonts w:cs="Calibri"/>
          <w:sz w:val="22"/>
          <w:szCs w:val="22"/>
        </w:rPr>
        <w:t>quantum-related standardization work</w:t>
      </w:r>
      <w:r>
        <w:rPr>
          <w:rFonts w:cs="Calibri"/>
          <w:sz w:val="22"/>
          <w:szCs w:val="22"/>
        </w:rPr>
        <w:t xml:space="preserve"> and</w:t>
      </w:r>
      <w:r w:rsidR="008364E1">
        <w:rPr>
          <w:rFonts w:cs="Calibri"/>
          <w:sz w:val="22"/>
          <w:szCs w:val="22"/>
        </w:rPr>
        <w:t xml:space="preserve">, with 2025 designated as </w:t>
      </w:r>
      <w:r w:rsidR="000E376C" w:rsidRPr="002D4039">
        <w:rPr>
          <w:rFonts w:cs="Calibri"/>
          <w:b/>
          <w:bCs/>
          <w:sz w:val="22"/>
          <w:szCs w:val="22"/>
        </w:rPr>
        <w:t>International Year of Quantum Science and Technology</w:t>
      </w:r>
      <w:r w:rsidRPr="00AB7AE5">
        <w:rPr>
          <w:rFonts w:cs="Calibri"/>
          <w:sz w:val="22"/>
          <w:szCs w:val="22"/>
        </w:rPr>
        <w:t>,</w:t>
      </w:r>
      <w:r w:rsidR="00A362A1">
        <w:rPr>
          <w:rFonts w:cs="Calibri"/>
          <w:sz w:val="22"/>
          <w:szCs w:val="22"/>
        </w:rPr>
        <w:t xml:space="preserve"> </w:t>
      </w:r>
      <w:r w:rsidR="00154CD4">
        <w:rPr>
          <w:rFonts w:cs="Calibri"/>
          <w:sz w:val="22"/>
          <w:szCs w:val="22"/>
        </w:rPr>
        <w:t>is building partnerships to promote Quantum for Good.</w:t>
      </w:r>
      <w:r w:rsidRPr="00AB7AE5">
        <w:rPr>
          <w:rFonts w:cs="Calibri"/>
          <w:sz w:val="22"/>
          <w:szCs w:val="22"/>
        </w:rPr>
        <w:t xml:space="preserve"> </w:t>
      </w:r>
    </w:p>
    <w:p w14:paraId="060A1F9D" w14:textId="31166829" w:rsidR="005F7392" w:rsidRPr="00DA76FF" w:rsidRDefault="00BD639F" w:rsidP="00AB7AE5">
      <w:pPr>
        <w:tabs>
          <w:tab w:val="clear" w:pos="567"/>
          <w:tab w:val="clear" w:pos="1134"/>
          <w:tab w:val="clear" w:pos="1701"/>
          <w:tab w:val="clear" w:pos="2268"/>
          <w:tab w:val="clear" w:pos="2835"/>
        </w:tabs>
        <w:spacing w:after="120"/>
        <w:ind w:left="567"/>
        <w:jc w:val="both"/>
      </w:pPr>
      <w:r w:rsidRPr="004F041F">
        <w:rPr>
          <w:rFonts w:cs="Calibri"/>
          <w:noProof/>
          <w:sz w:val="22"/>
          <w:szCs w:val="22"/>
        </w:rPr>
        <mc:AlternateContent>
          <mc:Choice Requires="wps">
            <w:drawing>
              <wp:inline distT="0" distB="0" distL="0" distR="0" wp14:anchorId="3F336347" wp14:editId="1396DBD6">
                <wp:extent cx="5626100" cy="1404620"/>
                <wp:effectExtent l="0" t="0" r="12700" b="24765"/>
                <wp:docPr id="382273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049AF540" w14:textId="6454F2E3" w:rsidR="00BD639F" w:rsidRPr="004A0285" w:rsidRDefault="004A0285" w:rsidP="004A0285">
                            <w:pPr>
                              <w:pStyle w:val="NoSpacing"/>
                              <w:shd w:val="clear" w:color="auto" w:fill="C6D9F1" w:themeFill="text2" w:themeFillTint="33"/>
                              <w:spacing w:after="240"/>
                              <w:jc w:val="both"/>
                              <w:rPr>
                                <w:b/>
                                <w:bCs/>
                                <w:sz w:val="24"/>
                                <w:szCs w:val="24"/>
                              </w:rPr>
                            </w:pPr>
                            <w:r w:rsidRPr="004A0285">
                              <w:rPr>
                                <w:b/>
                                <w:bCs/>
                                <w:sz w:val="24"/>
                                <w:szCs w:val="24"/>
                              </w:rPr>
                              <w:t>The digital future starts here!</w:t>
                            </w:r>
                          </w:p>
                          <w:p w14:paraId="54125C62" w14:textId="6144FD8E" w:rsidR="00BD639F" w:rsidRDefault="00BD639F" w:rsidP="00AB7AE5">
                            <w:pPr>
                              <w:pStyle w:val="NoSpacing"/>
                              <w:spacing w:after="200"/>
                              <w:jc w:val="both"/>
                            </w:pPr>
                            <w:r>
                              <w:t>At ITU, we are</w:t>
                            </w:r>
                            <w:r w:rsidRPr="002B24A1">
                              <w:t xml:space="preserve"> dedicated to connecting everyone, everywhere.</w:t>
                            </w:r>
                            <w:r>
                              <w:t xml:space="preserve"> </w:t>
                            </w:r>
                            <w:r w:rsidR="00954D37">
                              <w:t>W</w:t>
                            </w:r>
                            <w:r w:rsidRPr="002B24A1">
                              <w:t>e aim to connect some 2.6</w:t>
                            </w:r>
                            <w:r w:rsidR="00D84235">
                              <w:t> </w:t>
                            </w:r>
                            <w:r w:rsidRPr="002B24A1">
                              <w:t>billion people who are still offline, spur innovation for good, and make the dawning digital age healthy, safe and prosperous for all.</w:t>
                            </w:r>
                          </w:p>
                          <w:p w14:paraId="5F6F0F37" w14:textId="0E403107" w:rsidR="00BD639F" w:rsidRPr="002B24A1" w:rsidRDefault="00BD639F" w:rsidP="00AB7AE5">
                            <w:pPr>
                              <w:pStyle w:val="NoSpacing"/>
                              <w:spacing w:after="200"/>
                              <w:jc w:val="both"/>
                            </w:pPr>
                            <w:r>
                              <w:t xml:space="preserve">Our </w:t>
                            </w:r>
                            <w:r w:rsidRPr="00BD639F">
                              <w:t xml:space="preserve">online </w:t>
                            </w:r>
                            <w:r w:rsidRPr="00BD639F">
                              <w:rPr>
                                <w:i/>
                                <w:iCs/>
                              </w:rPr>
                              <w:t>Year in Review</w:t>
                            </w:r>
                            <w:r>
                              <w:t xml:space="preserve"> </w:t>
                            </w:r>
                            <w:r w:rsidRPr="002B24A1">
                              <w:t>outline</w:t>
                            </w:r>
                            <w:r>
                              <w:t>s</w:t>
                            </w:r>
                            <w:r w:rsidRPr="002B24A1">
                              <w:t xml:space="preserve"> many of the ways we are</w:t>
                            </w:r>
                            <w:r w:rsidR="00D84235">
                              <w:t xml:space="preserve"> </w:t>
                            </w:r>
                            <w:hyperlink r:id="rId20" w:history="1">
                              <w:r w:rsidRPr="002B24A1">
                                <w:rPr>
                                  <w:rStyle w:val="Hyperlink"/>
                                </w:rPr>
                                <w:t>boosting connectivity</w:t>
                              </w:r>
                            </w:hyperlink>
                            <w:r w:rsidRPr="002B24A1">
                              <w:t>,</w:t>
                            </w:r>
                            <w:r w:rsidR="00D84235">
                              <w:t xml:space="preserve"> </w:t>
                            </w:r>
                            <w:r w:rsidRPr="00BD639F">
                              <w:t>shaping digital transformation</w:t>
                            </w:r>
                            <w:r w:rsidRPr="002B24A1">
                              <w:t>, and</w:t>
                            </w:r>
                            <w:r w:rsidR="00D84235">
                              <w:t xml:space="preserve"> </w:t>
                            </w:r>
                            <w:r w:rsidRPr="00BD639F">
                              <w:t>delivering digital impact</w:t>
                            </w:r>
                            <w:r w:rsidRPr="002B24A1">
                              <w:t>.</w:t>
                            </w:r>
                            <w:r>
                              <w:t xml:space="preserve"> Readers can also r</w:t>
                            </w:r>
                            <w:r w:rsidRPr="002B24A1">
                              <w:t>evisit key moments in 2024 through</w:t>
                            </w:r>
                            <w:r w:rsidR="00D84235">
                              <w:t xml:space="preserve"> </w:t>
                            </w:r>
                            <w:r w:rsidRPr="00BD639F">
                              <w:t>annual highlights</w:t>
                            </w:r>
                            <w:r w:rsidR="00D84235">
                              <w:t xml:space="preserve"> </w:t>
                            </w:r>
                            <w:r w:rsidRPr="002B24A1">
                              <w:t>from ITU’s diary.</w:t>
                            </w:r>
                          </w:p>
                          <w:p w14:paraId="3A483224" w14:textId="68C7840C" w:rsidR="00BD639F" w:rsidRPr="004A0285" w:rsidRDefault="00BD639F" w:rsidP="00AB7AE5">
                            <w:pPr>
                              <w:pStyle w:val="NoSpacing"/>
                              <w:spacing w:after="200"/>
                              <w:jc w:val="both"/>
                            </w:pPr>
                            <w:hyperlink r:id="rId21" w:history="1">
                              <w:r w:rsidRPr="00830704">
                                <w:rPr>
                                  <w:rStyle w:val="Hyperlink"/>
                                </w:rPr>
                                <w:t xml:space="preserve">Explore our </w:t>
                              </w:r>
                              <w:r w:rsidR="00010EA4">
                                <w:rPr>
                                  <w:rStyle w:val="Hyperlink"/>
                                </w:rPr>
                                <w:t xml:space="preserve">ITU </w:t>
                              </w:r>
                              <w:r w:rsidRPr="00830704">
                                <w:rPr>
                                  <w:rStyle w:val="Hyperlink"/>
                                </w:rPr>
                                <w:t>Year in Revie</w:t>
                              </w:r>
                              <w:r w:rsidR="00010EA4">
                                <w:rPr>
                                  <w:rStyle w:val="Hyperlink"/>
                                </w:rPr>
                                <w:t>w 2024</w:t>
                              </w:r>
                            </w:hyperlink>
                          </w:p>
                        </w:txbxContent>
                      </wps:txbx>
                      <wps:bodyPr rot="0" vert="horz" wrap="square" lIns="91440" tIns="45720" rIns="91440" bIns="45720" anchor="t" anchorCtr="0">
                        <a:spAutoFit/>
                      </wps:bodyPr>
                    </wps:wsp>
                  </a:graphicData>
                </a:graphic>
              </wp:inline>
            </w:drawing>
          </mc:Choice>
          <mc:Fallback>
            <w:pict>
              <v:shapetype w14:anchorId="3F336347" id="_x0000_t202" coordsize="21600,21600" o:spt="202" path="m,l,21600r21600,l21600,xe">
                <v:stroke joinstyle="miter"/>
                <v:path gradientshapeok="t" o:connecttype="rect"/>
              </v:shapetype>
              <v:shape id="Text Box 2" o:spid="_x0000_s1026"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sgEAIAACA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">
                <v:textbox style="mso-fit-shape-to-text:t">
                  <w:txbxContent>
                    <w:p w14:paraId="049AF540" w14:textId="6454F2E3" w:rsidR="00BD639F" w:rsidRPr="004A0285" w:rsidRDefault="004A0285" w:rsidP="004A0285">
                      <w:pPr>
                        <w:pStyle w:val="NoSpacing"/>
                        <w:shd w:val="clear" w:color="auto" w:fill="C6D9F1" w:themeFill="text2" w:themeFillTint="33"/>
                        <w:spacing w:after="240"/>
                        <w:jc w:val="both"/>
                        <w:rPr>
                          <w:b/>
                          <w:bCs/>
                          <w:sz w:val="24"/>
                          <w:szCs w:val="24"/>
                        </w:rPr>
                      </w:pPr>
                      <w:r w:rsidRPr="004A0285">
                        <w:rPr>
                          <w:b/>
                          <w:bCs/>
                          <w:sz w:val="24"/>
                          <w:szCs w:val="24"/>
                        </w:rPr>
                        <w:t>The digital future starts here!</w:t>
                      </w:r>
                    </w:p>
                    <w:p w14:paraId="54125C62" w14:textId="6144FD8E" w:rsidR="00BD639F" w:rsidRDefault="00BD639F" w:rsidP="00AB7AE5">
                      <w:pPr>
                        <w:pStyle w:val="NoSpacing"/>
                        <w:spacing w:after="200"/>
                        <w:jc w:val="both"/>
                      </w:pPr>
                      <w:r>
                        <w:t>At ITU, we are</w:t>
                      </w:r>
                      <w:r w:rsidRPr="002B24A1">
                        <w:t xml:space="preserve"> dedicated to connecting everyone, everywhere.</w:t>
                      </w:r>
                      <w:r>
                        <w:t xml:space="preserve"> </w:t>
                      </w:r>
                      <w:r w:rsidR="00954D37">
                        <w:t>W</w:t>
                      </w:r>
                      <w:r w:rsidRPr="002B24A1">
                        <w:t>e aim to connect some 2.6</w:t>
                      </w:r>
                      <w:r w:rsidR="00D84235">
                        <w:t> </w:t>
                      </w:r>
                      <w:r w:rsidRPr="002B24A1">
                        <w:t>billion people who are still offline, spur innovation for good, and make the dawning digital age healthy, safe and prosperous for all.</w:t>
                      </w:r>
                    </w:p>
                    <w:p w14:paraId="5F6F0F37" w14:textId="0E403107" w:rsidR="00BD639F" w:rsidRPr="002B24A1" w:rsidRDefault="00BD639F" w:rsidP="00AB7AE5">
                      <w:pPr>
                        <w:pStyle w:val="NoSpacing"/>
                        <w:spacing w:after="200"/>
                        <w:jc w:val="both"/>
                      </w:pPr>
                      <w:r>
                        <w:t xml:space="preserve">Our </w:t>
                      </w:r>
                      <w:r w:rsidRPr="00BD639F">
                        <w:t xml:space="preserve">online </w:t>
                      </w:r>
                      <w:r w:rsidRPr="00BD639F">
                        <w:rPr>
                          <w:i/>
                          <w:iCs/>
                        </w:rPr>
                        <w:t>Year in Review</w:t>
                      </w:r>
                      <w:r>
                        <w:t xml:space="preserve"> </w:t>
                      </w:r>
                      <w:r w:rsidRPr="002B24A1">
                        <w:t>outline</w:t>
                      </w:r>
                      <w:r>
                        <w:t>s</w:t>
                      </w:r>
                      <w:r w:rsidRPr="002B24A1">
                        <w:t xml:space="preserve"> many of the ways we are</w:t>
                      </w:r>
                      <w:r w:rsidR="00D84235">
                        <w:t xml:space="preserve"> </w:t>
                      </w:r>
                      <w:hyperlink r:id="rId22" w:history="1">
                        <w:r w:rsidRPr="002B24A1">
                          <w:rPr>
                            <w:rStyle w:val="Hyperlink"/>
                          </w:rPr>
                          <w:t>boosting connectivity</w:t>
                        </w:r>
                      </w:hyperlink>
                      <w:r w:rsidRPr="002B24A1">
                        <w:t>,</w:t>
                      </w:r>
                      <w:r w:rsidR="00D84235">
                        <w:t xml:space="preserve"> </w:t>
                      </w:r>
                      <w:r w:rsidRPr="00BD639F">
                        <w:t>shaping digital transformation</w:t>
                      </w:r>
                      <w:r w:rsidRPr="002B24A1">
                        <w:t>, and</w:t>
                      </w:r>
                      <w:r w:rsidR="00D84235">
                        <w:t xml:space="preserve"> </w:t>
                      </w:r>
                      <w:r w:rsidRPr="00BD639F">
                        <w:t>delivering digital impact</w:t>
                      </w:r>
                      <w:r w:rsidRPr="002B24A1">
                        <w:t>.</w:t>
                      </w:r>
                      <w:r>
                        <w:t xml:space="preserve"> Readers can also r</w:t>
                      </w:r>
                      <w:r w:rsidRPr="002B24A1">
                        <w:t>evisit key moments in 2024 through</w:t>
                      </w:r>
                      <w:r w:rsidR="00D84235">
                        <w:t xml:space="preserve"> </w:t>
                      </w:r>
                      <w:r w:rsidRPr="00BD639F">
                        <w:t>annual highlights</w:t>
                      </w:r>
                      <w:r w:rsidR="00D84235">
                        <w:t xml:space="preserve"> </w:t>
                      </w:r>
                      <w:r w:rsidRPr="002B24A1">
                        <w:t>from ITU’s diary.</w:t>
                      </w:r>
                    </w:p>
                    <w:p w14:paraId="3A483224" w14:textId="68C7840C" w:rsidR="00BD639F" w:rsidRPr="004A0285" w:rsidRDefault="00BD639F" w:rsidP="00AB7AE5">
                      <w:pPr>
                        <w:pStyle w:val="NoSpacing"/>
                        <w:spacing w:after="200"/>
                        <w:jc w:val="both"/>
                      </w:pPr>
                      <w:hyperlink r:id="rId23" w:history="1">
                        <w:r w:rsidRPr="00830704">
                          <w:rPr>
                            <w:rStyle w:val="Hyperlink"/>
                          </w:rPr>
                          <w:t xml:space="preserve">Explore our </w:t>
                        </w:r>
                        <w:r w:rsidR="00010EA4">
                          <w:rPr>
                            <w:rStyle w:val="Hyperlink"/>
                          </w:rPr>
                          <w:t xml:space="preserve">ITU </w:t>
                        </w:r>
                        <w:r w:rsidRPr="00830704">
                          <w:rPr>
                            <w:rStyle w:val="Hyperlink"/>
                          </w:rPr>
                          <w:t>Year in Revie</w:t>
                        </w:r>
                        <w:r w:rsidR="00010EA4">
                          <w:rPr>
                            <w:rStyle w:val="Hyperlink"/>
                          </w:rPr>
                          <w:t>w 2024</w:t>
                        </w:r>
                      </w:hyperlink>
                    </w:p>
                  </w:txbxContent>
                </v:textbox>
                <w10:anchorlock/>
              </v:shape>
            </w:pict>
          </mc:Fallback>
        </mc:AlternateContent>
      </w:r>
    </w:p>
    <w:p w14:paraId="69E09519" w14:textId="712FC4DC" w:rsidR="00D7575B" w:rsidRPr="00AB7AE5" w:rsidRDefault="00D7575B" w:rsidP="00AB7AE5">
      <w:pPr>
        <w:pStyle w:val="Heading1"/>
        <w:keepNext w:val="0"/>
        <w:keepLines w:val="0"/>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EastAsia" w:hAnsiTheme="minorHAnsi" w:cstheme="minorBidi"/>
          <w:kern w:val="2"/>
          <w:sz w:val="16"/>
          <w:szCs w:val="16"/>
          <w:lang w:eastAsia="zh-CN"/>
          <w14:ligatures w14:val="standardContextual"/>
        </w:rPr>
      </w:pPr>
      <w:r w:rsidRPr="00AB7AE5">
        <w:rPr>
          <w:sz w:val="16"/>
          <w:szCs w:val="16"/>
        </w:rPr>
        <w:br w:type="page"/>
      </w:r>
    </w:p>
    <w:p w14:paraId="74F5F882" w14:textId="3E37D3C4" w:rsidR="005F7392" w:rsidRPr="00A00703" w:rsidRDefault="005F7392" w:rsidP="00A00703">
      <w:pPr>
        <w:pStyle w:val="Heading1"/>
        <w:numPr>
          <w:ilvl w:val="0"/>
          <w:numId w:val="9"/>
        </w:numPr>
        <w:tabs>
          <w:tab w:val="clear" w:pos="567"/>
        </w:tabs>
        <w:spacing w:before="240" w:after="120"/>
        <w:ind w:left="567" w:hanging="567"/>
        <w:rPr>
          <w:rFonts w:asciiTheme="minorHAnsi" w:hAnsiTheme="minorHAnsi" w:cstheme="minorBidi"/>
          <w:sz w:val="32"/>
          <w:szCs w:val="32"/>
        </w:rPr>
      </w:pPr>
      <w:bookmarkStart w:id="16" w:name="_Toc198569345"/>
      <w:r w:rsidRPr="00A00703">
        <w:rPr>
          <w:rFonts w:asciiTheme="minorHAnsi" w:hAnsiTheme="minorHAnsi" w:cstheme="minorBidi"/>
          <w:color w:val="365F91" w:themeColor="accent1" w:themeShade="BF"/>
          <w:sz w:val="32"/>
          <w:szCs w:val="32"/>
        </w:rPr>
        <w:lastRenderedPageBreak/>
        <w:t>Introduction</w:t>
      </w:r>
      <w:bookmarkEnd w:id="16"/>
    </w:p>
    <w:p w14:paraId="2F0AE03D" w14:textId="38CDFC4C" w:rsidR="008C0A22" w:rsidRPr="00DA76FF" w:rsidRDefault="00F700CA" w:rsidP="00A25266">
      <w:pPr>
        <w:spacing w:after="120"/>
        <w:jc w:val="both"/>
        <w:rPr>
          <w:sz w:val="22"/>
          <w:szCs w:val="18"/>
        </w:rPr>
      </w:pPr>
      <w:r w:rsidRPr="00DA76FF">
        <w:rPr>
          <w:sz w:val="22"/>
          <w:szCs w:val="18"/>
        </w:rPr>
        <w:t>This</w:t>
      </w:r>
      <w:r w:rsidR="009A05E1" w:rsidRPr="00DA76FF">
        <w:rPr>
          <w:sz w:val="22"/>
          <w:szCs w:val="18"/>
        </w:rPr>
        <w:t xml:space="preserve"> annual report – formally t</w:t>
      </w:r>
      <w:r w:rsidR="004B0AE3" w:rsidRPr="00DA76FF">
        <w:rPr>
          <w:sz w:val="22"/>
          <w:szCs w:val="18"/>
        </w:rPr>
        <w:t xml:space="preserve">he </w:t>
      </w:r>
      <w:r w:rsidR="004B0AE3" w:rsidRPr="001F5216">
        <w:rPr>
          <w:i/>
          <w:iCs/>
          <w:sz w:val="22"/>
          <w:szCs w:val="18"/>
        </w:rPr>
        <w:t xml:space="preserve">Annual report </w:t>
      </w:r>
      <w:r w:rsidR="00D9654E" w:rsidRPr="001F5216">
        <w:rPr>
          <w:i/>
          <w:iCs/>
          <w:sz w:val="22"/>
          <w:szCs w:val="18"/>
        </w:rPr>
        <w:t>o</w:t>
      </w:r>
      <w:r w:rsidR="004B0AE3" w:rsidRPr="001F5216">
        <w:rPr>
          <w:i/>
          <w:iCs/>
          <w:sz w:val="22"/>
          <w:szCs w:val="18"/>
        </w:rPr>
        <w:t>n the Implementation of the Strategic Plan and activities of the Unio</w:t>
      </w:r>
      <w:r w:rsidR="00766489" w:rsidRPr="001F5216">
        <w:rPr>
          <w:i/>
          <w:iCs/>
          <w:sz w:val="22"/>
          <w:szCs w:val="18"/>
        </w:rPr>
        <w:t>n</w:t>
      </w:r>
      <w:r w:rsidR="004B0AE3" w:rsidRPr="001F5216">
        <w:rPr>
          <w:i/>
          <w:iCs/>
          <w:sz w:val="22"/>
          <w:szCs w:val="18"/>
        </w:rPr>
        <w:t xml:space="preserve"> 2024</w:t>
      </w:r>
      <w:r w:rsidR="004B0AE3" w:rsidRPr="00DA76FF">
        <w:rPr>
          <w:sz w:val="22"/>
          <w:szCs w:val="18"/>
        </w:rPr>
        <w:t xml:space="preserve"> </w:t>
      </w:r>
      <w:r w:rsidR="009A05E1" w:rsidRPr="00DA76FF">
        <w:rPr>
          <w:sz w:val="22"/>
          <w:szCs w:val="18"/>
        </w:rPr>
        <w:t xml:space="preserve">– </w:t>
      </w:r>
      <w:r w:rsidR="004B0AE3" w:rsidRPr="00DA76FF">
        <w:rPr>
          <w:sz w:val="22"/>
          <w:szCs w:val="18"/>
        </w:rPr>
        <w:t xml:space="preserve">is the first </w:t>
      </w:r>
      <w:r w:rsidRPr="00DA76FF">
        <w:rPr>
          <w:sz w:val="22"/>
          <w:szCs w:val="18"/>
        </w:rPr>
        <w:t>since</w:t>
      </w:r>
      <w:r w:rsidR="00D9654E" w:rsidRPr="00DA76FF">
        <w:rPr>
          <w:sz w:val="22"/>
          <w:szCs w:val="18"/>
        </w:rPr>
        <w:t xml:space="preserve"> </w:t>
      </w:r>
      <w:r w:rsidR="008636A3" w:rsidRPr="00DA76FF">
        <w:rPr>
          <w:sz w:val="22"/>
          <w:szCs w:val="18"/>
        </w:rPr>
        <w:t>ITU’s current four-year strategic plan (</w:t>
      </w:r>
      <w:hyperlink r:id="rId24" w:history="1">
        <w:r w:rsidR="00D9654E" w:rsidRPr="00DA76FF">
          <w:rPr>
            <w:rStyle w:val="Hyperlink"/>
            <w:sz w:val="22"/>
            <w:szCs w:val="18"/>
          </w:rPr>
          <w:t>SP 2024-2027</w:t>
        </w:r>
      </w:hyperlink>
      <w:r w:rsidR="008636A3" w:rsidRPr="00DA76FF">
        <w:t>)</w:t>
      </w:r>
      <w:r w:rsidR="00D9654E" w:rsidRPr="00DA76FF">
        <w:rPr>
          <w:sz w:val="22"/>
          <w:szCs w:val="18"/>
        </w:rPr>
        <w:t xml:space="preserve"> entered into force</w:t>
      </w:r>
      <w:r w:rsidR="00B57B41" w:rsidRPr="00DA76FF">
        <w:rPr>
          <w:sz w:val="22"/>
          <w:szCs w:val="18"/>
        </w:rPr>
        <w:t xml:space="preserve">. </w:t>
      </w:r>
      <w:r w:rsidR="008C0A22" w:rsidRPr="00DA76FF">
        <w:rPr>
          <w:sz w:val="22"/>
          <w:szCs w:val="22"/>
        </w:rPr>
        <w:t>C</w:t>
      </w:r>
      <w:r w:rsidR="00697F6A" w:rsidRPr="00DA76FF">
        <w:rPr>
          <w:sz w:val="22"/>
          <w:szCs w:val="22"/>
        </w:rPr>
        <w:t>over</w:t>
      </w:r>
      <w:r w:rsidR="008C0A22" w:rsidRPr="00DA76FF">
        <w:rPr>
          <w:sz w:val="22"/>
          <w:szCs w:val="22"/>
        </w:rPr>
        <w:t>ing</w:t>
      </w:r>
      <w:r w:rsidR="00697F6A" w:rsidRPr="00DA76FF">
        <w:rPr>
          <w:sz w:val="22"/>
          <w:szCs w:val="22"/>
        </w:rPr>
        <w:t xml:space="preserve"> the fiscal year from January to December 2024</w:t>
      </w:r>
      <w:r w:rsidR="008C0A22" w:rsidRPr="00DA76FF">
        <w:rPr>
          <w:sz w:val="22"/>
          <w:szCs w:val="22"/>
        </w:rPr>
        <w:t xml:space="preserve">, this report </w:t>
      </w:r>
      <w:r w:rsidR="00766489" w:rsidRPr="00DA76FF">
        <w:rPr>
          <w:sz w:val="22"/>
          <w:szCs w:val="18"/>
        </w:rPr>
        <w:t xml:space="preserve">is based on the </w:t>
      </w:r>
      <w:r w:rsidR="008C0A22" w:rsidRPr="00DA76FF">
        <w:rPr>
          <w:sz w:val="22"/>
          <w:szCs w:val="18"/>
        </w:rPr>
        <w:t>r</w:t>
      </w:r>
      <w:r w:rsidR="00766489" w:rsidRPr="00DA76FF">
        <w:rPr>
          <w:sz w:val="22"/>
          <w:szCs w:val="18"/>
        </w:rPr>
        <w:t xml:space="preserve">esults framework underpinning </w:t>
      </w:r>
      <w:r w:rsidR="00DD79C1" w:rsidRPr="00DA76FF">
        <w:rPr>
          <w:sz w:val="22"/>
          <w:szCs w:val="18"/>
        </w:rPr>
        <w:t>our</w:t>
      </w:r>
      <w:r w:rsidR="00766489" w:rsidRPr="00DA76FF">
        <w:rPr>
          <w:sz w:val="22"/>
          <w:szCs w:val="18"/>
        </w:rPr>
        <w:t xml:space="preserve"> </w:t>
      </w:r>
      <w:r w:rsidR="008C0A22" w:rsidRPr="00DA76FF">
        <w:rPr>
          <w:sz w:val="22"/>
          <w:szCs w:val="18"/>
        </w:rPr>
        <w:t>strategic plan.</w:t>
      </w:r>
    </w:p>
    <w:p w14:paraId="1462C3FB" w14:textId="37094BDC" w:rsidR="00AF5A05" w:rsidRPr="00DA76FF" w:rsidRDefault="004E49F6" w:rsidP="00986164">
      <w:pPr>
        <w:spacing w:after="360"/>
        <w:jc w:val="both"/>
        <w:rPr>
          <w:sz w:val="22"/>
          <w:szCs w:val="18"/>
        </w:rPr>
      </w:pPr>
      <w:r w:rsidRPr="00DA76FF">
        <w:rPr>
          <w:sz w:val="22"/>
          <w:szCs w:val="18"/>
        </w:rPr>
        <w:t>That results framework</w:t>
      </w:r>
      <w:r w:rsidR="0088122F" w:rsidRPr="00DA76FF">
        <w:rPr>
          <w:sz w:val="22"/>
          <w:szCs w:val="18"/>
        </w:rPr>
        <w:t xml:space="preserve"> links </w:t>
      </w:r>
      <w:r w:rsidR="00335BAB" w:rsidRPr="00DA76FF">
        <w:rPr>
          <w:sz w:val="22"/>
          <w:szCs w:val="18"/>
        </w:rPr>
        <w:t>our</w:t>
      </w:r>
      <w:r w:rsidR="0088122F" w:rsidRPr="00DA76FF">
        <w:rPr>
          <w:sz w:val="22"/>
          <w:szCs w:val="18"/>
        </w:rPr>
        <w:t xml:space="preserve"> produc</w:t>
      </w:r>
      <w:r w:rsidR="00754B1E" w:rsidRPr="00DA76FF">
        <w:rPr>
          <w:sz w:val="22"/>
          <w:szCs w:val="18"/>
        </w:rPr>
        <w:t>t</w:t>
      </w:r>
      <w:r w:rsidR="0088122F" w:rsidRPr="00DA76FF">
        <w:rPr>
          <w:sz w:val="22"/>
          <w:szCs w:val="18"/>
        </w:rPr>
        <w:t xml:space="preserve"> and service delivery to </w:t>
      </w:r>
      <w:r w:rsidR="00754B1E" w:rsidRPr="00DA76FF">
        <w:rPr>
          <w:sz w:val="22"/>
          <w:szCs w:val="18"/>
        </w:rPr>
        <w:t>key thematic priorities, strategic goals, the ITU mission and vision</w:t>
      </w:r>
      <w:r w:rsidRPr="00DA76FF">
        <w:rPr>
          <w:sz w:val="22"/>
          <w:szCs w:val="18"/>
        </w:rPr>
        <w:t>, and global goals</w:t>
      </w:r>
      <w:r w:rsidR="00B232DD">
        <w:rPr>
          <w:sz w:val="22"/>
          <w:szCs w:val="18"/>
        </w:rPr>
        <w:t xml:space="preserve"> and priorities</w:t>
      </w:r>
      <w:r w:rsidR="006902E7">
        <w:rPr>
          <w:sz w:val="22"/>
          <w:szCs w:val="18"/>
        </w:rPr>
        <w:t xml:space="preserve"> such as the 2030 Agenda for Sustainable Development and the 17 Sustainable Development Goals</w:t>
      </w:r>
      <w:r w:rsidR="00EA2474" w:rsidRPr="00DA76FF">
        <w:rPr>
          <w:sz w:val="22"/>
          <w:szCs w:val="18"/>
        </w:rPr>
        <w:t>:</w:t>
      </w:r>
    </w:p>
    <w:p w14:paraId="2ABA0BE9" w14:textId="77568792" w:rsidR="00920F15" w:rsidRPr="00DA76FF" w:rsidRDefault="00766489" w:rsidP="00A61008">
      <w:pPr>
        <w:rPr>
          <w:sz w:val="22"/>
          <w:szCs w:val="18"/>
        </w:rPr>
      </w:pPr>
      <w:r w:rsidRPr="00DA76FF">
        <w:rPr>
          <w:noProof/>
          <w:sz w:val="22"/>
          <w:szCs w:val="18"/>
        </w:rPr>
        <w:drawing>
          <wp:inline distT="0" distB="0" distL="0" distR="0" wp14:anchorId="798BCD8E" wp14:editId="17A05604">
            <wp:extent cx="6300387" cy="3852049"/>
            <wp:effectExtent l="0" t="0" r="5715" b="0"/>
            <wp:docPr id="239532528" name="Picture 1" descr="A diagram of a strategic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32528" name="Picture 1" descr="A diagram of a strategic plan&#10;&#10;AI-generated content may be incorrect."/>
                    <pic:cNvPicPr/>
                  </pic:nvPicPr>
                  <pic:blipFill>
                    <a:blip r:embed="rId25"/>
                    <a:stretch>
                      <a:fillRect/>
                    </a:stretch>
                  </pic:blipFill>
                  <pic:spPr>
                    <a:xfrm>
                      <a:off x="0" y="0"/>
                      <a:ext cx="6300387" cy="3852049"/>
                    </a:xfrm>
                    <a:prstGeom prst="rect">
                      <a:avLst/>
                    </a:prstGeom>
                  </pic:spPr>
                </pic:pic>
              </a:graphicData>
            </a:graphic>
          </wp:inline>
        </w:drawing>
      </w:r>
    </w:p>
    <w:p w14:paraId="3AF17EA2" w14:textId="021EE64F" w:rsidR="00916849" w:rsidRPr="00DA76FF" w:rsidRDefault="00842F70" w:rsidP="00986164">
      <w:pPr>
        <w:spacing w:before="240" w:after="120"/>
        <w:jc w:val="both"/>
        <w:rPr>
          <w:sz w:val="22"/>
          <w:szCs w:val="22"/>
        </w:rPr>
      </w:pPr>
      <w:r w:rsidRPr="00DA76FF">
        <w:rPr>
          <w:sz w:val="22"/>
          <w:szCs w:val="22"/>
        </w:rPr>
        <w:t xml:space="preserve">Section 2 details the </w:t>
      </w:r>
      <w:r w:rsidR="002D686C">
        <w:rPr>
          <w:sz w:val="22"/>
          <w:szCs w:val="22"/>
        </w:rPr>
        <w:t xml:space="preserve">ITU </w:t>
      </w:r>
      <w:r w:rsidRPr="00DA76FF">
        <w:rPr>
          <w:sz w:val="22"/>
          <w:szCs w:val="22"/>
        </w:rPr>
        <w:t xml:space="preserve">Statutory Conference held during the reporting period, the World Telecommunication Standardization Assembly </w:t>
      </w:r>
      <w:r w:rsidR="000C6FAF">
        <w:rPr>
          <w:sz w:val="22"/>
          <w:szCs w:val="22"/>
        </w:rPr>
        <w:t>(</w:t>
      </w:r>
      <w:r w:rsidRPr="00DA76FF">
        <w:rPr>
          <w:sz w:val="22"/>
          <w:szCs w:val="22"/>
        </w:rPr>
        <w:t>WTSA-24</w:t>
      </w:r>
      <w:r w:rsidR="000C6FAF">
        <w:rPr>
          <w:sz w:val="22"/>
          <w:szCs w:val="22"/>
        </w:rPr>
        <w:t>)</w:t>
      </w:r>
      <w:r w:rsidRPr="00DA76FF">
        <w:rPr>
          <w:sz w:val="22"/>
          <w:szCs w:val="22"/>
        </w:rPr>
        <w:t>, in New Delhi, India, from 15 to 24 October 2024.</w:t>
      </w:r>
    </w:p>
    <w:p w14:paraId="326C5B5E" w14:textId="6F5B0812" w:rsidR="004A7CAD" w:rsidRPr="00DA76FF" w:rsidRDefault="006F1B26" w:rsidP="00A00703">
      <w:pPr>
        <w:spacing w:after="120"/>
        <w:jc w:val="both"/>
        <w:rPr>
          <w:sz w:val="22"/>
          <w:szCs w:val="22"/>
        </w:rPr>
      </w:pPr>
      <w:r w:rsidRPr="00DA76FF">
        <w:rPr>
          <w:sz w:val="22"/>
          <w:szCs w:val="22"/>
        </w:rPr>
        <w:t xml:space="preserve">Section 3 </w:t>
      </w:r>
      <w:r w:rsidR="009E3D0D" w:rsidRPr="00DA76FF">
        <w:rPr>
          <w:sz w:val="22"/>
          <w:szCs w:val="22"/>
        </w:rPr>
        <w:t xml:space="preserve">highlights progress towards </w:t>
      </w:r>
      <w:r w:rsidR="002C3F63">
        <w:rPr>
          <w:sz w:val="22"/>
          <w:szCs w:val="22"/>
        </w:rPr>
        <w:t>ITU’s</w:t>
      </w:r>
      <w:r w:rsidR="009E3D0D" w:rsidRPr="00DA76FF">
        <w:rPr>
          <w:sz w:val="22"/>
          <w:szCs w:val="22"/>
        </w:rPr>
        <w:t xml:space="preserve"> two </w:t>
      </w:r>
      <w:r w:rsidR="002C3F63">
        <w:rPr>
          <w:sz w:val="22"/>
          <w:szCs w:val="22"/>
        </w:rPr>
        <w:t>overarching s</w:t>
      </w:r>
      <w:r w:rsidR="009E3D0D" w:rsidRPr="00DA76FF">
        <w:rPr>
          <w:sz w:val="22"/>
          <w:szCs w:val="22"/>
        </w:rPr>
        <w:t xml:space="preserve">trategic </w:t>
      </w:r>
      <w:r w:rsidR="002C3F63">
        <w:rPr>
          <w:sz w:val="22"/>
          <w:szCs w:val="22"/>
        </w:rPr>
        <w:t>g</w:t>
      </w:r>
      <w:r w:rsidR="009E3D0D" w:rsidRPr="00DA76FF">
        <w:rPr>
          <w:sz w:val="22"/>
          <w:szCs w:val="22"/>
        </w:rPr>
        <w:t>oals</w:t>
      </w:r>
      <w:r w:rsidR="002C3F63">
        <w:rPr>
          <w:sz w:val="22"/>
          <w:szCs w:val="22"/>
        </w:rPr>
        <w:t>: universal connectivity and sustainable digital transformation</w:t>
      </w:r>
      <w:r w:rsidRPr="00DA76FF">
        <w:rPr>
          <w:sz w:val="22"/>
          <w:szCs w:val="22"/>
        </w:rPr>
        <w:t>. Section 4</w:t>
      </w:r>
      <w:r w:rsidR="009E3D0D" w:rsidRPr="00DA76FF">
        <w:rPr>
          <w:sz w:val="22"/>
          <w:szCs w:val="22"/>
        </w:rPr>
        <w:t xml:space="preserve"> emphasizes </w:t>
      </w:r>
      <w:r w:rsidR="002C3F63">
        <w:rPr>
          <w:sz w:val="22"/>
          <w:szCs w:val="22"/>
        </w:rPr>
        <w:t>results and activities related to p</w:t>
      </w:r>
      <w:r w:rsidR="00120615" w:rsidRPr="00DA76FF">
        <w:rPr>
          <w:sz w:val="22"/>
          <w:szCs w:val="22"/>
        </w:rPr>
        <w:t>roducts and services</w:t>
      </w:r>
      <w:r w:rsidR="002C3F63">
        <w:rPr>
          <w:sz w:val="22"/>
          <w:szCs w:val="22"/>
        </w:rPr>
        <w:t>,</w:t>
      </w:r>
      <w:r w:rsidR="00AE0501" w:rsidRPr="00DA76FF">
        <w:rPr>
          <w:sz w:val="22"/>
          <w:szCs w:val="22"/>
        </w:rPr>
        <w:t xml:space="preserve"> while </w:t>
      </w:r>
      <w:r w:rsidR="00A61008" w:rsidRPr="00DA76FF">
        <w:rPr>
          <w:sz w:val="22"/>
          <w:szCs w:val="22"/>
        </w:rPr>
        <w:t xml:space="preserve">section 5 focuses on </w:t>
      </w:r>
      <w:r w:rsidR="002C3F63">
        <w:rPr>
          <w:sz w:val="22"/>
          <w:szCs w:val="22"/>
        </w:rPr>
        <w:t>e</w:t>
      </w:r>
      <w:r w:rsidR="00120615" w:rsidRPr="00DA76FF">
        <w:rPr>
          <w:sz w:val="22"/>
          <w:szCs w:val="22"/>
        </w:rPr>
        <w:t>nablers</w:t>
      </w:r>
      <w:r w:rsidR="00CC56CD">
        <w:rPr>
          <w:sz w:val="22"/>
          <w:szCs w:val="22"/>
        </w:rPr>
        <w:t xml:space="preserve"> of ITU work and impact</w:t>
      </w:r>
      <w:r w:rsidR="009E3D0D" w:rsidRPr="00DA76FF">
        <w:rPr>
          <w:sz w:val="22"/>
          <w:szCs w:val="22"/>
        </w:rPr>
        <w:t>.</w:t>
      </w:r>
    </w:p>
    <w:p w14:paraId="7567A471" w14:textId="10BC0721" w:rsidR="00F35312" w:rsidRPr="00DA76FF" w:rsidRDefault="00F35312" w:rsidP="00C754AC">
      <w:pPr>
        <w:pStyle w:val="Heading1"/>
        <w:tabs>
          <w:tab w:val="clear" w:pos="567"/>
        </w:tabs>
        <w:rPr>
          <w:color w:val="365F91" w:themeColor="accent1" w:themeShade="BF"/>
          <w:sz w:val="32"/>
          <w:szCs w:val="32"/>
        </w:rPr>
      </w:pPr>
      <w:bookmarkStart w:id="17" w:name="_Toc198569346"/>
      <w:bookmarkStart w:id="18" w:name="_Toc137211288"/>
      <w:bookmarkStart w:id="19" w:name="_Toc2074337837"/>
      <w:bookmarkEnd w:id="11"/>
      <w:r w:rsidRPr="00DA76FF">
        <w:rPr>
          <w:color w:val="365F91" w:themeColor="accent1" w:themeShade="BF"/>
          <w:sz w:val="32"/>
          <w:szCs w:val="32"/>
        </w:rPr>
        <w:t>2.</w:t>
      </w:r>
      <w:r w:rsidRPr="00DA76FF">
        <w:rPr>
          <w:color w:val="365F91" w:themeColor="accent1" w:themeShade="BF"/>
          <w:sz w:val="32"/>
          <w:szCs w:val="32"/>
        </w:rPr>
        <w:tab/>
        <w:t>Global statutory conferences in 2024</w:t>
      </w:r>
      <w:bookmarkEnd w:id="17"/>
    </w:p>
    <w:p w14:paraId="241C84FA" w14:textId="60B65432" w:rsidR="00F35312" w:rsidRPr="00DA76FF" w:rsidRDefault="002B4EC2" w:rsidP="00C754AC">
      <w:pPr>
        <w:pStyle w:val="Heading2"/>
        <w:tabs>
          <w:tab w:val="clear" w:pos="567"/>
        </w:tabs>
        <w:spacing w:before="360"/>
      </w:pPr>
      <w:bookmarkStart w:id="20" w:name="_Toc198569347"/>
      <w:r w:rsidRPr="00DA76FF">
        <w:t>2.1</w:t>
      </w:r>
      <w:r w:rsidRPr="00DA76FF">
        <w:tab/>
      </w:r>
      <w:r w:rsidR="00F35312" w:rsidRPr="00DA76FF">
        <w:t>World Telecommunication Standardization Assembly</w:t>
      </w:r>
      <w:bookmarkEnd w:id="20"/>
    </w:p>
    <w:p w14:paraId="75264375" w14:textId="3E103C77" w:rsidR="00F35312" w:rsidRPr="00DA76FF" w:rsidRDefault="00F35312" w:rsidP="00A00703">
      <w:pPr>
        <w:spacing w:after="120"/>
        <w:jc w:val="both"/>
        <w:rPr>
          <w:sz w:val="22"/>
          <w:szCs w:val="22"/>
        </w:rPr>
      </w:pPr>
      <w:hyperlink r:id="rId26">
        <w:r w:rsidRPr="2C0EAE0F">
          <w:rPr>
            <w:rStyle w:val="Hyperlink"/>
            <w:sz w:val="22"/>
            <w:szCs w:val="22"/>
          </w:rPr>
          <w:t>WTSA-24</w:t>
        </w:r>
      </w:hyperlink>
      <w:r w:rsidRPr="2C0EAE0F">
        <w:rPr>
          <w:sz w:val="22"/>
          <w:szCs w:val="22"/>
        </w:rPr>
        <w:t xml:space="preserve"> </w:t>
      </w:r>
      <w:r w:rsidR="0052151E" w:rsidRPr="2C0EAE0F">
        <w:rPr>
          <w:sz w:val="22"/>
          <w:szCs w:val="22"/>
        </w:rPr>
        <w:t>took place</w:t>
      </w:r>
      <w:r w:rsidRPr="2C0EAE0F">
        <w:rPr>
          <w:sz w:val="22"/>
          <w:szCs w:val="22"/>
        </w:rPr>
        <w:t xml:space="preserve"> from 15 to 24 October 2024 in New Delhi, India. It was preceded by </w:t>
      </w:r>
      <w:hyperlink r:id="rId27">
        <w:r w:rsidRPr="2C0EAE0F">
          <w:rPr>
            <w:rStyle w:val="Hyperlink"/>
            <w:sz w:val="22"/>
            <w:szCs w:val="22"/>
          </w:rPr>
          <w:t>GSS-24</w:t>
        </w:r>
      </w:hyperlink>
      <w:r w:rsidRPr="2C0EAE0F">
        <w:rPr>
          <w:sz w:val="22"/>
          <w:szCs w:val="22"/>
        </w:rPr>
        <w:t xml:space="preserve"> (14 October 2024) and followed by </w:t>
      </w:r>
      <w:r w:rsidR="00D85C74" w:rsidRPr="2C0EAE0F">
        <w:rPr>
          <w:sz w:val="22"/>
          <w:szCs w:val="22"/>
        </w:rPr>
        <w:t>l</w:t>
      </w:r>
      <w:r w:rsidRPr="2C0EAE0F">
        <w:rPr>
          <w:sz w:val="22"/>
          <w:szCs w:val="22"/>
        </w:rPr>
        <w:t xml:space="preserve">eadership training, which was offered to newly appointed chairs and vice-chairs. The assembly welcomed </w:t>
      </w:r>
      <w:r w:rsidR="00E95A82" w:rsidRPr="2C0EAE0F">
        <w:rPr>
          <w:sz w:val="22"/>
          <w:szCs w:val="22"/>
        </w:rPr>
        <w:t>H. E</w:t>
      </w:r>
      <w:r w:rsidR="005C0A47" w:rsidRPr="2C0EAE0F">
        <w:rPr>
          <w:sz w:val="22"/>
          <w:szCs w:val="22"/>
        </w:rPr>
        <w:t xml:space="preserve">. </w:t>
      </w:r>
      <w:r w:rsidR="005B1E34" w:rsidRPr="2C0EAE0F">
        <w:rPr>
          <w:sz w:val="22"/>
          <w:szCs w:val="22"/>
        </w:rPr>
        <w:t xml:space="preserve">Narendra Modi, </w:t>
      </w:r>
      <w:r w:rsidRPr="2C0EAE0F">
        <w:rPr>
          <w:sz w:val="22"/>
          <w:szCs w:val="22"/>
        </w:rPr>
        <w:t>Prime Minister of India, to its opening ceremony.</w:t>
      </w:r>
      <w:r w:rsidRPr="2C0EAE0F">
        <w:rPr>
          <w:sz w:val="22"/>
          <w:szCs w:val="22"/>
          <w:lang w:eastAsia="ja-JP"/>
        </w:rPr>
        <w:t xml:space="preserve"> The assembly was chaired by Mr Ritu Ranjan Mittar (India).</w:t>
      </w:r>
      <w:r w:rsidRPr="2C0EAE0F">
        <w:rPr>
          <w:sz w:val="22"/>
          <w:szCs w:val="22"/>
        </w:rPr>
        <w:t xml:space="preserve"> </w:t>
      </w:r>
      <w:r w:rsidR="00D85C74" w:rsidRPr="2C0EAE0F">
        <w:rPr>
          <w:sz w:val="22"/>
          <w:szCs w:val="22"/>
        </w:rPr>
        <w:t>A</w:t>
      </w:r>
      <w:r w:rsidRPr="2C0EAE0F">
        <w:rPr>
          <w:sz w:val="22"/>
          <w:szCs w:val="22"/>
        </w:rPr>
        <w:t>ttended by 3</w:t>
      </w:r>
      <w:r w:rsidR="00D84235" w:rsidRPr="2C0EAE0F">
        <w:rPr>
          <w:sz w:val="22"/>
          <w:szCs w:val="22"/>
        </w:rPr>
        <w:t> </w:t>
      </w:r>
      <w:r w:rsidR="003256F5" w:rsidRPr="2C0EAE0F">
        <w:rPr>
          <w:sz w:val="22"/>
          <w:szCs w:val="22"/>
        </w:rPr>
        <w:t>700</w:t>
      </w:r>
      <w:r w:rsidR="008E1B0F" w:rsidRPr="2C0EAE0F">
        <w:rPr>
          <w:sz w:val="22"/>
          <w:szCs w:val="22"/>
        </w:rPr>
        <w:t xml:space="preserve"> </w:t>
      </w:r>
      <w:r w:rsidRPr="2C0EAE0F">
        <w:rPr>
          <w:sz w:val="22"/>
          <w:szCs w:val="22"/>
        </w:rPr>
        <w:t>delegates from 164 countries</w:t>
      </w:r>
      <w:r w:rsidR="00D85C74" w:rsidRPr="2C0EAE0F">
        <w:rPr>
          <w:sz w:val="22"/>
          <w:szCs w:val="22"/>
        </w:rPr>
        <w:t>, i</w:t>
      </w:r>
      <w:r w:rsidRPr="2C0EAE0F">
        <w:rPr>
          <w:sz w:val="22"/>
          <w:szCs w:val="22"/>
        </w:rPr>
        <w:t xml:space="preserve">t </w:t>
      </w:r>
      <w:r w:rsidR="00D85C74" w:rsidRPr="2C0EAE0F">
        <w:rPr>
          <w:sz w:val="22"/>
          <w:szCs w:val="22"/>
        </w:rPr>
        <w:t>achiev</w:t>
      </w:r>
      <w:r w:rsidRPr="2C0EAE0F">
        <w:rPr>
          <w:sz w:val="22"/>
          <w:szCs w:val="22"/>
        </w:rPr>
        <w:t xml:space="preserve">ed the </w:t>
      </w:r>
      <w:r w:rsidR="005673CE" w:rsidRPr="2C0EAE0F">
        <w:rPr>
          <w:sz w:val="22"/>
          <w:szCs w:val="22"/>
        </w:rPr>
        <w:t xml:space="preserve">27 percent </w:t>
      </w:r>
      <w:r w:rsidRPr="2C0EAE0F">
        <w:rPr>
          <w:sz w:val="22"/>
          <w:szCs w:val="22"/>
        </w:rPr>
        <w:t xml:space="preserve">female </w:t>
      </w:r>
      <w:r w:rsidR="00D85C74" w:rsidRPr="2C0EAE0F">
        <w:rPr>
          <w:sz w:val="22"/>
          <w:szCs w:val="22"/>
        </w:rPr>
        <w:t>representation</w:t>
      </w:r>
      <w:r w:rsidR="005673CE" w:rsidRPr="2C0EAE0F">
        <w:rPr>
          <w:sz w:val="22"/>
          <w:szCs w:val="22"/>
        </w:rPr>
        <w:t>,</w:t>
      </w:r>
      <w:r w:rsidR="00D85C74" w:rsidRPr="2C0EAE0F">
        <w:rPr>
          <w:sz w:val="22"/>
          <w:szCs w:val="22"/>
        </w:rPr>
        <w:t xml:space="preserve"> </w:t>
      </w:r>
      <w:r w:rsidR="005673CE" w:rsidRPr="2C0EAE0F">
        <w:rPr>
          <w:sz w:val="22"/>
          <w:szCs w:val="22"/>
        </w:rPr>
        <w:t>the highest to</w:t>
      </w:r>
      <w:r w:rsidR="00D85C74" w:rsidRPr="2C0EAE0F">
        <w:rPr>
          <w:sz w:val="22"/>
          <w:szCs w:val="22"/>
        </w:rPr>
        <w:t xml:space="preserve"> date</w:t>
      </w:r>
      <w:r w:rsidR="003256F5" w:rsidRPr="2C0EAE0F">
        <w:rPr>
          <w:sz w:val="22"/>
          <w:szCs w:val="22"/>
        </w:rPr>
        <w:t xml:space="preserve"> for</w:t>
      </w:r>
      <w:r w:rsidRPr="2C0EAE0F">
        <w:rPr>
          <w:sz w:val="22"/>
          <w:szCs w:val="22"/>
        </w:rPr>
        <w:t xml:space="preserve"> </w:t>
      </w:r>
      <w:r w:rsidR="00D85C74" w:rsidRPr="2C0EAE0F">
        <w:rPr>
          <w:sz w:val="22"/>
          <w:szCs w:val="22"/>
        </w:rPr>
        <w:t>ITU</w:t>
      </w:r>
      <w:r w:rsidR="003C6C45">
        <w:rPr>
          <w:sz w:val="22"/>
          <w:szCs w:val="22"/>
        </w:rPr>
        <w:t>-T</w:t>
      </w:r>
      <w:r w:rsidRPr="2C0EAE0F">
        <w:rPr>
          <w:sz w:val="22"/>
          <w:szCs w:val="22"/>
        </w:rPr>
        <w:t xml:space="preserve"> </w:t>
      </w:r>
      <w:r w:rsidR="005673CE" w:rsidRPr="2C0EAE0F">
        <w:rPr>
          <w:sz w:val="22"/>
          <w:szCs w:val="22"/>
        </w:rPr>
        <w:t>conferences held</w:t>
      </w:r>
      <w:r w:rsidRPr="2C0EAE0F">
        <w:rPr>
          <w:sz w:val="22"/>
          <w:szCs w:val="22"/>
        </w:rPr>
        <w:t xml:space="preserve"> outside Geneva. It also showed the highest</w:t>
      </w:r>
      <w:r w:rsidR="00AF2F75" w:rsidRPr="2C0EAE0F">
        <w:rPr>
          <w:sz w:val="22"/>
          <w:szCs w:val="22"/>
        </w:rPr>
        <w:t>-level</w:t>
      </w:r>
      <w:r w:rsidRPr="2C0EAE0F">
        <w:rPr>
          <w:sz w:val="22"/>
          <w:szCs w:val="22"/>
        </w:rPr>
        <w:t xml:space="preserve"> </w:t>
      </w:r>
      <w:r w:rsidR="00AF2F75" w:rsidRPr="2C0EAE0F">
        <w:rPr>
          <w:sz w:val="22"/>
          <w:szCs w:val="22"/>
        </w:rPr>
        <w:t>participation</w:t>
      </w:r>
      <w:r w:rsidR="00E318E9">
        <w:rPr>
          <w:sz w:val="22"/>
          <w:szCs w:val="22"/>
        </w:rPr>
        <w:t xml:space="preserve"> for ITU-T</w:t>
      </w:r>
      <w:r w:rsidR="00411FC3" w:rsidRPr="2C0EAE0F">
        <w:rPr>
          <w:sz w:val="22"/>
          <w:szCs w:val="22"/>
        </w:rPr>
        <w:t>,</w:t>
      </w:r>
      <w:r w:rsidRPr="2C0EAE0F">
        <w:rPr>
          <w:sz w:val="22"/>
          <w:szCs w:val="22"/>
        </w:rPr>
        <w:t xml:space="preserve"> with 37 </w:t>
      </w:r>
      <w:r w:rsidR="00D84235" w:rsidRPr="2C0EAE0F">
        <w:rPr>
          <w:sz w:val="22"/>
          <w:szCs w:val="22"/>
        </w:rPr>
        <w:t xml:space="preserve">Member States </w:t>
      </w:r>
      <w:r w:rsidR="005D4AC4" w:rsidRPr="2C0EAE0F">
        <w:rPr>
          <w:sz w:val="22"/>
          <w:szCs w:val="22"/>
        </w:rPr>
        <w:t xml:space="preserve">sending </w:t>
      </w:r>
      <w:r w:rsidRPr="2C0EAE0F">
        <w:rPr>
          <w:sz w:val="22"/>
          <w:szCs w:val="22"/>
        </w:rPr>
        <w:t>ministers. More than 20 side events were held during WTSA-24.</w:t>
      </w:r>
    </w:p>
    <w:p w14:paraId="57F6DB22" w14:textId="7678E935" w:rsidR="00F35312" w:rsidRPr="00DA76FF" w:rsidRDefault="00FA523C" w:rsidP="00A00703">
      <w:pPr>
        <w:spacing w:after="120"/>
        <w:jc w:val="both"/>
        <w:rPr>
          <w:sz w:val="22"/>
          <w:szCs w:val="18"/>
        </w:rPr>
      </w:pPr>
      <w:r>
        <w:rPr>
          <w:sz w:val="22"/>
          <w:szCs w:val="18"/>
        </w:rPr>
        <w:lastRenderedPageBreak/>
        <w:t>Key</w:t>
      </w:r>
      <w:r w:rsidR="00F35312" w:rsidRPr="00DA76FF">
        <w:rPr>
          <w:sz w:val="22"/>
          <w:szCs w:val="18"/>
        </w:rPr>
        <w:t xml:space="preserve"> WTSA-24 </w:t>
      </w:r>
      <w:r>
        <w:rPr>
          <w:sz w:val="22"/>
          <w:szCs w:val="18"/>
        </w:rPr>
        <w:t xml:space="preserve">outcomes </w:t>
      </w:r>
      <w:r w:rsidR="00F35312" w:rsidRPr="00DA76FF">
        <w:rPr>
          <w:sz w:val="22"/>
          <w:szCs w:val="18"/>
        </w:rPr>
        <w:t>include:</w:t>
      </w:r>
    </w:p>
    <w:p w14:paraId="541C5766" w14:textId="6B7A7524" w:rsidR="00F35312" w:rsidRPr="001F5216" w:rsidRDefault="00F35312" w:rsidP="00A00703">
      <w:pPr>
        <w:pStyle w:val="ListParagraph"/>
        <w:numPr>
          <w:ilvl w:val="0"/>
          <w:numId w:val="15"/>
        </w:numPr>
        <w:spacing w:before="60" w:after="60"/>
        <w:ind w:left="568" w:hanging="284"/>
        <w:jc w:val="both"/>
        <w:rPr>
          <w:i/>
          <w:iCs/>
        </w:rPr>
      </w:pPr>
      <w:r w:rsidRPr="00DA76FF">
        <w:rPr>
          <w:lang w:val="en-GB"/>
        </w:rPr>
        <w:t>Consolidation of</w:t>
      </w:r>
      <w:r w:rsidR="0052084F">
        <w:rPr>
          <w:lang w:val="en-GB"/>
        </w:rPr>
        <w:t xml:space="preserve"> </w:t>
      </w:r>
      <w:r w:rsidRPr="00DA76FF">
        <w:rPr>
          <w:lang w:val="en-GB"/>
        </w:rPr>
        <w:t xml:space="preserve">ITU-T </w:t>
      </w:r>
      <w:hyperlink r:id="rId28" w:history="1">
        <w:r w:rsidRPr="00DA76FF">
          <w:rPr>
            <w:rStyle w:val="Hyperlink"/>
            <w:lang w:val="en-GB"/>
          </w:rPr>
          <w:t>S</w:t>
        </w:r>
        <w:r w:rsidR="004758DF">
          <w:rPr>
            <w:rStyle w:val="Hyperlink"/>
            <w:lang w:val="en-GB"/>
          </w:rPr>
          <w:t xml:space="preserve">tudy </w:t>
        </w:r>
        <w:r w:rsidRPr="00DA76FF">
          <w:rPr>
            <w:rStyle w:val="Hyperlink"/>
            <w:lang w:val="en-GB"/>
          </w:rPr>
          <w:t>G</w:t>
        </w:r>
        <w:r w:rsidR="004758DF">
          <w:rPr>
            <w:rStyle w:val="Hyperlink"/>
            <w:lang w:val="en-GB"/>
          </w:rPr>
          <w:t xml:space="preserve">roup </w:t>
        </w:r>
        <w:r w:rsidRPr="00DA76FF">
          <w:rPr>
            <w:rStyle w:val="Hyperlink"/>
            <w:lang w:val="en-GB"/>
          </w:rPr>
          <w:t>9</w:t>
        </w:r>
      </w:hyperlink>
      <w:r w:rsidRPr="00DA76FF">
        <w:rPr>
          <w:lang w:val="en-GB"/>
        </w:rPr>
        <w:t xml:space="preserve"> and </w:t>
      </w:r>
      <w:hyperlink r:id="rId29" w:history="1">
        <w:r w:rsidRPr="00DA76FF">
          <w:rPr>
            <w:rStyle w:val="Hyperlink"/>
            <w:lang w:val="en-GB"/>
          </w:rPr>
          <w:t>S</w:t>
        </w:r>
        <w:r w:rsidR="004758DF">
          <w:rPr>
            <w:rStyle w:val="Hyperlink"/>
            <w:lang w:val="en-GB"/>
          </w:rPr>
          <w:t xml:space="preserve">tudy </w:t>
        </w:r>
        <w:r w:rsidRPr="00DA76FF">
          <w:rPr>
            <w:rStyle w:val="Hyperlink"/>
            <w:lang w:val="en-GB"/>
          </w:rPr>
          <w:t>G</w:t>
        </w:r>
        <w:r w:rsidR="004758DF">
          <w:rPr>
            <w:rStyle w:val="Hyperlink"/>
            <w:lang w:val="en-GB"/>
          </w:rPr>
          <w:t xml:space="preserve">roup </w:t>
        </w:r>
        <w:r w:rsidRPr="00DA76FF">
          <w:rPr>
            <w:rStyle w:val="Hyperlink"/>
            <w:lang w:val="en-GB"/>
          </w:rPr>
          <w:t>16</w:t>
        </w:r>
      </w:hyperlink>
      <w:r w:rsidR="004758DF">
        <w:t xml:space="preserve"> as the n</w:t>
      </w:r>
      <w:r w:rsidRPr="004758DF">
        <w:t xml:space="preserve">ew </w:t>
      </w:r>
      <w:r w:rsidR="004758DF">
        <w:t>ITU-</w:t>
      </w:r>
      <w:r w:rsidRPr="004758DF">
        <w:t xml:space="preserve">Study Group 21: </w:t>
      </w:r>
      <w:r w:rsidRPr="001F5216">
        <w:rPr>
          <w:i/>
          <w:iCs/>
        </w:rPr>
        <w:t>Technologies for multimedia, content delivery and cable television</w:t>
      </w:r>
    </w:p>
    <w:p w14:paraId="5E51B98C" w14:textId="0EE40722" w:rsidR="00F35312" w:rsidRPr="00DA76FF" w:rsidRDefault="00F35312" w:rsidP="00A00703">
      <w:pPr>
        <w:pStyle w:val="ListParagraph"/>
        <w:numPr>
          <w:ilvl w:val="0"/>
          <w:numId w:val="15"/>
        </w:numPr>
        <w:spacing w:before="60" w:after="60"/>
        <w:ind w:left="568" w:hanging="284"/>
        <w:jc w:val="both"/>
        <w:rPr>
          <w:sz w:val="24"/>
          <w:szCs w:val="24"/>
          <w:lang w:val="en-GB"/>
        </w:rPr>
      </w:pPr>
      <w:r w:rsidRPr="00DA76FF">
        <w:rPr>
          <w:lang w:val="en-GB"/>
        </w:rPr>
        <w:t>Appoint</w:t>
      </w:r>
      <w:r w:rsidR="004758DF">
        <w:rPr>
          <w:lang w:val="en-GB"/>
        </w:rPr>
        <w:t>ments of</w:t>
      </w:r>
      <w:r w:rsidRPr="00DA76FF">
        <w:rPr>
          <w:lang w:val="en-GB"/>
        </w:rPr>
        <w:t xml:space="preserve"> chairs and vice-chairs for ten ITU-T study groups</w:t>
      </w:r>
      <w:r w:rsidR="00001158">
        <w:rPr>
          <w:lang w:val="en-GB"/>
        </w:rPr>
        <w:t>,</w:t>
      </w:r>
      <w:r w:rsidRPr="00DA76FF">
        <w:rPr>
          <w:lang w:val="en-GB"/>
        </w:rPr>
        <w:t xml:space="preserve"> </w:t>
      </w:r>
      <w:r w:rsidR="00010D94">
        <w:rPr>
          <w:lang w:val="en-GB"/>
        </w:rPr>
        <w:t>the Telecommunication Standardization Advisory Group</w:t>
      </w:r>
      <w:r w:rsidR="00001158">
        <w:rPr>
          <w:lang w:val="en-GB"/>
        </w:rPr>
        <w:t>, and the Standardization Committee for Vocabulary</w:t>
      </w:r>
    </w:p>
    <w:p w14:paraId="0048135E" w14:textId="7A7EDDB4" w:rsidR="00F35312" w:rsidRPr="00DA76FF" w:rsidRDefault="007C261D" w:rsidP="00A00703">
      <w:pPr>
        <w:pStyle w:val="ListParagraph"/>
        <w:numPr>
          <w:ilvl w:val="0"/>
          <w:numId w:val="15"/>
        </w:numPr>
        <w:spacing w:before="60" w:after="60"/>
        <w:ind w:left="568" w:hanging="284"/>
        <w:jc w:val="both"/>
        <w:rPr>
          <w:sz w:val="24"/>
          <w:szCs w:val="24"/>
          <w:lang w:val="en-GB"/>
        </w:rPr>
      </w:pPr>
      <w:r>
        <w:rPr>
          <w:lang w:val="en-GB"/>
        </w:rPr>
        <w:t>U</w:t>
      </w:r>
      <w:r w:rsidR="00F35312" w:rsidRPr="00DA76FF">
        <w:rPr>
          <w:lang w:val="en-GB"/>
        </w:rPr>
        <w:t xml:space="preserve">pdated mandate (Resolution 2) and new </w:t>
      </w:r>
      <w:r w:rsidR="009E6AC0">
        <w:rPr>
          <w:lang w:val="en-GB"/>
        </w:rPr>
        <w:t>q</w:t>
      </w:r>
      <w:r w:rsidR="00F35312" w:rsidRPr="00DA76FF">
        <w:rPr>
          <w:lang w:val="en-GB"/>
        </w:rPr>
        <w:t xml:space="preserve">uestions </w:t>
      </w:r>
      <w:r w:rsidR="00EB6361">
        <w:rPr>
          <w:lang w:val="en-GB"/>
        </w:rPr>
        <w:t>for 10</w:t>
      </w:r>
      <w:r w:rsidR="00F35312" w:rsidRPr="00DA76FF">
        <w:rPr>
          <w:lang w:val="en-GB"/>
        </w:rPr>
        <w:t xml:space="preserve"> study groups</w:t>
      </w:r>
      <w:r w:rsidR="009E6AC0">
        <w:rPr>
          <w:lang w:val="en-GB"/>
        </w:rPr>
        <w:t xml:space="preserve"> in ITU-T</w:t>
      </w:r>
    </w:p>
    <w:p w14:paraId="681BB904" w14:textId="700C454A" w:rsidR="00F35312" w:rsidRPr="00DA76FF" w:rsidRDefault="00F35312" w:rsidP="00A00703">
      <w:pPr>
        <w:pStyle w:val="ListParagraph"/>
        <w:numPr>
          <w:ilvl w:val="0"/>
          <w:numId w:val="15"/>
        </w:numPr>
        <w:spacing w:before="60" w:after="60"/>
        <w:ind w:left="568" w:hanging="284"/>
        <w:jc w:val="both"/>
        <w:rPr>
          <w:sz w:val="24"/>
          <w:szCs w:val="24"/>
          <w:lang w:val="en-GB"/>
        </w:rPr>
      </w:pPr>
      <w:r w:rsidRPr="00DA76FF">
        <w:rPr>
          <w:lang w:val="en-GB"/>
        </w:rPr>
        <w:t xml:space="preserve">8 new </w:t>
      </w:r>
      <w:r w:rsidR="00EB6361">
        <w:rPr>
          <w:lang w:val="en-GB"/>
        </w:rPr>
        <w:t>r</w:t>
      </w:r>
      <w:r w:rsidRPr="00DA76FF">
        <w:rPr>
          <w:lang w:val="en-GB"/>
        </w:rPr>
        <w:t>esolutions</w:t>
      </w:r>
    </w:p>
    <w:p w14:paraId="0A95AD51" w14:textId="21CB0E50" w:rsidR="00F35312" w:rsidRPr="00DA76FF" w:rsidRDefault="00F35312" w:rsidP="00A00703">
      <w:pPr>
        <w:pStyle w:val="ListParagraph"/>
        <w:numPr>
          <w:ilvl w:val="0"/>
          <w:numId w:val="15"/>
        </w:numPr>
        <w:spacing w:before="60" w:after="60"/>
        <w:ind w:left="568" w:hanging="284"/>
        <w:jc w:val="both"/>
        <w:rPr>
          <w:sz w:val="24"/>
          <w:szCs w:val="24"/>
          <w:lang w:val="en-GB"/>
        </w:rPr>
      </w:pPr>
      <w:r w:rsidRPr="00DA76FF">
        <w:rPr>
          <w:lang w:val="en-GB"/>
        </w:rPr>
        <w:t xml:space="preserve">44 revised </w:t>
      </w:r>
      <w:r w:rsidR="00EB6361">
        <w:rPr>
          <w:lang w:val="en-GB"/>
        </w:rPr>
        <w:t>r</w:t>
      </w:r>
      <w:r w:rsidRPr="00DA76FF">
        <w:rPr>
          <w:lang w:val="en-GB"/>
        </w:rPr>
        <w:t>esolutions</w:t>
      </w:r>
    </w:p>
    <w:p w14:paraId="2B26BCA4" w14:textId="77777777" w:rsidR="00F35312" w:rsidRPr="00DA76FF" w:rsidRDefault="00F35312" w:rsidP="00A00703">
      <w:pPr>
        <w:pStyle w:val="ListParagraph"/>
        <w:numPr>
          <w:ilvl w:val="0"/>
          <w:numId w:val="15"/>
        </w:numPr>
        <w:spacing w:before="60" w:after="60"/>
        <w:ind w:left="568" w:hanging="284"/>
        <w:jc w:val="both"/>
        <w:rPr>
          <w:sz w:val="24"/>
          <w:szCs w:val="24"/>
          <w:lang w:val="en-GB"/>
        </w:rPr>
      </w:pPr>
      <w:r w:rsidRPr="00DA76FF">
        <w:rPr>
          <w:lang w:val="en-GB"/>
        </w:rPr>
        <w:t>1 revised ITU-T Recommendation (A.25)</w:t>
      </w:r>
    </w:p>
    <w:p w14:paraId="422D85A8" w14:textId="77777777" w:rsidR="00F35312" w:rsidRPr="00DA76FF" w:rsidRDefault="00F35312" w:rsidP="00A00703">
      <w:pPr>
        <w:spacing w:before="360"/>
        <w:jc w:val="both"/>
        <w:rPr>
          <w:sz w:val="22"/>
          <w:szCs w:val="22"/>
        </w:rPr>
      </w:pPr>
      <w:r w:rsidRPr="00DA76FF">
        <w:rPr>
          <w:sz w:val="22"/>
          <w:szCs w:val="22"/>
        </w:rPr>
        <w:t>Related information:</w:t>
      </w:r>
    </w:p>
    <w:p w14:paraId="676D6594" w14:textId="5CF25135" w:rsidR="00F35312" w:rsidRPr="00DA76FF" w:rsidRDefault="00F35312" w:rsidP="00A00703">
      <w:pPr>
        <w:pStyle w:val="ListParagraph"/>
        <w:numPr>
          <w:ilvl w:val="0"/>
          <w:numId w:val="15"/>
        </w:numPr>
        <w:spacing w:before="60" w:after="60"/>
        <w:ind w:left="568" w:hanging="284"/>
        <w:jc w:val="both"/>
        <w:rPr>
          <w:lang w:val="en-GB"/>
        </w:rPr>
      </w:pPr>
      <w:hyperlink r:id="rId30" w:history="1">
        <w:r w:rsidRPr="00EE3D85">
          <w:rPr>
            <w:rStyle w:val="Hyperlink"/>
            <w:lang w:val="en-GB"/>
          </w:rPr>
          <w:t>WTSA-24 website</w:t>
        </w:r>
      </w:hyperlink>
    </w:p>
    <w:p w14:paraId="6ADEE004" w14:textId="77777777" w:rsidR="00F35312" w:rsidRPr="0026733A" w:rsidRDefault="00F35312" w:rsidP="00A00703">
      <w:pPr>
        <w:pStyle w:val="ListParagraph"/>
        <w:numPr>
          <w:ilvl w:val="0"/>
          <w:numId w:val="15"/>
        </w:numPr>
        <w:spacing w:before="60" w:after="60"/>
        <w:ind w:left="568" w:hanging="284"/>
        <w:jc w:val="both"/>
        <w:rPr>
          <w:lang w:val="en-GB"/>
        </w:rPr>
      </w:pPr>
      <w:hyperlink r:id="rId31" w:history="1">
        <w:r w:rsidRPr="00DA76FF">
          <w:rPr>
            <w:rStyle w:val="Hyperlink"/>
            <w:lang w:val="en-GB"/>
          </w:rPr>
          <w:t>WTSA-24 Proceedings</w:t>
        </w:r>
      </w:hyperlink>
    </w:p>
    <w:p w14:paraId="67DC561D" w14:textId="6E1A534D" w:rsidR="0026733A" w:rsidRPr="00DA76FF" w:rsidRDefault="0026733A" w:rsidP="00A00703">
      <w:pPr>
        <w:pStyle w:val="ListParagraph"/>
        <w:numPr>
          <w:ilvl w:val="0"/>
          <w:numId w:val="15"/>
        </w:numPr>
        <w:spacing w:before="60" w:after="60"/>
        <w:ind w:left="568" w:hanging="284"/>
        <w:jc w:val="both"/>
        <w:rPr>
          <w:lang w:val="en-GB"/>
        </w:rPr>
      </w:pPr>
      <w:hyperlink r:id="rId32" w:history="1">
        <w:r w:rsidRPr="0026733A">
          <w:rPr>
            <w:rStyle w:val="Hyperlink"/>
            <w:lang w:val="en-GB"/>
          </w:rPr>
          <w:t>WTSA-24 snapshot report</w:t>
        </w:r>
      </w:hyperlink>
    </w:p>
    <w:p w14:paraId="0344DFF6" w14:textId="57223E63" w:rsidR="00F35312" w:rsidRPr="00DA76FF" w:rsidRDefault="00F35312" w:rsidP="00A00703">
      <w:pPr>
        <w:pStyle w:val="ListParagraph"/>
        <w:numPr>
          <w:ilvl w:val="0"/>
          <w:numId w:val="15"/>
        </w:numPr>
        <w:spacing w:before="60" w:after="60"/>
        <w:ind w:left="568" w:hanging="284"/>
        <w:jc w:val="both"/>
        <w:rPr>
          <w:lang w:val="en-GB"/>
        </w:rPr>
      </w:pPr>
      <w:hyperlink r:id="rId33" w:history="1">
        <w:r w:rsidRPr="00EE3D85">
          <w:rPr>
            <w:rStyle w:val="Hyperlink"/>
            <w:lang w:val="en-GB"/>
          </w:rPr>
          <w:t>WTSA-24 brochure</w:t>
        </w:r>
      </w:hyperlink>
    </w:p>
    <w:p w14:paraId="04508011" w14:textId="4B7672E0" w:rsidR="00F35312" w:rsidRPr="00DA76FF" w:rsidRDefault="00EE3D85" w:rsidP="00A00703">
      <w:pPr>
        <w:pStyle w:val="ListParagraph"/>
        <w:numPr>
          <w:ilvl w:val="0"/>
          <w:numId w:val="15"/>
        </w:numPr>
        <w:spacing w:before="60" w:after="60"/>
        <w:ind w:left="568" w:hanging="284"/>
        <w:jc w:val="both"/>
        <w:rPr>
          <w:lang w:val="en-GB"/>
        </w:rPr>
      </w:pPr>
      <w:hyperlink r:id="rId34" w:history="1">
        <w:r w:rsidRPr="00EE3D85">
          <w:rPr>
            <w:rStyle w:val="Hyperlink"/>
            <w:lang w:val="en-GB"/>
          </w:rPr>
          <w:t>R</w:t>
        </w:r>
        <w:r w:rsidRPr="0026733A">
          <w:rPr>
            <w:rStyle w:val="Hyperlink"/>
            <w:lang w:val="en-GB"/>
          </w:rPr>
          <w:t>elated events</w:t>
        </w:r>
      </w:hyperlink>
    </w:p>
    <w:p w14:paraId="6338B8C2" w14:textId="5E4D1837" w:rsidR="00E841E7" w:rsidRPr="00DA76FF" w:rsidRDefault="00E841E7">
      <w:pPr>
        <w:tabs>
          <w:tab w:val="clear" w:pos="567"/>
          <w:tab w:val="clear" w:pos="1134"/>
          <w:tab w:val="clear" w:pos="1701"/>
          <w:tab w:val="clear" w:pos="2268"/>
          <w:tab w:val="clear" w:pos="2835"/>
        </w:tabs>
        <w:overflowPunct/>
        <w:autoSpaceDE/>
        <w:autoSpaceDN/>
        <w:adjustRightInd/>
        <w:spacing w:before="0"/>
        <w:textAlignment w:val="auto"/>
        <w:rPr>
          <w:b/>
          <w:szCs w:val="24"/>
        </w:rPr>
      </w:pPr>
      <w:r w:rsidRPr="00DA76FF">
        <w:rPr>
          <w:szCs w:val="24"/>
        </w:rPr>
        <w:br w:type="page"/>
      </w:r>
    </w:p>
    <w:p w14:paraId="1F562504" w14:textId="57C03787" w:rsidR="002D117C" w:rsidRPr="00DA76FF" w:rsidRDefault="00EA3EA6" w:rsidP="00C754AC">
      <w:pPr>
        <w:pStyle w:val="Heading1"/>
        <w:numPr>
          <w:ilvl w:val="0"/>
          <w:numId w:val="29"/>
        </w:numPr>
        <w:tabs>
          <w:tab w:val="clear" w:pos="567"/>
        </w:tabs>
        <w:spacing w:before="240" w:after="120"/>
        <w:ind w:left="567" w:hanging="567"/>
        <w:rPr>
          <w:color w:val="365F91" w:themeColor="accent1" w:themeShade="BF"/>
          <w:sz w:val="32"/>
          <w:szCs w:val="32"/>
        </w:rPr>
      </w:pPr>
      <w:bookmarkStart w:id="21" w:name="_Toc198569348"/>
      <w:r w:rsidRPr="00DA76FF">
        <w:rPr>
          <w:color w:val="365F91" w:themeColor="accent1" w:themeShade="BF"/>
          <w:sz w:val="32"/>
          <w:szCs w:val="32"/>
        </w:rPr>
        <w:lastRenderedPageBreak/>
        <w:t>Impact</w:t>
      </w:r>
      <w:r w:rsidR="00575086" w:rsidRPr="00DA76FF">
        <w:rPr>
          <w:color w:val="365F91" w:themeColor="accent1" w:themeShade="BF"/>
          <w:sz w:val="32"/>
          <w:szCs w:val="32"/>
        </w:rPr>
        <w:t xml:space="preserve"> of ITU’s work</w:t>
      </w:r>
      <w:bookmarkEnd w:id="21"/>
    </w:p>
    <w:bookmarkEnd w:id="18"/>
    <w:p w14:paraId="5BC86994" w14:textId="5740A76A" w:rsidR="000D2DD5" w:rsidRPr="00DA76FF" w:rsidRDefault="00B87ACD" w:rsidP="00A00703">
      <w:pPr>
        <w:pStyle w:val="NoSpacing"/>
        <w:spacing w:before="120" w:after="120"/>
        <w:jc w:val="both"/>
      </w:pPr>
      <w:r>
        <w:t>The latest</w:t>
      </w:r>
      <w:r w:rsidR="00C92D9A" w:rsidRPr="00DA76FF">
        <w:t xml:space="preserve"> edition </w:t>
      </w:r>
      <w:r w:rsidR="00E30190" w:rsidRPr="00DA76FF">
        <w:t xml:space="preserve">of ITU’s </w:t>
      </w:r>
      <w:r w:rsidR="00961DB7" w:rsidRPr="00DA76FF">
        <w:t>f</w:t>
      </w:r>
      <w:r w:rsidR="00E30190" w:rsidRPr="00DA76FF">
        <w:t xml:space="preserve">lagship report </w:t>
      </w:r>
      <w:hyperlink r:id="rId35" w:history="1">
        <w:r w:rsidR="00E30190" w:rsidRPr="00DA76FF">
          <w:rPr>
            <w:rStyle w:val="Hyperlink"/>
          </w:rPr>
          <w:t>Measuring digital development: Facts and Figures 2024</w:t>
        </w:r>
      </w:hyperlink>
      <w:r w:rsidR="00E30190" w:rsidRPr="00DA76FF">
        <w:t xml:space="preserve"> </w:t>
      </w:r>
      <w:r w:rsidR="00C92D9A" w:rsidRPr="00DA76FF">
        <w:t>shows Internet use continu</w:t>
      </w:r>
      <w:r>
        <w:t>ing</w:t>
      </w:r>
      <w:r w:rsidR="00C92D9A" w:rsidRPr="00DA76FF">
        <w:t xml:space="preserve"> to grow</w:t>
      </w:r>
      <w:r>
        <w:t xml:space="preserve"> incrementally</w:t>
      </w:r>
      <w:r w:rsidR="00C92D9A" w:rsidRPr="00DA76FF">
        <w:t>, but universality remains elusive, especially in low-income regions. Furthermore, there is a lack of progress in bridging the urban-rural divide, except in the lowest income group. It tracks global connectivity with estimates of key indicators, including those related to Internet use, infrastructure, affordability, Internet traffic, gender, and location</w:t>
      </w:r>
      <w:r w:rsidR="000D2DD5" w:rsidRPr="00DA76FF">
        <w:t>.</w:t>
      </w:r>
    </w:p>
    <w:p w14:paraId="3B4518A6" w14:textId="0364A606" w:rsidR="000756F6" w:rsidRPr="00DA76FF" w:rsidRDefault="002A636D" w:rsidP="00A00703">
      <w:pPr>
        <w:pStyle w:val="NoSpacing"/>
        <w:spacing w:before="120" w:after="240"/>
        <w:jc w:val="both"/>
      </w:pPr>
      <w:r w:rsidRPr="00DA76FF">
        <w:t xml:space="preserve">ITU's performance in achieving its </w:t>
      </w:r>
      <w:r w:rsidR="00380FF5">
        <w:t>s</w:t>
      </w:r>
      <w:r w:rsidRPr="00DA76FF">
        <w:t xml:space="preserve">trategic </w:t>
      </w:r>
      <w:r w:rsidR="00380FF5">
        <w:t>g</w:t>
      </w:r>
      <w:r w:rsidRPr="00DA76FF">
        <w:t xml:space="preserve">oals can be </w:t>
      </w:r>
      <w:r w:rsidR="009C1409">
        <w:t>based on associated targets</w:t>
      </w:r>
      <w:r w:rsidR="0013172F" w:rsidRPr="00DA76FF">
        <w:t xml:space="preserve"> and corresponding indicators</w:t>
      </w:r>
      <w:r w:rsidR="002D20AA" w:rsidRPr="00DA76FF">
        <w:t xml:space="preserve">: </w:t>
      </w:r>
    </w:p>
    <w:tbl>
      <w:tblPr>
        <w:tblW w:w="9700" w:type="dxa"/>
        <w:tblCellMar>
          <w:top w:w="15" w:type="dxa"/>
          <w:bottom w:w="15" w:type="dxa"/>
        </w:tblCellMar>
        <w:tblLook w:val="04A0" w:firstRow="1" w:lastRow="0" w:firstColumn="1" w:lastColumn="0" w:noHBand="0" w:noVBand="1"/>
      </w:tblPr>
      <w:tblGrid>
        <w:gridCol w:w="1129"/>
        <w:gridCol w:w="4111"/>
        <w:gridCol w:w="4460"/>
      </w:tblGrid>
      <w:tr w:rsidR="00705678" w:rsidRPr="00DA76FF" w14:paraId="0CF2A405" w14:textId="77777777" w:rsidTr="2C0EAE0F">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43050E85" w14:textId="77777777" w:rsidR="00705678" w:rsidRPr="00DA76FF" w:rsidRDefault="00705678" w:rsidP="00705678">
            <w:pPr>
              <w:tabs>
                <w:tab w:val="clear" w:pos="567"/>
                <w:tab w:val="clear" w:pos="1134"/>
                <w:tab w:val="clear" w:pos="1701"/>
                <w:tab w:val="clear" w:pos="2268"/>
                <w:tab w:val="clear" w:pos="2835"/>
              </w:tabs>
              <w:overflowPunct/>
              <w:autoSpaceDE/>
              <w:autoSpaceDN/>
              <w:adjustRightInd/>
              <w:spacing w:before="0"/>
              <w:jc w:val="center"/>
              <w:textAlignment w:val="auto"/>
              <w:rPr>
                <w:rFonts w:ascii="Aptos Narrow" w:eastAsia="Times New Roman" w:hAnsi="Aptos Narrow"/>
                <w:color w:val="FFFFFF"/>
                <w:sz w:val="20"/>
                <w:lang w:eastAsia="en-GB"/>
              </w:rPr>
            </w:pPr>
            <w:r w:rsidRPr="00DA76FF">
              <w:rPr>
                <w:rFonts w:ascii="Aptos Narrow" w:eastAsia="Times New Roman" w:hAnsi="Aptos Narrow"/>
                <w:color w:val="FFFFFF"/>
                <w:sz w:val="20"/>
                <w:lang w:eastAsia="en-GB"/>
              </w:rPr>
              <w:t>Goal</w:t>
            </w:r>
          </w:p>
        </w:tc>
        <w:tc>
          <w:tcPr>
            <w:tcW w:w="4111" w:type="dxa"/>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340AE114" w14:textId="6FA56C82" w:rsidR="00705678" w:rsidRPr="00DA76FF" w:rsidRDefault="00705678" w:rsidP="00705678">
            <w:pPr>
              <w:tabs>
                <w:tab w:val="clear" w:pos="567"/>
                <w:tab w:val="clear" w:pos="1134"/>
                <w:tab w:val="clear" w:pos="1701"/>
                <w:tab w:val="clear" w:pos="2268"/>
                <w:tab w:val="clear" w:pos="2835"/>
              </w:tabs>
              <w:overflowPunct/>
              <w:autoSpaceDE/>
              <w:autoSpaceDN/>
              <w:adjustRightInd/>
              <w:spacing w:before="0"/>
              <w:jc w:val="center"/>
              <w:textAlignment w:val="auto"/>
              <w:rPr>
                <w:rFonts w:ascii="Aptos Narrow" w:eastAsia="Times New Roman" w:hAnsi="Aptos Narrow"/>
                <w:color w:val="FFFFFF"/>
                <w:sz w:val="20"/>
                <w:lang w:eastAsia="en-GB"/>
              </w:rPr>
            </w:pPr>
            <w:r w:rsidRPr="2C0EAE0F">
              <w:rPr>
                <w:rFonts w:ascii="Aptos Narrow" w:eastAsia="Times New Roman" w:hAnsi="Aptos Narrow"/>
                <w:color w:val="FFFFFF" w:themeColor="background1"/>
                <w:sz w:val="20"/>
                <w:lang w:eastAsia="en-GB"/>
              </w:rPr>
              <w:t>Targets</w:t>
            </w:r>
          </w:p>
        </w:tc>
        <w:tc>
          <w:tcPr>
            <w:tcW w:w="4460" w:type="dxa"/>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20699129" w14:textId="77777777" w:rsidR="00705678" w:rsidRPr="00DA76FF" w:rsidRDefault="00705678" w:rsidP="00705678">
            <w:pPr>
              <w:tabs>
                <w:tab w:val="clear" w:pos="567"/>
                <w:tab w:val="clear" w:pos="1134"/>
                <w:tab w:val="clear" w:pos="1701"/>
                <w:tab w:val="clear" w:pos="2268"/>
                <w:tab w:val="clear" w:pos="2835"/>
              </w:tabs>
              <w:overflowPunct/>
              <w:autoSpaceDE/>
              <w:autoSpaceDN/>
              <w:adjustRightInd/>
              <w:spacing w:before="0"/>
              <w:jc w:val="center"/>
              <w:textAlignment w:val="auto"/>
              <w:rPr>
                <w:rFonts w:ascii="Aptos Narrow" w:eastAsia="Times New Roman" w:hAnsi="Aptos Narrow"/>
                <w:color w:val="FFFFFF"/>
                <w:sz w:val="20"/>
                <w:lang w:eastAsia="en-GB"/>
              </w:rPr>
            </w:pPr>
            <w:r w:rsidRPr="00DA76FF">
              <w:rPr>
                <w:rFonts w:ascii="Aptos Narrow" w:eastAsia="Times New Roman" w:hAnsi="Aptos Narrow"/>
                <w:color w:val="FFFFFF"/>
                <w:sz w:val="20"/>
                <w:lang w:eastAsia="en-GB"/>
              </w:rPr>
              <w:t>Target Indicators</w:t>
            </w:r>
          </w:p>
        </w:tc>
      </w:tr>
      <w:tr w:rsidR="005305B8" w:rsidRPr="00DA76FF" w14:paraId="2054802E" w14:textId="77777777" w:rsidTr="005C522A">
        <w:trPr>
          <w:trHeight w:val="679"/>
        </w:trPr>
        <w:tc>
          <w:tcPr>
            <w:tcW w:w="1129" w:type="dxa"/>
            <w:vMerge w:val="restart"/>
            <w:tcBorders>
              <w:top w:val="single" w:sz="4" w:space="0" w:color="auto"/>
              <w:left w:val="single" w:sz="4" w:space="0" w:color="auto"/>
              <w:right w:val="single" w:sz="4" w:space="0" w:color="auto"/>
            </w:tcBorders>
            <w:textDirection w:val="btLr"/>
            <w:vAlign w:val="center"/>
            <w:hideMark/>
          </w:tcPr>
          <w:p w14:paraId="538B0A4A" w14:textId="45278A97" w:rsidR="005305B8" w:rsidRPr="00DA76FF" w:rsidRDefault="005305B8" w:rsidP="00F07638">
            <w:pPr>
              <w:tabs>
                <w:tab w:val="clear" w:pos="567"/>
                <w:tab w:val="clear" w:pos="1134"/>
                <w:tab w:val="clear" w:pos="1701"/>
                <w:tab w:val="clear" w:pos="2268"/>
                <w:tab w:val="clear" w:pos="2835"/>
              </w:tabs>
              <w:overflowPunct/>
              <w:autoSpaceDE/>
              <w:autoSpaceDN/>
              <w:adjustRightInd/>
              <w:spacing w:before="0"/>
              <w:ind w:left="113" w:right="113"/>
              <w:jc w:val="center"/>
              <w:textAlignment w:val="auto"/>
              <w:rPr>
                <w:rFonts w:ascii="Aptos Narrow" w:eastAsia="Times New Roman" w:hAnsi="Aptos Narrow"/>
                <w:b/>
                <w:bCs/>
                <w:color w:val="000000"/>
                <w:sz w:val="18"/>
                <w:szCs w:val="18"/>
                <w:lang w:eastAsia="en-GB"/>
              </w:rPr>
            </w:pPr>
            <w:r w:rsidRPr="00DA76FF">
              <w:rPr>
                <w:rFonts w:ascii="Aptos Narrow" w:eastAsia="Times New Roman" w:hAnsi="Aptos Narrow"/>
                <w:b/>
                <w:bCs/>
                <w:color w:val="000000"/>
                <w:sz w:val="18"/>
                <w:szCs w:val="18"/>
                <w:lang w:eastAsia="en-GB"/>
              </w:rPr>
              <w:t>Universal connectivity</w:t>
            </w:r>
          </w:p>
        </w:tc>
        <w:tc>
          <w:tcPr>
            <w:tcW w:w="4111" w:type="dxa"/>
            <w:tcBorders>
              <w:top w:val="single" w:sz="4" w:space="0" w:color="auto"/>
              <w:left w:val="single" w:sz="4" w:space="0" w:color="auto"/>
              <w:bottom w:val="single" w:sz="4" w:space="0" w:color="auto"/>
              <w:right w:val="single" w:sz="4" w:space="0" w:color="auto"/>
            </w:tcBorders>
            <w:hideMark/>
          </w:tcPr>
          <w:p w14:paraId="181694BF" w14:textId="7777777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1.1: Universal broadband coverage</w:t>
            </w:r>
          </w:p>
        </w:tc>
        <w:tc>
          <w:tcPr>
            <w:tcW w:w="4460" w:type="dxa"/>
            <w:tcBorders>
              <w:top w:val="single" w:sz="4" w:space="0" w:color="auto"/>
              <w:left w:val="single" w:sz="4" w:space="0" w:color="auto"/>
              <w:bottom w:val="single" w:sz="4" w:space="0" w:color="auto"/>
              <w:right w:val="single" w:sz="4" w:space="0" w:color="auto"/>
            </w:tcBorders>
            <w:hideMark/>
          </w:tcPr>
          <w:p w14:paraId="35553163" w14:textId="41AFFC6E"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Percentage of the world population covered by broadband services (SDG indicator 9.c.1— ITU is custodian agency)</w:t>
            </w:r>
          </w:p>
        </w:tc>
      </w:tr>
      <w:tr w:rsidR="005305B8" w:rsidRPr="00DA76FF" w14:paraId="7E8AF07B" w14:textId="77777777" w:rsidTr="2C0EAE0F">
        <w:trPr>
          <w:trHeight w:val="692"/>
        </w:trPr>
        <w:tc>
          <w:tcPr>
            <w:tcW w:w="1129" w:type="dxa"/>
            <w:vMerge/>
            <w:noWrap/>
            <w:vAlign w:val="bottom"/>
            <w:hideMark/>
          </w:tcPr>
          <w:p w14:paraId="64C616B0" w14:textId="7777777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ind w:firstLineChars="200" w:firstLine="360"/>
              <w:textAlignment w:val="auto"/>
              <w:rPr>
                <w:rFonts w:ascii="Aptos Narrow" w:eastAsia="Times New Roman" w:hAnsi="Aptos Narrow"/>
                <w:color w:val="000000"/>
                <w:sz w:val="18"/>
                <w:szCs w:val="18"/>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1E613DB3" w14:textId="2B2036F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1.2: Broadband services to be</w:t>
            </w:r>
            <w:r w:rsidRPr="00DA76FF">
              <w:rPr>
                <w:rFonts w:ascii="Aptos Narrow" w:eastAsia="Times New Roman" w:hAnsi="Aptos Narrow"/>
                <w:color w:val="000000"/>
                <w:sz w:val="18"/>
                <w:szCs w:val="18"/>
                <w:lang w:eastAsia="en-GB"/>
              </w:rPr>
              <w:br/>
              <w:t>affordable for all</w:t>
            </w:r>
          </w:p>
        </w:tc>
        <w:tc>
          <w:tcPr>
            <w:tcW w:w="4460" w:type="dxa"/>
            <w:tcBorders>
              <w:top w:val="single" w:sz="4" w:space="0" w:color="auto"/>
              <w:left w:val="single" w:sz="4" w:space="0" w:color="auto"/>
              <w:bottom w:val="single" w:sz="4" w:space="0" w:color="auto"/>
              <w:right w:val="single" w:sz="4" w:space="0" w:color="auto"/>
            </w:tcBorders>
            <w:hideMark/>
          </w:tcPr>
          <w:p w14:paraId="1388B4C0" w14:textId="1748E7DB"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Cost of entry-level broadband services in developing countries as percentage of monthly gross national income (GNI) per capita</w:t>
            </w:r>
          </w:p>
        </w:tc>
      </w:tr>
      <w:tr w:rsidR="005305B8" w:rsidRPr="00DA76FF" w14:paraId="18B3E0C6" w14:textId="77777777" w:rsidTr="2C0EAE0F">
        <w:trPr>
          <w:trHeight w:val="360"/>
        </w:trPr>
        <w:tc>
          <w:tcPr>
            <w:tcW w:w="1129" w:type="dxa"/>
            <w:vMerge/>
            <w:noWrap/>
            <w:vAlign w:val="bottom"/>
            <w:hideMark/>
          </w:tcPr>
          <w:p w14:paraId="33388A82" w14:textId="7777777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ind w:firstLineChars="200" w:firstLine="360"/>
              <w:textAlignment w:val="auto"/>
              <w:rPr>
                <w:rFonts w:ascii="Aptos Narrow" w:eastAsia="Times New Roman" w:hAnsi="Aptos Narrow"/>
                <w:color w:val="000000"/>
                <w:sz w:val="18"/>
                <w:szCs w:val="18"/>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1B265F64" w14:textId="5C2367BF"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1.3: Broadband access to every household</w:t>
            </w:r>
          </w:p>
        </w:tc>
        <w:tc>
          <w:tcPr>
            <w:tcW w:w="4460" w:type="dxa"/>
            <w:tcBorders>
              <w:top w:val="single" w:sz="4" w:space="0" w:color="auto"/>
              <w:left w:val="single" w:sz="4" w:space="0" w:color="auto"/>
              <w:bottom w:val="single" w:sz="4" w:space="0" w:color="auto"/>
              <w:right w:val="single" w:sz="4" w:space="0" w:color="auto"/>
            </w:tcBorders>
            <w:hideMark/>
          </w:tcPr>
          <w:p w14:paraId="2A2641B7" w14:textId="6E93357F"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Percentage of households with access to the Internet (by level of development; urban/rural)</w:t>
            </w:r>
          </w:p>
        </w:tc>
      </w:tr>
      <w:tr w:rsidR="005305B8" w:rsidRPr="00DA76FF" w14:paraId="0239866F" w14:textId="77777777" w:rsidTr="2C0EAE0F">
        <w:trPr>
          <w:trHeight w:val="540"/>
        </w:trPr>
        <w:tc>
          <w:tcPr>
            <w:tcW w:w="1129" w:type="dxa"/>
            <w:vMerge/>
            <w:noWrap/>
            <w:vAlign w:val="bottom"/>
            <w:hideMark/>
          </w:tcPr>
          <w:p w14:paraId="27517129" w14:textId="7777777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ind w:firstLineChars="200" w:firstLine="360"/>
              <w:textAlignment w:val="auto"/>
              <w:rPr>
                <w:rFonts w:ascii="Aptos Narrow" w:eastAsia="Times New Roman" w:hAnsi="Aptos Narrow"/>
                <w:color w:val="000000"/>
                <w:sz w:val="18"/>
                <w:szCs w:val="18"/>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7A6EEBA9" w14:textId="40B8A89B"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1.4: Ownership of and access to Internet-enabled devices</w:t>
            </w:r>
          </w:p>
        </w:tc>
        <w:tc>
          <w:tcPr>
            <w:tcW w:w="4460" w:type="dxa"/>
            <w:tcBorders>
              <w:top w:val="single" w:sz="4" w:space="0" w:color="auto"/>
              <w:left w:val="single" w:sz="4" w:space="0" w:color="auto"/>
              <w:bottom w:val="single" w:sz="4" w:space="0" w:color="auto"/>
              <w:right w:val="single" w:sz="4" w:space="0" w:color="auto"/>
            </w:tcBorders>
            <w:hideMark/>
          </w:tcPr>
          <w:p w14:paraId="64A3638C" w14:textId="77777777" w:rsidR="005305B8" w:rsidRPr="00DA76FF" w:rsidRDefault="005305B8" w:rsidP="00780DBC">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Percentage of individuals using a smart telephone</w:t>
            </w:r>
          </w:p>
          <w:p w14:paraId="0C53B453" w14:textId="7991ACE9" w:rsidR="005305B8" w:rsidRPr="00DA76FF" w:rsidRDefault="005305B8" w:rsidP="00780DBC">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Percentage of individuals who own a smart telephone</w:t>
            </w:r>
          </w:p>
        </w:tc>
      </w:tr>
      <w:tr w:rsidR="005305B8" w:rsidRPr="00DA76FF" w14:paraId="5B68AF81" w14:textId="77777777" w:rsidTr="2C0EAE0F">
        <w:trPr>
          <w:trHeight w:val="476"/>
        </w:trPr>
        <w:tc>
          <w:tcPr>
            <w:tcW w:w="1129" w:type="dxa"/>
            <w:vMerge/>
            <w:noWrap/>
            <w:vAlign w:val="bottom"/>
            <w:hideMark/>
          </w:tcPr>
          <w:p w14:paraId="74B66EEE" w14:textId="7777777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ind w:firstLineChars="200" w:firstLine="360"/>
              <w:textAlignment w:val="auto"/>
              <w:rPr>
                <w:rFonts w:ascii="Aptos Narrow" w:eastAsia="Times New Roman" w:hAnsi="Aptos Narrow"/>
                <w:color w:val="000000"/>
                <w:sz w:val="18"/>
                <w:szCs w:val="18"/>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15CA8C83" w14:textId="0F45C923"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1.5: Access on the Internet for all</w:t>
            </w:r>
            <w:r w:rsidRPr="00DA76FF">
              <w:rPr>
                <w:rFonts w:ascii="Aptos Narrow" w:eastAsia="Times New Roman" w:hAnsi="Aptos Narrow"/>
                <w:color w:val="000000"/>
                <w:sz w:val="18"/>
                <w:szCs w:val="18"/>
                <w:lang w:eastAsia="en-GB"/>
              </w:rPr>
              <w:br/>
              <w:t>schools</w:t>
            </w:r>
          </w:p>
        </w:tc>
        <w:tc>
          <w:tcPr>
            <w:tcW w:w="4460" w:type="dxa"/>
            <w:tcBorders>
              <w:top w:val="single" w:sz="4" w:space="0" w:color="auto"/>
              <w:left w:val="single" w:sz="4" w:space="0" w:color="auto"/>
              <w:bottom w:val="single" w:sz="4" w:space="0" w:color="auto"/>
              <w:right w:val="single" w:sz="4" w:space="0" w:color="auto"/>
            </w:tcBorders>
            <w:hideMark/>
          </w:tcPr>
          <w:p w14:paraId="167D2E5F" w14:textId="32C10EAA" w:rsidR="005305B8" w:rsidRPr="00DA76FF" w:rsidRDefault="005305B8" w:rsidP="00427EAF">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Percentage of schools with entry-level Internet service (at least 500 MB per month)</w:t>
            </w:r>
          </w:p>
        </w:tc>
      </w:tr>
      <w:tr w:rsidR="005305B8" w:rsidRPr="00DA76FF" w14:paraId="1B77751D" w14:textId="77777777" w:rsidTr="2C0EAE0F">
        <w:trPr>
          <w:trHeight w:val="895"/>
        </w:trPr>
        <w:tc>
          <w:tcPr>
            <w:tcW w:w="1129" w:type="dxa"/>
            <w:vMerge/>
            <w:noWrap/>
            <w:vAlign w:val="bottom"/>
            <w:hideMark/>
          </w:tcPr>
          <w:p w14:paraId="5A21BC28" w14:textId="7777777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ind w:firstLineChars="200" w:firstLine="360"/>
              <w:textAlignment w:val="auto"/>
              <w:rPr>
                <w:rFonts w:ascii="Aptos Narrow" w:eastAsia="Times New Roman" w:hAnsi="Aptos Narrow"/>
                <w:color w:val="000000"/>
                <w:sz w:val="18"/>
                <w:szCs w:val="18"/>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5B3C31A2" w14:textId="070B85DF"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1.6: Improved cybersecurity preparedness of countries (with key capabilities: presence of strategy, national computer incident/emergency response teams and legislation)</w:t>
            </w:r>
          </w:p>
        </w:tc>
        <w:tc>
          <w:tcPr>
            <w:tcW w:w="4460" w:type="dxa"/>
            <w:tcBorders>
              <w:top w:val="single" w:sz="4" w:space="0" w:color="auto"/>
              <w:left w:val="single" w:sz="4" w:space="0" w:color="auto"/>
              <w:bottom w:val="single" w:sz="4" w:space="0" w:color="auto"/>
              <w:right w:val="single" w:sz="4" w:space="0" w:color="auto"/>
            </w:tcBorders>
            <w:hideMark/>
          </w:tcPr>
          <w:p w14:paraId="2F48EB4B" w14:textId="6A096F9B" w:rsidR="005305B8" w:rsidRPr="00DA76FF" w:rsidRDefault="005305B8" w:rsidP="005305B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Increased commitment measured through the pillars of the Global Cybersecurity index</w:t>
            </w:r>
            <w:r w:rsidRPr="00DA76FF">
              <w:rPr>
                <w:rFonts w:ascii="Aptos Narrow" w:eastAsia="Times New Roman" w:hAnsi="Aptos Narrow"/>
                <w:color w:val="000000"/>
                <w:sz w:val="18"/>
                <w:szCs w:val="18"/>
                <w:lang w:eastAsia="en-GB"/>
              </w:rPr>
              <w:br/>
              <w:t>(GCI)</w:t>
            </w:r>
          </w:p>
        </w:tc>
      </w:tr>
      <w:tr w:rsidR="005305B8" w:rsidRPr="00DA76FF" w14:paraId="24F3A0DD" w14:textId="77777777" w:rsidTr="2C0EAE0F">
        <w:trPr>
          <w:trHeight w:val="540"/>
        </w:trPr>
        <w:tc>
          <w:tcPr>
            <w:tcW w:w="1129" w:type="dxa"/>
            <w:vMerge/>
            <w:noWrap/>
            <w:vAlign w:val="bottom"/>
            <w:hideMark/>
          </w:tcPr>
          <w:p w14:paraId="50D49D58" w14:textId="77777777"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ind w:firstLineChars="200" w:firstLine="360"/>
              <w:textAlignment w:val="auto"/>
              <w:rPr>
                <w:rFonts w:ascii="Aptos Narrow" w:eastAsia="Times New Roman" w:hAnsi="Aptos Narrow"/>
                <w:color w:val="000000"/>
                <w:sz w:val="18"/>
                <w:szCs w:val="18"/>
                <w:lang w:eastAsia="en-GB"/>
              </w:rPr>
            </w:pPr>
          </w:p>
        </w:tc>
        <w:tc>
          <w:tcPr>
            <w:tcW w:w="4111" w:type="dxa"/>
            <w:tcBorders>
              <w:top w:val="single" w:sz="4" w:space="0" w:color="auto"/>
              <w:left w:val="single" w:sz="4" w:space="0" w:color="auto"/>
              <w:bottom w:val="single" w:sz="4" w:space="0" w:color="auto"/>
              <w:right w:val="single" w:sz="4" w:space="0" w:color="auto"/>
            </w:tcBorders>
            <w:hideMark/>
          </w:tcPr>
          <w:p w14:paraId="07A52193" w14:textId="347A04B9" w:rsidR="005305B8" w:rsidRPr="00DA76FF" w:rsidRDefault="005305B8" w:rsidP="0070567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1.7: Universal access to the Internet by all individuals</w:t>
            </w:r>
          </w:p>
        </w:tc>
        <w:tc>
          <w:tcPr>
            <w:tcW w:w="4460" w:type="dxa"/>
            <w:tcBorders>
              <w:top w:val="single" w:sz="4" w:space="0" w:color="auto"/>
              <w:left w:val="single" w:sz="4" w:space="0" w:color="auto"/>
              <w:bottom w:val="single" w:sz="4" w:space="0" w:color="auto"/>
              <w:right w:val="single" w:sz="4" w:space="0" w:color="auto"/>
            </w:tcBorders>
            <w:vAlign w:val="center"/>
            <w:hideMark/>
          </w:tcPr>
          <w:p w14:paraId="6505A764" w14:textId="3A6BFB42" w:rsidR="005305B8" w:rsidRPr="00DA76FF" w:rsidRDefault="005305B8" w:rsidP="005305B8">
            <w:pPr>
              <w:tabs>
                <w:tab w:val="clear" w:pos="567"/>
                <w:tab w:val="clear" w:pos="1134"/>
                <w:tab w:val="clear" w:pos="1701"/>
                <w:tab w:val="clear" w:pos="2268"/>
                <w:tab w:val="clear" w:pos="2835"/>
              </w:tabs>
              <w:overflowPunct/>
              <w:autoSpaceDE/>
              <w:autoSpaceDN/>
              <w:adjustRightInd/>
              <w:spacing w:before="0"/>
              <w:textAlignment w:val="auto"/>
              <w:rPr>
                <w:rFonts w:ascii="Aptos Narrow" w:eastAsia="Times New Roman" w:hAnsi="Aptos Narrow"/>
                <w:color w:val="000000"/>
                <w:sz w:val="18"/>
                <w:szCs w:val="18"/>
                <w:lang w:eastAsia="en-GB"/>
              </w:rPr>
            </w:pPr>
            <w:r w:rsidRPr="00DA76FF">
              <w:rPr>
                <w:rFonts w:ascii="Aptos Narrow" w:eastAsia="Times New Roman" w:hAnsi="Aptos Narrow"/>
                <w:color w:val="000000"/>
                <w:sz w:val="18"/>
                <w:szCs w:val="18"/>
                <w:lang w:eastAsia="en-GB"/>
              </w:rPr>
              <w:t>Percentage of individuals using the Internet (by urban/rural; aggregated by region, level of development) (SDG indicator 17.8.1 – ITU is custodian agency)</w:t>
            </w:r>
          </w:p>
        </w:tc>
      </w:tr>
    </w:tbl>
    <w:p w14:paraId="061F6FA6" w14:textId="77777777" w:rsidR="008F56D2" w:rsidRPr="00DA76FF" w:rsidRDefault="008F56D2" w:rsidP="00986164">
      <w:pPr>
        <w:pStyle w:val="NoSpacing"/>
        <w:spacing w:before="240" w:after="240"/>
        <w:jc w:val="both"/>
      </w:pPr>
    </w:p>
    <w:tbl>
      <w:tblPr>
        <w:tblStyle w:val="TableGrid"/>
        <w:tblW w:w="9776" w:type="dxa"/>
        <w:tblLook w:val="04A0" w:firstRow="1" w:lastRow="0" w:firstColumn="1" w:lastColumn="0" w:noHBand="0" w:noVBand="1"/>
      </w:tblPr>
      <w:tblGrid>
        <w:gridCol w:w="1129"/>
        <w:gridCol w:w="4111"/>
        <w:gridCol w:w="4536"/>
      </w:tblGrid>
      <w:tr w:rsidR="00874BF7" w:rsidRPr="00DA76FF" w14:paraId="0CDDCB9B" w14:textId="77777777" w:rsidTr="005C522A">
        <w:tc>
          <w:tcPr>
            <w:tcW w:w="1129" w:type="dxa"/>
            <w:shd w:val="clear" w:color="auto" w:fill="365F91" w:themeFill="accent1" w:themeFillShade="BF"/>
            <w:vAlign w:val="center"/>
          </w:tcPr>
          <w:p w14:paraId="13C24A84" w14:textId="7AB9DCB3" w:rsidR="00874BF7" w:rsidRPr="00DA76FF" w:rsidRDefault="00874BF7" w:rsidP="00874BF7">
            <w:pPr>
              <w:tabs>
                <w:tab w:val="clear" w:pos="567"/>
                <w:tab w:val="clear" w:pos="1134"/>
                <w:tab w:val="clear" w:pos="1701"/>
                <w:tab w:val="clear" w:pos="2268"/>
                <w:tab w:val="clear" w:pos="2835"/>
              </w:tabs>
              <w:overflowPunct/>
              <w:autoSpaceDE/>
              <w:autoSpaceDN/>
              <w:adjustRightInd/>
              <w:spacing w:before="0"/>
              <w:jc w:val="center"/>
              <w:textAlignment w:val="auto"/>
              <w:rPr>
                <w:rFonts w:ascii="Aptos Narrow" w:eastAsia="Times New Roman" w:hAnsi="Aptos Narrow" w:cs="Times New Roman"/>
                <w:color w:val="FFFFFF"/>
                <w:sz w:val="20"/>
                <w:szCs w:val="20"/>
                <w:lang w:eastAsia="en-GB"/>
              </w:rPr>
            </w:pPr>
            <w:r w:rsidRPr="00DA76FF">
              <w:rPr>
                <w:rFonts w:ascii="Aptos Narrow" w:eastAsia="Times New Roman" w:hAnsi="Aptos Narrow" w:cs="Times New Roman"/>
                <w:color w:val="FFFFFF"/>
                <w:sz w:val="20"/>
                <w:szCs w:val="20"/>
                <w:lang w:eastAsia="en-GB"/>
              </w:rPr>
              <w:t>Goal</w:t>
            </w:r>
          </w:p>
        </w:tc>
        <w:tc>
          <w:tcPr>
            <w:tcW w:w="4111" w:type="dxa"/>
            <w:shd w:val="clear" w:color="auto" w:fill="365F91" w:themeFill="accent1" w:themeFillShade="BF"/>
            <w:vAlign w:val="center"/>
          </w:tcPr>
          <w:p w14:paraId="1FB1635A" w14:textId="4754A6A7" w:rsidR="00874BF7" w:rsidRPr="00DA76FF" w:rsidRDefault="00874BF7" w:rsidP="00874BF7">
            <w:pPr>
              <w:tabs>
                <w:tab w:val="clear" w:pos="567"/>
                <w:tab w:val="clear" w:pos="1134"/>
                <w:tab w:val="clear" w:pos="1701"/>
                <w:tab w:val="clear" w:pos="2268"/>
                <w:tab w:val="clear" w:pos="2835"/>
              </w:tabs>
              <w:overflowPunct/>
              <w:autoSpaceDE/>
              <w:autoSpaceDN/>
              <w:adjustRightInd/>
              <w:spacing w:before="0"/>
              <w:jc w:val="center"/>
              <w:textAlignment w:val="auto"/>
              <w:rPr>
                <w:rFonts w:ascii="Aptos Narrow" w:eastAsia="Times New Roman" w:hAnsi="Aptos Narrow" w:cs="Times New Roman"/>
                <w:color w:val="FFFFFF"/>
                <w:sz w:val="20"/>
                <w:szCs w:val="20"/>
                <w:lang w:eastAsia="en-GB"/>
              </w:rPr>
            </w:pPr>
            <w:r w:rsidRPr="2C0EAE0F">
              <w:rPr>
                <w:rFonts w:ascii="Aptos Narrow" w:eastAsia="Times New Roman" w:hAnsi="Aptos Narrow" w:cs="Times New Roman"/>
                <w:color w:val="FFFFFF" w:themeColor="background1"/>
                <w:sz w:val="20"/>
                <w:szCs w:val="20"/>
                <w:lang w:eastAsia="en-GB"/>
              </w:rPr>
              <w:t>Targets</w:t>
            </w:r>
          </w:p>
        </w:tc>
        <w:tc>
          <w:tcPr>
            <w:tcW w:w="4536" w:type="dxa"/>
            <w:shd w:val="clear" w:color="auto" w:fill="365F91" w:themeFill="accent1" w:themeFillShade="BF"/>
            <w:vAlign w:val="center"/>
          </w:tcPr>
          <w:p w14:paraId="733D2C6A" w14:textId="158A369A" w:rsidR="00874BF7" w:rsidRPr="00DA76FF" w:rsidRDefault="00874BF7" w:rsidP="00874BF7">
            <w:pPr>
              <w:tabs>
                <w:tab w:val="clear" w:pos="567"/>
                <w:tab w:val="clear" w:pos="1134"/>
                <w:tab w:val="clear" w:pos="1701"/>
                <w:tab w:val="clear" w:pos="2268"/>
                <w:tab w:val="clear" w:pos="2835"/>
              </w:tabs>
              <w:overflowPunct/>
              <w:autoSpaceDE/>
              <w:autoSpaceDN/>
              <w:adjustRightInd/>
              <w:spacing w:before="0"/>
              <w:jc w:val="center"/>
              <w:textAlignment w:val="auto"/>
              <w:rPr>
                <w:rFonts w:ascii="Aptos Narrow" w:eastAsia="Times New Roman" w:hAnsi="Aptos Narrow" w:cs="Times New Roman"/>
                <w:color w:val="FFFFFF"/>
                <w:sz w:val="20"/>
                <w:szCs w:val="20"/>
                <w:lang w:eastAsia="en-GB"/>
              </w:rPr>
            </w:pPr>
            <w:r w:rsidRPr="00DA76FF">
              <w:rPr>
                <w:rFonts w:ascii="Aptos Narrow" w:eastAsia="Times New Roman" w:hAnsi="Aptos Narrow" w:cs="Times New Roman"/>
                <w:color w:val="FFFFFF"/>
                <w:sz w:val="20"/>
                <w:szCs w:val="20"/>
                <w:lang w:eastAsia="en-GB"/>
              </w:rPr>
              <w:t>Target Indicators</w:t>
            </w:r>
          </w:p>
        </w:tc>
      </w:tr>
      <w:tr w:rsidR="00874BF7" w:rsidRPr="00DA76FF" w14:paraId="0D9BD431" w14:textId="77777777" w:rsidTr="005C522A">
        <w:tc>
          <w:tcPr>
            <w:tcW w:w="1129" w:type="dxa"/>
            <w:vMerge w:val="restart"/>
            <w:textDirection w:val="btLr"/>
          </w:tcPr>
          <w:p w14:paraId="33D8BEC5" w14:textId="126A7E53" w:rsidR="00874BF7" w:rsidRPr="00DA76FF" w:rsidRDefault="008E7698" w:rsidP="00342EE4">
            <w:pPr>
              <w:tabs>
                <w:tab w:val="clear" w:pos="567"/>
                <w:tab w:val="clear" w:pos="1134"/>
                <w:tab w:val="clear" w:pos="1701"/>
                <w:tab w:val="clear" w:pos="2268"/>
                <w:tab w:val="clear" w:pos="2835"/>
              </w:tabs>
              <w:overflowPunct/>
              <w:autoSpaceDE/>
              <w:autoSpaceDN/>
              <w:adjustRightInd/>
              <w:spacing w:before="0"/>
              <w:ind w:left="113" w:right="113"/>
              <w:jc w:val="center"/>
              <w:textAlignment w:val="auto"/>
              <w:rPr>
                <w:sz w:val="18"/>
                <w:szCs w:val="18"/>
              </w:rPr>
            </w:pPr>
            <w:r w:rsidRPr="00DA76FF">
              <w:rPr>
                <w:rFonts w:ascii="Aptos Narrow" w:eastAsia="Times New Roman" w:hAnsi="Aptos Narrow"/>
                <w:b/>
                <w:bCs/>
                <w:color w:val="000000"/>
                <w:sz w:val="18"/>
                <w:szCs w:val="18"/>
                <w:lang w:eastAsia="en-GB"/>
              </w:rPr>
              <w:t xml:space="preserve"> Sustainable Digital Transformation</w:t>
            </w:r>
          </w:p>
        </w:tc>
        <w:tc>
          <w:tcPr>
            <w:tcW w:w="4111" w:type="dxa"/>
          </w:tcPr>
          <w:p w14:paraId="1D1B4DA8" w14:textId="118120DF" w:rsidR="00874BF7" w:rsidRPr="00DA76FF" w:rsidRDefault="00BC2A7D" w:rsidP="00C92D9A">
            <w:pPr>
              <w:pStyle w:val="NoSpacing"/>
              <w:jc w:val="both"/>
              <w:rPr>
                <w:sz w:val="18"/>
                <w:szCs w:val="18"/>
              </w:rPr>
            </w:pPr>
            <w:r w:rsidRPr="00DA76FF">
              <w:rPr>
                <w:sz w:val="18"/>
                <w:szCs w:val="18"/>
              </w:rPr>
              <w:t>2.1:</w:t>
            </w:r>
            <w:r w:rsidR="00EE08F1" w:rsidRPr="00DA76FF">
              <w:rPr>
                <w:sz w:val="18"/>
                <w:szCs w:val="18"/>
              </w:rPr>
              <w:t xml:space="preserve"> </w:t>
            </w:r>
            <w:r w:rsidRPr="00DA76FF">
              <w:rPr>
                <w:sz w:val="18"/>
                <w:szCs w:val="18"/>
              </w:rPr>
              <w:t>Targets All digital gaps to be bridged (particular</w:t>
            </w:r>
            <w:r w:rsidR="007D4CC0">
              <w:rPr>
                <w:sz w:val="18"/>
                <w:szCs w:val="18"/>
              </w:rPr>
              <w:t>ly</w:t>
            </w:r>
            <w:r w:rsidRPr="00DA76FF">
              <w:rPr>
                <w:sz w:val="18"/>
                <w:szCs w:val="18"/>
              </w:rPr>
              <w:t xml:space="preserve"> gender, age and urban/ rural)</w:t>
            </w:r>
          </w:p>
        </w:tc>
        <w:tc>
          <w:tcPr>
            <w:tcW w:w="4536" w:type="dxa"/>
          </w:tcPr>
          <w:p w14:paraId="3B7EE173" w14:textId="425B36A9" w:rsidR="00874BF7" w:rsidRPr="00DA76FF" w:rsidRDefault="00880418" w:rsidP="00C92D9A">
            <w:pPr>
              <w:pStyle w:val="NoSpacing"/>
              <w:jc w:val="both"/>
              <w:rPr>
                <w:sz w:val="18"/>
                <w:szCs w:val="18"/>
              </w:rPr>
            </w:pPr>
            <w:r w:rsidRPr="00DA76FF">
              <w:rPr>
                <w:sz w:val="18"/>
                <w:szCs w:val="18"/>
              </w:rPr>
              <w:t>Percentage of individuals using the Internet (by gender, age and urban/rural)</w:t>
            </w:r>
          </w:p>
        </w:tc>
      </w:tr>
      <w:tr w:rsidR="00874BF7" w:rsidRPr="00DA76FF" w14:paraId="6C3A7E70" w14:textId="77777777" w:rsidTr="005C522A">
        <w:tc>
          <w:tcPr>
            <w:tcW w:w="1129" w:type="dxa"/>
            <w:vMerge/>
          </w:tcPr>
          <w:p w14:paraId="2E28265B" w14:textId="77777777" w:rsidR="00874BF7" w:rsidRPr="00DA76FF" w:rsidRDefault="00874BF7" w:rsidP="00C92D9A">
            <w:pPr>
              <w:pStyle w:val="NoSpacing"/>
              <w:jc w:val="both"/>
              <w:rPr>
                <w:sz w:val="18"/>
                <w:szCs w:val="18"/>
              </w:rPr>
            </w:pPr>
          </w:p>
        </w:tc>
        <w:tc>
          <w:tcPr>
            <w:tcW w:w="4111" w:type="dxa"/>
          </w:tcPr>
          <w:p w14:paraId="555440A2" w14:textId="6C4C0086" w:rsidR="00874BF7" w:rsidRPr="00DA76FF" w:rsidRDefault="00BC2A7D" w:rsidP="00C92D9A">
            <w:pPr>
              <w:pStyle w:val="NoSpacing"/>
              <w:jc w:val="both"/>
              <w:rPr>
                <w:sz w:val="18"/>
                <w:szCs w:val="18"/>
              </w:rPr>
            </w:pPr>
            <w:r w:rsidRPr="00DA76FF">
              <w:rPr>
                <w:sz w:val="18"/>
                <w:szCs w:val="18"/>
              </w:rPr>
              <w:t>2.2: Majority of individuals to have digital skills</w:t>
            </w:r>
          </w:p>
        </w:tc>
        <w:tc>
          <w:tcPr>
            <w:tcW w:w="4536" w:type="dxa"/>
          </w:tcPr>
          <w:p w14:paraId="1C405CF2" w14:textId="1B9213C2" w:rsidR="00874BF7" w:rsidRPr="00DA76FF" w:rsidRDefault="006320AF" w:rsidP="00C92D9A">
            <w:pPr>
              <w:pStyle w:val="NoSpacing"/>
              <w:jc w:val="both"/>
              <w:rPr>
                <w:sz w:val="18"/>
                <w:szCs w:val="18"/>
              </w:rPr>
            </w:pPr>
            <w:r w:rsidRPr="00DA76FF">
              <w:rPr>
                <w:sz w:val="18"/>
                <w:szCs w:val="18"/>
              </w:rPr>
              <w:t>Percentage of youth and adults with ICT skills (by type of skill) (SDG indicator 4.4.1 – ITU is custodian agency)</w:t>
            </w:r>
          </w:p>
        </w:tc>
      </w:tr>
      <w:tr w:rsidR="00874BF7" w:rsidRPr="00DA76FF" w14:paraId="3F92CD70" w14:textId="77777777" w:rsidTr="005C522A">
        <w:tc>
          <w:tcPr>
            <w:tcW w:w="1129" w:type="dxa"/>
            <w:vMerge/>
          </w:tcPr>
          <w:p w14:paraId="1B117651" w14:textId="77777777" w:rsidR="00874BF7" w:rsidRPr="00DA76FF" w:rsidRDefault="00874BF7" w:rsidP="00C92D9A">
            <w:pPr>
              <w:pStyle w:val="NoSpacing"/>
              <w:jc w:val="both"/>
              <w:rPr>
                <w:sz w:val="18"/>
                <w:szCs w:val="18"/>
              </w:rPr>
            </w:pPr>
          </w:p>
        </w:tc>
        <w:tc>
          <w:tcPr>
            <w:tcW w:w="4111" w:type="dxa"/>
          </w:tcPr>
          <w:p w14:paraId="07F4BCFF" w14:textId="7506746D" w:rsidR="00874BF7" w:rsidRPr="00DA76FF" w:rsidRDefault="00EE08F1" w:rsidP="00C92D9A">
            <w:pPr>
              <w:pStyle w:val="NoSpacing"/>
              <w:jc w:val="both"/>
              <w:rPr>
                <w:sz w:val="18"/>
                <w:szCs w:val="18"/>
              </w:rPr>
            </w:pPr>
            <w:r w:rsidRPr="00DA76FF">
              <w:rPr>
                <w:sz w:val="18"/>
                <w:szCs w:val="18"/>
              </w:rPr>
              <w:t>2.3 Universal usage of Internet services by businesses</w:t>
            </w:r>
          </w:p>
        </w:tc>
        <w:tc>
          <w:tcPr>
            <w:tcW w:w="4536" w:type="dxa"/>
          </w:tcPr>
          <w:p w14:paraId="5303459F" w14:textId="6BA3386F" w:rsidR="00874BF7" w:rsidRPr="00DA76FF" w:rsidRDefault="006320AF" w:rsidP="00C92D9A">
            <w:pPr>
              <w:pStyle w:val="NoSpacing"/>
              <w:jc w:val="both"/>
              <w:rPr>
                <w:sz w:val="18"/>
                <w:szCs w:val="18"/>
              </w:rPr>
            </w:pPr>
            <w:r w:rsidRPr="00DA76FF">
              <w:rPr>
                <w:sz w:val="18"/>
                <w:szCs w:val="18"/>
              </w:rPr>
              <w:t>Percentage of businesses using the Internet (total and by size)</w:t>
            </w:r>
          </w:p>
        </w:tc>
      </w:tr>
      <w:tr w:rsidR="00874BF7" w:rsidRPr="00DA76FF" w14:paraId="427B535B" w14:textId="77777777" w:rsidTr="005C522A">
        <w:tc>
          <w:tcPr>
            <w:tcW w:w="1129" w:type="dxa"/>
            <w:vMerge/>
          </w:tcPr>
          <w:p w14:paraId="7DE01202" w14:textId="77777777" w:rsidR="00874BF7" w:rsidRPr="00DA76FF" w:rsidRDefault="00874BF7" w:rsidP="00C92D9A">
            <w:pPr>
              <w:pStyle w:val="NoSpacing"/>
              <w:jc w:val="both"/>
              <w:rPr>
                <w:sz w:val="18"/>
                <w:szCs w:val="18"/>
              </w:rPr>
            </w:pPr>
          </w:p>
        </w:tc>
        <w:tc>
          <w:tcPr>
            <w:tcW w:w="4111" w:type="dxa"/>
          </w:tcPr>
          <w:p w14:paraId="181FCC24" w14:textId="05C59751" w:rsidR="00874BF7" w:rsidRPr="00DA76FF" w:rsidRDefault="00C40120" w:rsidP="00C92D9A">
            <w:pPr>
              <w:pStyle w:val="NoSpacing"/>
              <w:jc w:val="both"/>
              <w:rPr>
                <w:sz w:val="18"/>
                <w:szCs w:val="18"/>
              </w:rPr>
            </w:pPr>
            <w:r w:rsidRPr="00DA76FF">
              <w:rPr>
                <w:sz w:val="18"/>
                <w:szCs w:val="18"/>
              </w:rPr>
              <w:t>2.4 Majority of individuals accessing government services online</w:t>
            </w:r>
          </w:p>
        </w:tc>
        <w:tc>
          <w:tcPr>
            <w:tcW w:w="4536" w:type="dxa"/>
          </w:tcPr>
          <w:p w14:paraId="16E74CD5" w14:textId="2FA88587" w:rsidR="00874BF7" w:rsidRPr="00DA76FF" w:rsidRDefault="00B72CD1" w:rsidP="00C92D9A">
            <w:pPr>
              <w:pStyle w:val="NoSpacing"/>
              <w:jc w:val="both"/>
              <w:rPr>
                <w:sz w:val="18"/>
                <w:szCs w:val="18"/>
              </w:rPr>
            </w:pPr>
            <w:r w:rsidRPr="00DA76FF">
              <w:rPr>
                <w:sz w:val="18"/>
                <w:szCs w:val="18"/>
              </w:rPr>
              <w:t>Percentage of population interacting with government services online</w:t>
            </w:r>
          </w:p>
        </w:tc>
      </w:tr>
      <w:tr w:rsidR="00874BF7" w:rsidRPr="00DA76FF" w14:paraId="43F09227" w14:textId="77777777" w:rsidTr="005C522A">
        <w:tc>
          <w:tcPr>
            <w:tcW w:w="1129" w:type="dxa"/>
            <w:vMerge/>
          </w:tcPr>
          <w:p w14:paraId="1039AAF2" w14:textId="77777777" w:rsidR="00874BF7" w:rsidRPr="00DA76FF" w:rsidRDefault="00874BF7" w:rsidP="00C92D9A">
            <w:pPr>
              <w:pStyle w:val="NoSpacing"/>
              <w:jc w:val="both"/>
              <w:rPr>
                <w:sz w:val="18"/>
                <w:szCs w:val="18"/>
              </w:rPr>
            </w:pPr>
          </w:p>
        </w:tc>
        <w:tc>
          <w:tcPr>
            <w:tcW w:w="4111" w:type="dxa"/>
          </w:tcPr>
          <w:p w14:paraId="0F5FB413" w14:textId="21D6CF33" w:rsidR="00874BF7" w:rsidRPr="00DA76FF" w:rsidRDefault="00C40120" w:rsidP="00C40120">
            <w:pPr>
              <w:pStyle w:val="NoSpacing"/>
              <w:jc w:val="both"/>
              <w:rPr>
                <w:sz w:val="18"/>
                <w:szCs w:val="18"/>
              </w:rPr>
            </w:pPr>
            <w:r w:rsidRPr="00DA76FF">
              <w:rPr>
                <w:sz w:val="18"/>
                <w:szCs w:val="18"/>
              </w:rPr>
              <w:t>2.5 Significant improvement of ICT contribution to climate and environment action</w:t>
            </w:r>
          </w:p>
        </w:tc>
        <w:tc>
          <w:tcPr>
            <w:tcW w:w="4536" w:type="dxa"/>
          </w:tcPr>
          <w:p w14:paraId="658BEC2E" w14:textId="48D7963E" w:rsidR="00874BF7" w:rsidRPr="00DA76FF" w:rsidRDefault="00B72CD1" w:rsidP="00C92D9A">
            <w:pPr>
              <w:pStyle w:val="NoSpacing"/>
              <w:jc w:val="both"/>
              <w:rPr>
                <w:sz w:val="18"/>
                <w:szCs w:val="18"/>
              </w:rPr>
            </w:pPr>
            <w:r w:rsidRPr="00DA76FF">
              <w:rPr>
                <w:sz w:val="18"/>
                <w:szCs w:val="18"/>
              </w:rPr>
              <w:t xml:space="preserve">Contribution of telecommunications/ICTs to global </w:t>
            </w:r>
            <w:r w:rsidR="00121340">
              <w:rPr>
                <w:sz w:val="18"/>
                <w:szCs w:val="18"/>
              </w:rPr>
              <w:t>GHG</w:t>
            </w:r>
            <w:r w:rsidRPr="00DA76FF">
              <w:rPr>
                <w:sz w:val="18"/>
                <w:szCs w:val="18"/>
              </w:rPr>
              <w:t xml:space="preserve"> emissions</w:t>
            </w:r>
          </w:p>
        </w:tc>
      </w:tr>
    </w:tbl>
    <w:p w14:paraId="75635808" w14:textId="24DAEC41" w:rsidR="00CF341E" w:rsidRDefault="00FF2261" w:rsidP="00C754AC">
      <w:pPr>
        <w:pStyle w:val="Heading2"/>
        <w:tabs>
          <w:tab w:val="clear" w:pos="567"/>
        </w:tabs>
        <w:spacing w:before="480"/>
      </w:pPr>
      <w:bookmarkStart w:id="22" w:name="_Toc198569349"/>
      <w:r w:rsidRPr="00DA76FF">
        <w:t>3</w:t>
      </w:r>
      <w:r w:rsidR="00783361" w:rsidRPr="00DA76FF">
        <w:t xml:space="preserve">.1 </w:t>
      </w:r>
      <w:r w:rsidR="000C2FD8" w:rsidRPr="00DA76FF">
        <w:tab/>
      </w:r>
      <w:r w:rsidR="00783361" w:rsidRPr="00DA76FF">
        <w:t>Universal Connectivity</w:t>
      </w:r>
      <w:bookmarkEnd w:id="22"/>
    </w:p>
    <w:p w14:paraId="7E81FF69" w14:textId="2F64B250" w:rsidR="00210D67" w:rsidRPr="00D706F5" w:rsidRDefault="00210D67" w:rsidP="00A00703">
      <w:pPr>
        <w:spacing w:after="120"/>
        <w:rPr>
          <w:sz w:val="22"/>
          <w:szCs w:val="22"/>
        </w:rPr>
      </w:pPr>
      <w:r>
        <w:rPr>
          <w:sz w:val="22"/>
          <w:szCs w:val="22"/>
        </w:rPr>
        <w:t xml:space="preserve">ITU’s </w:t>
      </w:r>
      <w:r w:rsidR="008E1147">
        <w:rPr>
          <w:sz w:val="22"/>
          <w:szCs w:val="22"/>
        </w:rPr>
        <w:t>push for</w:t>
      </w:r>
      <w:r>
        <w:rPr>
          <w:sz w:val="22"/>
          <w:szCs w:val="22"/>
        </w:rPr>
        <w:t xml:space="preserve"> universal connectivity include</w:t>
      </w:r>
      <w:r w:rsidR="008E1147">
        <w:rPr>
          <w:sz w:val="22"/>
          <w:szCs w:val="22"/>
        </w:rPr>
        <w:t>s specific targets for broadband</w:t>
      </w:r>
      <w:r w:rsidR="00D0622F">
        <w:rPr>
          <w:sz w:val="22"/>
          <w:szCs w:val="22"/>
        </w:rPr>
        <w:t xml:space="preserve">, Internet access, and </w:t>
      </w:r>
      <w:r w:rsidR="00C455D4">
        <w:rPr>
          <w:sz w:val="22"/>
          <w:szCs w:val="22"/>
        </w:rPr>
        <w:t>cybersecurity.</w:t>
      </w:r>
      <w:r w:rsidR="00D0622F">
        <w:rPr>
          <w:sz w:val="22"/>
          <w:szCs w:val="22"/>
        </w:rPr>
        <w:t xml:space="preserve"> </w:t>
      </w:r>
    </w:p>
    <w:p w14:paraId="7F87C5A4" w14:textId="77777777" w:rsidR="002154EB" w:rsidRPr="00DA76FF" w:rsidRDefault="002154EB" w:rsidP="00A00703">
      <w:pPr>
        <w:spacing w:after="120"/>
        <w:jc w:val="both"/>
        <w:rPr>
          <w:b/>
          <w:bCs/>
          <w:sz w:val="22"/>
          <w:szCs w:val="18"/>
        </w:rPr>
      </w:pPr>
      <w:r w:rsidRPr="00DA76FF">
        <w:rPr>
          <w:b/>
          <w:bCs/>
          <w:sz w:val="22"/>
          <w:szCs w:val="18"/>
        </w:rPr>
        <w:t>Target 1.1: Universal broadband coverage</w:t>
      </w:r>
    </w:p>
    <w:p w14:paraId="16B61BF1" w14:textId="2319775E" w:rsidR="002154EB" w:rsidRPr="00DA76FF" w:rsidRDefault="002154EB" w:rsidP="00A00703">
      <w:pPr>
        <w:spacing w:after="120"/>
        <w:jc w:val="both"/>
        <w:rPr>
          <w:sz w:val="22"/>
          <w:szCs w:val="18"/>
        </w:rPr>
      </w:pPr>
      <w:r w:rsidRPr="00DA76FF">
        <w:rPr>
          <w:sz w:val="22"/>
          <w:szCs w:val="18"/>
        </w:rPr>
        <w:t>As of 2024, 5.5</w:t>
      </w:r>
      <w:r w:rsidR="00D84235">
        <w:rPr>
          <w:sz w:val="22"/>
          <w:szCs w:val="18"/>
        </w:rPr>
        <w:t> </w:t>
      </w:r>
      <w:r w:rsidRPr="00DA76FF">
        <w:rPr>
          <w:sz w:val="22"/>
          <w:szCs w:val="18"/>
        </w:rPr>
        <w:t>billion people, representing 68 per cent of the world's population, are online, up from 65 per cent in 2023. Despite this growth, 2.6</w:t>
      </w:r>
      <w:r w:rsidR="00D84235">
        <w:rPr>
          <w:sz w:val="22"/>
          <w:szCs w:val="18"/>
        </w:rPr>
        <w:t> </w:t>
      </w:r>
      <w:r w:rsidRPr="00DA76FF">
        <w:rPr>
          <w:sz w:val="22"/>
          <w:szCs w:val="18"/>
        </w:rPr>
        <w:t>billion people, or one-third of the global population, remain offline, indicating that achieving universal connectivity is still a significant challenge.</w:t>
      </w:r>
    </w:p>
    <w:p w14:paraId="34A040C4" w14:textId="77777777" w:rsidR="00A25266" w:rsidRDefault="00A25266" w:rsidP="00A25266">
      <w:pPr>
        <w:keepNext/>
        <w:keepLines/>
        <w:spacing w:after="120"/>
        <w:jc w:val="center"/>
        <w:rPr>
          <w:sz w:val="22"/>
          <w:szCs w:val="18"/>
          <w:u w:val="single"/>
        </w:rPr>
      </w:pPr>
    </w:p>
    <w:p w14:paraId="28C526AE" w14:textId="31877500" w:rsidR="002154EB" w:rsidRPr="00DA76FF" w:rsidRDefault="002154EB" w:rsidP="00A25266">
      <w:pPr>
        <w:keepNext/>
        <w:keepLines/>
        <w:spacing w:after="120"/>
        <w:jc w:val="center"/>
        <w:rPr>
          <w:sz w:val="22"/>
          <w:szCs w:val="18"/>
          <w:u w:val="single"/>
        </w:rPr>
      </w:pPr>
      <w:r w:rsidRPr="00DA76FF">
        <w:rPr>
          <w:sz w:val="22"/>
          <w:szCs w:val="18"/>
          <w:u w:val="single"/>
        </w:rPr>
        <w:t>Percentage of Individuals using the Internet</w:t>
      </w:r>
      <w:r w:rsidR="006C03E4" w:rsidRPr="00DA76FF">
        <w:rPr>
          <w:sz w:val="22"/>
          <w:szCs w:val="18"/>
          <w:u w:val="single"/>
        </w:rPr>
        <w:t xml:space="preserve"> - </w:t>
      </w:r>
      <w:r w:rsidR="00883BE3" w:rsidRPr="00883BE3">
        <w:rPr>
          <w:sz w:val="22"/>
          <w:szCs w:val="18"/>
          <w:u w:val="single"/>
        </w:rPr>
        <w:t>– by Development status</w:t>
      </w:r>
      <w:r w:rsidR="00883BE3">
        <w:rPr>
          <w:sz w:val="22"/>
          <w:szCs w:val="18"/>
          <w:u w:val="single"/>
        </w:rPr>
        <w:t xml:space="preserve"> </w:t>
      </w:r>
    </w:p>
    <w:p w14:paraId="2E69A579" w14:textId="77777777" w:rsidR="002154EB" w:rsidRPr="00DA76FF" w:rsidRDefault="002154EB" w:rsidP="00A00703">
      <w:pPr>
        <w:keepNext/>
        <w:keepLines/>
        <w:jc w:val="center"/>
        <w:rPr>
          <w:sz w:val="22"/>
          <w:szCs w:val="18"/>
        </w:rPr>
      </w:pPr>
      <w:r w:rsidRPr="00DA76FF">
        <w:rPr>
          <w:noProof/>
          <w:sz w:val="22"/>
          <w:szCs w:val="18"/>
        </w:rPr>
        <w:drawing>
          <wp:inline distT="0" distB="0" distL="0" distR="0" wp14:anchorId="6ABB9ABE" wp14:editId="62445D79">
            <wp:extent cx="5825912" cy="3209925"/>
            <wp:effectExtent l="0" t="0" r="3810" b="0"/>
            <wp:docPr id="96596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66005"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5825912" cy="3209925"/>
                    </a:xfrm>
                    <a:prstGeom prst="rect">
                      <a:avLst/>
                    </a:prstGeom>
                  </pic:spPr>
                </pic:pic>
              </a:graphicData>
            </a:graphic>
          </wp:inline>
        </w:drawing>
      </w:r>
    </w:p>
    <w:p w14:paraId="25FDD8A4" w14:textId="7E4BEEAC" w:rsidR="002154EB" w:rsidRPr="00DA76FF" w:rsidRDefault="00EB30C7" w:rsidP="00A00703">
      <w:pPr>
        <w:keepNext/>
        <w:keepLines/>
        <w:spacing w:after="120"/>
        <w:jc w:val="center"/>
        <w:rPr>
          <w:sz w:val="16"/>
          <w:szCs w:val="16"/>
        </w:rPr>
      </w:pPr>
      <w:r>
        <w:rPr>
          <w:sz w:val="16"/>
          <w:szCs w:val="16"/>
        </w:rPr>
        <w:t>Adapted f</w:t>
      </w:r>
      <w:r w:rsidR="002154EB" w:rsidRPr="00DA76FF">
        <w:rPr>
          <w:sz w:val="16"/>
          <w:szCs w:val="16"/>
        </w:rPr>
        <w:t xml:space="preserve">rom </w:t>
      </w:r>
      <w:r w:rsidR="002154EB" w:rsidRPr="00DA76FF">
        <w:rPr>
          <w:b/>
          <w:bCs/>
          <w:sz w:val="16"/>
          <w:szCs w:val="16"/>
        </w:rPr>
        <w:t>Facts &amp; Figures</w:t>
      </w:r>
      <w:r w:rsidR="002154EB" w:rsidRPr="00DA76FF">
        <w:rPr>
          <w:sz w:val="16"/>
          <w:szCs w:val="16"/>
        </w:rPr>
        <w:t xml:space="preserve">. </w:t>
      </w:r>
      <w:hyperlink r:id="rId37" w:anchor="chart-1" w:history="1">
        <w:r w:rsidR="00840618" w:rsidRPr="00C45CDB">
          <w:rPr>
            <w:rStyle w:val="Hyperlink"/>
            <w:sz w:val="16"/>
            <w:szCs w:val="16"/>
          </w:rPr>
          <w:t xml:space="preserve">See </w:t>
        </w:r>
        <w:r w:rsidR="00C45CDB" w:rsidRPr="00C45CDB">
          <w:rPr>
            <w:rStyle w:val="Hyperlink"/>
            <w:sz w:val="16"/>
            <w:szCs w:val="16"/>
          </w:rPr>
          <w:t>interactive chart: Internet use</w:t>
        </w:r>
      </w:hyperlink>
    </w:p>
    <w:p w14:paraId="6A3CD074" w14:textId="77777777" w:rsidR="002154EB" w:rsidRPr="00DA76FF" w:rsidRDefault="002154EB" w:rsidP="00A25266">
      <w:pPr>
        <w:spacing w:before="480" w:after="120"/>
        <w:jc w:val="both"/>
        <w:rPr>
          <w:b/>
          <w:bCs/>
          <w:sz w:val="22"/>
          <w:szCs w:val="22"/>
        </w:rPr>
      </w:pPr>
      <w:r w:rsidRPr="00DA76FF">
        <w:rPr>
          <w:b/>
          <w:bCs/>
          <w:sz w:val="22"/>
          <w:szCs w:val="18"/>
        </w:rPr>
        <w:t xml:space="preserve">Target </w:t>
      </w:r>
      <w:r w:rsidRPr="00DA76FF">
        <w:rPr>
          <w:b/>
          <w:bCs/>
          <w:sz w:val="22"/>
          <w:szCs w:val="22"/>
        </w:rPr>
        <w:t>1.2: Broadband services to be affordable for all</w:t>
      </w:r>
    </w:p>
    <w:p w14:paraId="1B5FC9B8" w14:textId="47E0B225" w:rsidR="000E49A3" w:rsidRPr="00DA76FF" w:rsidRDefault="000E49A3" w:rsidP="00A00703">
      <w:pPr>
        <w:spacing w:after="120"/>
        <w:jc w:val="both"/>
        <w:rPr>
          <w:sz w:val="22"/>
          <w:szCs w:val="18"/>
        </w:rPr>
      </w:pPr>
      <w:r w:rsidRPr="00DA76FF">
        <w:rPr>
          <w:sz w:val="22"/>
          <w:szCs w:val="18"/>
        </w:rPr>
        <w:t>In 2024, both the data-only mobile broadband and fixed broadband baskets have become more affordable across all regions and income groups. Globally, the median price of the mobile broadband basket, measured as a percentage of gross national income (GNI) per capita, decreased from 1.3</w:t>
      </w:r>
      <w:r w:rsidR="00BB7617">
        <w:rPr>
          <w:sz w:val="22"/>
          <w:szCs w:val="18"/>
        </w:rPr>
        <w:t xml:space="preserve"> per cent</w:t>
      </w:r>
      <w:r w:rsidRPr="00DA76FF">
        <w:rPr>
          <w:sz w:val="22"/>
          <w:szCs w:val="18"/>
        </w:rPr>
        <w:t xml:space="preserve"> to 1.1</w:t>
      </w:r>
      <w:r w:rsidR="00BB7617">
        <w:rPr>
          <w:sz w:val="22"/>
          <w:szCs w:val="18"/>
        </w:rPr>
        <w:t xml:space="preserve"> per cent</w:t>
      </w:r>
      <w:r w:rsidRPr="00DA76FF">
        <w:rPr>
          <w:sz w:val="22"/>
          <w:szCs w:val="18"/>
        </w:rPr>
        <w:t>. Similarly, the median price of the fixed broadband basket fell from 2.8</w:t>
      </w:r>
      <w:r w:rsidR="00BB7617">
        <w:rPr>
          <w:sz w:val="22"/>
          <w:szCs w:val="18"/>
        </w:rPr>
        <w:t xml:space="preserve"> per cent</w:t>
      </w:r>
      <w:r w:rsidRPr="00DA76FF">
        <w:rPr>
          <w:sz w:val="22"/>
          <w:szCs w:val="18"/>
        </w:rPr>
        <w:t xml:space="preserve"> to 2.5</w:t>
      </w:r>
      <w:r w:rsidR="00E26DD3">
        <w:rPr>
          <w:sz w:val="22"/>
          <w:szCs w:val="18"/>
        </w:rPr>
        <w:t> </w:t>
      </w:r>
      <w:r w:rsidR="00BB7617">
        <w:rPr>
          <w:sz w:val="22"/>
          <w:szCs w:val="18"/>
        </w:rPr>
        <w:t>per cent</w:t>
      </w:r>
      <w:r w:rsidRPr="00DA76FF">
        <w:rPr>
          <w:sz w:val="22"/>
          <w:szCs w:val="18"/>
        </w:rPr>
        <w:t>.</w:t>
      </w:r>
    </w:p>
    <w:p w14:paraId="63CF2C0D" w14:textId="43FEB399" w:rsidR="001466FA" w:rsidRDefault="000E49A3" w:rsidP="00A00703">
      <w:pPr>
        <w:spacing w:after="120"/>
        <w:jc w:val="both"/>
        <w:rPr>
          <w:sz w:val="22"/>
          <w:szCs w:val="18"/>
        </w:rPr>
      </w:pPr>
      <w:r w:rsidRPr="00DA76FF">
        <w:rPr>
          <w:sz w:val="22"/>
          <w:szCs w:val="18"/>
        </w:rPr>
        <w:t>However, affordability remains a significant barrier to Internet access, particularly in low-income economies. Despite some progress, a substantial gap persists between high-income economies and others. Subscribers in lower-middle-income economies pay approximately six times more of their income for mobile broadband compared to those in high-income economies, while low-income subscribers pay 19 times more. Additionally, in low-income countries where fixed broadband is available, the subscription cost can consume nearly a third of the average person's income.</w:t>
      </w:r>
    </w:p>
    <w:p w14:paraId="01F6CE61" w14:textId="6CEB9007" w:rsidR="00C20980" w:rsidRPr="00DA76FF" w:rsidRDefault="00C20980" w:rsidP="00E26DD3">
      <w:pPr>
        <w:keepNext/>
        <w:keepLines/>
        <w:jc w:val="center"/>
        <w:rPr>
          <w:sz w:val="20"/>
          <w:u w:val="single"/>
        </w:rPr>
      </w:pPr>
      <w:r w:rsidRPr="00DA76FF">
        <w:rPr>
          <w:sz w:val="20"/>
          <w:u w:val="single"/>
        </w:rPr>
        <w:lastRenderedPageBreak/>
        <w:t>Price of data-only mobile broadband (2GB) basket as per cent of gross national income per capita 2023-2024</w:t>
      </w:r>
    </w:p>
    <w:p w14:paraId="745805C0" w14:textId="77777777" w:rsidR="00C20980" w:rsidRPr="00DA76FF" w:rsidRDefault="00C20980" w:rsidP="00E26DD3">
      <w:pPr>
        <w:keepNext/>
        <w:keepLines/>
        <w:jc w:val="center"/>
        <w:rPr>
          <w:sz w:val="20"/>
          <w:u w:val="single"/>
        </w:rPr>
      </w:pPr>
      <w:r w:rsidRPr="00DA76FF">
        <w:rPr>
          <w:noProof/>
          <w:sz w:val="20"/>
          <w:u w:val="single"/>
        </w:rPr>
        <w:drawing>
          <wp:inline distT="0" distB="0" distL="0" distR="0" wp14:anchorId="3C3214EA" wp14:editId="4C161D65">
            <wp:extent cx="4283781" cy="3829050"/>
            <wp:effectExtent l="0" t="0" r="2540" b="0"/>
            <wp:docPr id="48309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90730" name="Picture 1"/>
                    <pic:cNvPicPr/>
                  </pic:nvPicPr>
                  <pic:blipFill>
                    <a:blip r:embed="rId38">
                      <a:extLst>
                        <a:ext uri="{96DAC541-7B7A-43D3-8B79-37D633B846F1}">
                          <asvg:svgBlip xmlns:asvg="http://schemas.microsoft.com/office/drawing/2016/SVG/main" r:embed="rId39"/>
                        </a:ext>
                      </a:extLst>
                    </a:blip>
                    <a:stretch>
                      <a:fillRect/>
                    </a:stretch>
                  </pic:blipFill>
                  <pic:spPr>
                    <a:xfrm>
                      <a:off x="0" y="0"/>
                      <a:ext cx="4283781" cy="3829050"/>
                    </a:xfrm>
                    <a:prstGeom prst="rect">
                      <a:avLst/>
                    </a:prstGeom>
                  </pic:spPr>
                </pic:pic>
              </a:graphicData>
            </a:graphic>
          </wp:inline>
        </w:drawing>
      </w:r>
    </w:p>
    <w:p w14:paraId="390C3EB2" w14:textId="07857457" w:rsidR="002154EB" w:rsidRPr="00DA76FF" w:rsidRDefault="00EB30C7" w:rsidP="00C20980">
      <w:pPr>
        <w:jc w:val="center"/>
        <w:rPr>
          <w:sz w:val="22"/>
          <w:szCs w:val="18"/>
        </w:rPr>
      </w:pPr>
      <w:r>
        <w:rPr>
          <w:sz w:val="16"/>
          <w:szCs w:val="16"/>
        </w:rPr>
        <w:t>Adapted f</w:t>
      </w:r>
      <w:r w:rsidR="00C20980" w:rsidRPr="00DA76FF">
        <w:rPr>
          <w:sz w:val="16"/>
          <w:szCs w:val="16"/>
        </w:rPr>
        <w:t xml:space="preserve">rom </w:t>
      </w:r>
      <w:r w:rsidR="00C20980" w:rsidRPr="00DA76FF">
        <w:rPr>
          <w:b/>
          <w:bCs/>
          <w:sz w:val="16"/>
          <w:szCs w:val="16"/>
        </w:rPr>
        <w:t>Facts &amp; Figures</w:t>
      </w:r>
      <w:r w:rsidR="00C20980" w:rsidRPr="00DA76FF">
        <w:rPr>
          <w:sz w:val="16"/>
          <w:szCs w:val="16"/>
        </w:rPr>
        <w:t xml:space="preserve">. See </w:t>
      </w:r>
      <w:hyperlink r:id="rId40" w:history="1">
        <w:r w:rsidR="00840618" w:rsidRPr="00840618">
          <w:rPr>
            <w:rStyle w:val="Hyperlink"/>
            <w:sz w:val="16"/>
            <w:szCs w:val="16"/>
          </w:rPr>
          <w:t>interactive chart: Internet use</w:t>
        </w:r>
      </w:hyperlink>
    </w:p>
    <w:p w14:paraId="7DAE3CE1" w14:textId="32040DD2" w:rsidR="00C20980" w:rsidRPr="00DA76FF" w:rsidRDefault="00C20980" w:rsidP="000D6814">
      <w:pPr>
        <w:spacing w:before="480"/>
        <w:jc w:val="center"/>
        <w:rPr>
          <w:sz w:val="20"/>
          <w:u w:val="single"/>
        </w:rPr>
      </w:pPr>
      <w:r w:rsidRPr="00DA76FF">
        <w:rPr>
          <w:sz w:val="20"/>
          <w:u w:val="single"/>
        </w:rPr>
        <w:t>Price of fixed broadband (5GB) basket as per cent of gross national income per capita 2023-2024</w:t>
      </w:r>
    </w:p>
    <w:p w14:paraId="20626EE3" w14:textId="7AB93600" w:rsidR="00C20980" w:rsidRPr="00DA76FF" w:rsidRDefault="00C20980" w:rsidP="00C20980">
      <w:pPr>
        <w:jc w:val="center"/>
        <w:rPr>
          <w:sz w:val="20"/>
          <w:u w:val="single"/>
        </w:rPr>
      </w:pPr>
      <w:r w:rsidRPr="00DA76FF">
        <w:rPr>
          <w:noProof/>
          <w:sz w:val="20"/>
          <w:u w:val="single"/>
        </w:rPr>
        <w:drawing>
          <wp:inline distT="0" distB="0" distL="0" distR="0" wp14:anchorId="19219690" wp14:editId="2B267BFB">
            <wp:extent cx="4392861" cy="3876675"/>
            <wp:effectExtent l="0" t="0" r="8255" b="0"/>
            <wp:docPr id="202132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26814" name="Picture 1"/>
                    <pic:cNvPicPr/>
                  </pic:nvPicPr>
                  <pic:blipFill>
                    <a:blip r:embed="rId41">
                      <a:extLst>
                        <a:ext uri="{96DAC541-7B7A-43D3-8B79-37D633B846F1}">
                          <asvg:svgBlip xmlns:asvg="http://schemas.microsoft.com/office/drawing/2016/SVG/main" r:embed="rId42"/>
                        </a:ext>
                      </a:extLst>
                    </a:blip>
                    <a:stretch>
                      <a:fillRect/>
                    </a:stretch>
                  </pic:blipFill>
                  <pic:spPr>
                    <a:xfrm>
                      <a:off x="0" y="0"/>
                      <a:ext cx="4392861" cy="3876675"/>
                    </a:xfrm>
                    <a:prstGeom prst="rect">
                      <a:avLst/>
                    </a:prstGeom>
                  </pic:spPr>
                </pic:pic>
              </a:graphicData>
            </a:graphic>
          </wp:inline>
        </w:drawing>
      </w:r>
    </w:p>
    <w:p w14:paraId="25CE0A7B" w14:textId="1D3CBAB8" w:rsidR="002154EB" w:rsidRPr="00DA76FF" w:rsidRDefault="00EB30C7" w:rsidP="00A00703">
      <w:pPr>
        <w:jc w:val="center"/>
        <w:rPr>
          <w:sz w:val="22"/>
          <w:szCs w:val="18"/>
        </w:rPr>
      </w:pPr>
      <w:r>
        <w:rPr>
          <w:sz w:val="16"/>
          <w:szCs w:val="16"/>
        </w:rPr>
        <w:t>Adapted f</w:t>
      </w:r>
      <w:r w:rsidR="00C20980" w:rsidRPr="00DA76FF">
        <w:rPr>
          <w:sz w:val="16"/>
          <w:szCs w:val="16"/>
        </w:rPr>
        <w:t xml:space="preserve">rom </w:t>
      </w:r>
      <w:r w:rsidR="00C20980" w:rsidRPr="00DA76FF">
        <w:rPr>
          <w:b/>
          <w:bCs/>
          <w:sz w:val="16"/>
          <w:szCs w:val="16"/>
        </w:rPr>
        <w:t>Facts &amp; Figures</w:t>
      </w:r>
      <w:r w:rsidR="00C20980" w:rsidRPr="00DA76FF">
        <w:rPr>
          <w:sz w:val="16"/>
          <w:szCs w:val="16"/>
        </w:rPr>
        <w:t xml:space="preserve">. See </w:t>
      </w:r>
      <w:hyperlink r:id="rId43" w:history="1">
        <w:r w:rsidR="00840618" w:rsidRPr="00840618">
          <w:rPr>
            <w:rStyle w:val="Hyperlink"/>
            <w:sz w:val="16"/>
            <w:szCs w:val="16"/>
          </w:rPr>
          <w:t xml:space="preserve">interactive chart: </w:t>
        </w:r>
        <w:r w:rsidR="00C20980" w:rsidRPr="00840618">
          <w:rPr>
            <w:rStyle w:val="Hyperlink"/>
            <w:sz w:val="16"/>
            <w:szCs w:val="16"/>
          </w:rPr>
          <w:t>Internet use</w:t>
        </w:r>
      </w:hyperlink>
      <w:r w:rsidR="00840618" w:rsidRPr="00DA76FF" w:rsidDel="00840618">
        <w:rPr>
          <w:sz w:val="16"/>
          <w:szCs w:val="16"/>
        </w:rPr>
        <w:t xml:space="preserve"> </w:t>
      </w:r>
    </w:p>
    <w:p w14:paraId="6C74E606" w14:textId="77777777" w:rsidR="002154EB" w:rsidRPr="00DA76FF" w:rsidRDefault="002154EB" w:rsidP="00A00703">
      <w:pPr>
        <w:keepNext/>
        <w:keepLines/>
        <w:spacing w:after="120"/>
        <w:jc w:val="both"/>
        <w:rPr>
          <w:b/>
          <w:bCs/>
          <w:sz w:val="22"/>
          <w:szCs w:val="18"/>
        </w:rPr>
      </w:pPr>
      <w:r w:rsidRPr="00DA76FF">
        <w:rPr>
          <w:b/>
          <w:bCs/>
          <w:sz w:val="22"/>
          <w:szCs w:val="18"/>
        </w:rPr>
        <w:lastRenderedPageBreak/>
        <w:t>Target 1.3: Broadband access to every household</w:t>
      </w:r>
    </w:p>
    <w:p w14:paraId="5BA9701C" w14:textId="669A9F82" w:rsidR="002154EB" w:rsidRPr="00BE75E7" w:rsidRDefault="002154EB" w:rsidP="00A00703">
      <w:pPr>
        <w:keepNext/>
        <w:keepLines/>
        <w:spacing w:after="120"/>
        <w:jc w:val="both"/>
        <w:rPr>
          <w:sz w:val="20"/>
          <w:szCs w:val="16"/>
        </w:rPr>
      </w:pPr>
      <w:r w:rsidRPr="00DA76FF">
        <w:rPr>
          <w:sz w:val="22"/>
          <w:szCs w:val="18"/>
        </w:rPr>
        <w:t xml:space="preserve">Global international bandwidth usage has significantly increased in recent years, reaching 322.8 </w:t>
      </w:r>
      <w:r w:rsidR="005C730E">
        <w:rPr>
          <w:sz w:val="22"/>
          <w:szCs w:val="18"/>
        </w:rPr>
        <w:t>k</w:t>
      </w:r>
      <w:r w:rsidRPr="00DA76FF">
        <w:rPr>
          <w:sz w:val="22"/>
          <w:szCs w:val="18"/>
        </w:rPr>
        <w:t xml:space="preserve">bits per second </w:t>
      </w:r>
      <w:r w:rsidR="005C730E">
        <w:rPr>
          <w:sz w:val="22"/>
          <w:szCs w:val="18"/>
        </w:rPr>
        <w:t xml:space="preserve">(per internet user) </w:t>
      </w:r>
      <w:r w:rsidRPr="00DA76FF">
        <w:rPr>
          <w:sz w:val="22"/>
          <w:szCs w:val="18"/>
        </w:rPr>
        <w:t xml:space="preserve">in 2024, more than doubling the level from 2020. This usage is heavily concentrated in high-income economies, where demand has surged from 399.3 to 858.3 </w:t>
      </w:r>
      <w:r w:rsidR="005C730E">
        <w:rPr>
          <w:sz w:val="22"/>
          <w:szCs w:val="18"/>
        </w:rPr>
        <w:t>k</w:t>
      </w:r>
      <w:r w:rsidRPr="00DA76FF">
        <w:rPr>
          <w:sz w:val="22"/>
          <w:szCs w:val="18"/>
        </w:rPr>
        <w:t xml:space="preserve">bits per second </w:t>
      </w:r>
      <w:r w:rsidR="00BE75E7">
        <w:rPr>
          <w:sz w:val="22"/>
          <w:szCs w:val="18"/>
        </w:rPr>
        <w:t xml:space="preserve">(per internet user) </w:t>
      </w:r>
      <w:r w:rsidRPr="00DA76FF">
        <w:rPr>
          <w:sz w:val="22"/>
          <w:szCs w:val="18"/>
        </w:rPr>
        <w:t>over the past four years, reflecting their advanced digital infrastructure and data-intensive applications. On the other hand, low-income economies, despite experiencing notable growth, still represent a disproportionately small share of global bandwidth, rising from 28.3 to 60.9</w:t>
      </w:r>
      <w:r w:rsidR="00AB7AE5">
        <w:rPr>
          <w:sz w:val="22"/>
          <w:szCs w:val="18"/>
        </w:rPr>
        <w:t> </w:t>
      </w:r>
      <w:r w:rsidR="005C730E">
        <w:rPr>
          <w:sz w:val="22"/>
          <w:szCs w:val="18"/>
        </w:rPr>
        <w:t>k</w:t>
      </w:r>
      <w:r w:rsidRPr="00DA76FF">
        <w:rPr>
          <w:sz w:val="22"/>
          <w:szCs w:val="18"/>
        </w:rPr>
        <w:t>bits per second</w:t>
      </w:r>
      <w:r w:rsidR="00BE75E7">
        <w:rPr>
          <w:sz w:val="22"/>
          <w:szCs w:val="18"/>
        </w:rPr>
        <w:t xml:space="preserve"> (per </w:t>
      </w:r>
      <w:r w:rsidR="00E26DD3">
        <w:rPr>
          <w:sz w:val="22"/>
          <w:szCs w:val="18"/>
        </w:rPr>
        <w:t xml:space="preserve">Internet </w:t>
      </w:r>
      <w:r w:rsidR="00BE75E7">
        <w:rPr>
          <w:sz w:val="22"/>
          <w:szCs w:val="18"/>
        </w:rPr>
        <w:t>user)</w:t>
      </w:r>
      <w:r w:rsidRPr="00DA76FF">
        <w:rPr>
          <w:sz w:val="22"/>
          <w:szCs w:val="18"/>
        </w:rPr>
        <w:t>.</w:t>
      </w:r>
      <w:r w:rsidR="005C730E">
        <w:rPr>
          <w:sz w:val="22"/>
          <w:szCs w:val="18"/>
        </w:rPr>
        <w:t xml:space="preserve"> </w:t>
      </w:r>
      <w:r w:rsidR="005C730E" w:rsidRPr="00BE75E7">
        <w:rPr>
          <w:rFonts w:eastAsia="Times New Roman" w:cs="Calibri"/>
          <w:sz w:val="22"/>
          <w:szCs w:val="18"/>
          <w:lang w:eastAsia="en-GB"/>
        </w:rPr>
        <w:t xml:space="preserve">The total bandwidth usage in 2024 was 1.78 Tbits/sec, almost a </w:t>
      </w:r>
      <w:r w:rsidR="00714FA8" w:rsidRPr="00BE75E7">
        <w:rPr>
          <w:rFonts w:eastAsia="Times New Roman" w:cs="Calibri"/>
          <w:sz w:val="22"/>
          <w:szCs w:val="18"/>
          <w:lang w:eastAsia="en-GB"/>
        </w:rPr>
        <w:t>1</w:t>
      </w:r>
      <w:r w:rsidR="005C730E" w:rsidRPr="00BE75E7">
        <w:rPr>
          <w:rFonts w:eastAsia="Times New Roman" w:cs="Calibri"/>
          <w:sz w:val="22"/>
          <w:szCs w:val="18"/>
          <w:lang w:eastAsia="en-GB"/>
        </w:rPr>
        <w:t>50</w:t>
      </w:r>
      <w:r w:rsidR="000E376C">
        <w:rPr>
          <w:rFonts w:eastAsia="Times New Roman" w:cs="Calibri"/>
          <w:sz w:val="22"/>
          <w:szCs w:val="18"/>
          <w:lang w:eastAsia="en-GB"/>
        </w:rPr>
        <w:t xml:space="preserve"> per cent</w:t>
      </w:r>
      <w:r w:rsidR="000E376C" w:rsidRPr="00BE75E7">
        <w:rPr>
          <w:rFonts w:eastAsia="Times New Roman" w:cs="Calibri"/>
          <w:sz w:val="22"/>
          <w:szCs w:val="18"/>
          <w:lang w:eastAsia="en-GB"/>
        </w:rPr>
        <w:t xml:space="preserve"> </w:t>
      </w:r>
      <w:r w:rsidR="005C730E" w:rsidRPr="00BE75E7">
        <w:rPr>
          <w:rFonts w:eastAsia="Times New Roman" w:cs="Calibri"/>
          <w:sz w:val="22"/>
          <w:szCs w:val="18"/>
          <w:lang w:eastAsia="en-GB"/>
        </w:rPr>
        <w:t>increase from 2020.</w:t>
      </w:r>
    </w:p>
    <w:p w14:paraId="0E3ECCCC" w14:textId="77777777" w:rsidR="002154EB" w:rsidRPr="00DA76FF" w:rsidRDefault="002154EB" w:rsidP="000D6814">
      <w:pPr>
        <w:spacing w:after="360"/>
        <w:jc w:val="both"/>
        <w:rPr>
          <w:sz w:val="22"/>
          <w:szCs w:val="18"/>
        </w:rPr>
      </w:pPr>
      <w:r w:rsidRPr="00DA76FF">
        <w:rPr>
          <w:sz w:val="22"/>
          <w:szCs w:val="18"/>
        </w:rPr>
        <w:t>In 2024, 167 countries had established broadband plans or digital strategies, a figure that has stagnated since 2019 and declined from 170 in 2022. To advance global connectivity, further efforts are needed to encourage the remaining 20 to 30 countries to develop and adopt their national broadband plans.</w:t>
      </w:r>
    </w:p>
    <w:p w14:paraId="1A4373CC" w14:textId="77777777" w:rsidR="002154EB" w:rsidRPr="00DA76FF" w:rsidRDefault="002154EB" w:rsidP="002154EB">
      <w:pPr>
        <w:jc w:val="center"/>
        <w:rPr>
          <w:sz w:val="20"/>
          <w:u w:val="single"/>
        </w:rPr>
      </w:pPr>
      <w:r w:rsidRPr="00DA76FF">
        <w:rPr>
          <w:sz w:val="20"/>
          <w:u w:val="single"/>
        </w:rPr>
        <w:t>Percentage of individuals using the internet by region and level of development 2019-2024</w:t>
      </w:r>
    </w:p>
    <w:p w14:paraId="28BE09BD" w14:textId="77777777" w:rsidR="002154EB" w:rsidRPr="00DA76FF" w:rsidRDefault="002154EB" w:rsidP="002154EB">
      <w:pPr>
        <w:jc w:val="center"/>
        <w:rPr>
          <w:sz w:val="22"/>
          <w:szCs w:val="18"/>
        </w:rPr>
      </w:pPr>
      <w:r w:rsidRPr="00DA76FF">
        <w:rPr>
          <w:noProof/>
          <w:sz w:val="22"/>
          <w:szCs w:val="18"/>
        </w:rPr>
        <w:drawing>
          <wp:inline distT="0" distB="0" distL="0" distR="0" wp14:anchorId="38AC0EE9" wp14:editId="3C8350ED">
            <wp:extent cx="5673465" cy="3171825"/>
            <wp:effectExtent l="0" t="0" r="3810" b="0"/>
            <wp:docPr id="139301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12787" name="Picture 1"/>
                    <pic:cNvPicPr/>
                  </pic:nvPicPr>
                  <pic:blipFill>
                    <a:blip r:embed="rId44">
                      <a:extLst>
                        <a:ext uri="{96DAC541-7B7A-43D3-8B79-37D633B846F1}">
                          <asvg:svgBlip xmlns:asvg="http://schemas.microsoft.com/office/drawing/2016/SVG/main" r:embed="rId45"/>
                        </a:ext>
                      </a:extLst>
                    </a:blip>
                    <a:stretch>
                      <a:fillRect/>
                    </a:stretch>
                  </pic:blipFill>
                  <pic:spPr>
                    <a:xfrm>
                      <a:off x="0" y="0"/>
                      <a:ext cx="5673465" cy="3171825"/>
                    </a:xfrm>
                    <a:prstGeom prst="rect">
                      <a:avLst/>
                    </a:prstGeom>
                  </pic:spPr>
                </pic:pic>
              </a:graphicData>
            </a:graphic>
          </wp:inline>
        </w:drawing>
      </w:r>
    </w:p>
    <w:p w14:paraId="1D886D15" w14:textId="2654DF0E" w:rsidR="002154EB" w:rsidRPr="00DA76FF" w:rsidRDefault="00561AA1" w:rsidP="002154EB">
      <w:pPr>
        <w:jc w:val="center"/>
      </w:pPr>
      <w:r>
        <w:rPr>
          <w:sz w:val="16"/>
          <w:szCs w:val="16"/>
        </w:rPr>
        <w:t xml:space="preserve">Adapted </w:t>
      </w:r>
      <w:r w:rsidR="00243A71">
        <w:rPr>
          <w:sz w:val="16"/>
          <w:szCs w:val="16"/>
        </w:rPr>
        <w:t>f</w:t>
      </w:r>
      <w:r w:rsidR="002154EB" w:rsidRPr="00DA76FF">
        <w:rPr>
          <w:sz w:val="16"/>
          <w:szCs w:val="16"/>
        </w:rPr>
        <w:t xml:space="preserve">rom </w:t>
      </w:r>
      <w:r w:rsidR="002154EB" w:rsidRPr="00DA76FF">
        <w:rPr>
          <w:b/>
          <w:bCs/>
          <w:sz w:val="16"/>
          <w:szCs w:val="16"/>
        </w:rPr>
        <w:t>Facts &amp; Figures</w:t>
      </w:r>
      <w:r w:rsidR="002154EB" w:rsidRPr="00DA76FF">
        <w:rPr>
          <w:sz w:val="16"/>
          <w:szCs w:val="16"/>
        </w:rPr>
        <w:t xml:space="preserve">. See </w:t>
      </w:r>
      <w:hyperlink r:id="rId46" w:anchor="chart-2" w:history="1">
        <w:r w:rsidR="00C45CDB" w:rsidRPr="00C45CDB">
          <w:rPr>
            <w:rStyle w:val="Hyperlink"/>
            <w:sz w:val="16"/>
            <w:szCs w:val="16"/>
          </w:rPr>
          <w:t xml:space="preserve">interactive chart: </w:t>
        </w:r>
        <w:r w:rsidR="002154EB" w:rsidRPr="00C45CDB">
          <w:rPr>
            <w:rStyle w:val="Hyperlink"/>
            <w:sz w:val="16"/>
            <w:szCs w:val="16"/>
          </w:rPr>
          <w:t>Internet use</w:t>
        </w:r>
      </w:hyperlink>
    </w:p>
    <w:p w14:paraId="5C8620FE" w14:textId="77777777" w:rsidR="002154EB" w:rsidRPr="00DA76FF" w:rsidRDefault="002154EB" w:rsidP="00A00703">
      <w:pPr>
        <w:spacing w:before="360" w:after="120"/>
        <w:jc w:val="both"/>
        <w:rPr>
          <w:sz w:val="22"/>
          <w:szCs w:val="18"/>
        </w:rPr>
      </w:pPr>
      <w:r w:rsidRPr="00DA76FF">
        <w:rPr>
          <w:sz w:val="22"/>
          <w:szCs w:val="18"/>
        </w:rPr>
        <w:t>On the other hand, the population covered by a mobile-cellular network (not limited to broadband) continues to grow, reaching 97.9 per cent in 2024. High-income economies have sustained near-universal coverage, consistently exceeding 99.6 per cent since 2020. In contrast, low-income economies, despite steady improvements, lag significantly, with coverage increasing from 88.0</w:t>
      </w:r>
      <w:r w:rsidRPr="00DA76FF">
        <w:t xml:space="preserve"> </w:t>
      </w:r>
      <w:r w:rsidRPr="00DA76FF">
        <w:rPr>
          <w:sz w:val="22"/>
          <w:szCs w:val="18"/>
        </w:rPr>
        <w:t>per cent in 2020 to 91.1 per cent in 2024.</w:t>
      </w:r>
    </w:p>
    <w:p w14:paraId="20AC992D" w14:textId="15BD96AA" w:rsidR="002154EB" w:rsidRPr="00DA76FF" w:rsidRDefault="002154EB" w:rsidP="00A00703">
      <w:pPr>
        <w:spacing w:after="120"/>
        <w:jc w:val="both"/>
        <w:rPr>
          <w:sz w:val="22"/>
          <w:szCs w:val="18"/>
        </w:rPr>
      </w:pPr>
      <w:r w:rsidRPr="00DA76FF">
        <w:rPr>
          <w:sz w:val="22"/>
          <w:szCs w:val="18"/>
        </w:rPr>
        <w:t>Internet usage is closely tied to development levels. In high-income countries, the online penetration rate reached 93</w:t>
      </w:r>
      <w:r w:rsidRPr="00DA76FF">
        <w:t xml:space="preserve"> </w:t>
      </w:r>
      <w:r w:rsidRPr="00DA76FF">
        <w:rPr>
          <w:sz w:val="22"/>
          <w:szCs w:val="18"/>
        </w:rPr>
        <w:t>per cent in 2024, while in low-income countries, only 27</w:t>
      </w:r>
      <w:r w:rsidRPr="00DA76FF">
        <w:t xml:space="preserve"> </w:t>
      </w:r>
      <w:r w:rsidRPr="00DA76FF">
        <w:rPr>
          <w:sz w:val="22"/>
          <w:szCs w:val="18"/>
        </w:rPr>
        <w:t>per cent of the population is online. Although these economies are experiencing an annual growth rate of 8.5</w:t>
      </w:r>
      <w:r w:rsidRPr="00DA76FF">
        <w:t xml:space="preserve"> </w:t>
      </w:r>
      <w:r w:rsidRPr="00DA76FF">
        <w:rPr>
          <w:sz w:val="22"/>
          <w:szCs w:val="18"/>
        </w:rPr>
        <w:t xml:space="preserve">per cent in 2024—higher than any other group or region—this growth is inadequate to close the gap in connectivity </w:t>
      </w:r>
      <w:r w:rsidR="00C80677" w:rsidRPr="00DA76FF">
        <w:rPr>
          <w:sz w:val="22"/>
          <w:szCs w:val="18"/>
        </w:rPr>
        <w:t>soon</w:t>
      </w:r>
      <w:r w:rsidRPr="00DA76FF">
        <w:rPr>
          <w:sz w:val="22"/>
          <w:szCs w:val="18"/>
        </w:rPr>
        <w:t>.</w:t>
      </w:r>
    </w:p>
    <w:p w14:paraId="0E448EED" w14:textId="77777777" w:rsidR="002154EB" w:rsidRPr="00DA76FF" w:rsidRDefault="002154EB" w:rsidP="00A00703">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Times New Roman" w:hAnsiTheme="minorHAnsi" w:cstheme="minorHAnsi"/>
          <w:b/>
          <w:bCs/>
          <w:color w:val="000000"/>
          <w:sz w:val="22"/>
          <w:szCs w:val="22"/>
          <w:lang w:eastAsia="en-GB"/>
        </w:rPr>
      </w:pPr>
      <w:r w:rsidRPr="00DA76FF">
        <w:rPr>
          <w:b/>
          <w:bCs/>
          <w:sz w:val="22"/>
          <w:szCs w:val="18"/>
        </w:rPr>
        <w:t xml:space="preserve">Target </w:t>
      </w:r>
      <w:r w:rsidRPr="00DA76FF">
        <w:rPr>
          <w:rFonts w:asciiTheme="minorHAnsi" w:eastAsia="Times New Roman" w:hAnsiTheme="minorHAnsi" w:cstheme="minorHAnsi"/>
          <w:b/>
          <w:bCs/>
          <w:color w:val="000000"/>
          <w:sz w:val="22"/>
          <w:szCs w:val="22"/>
          <w:lang w:eastAsia="en-GB"/>
        </w:rPr>
        <w:t>1.4: Ownership of and access to Internet-enabled devices</w:t>
      </w:r>
    </w:p>
    <w:p w14:paraId="6785A60B" w14:textId="301A3633" w:rsidR="002154EB" w:rsidRPr="00DA76FF" w:rsidRDefault="002154EB" w:rsidP="00A00703">
      <w:pPr>
        <w:spacing w:after="120"/>
        <w:jc w:val="both"/>
        <w:rPr>
          <w:sz w:val="22"/>
          <w:szCs w:val="18"/>
        </w:rPr>
      </w:pPr>
      <w:r w:rsidRPr="00DA76FF">
        <w:rPr>
          <w:sz w:val="22"/>
          <w:szCs w:val="18"/>
        </w:rPr>
        <w:t>Globally, four out of five individuals aged 10 and older own a mobile phone, with high-income economies achieving universal ownership, defined as a penetration rate exceeding 95 per cent. In stark contrast, low-income economies show only 56 per cent of the population aged 10 and above owning a mobile phone.</w:t>
      </w:r>
    </w:p>
    <w:p w14:paraId="1C7DA8BC" w14:textId="77777777" w:rsidR="00A25266" w:rsidRDefault="00A25266" w:rsidP="000D6814">
      <w:pPr>
        <w:keepNext/>
        <w:keepLines/>
        <w:spacing w:after="120"/>
        <w:jc w:val="center"/>
        <w:rPr>
          <w:sz w:val="20"/>
          <w:u w:val="single"/>
        </w:rPr>
      </w:pPr>
    </w:p>
    <w:p w14:paraId="0D3FF434" w14:textId="02E168C9" w:rsidR="002154EB" w:rsidRPr="00DA76FF" w:rsidRDefault="002154EB" w:rsidP="000D6814">
      <w:pPr>
        <w:keepNext/>
        <w:keepLines/>
        <w:spacing w:after="120"/>
        <w:jc w:val="center"/>
        <w:rPr>
          <w:sz w:val="20"/>
          <w:u w:val="single"/>
        </w:rPr>
      </w:pPr>
      <w:r w:rsidRPr="00DA76FF">
        <w:rPr>
          <w:sz w:val="20"/>
          <w:u w:val="single"/>
        </w:rPr>
        <w:t>Percentage of Individuals owning a mobile phone and using the Internet 2024</w:t>
      </w:r>
    </w:p>
    <w:p w14:paraId="69881A32" w14:textId="77777777" w:rsidR="002154EB" w:rsidRPr="00DA76FF" w:rsidRDefault="002154EB" w:rsidP="00A00703">
      <w:pPr>
        <w:keepNext/>
        <w:keepLines/>
        <w:jc w:val="center"/>
        <w:rPr>
          <w:sz w:val="20"/>
          <w:u w:val="single"/>
        </w:rPr>
      </w:pPr>
      <w:r w:rsidRPr="00DA76FF">
        <w:rPr>
          <w:noProof/>
          <w:sz w:val="20"/>
          <w:u w:val="single"/>
        </w:rPr>
        <w:drawing>
          <wp:inline distT="0" distB="0" distL="0" distR="0" wp14:anchorId="09EA79A1" wp14:editId="4BCBCC7B">
            <wp:extent cx="5251648" cy="3762375"/>
            <wp:effectExtent l="0" t="0" r="6350" b="0"/>
            <wp:docPr id="80925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53379" name="Picture 1"/>
                    <pic:cNvPicPr/>
                  </pic:nvPicPr>
                  <pic:blipFill>
                    <a:blip r:embed="rId47">
                      <a:extLst>
                        <a:ext uri="{96DAC541-7B7A-43D3-8B79-37D633B846F1}">
                          <asvg:svgBlip xmlns:asvg="http://schemas.microsoft.com/office/drawing/2016/SVG/main" r:embed="rId48"/>
                        </a:ext>
                      </a:extLst>
                    </a:blip>
                    <a:stretch>
                      <a:fillRect/>
                    </a:stretch>
                  </pic:blipFill>
                  <pic:spPr>
                    <a:xfrm>
                      <a:off x="0" y="0"/>
                      <a:ext cx="5251648" cy="3762375"/>
                    </a:xfrm>
                    <a:prstGeom prst="rect">
                      <a:avLst/>
                    </a:prstGeom>
                  </pic:spPr>
                </pic:pic>
              </a:graphicData>
            </a:graphic>
          </wp:inline>
        </w:drawing>
      </w:r>
    </w:p>
    <w:p w14:paraId="2561EFEB" w14:textId="55C6F1A2" w:rsidR="002154EB" w:rsidRPr="00DA76FF" w:rsidRDefault="000C4576" w:rsidP="000D6814">
      <w:pPr>
        <w:spacing w:after="120"/>
        <w:jc w:val="center"/>
        <w:rPr>
          <w:rFonts w:asciiTheme="minorHAnsi" w:eastAsia="Times New Roman" w:hAnsiTheme="minorHAnsi" w:cstheme="minorHAnsi"/>
          <w:b/>
          <w:bCs/>
          <w:color w:val="000000"/>
          <w:sz w:val="22"/>
          <w:szCs w:val="22"/>
          <w:lang w:eastAsia="en-GB"/>
        </w:rPr>
      </w:pPr>
      <w:r>
        <w:rPr>
          <w:sz w:val="16"/>
          <w:szCs w:val="16"/>
        </w:rPr>
        <w:t>Adapted f</w:t>
      </w:r>
      <w:r w:rsidR="002154EB" w:rsidRPr="00DA76FF">
        <w:rPr>
          <w:sz w:val="16"/>
          <w:szCs w:val="16"/>
        </w:rPr>
        <w:t xml:space="preserve">rom </w:t>
      </w:r>
      <w:r w:rsidR="002154EB" w:rsidRPr="00DA76FF">
        <w:rPr>
          <w:b/>
          <w:bCs/>
          <w:sz w:val="16"/>
          <w:szCs w:val="16"/>
        </w:rPr>
        <w:t>Facts &amp; Figures</w:t>
      </w:r>
      <w:r w:rsidR="002154EB" w:rsidRPr="00DA76FF">
        <w:rPr>
          <w:sz w:val="16"/>
          <w:szCs w:val="16"/>
        </w:rPr>
        <w:t>. See</w:t>
      </w:r>
      <w:r w:rsidR="001819E7">
        <w:rPr>
          <w:sz w:val="16"/>
          <w:szCs w:val="16"/>
        </w:rPr>
        <w:t xml:space="preserve"> </w:t>
      </w:r>
      <w:hyperlink r:id="rId49" w:anchor="chart-1" w:history="1">
        <w:r w:rsidR="001819E7" w:rsidRPr="001819E7">
          <w:rPr>
            <w:rStyle w:val="Hyperlink"/>
            <w:sz w:val="16"/>
            <w:szCs w:val="16"/>
          </w:rPr>
          <w:t>interactive chart:</w:t>
        </w:r>
        <w:r w:rsidR="002154EB" w:rsidRPr="001819E7">
          <w:rPr>
            <w:rStyle w:val="Hyperlink"/>
            <w:sz w:val="16"/>
            <w:szCs w:val="16"/>
          </w:rPr>
          <w:t xml:space="preserve"> Internet use</w:t>
        </w:r>
      </w:hyperlink>
      <w:r w:rsidR="002154EB" w:rsidRPr="00DA76FF">
        <w:rPr>
          <w:sz w:val="16"/>
          <w:szCs w:val="16"/>
        </w:rPr>
        <w:t xml:space="preserve"> </w:t>
      </w:r>
    </w:p>
    <w:p w14:paraId="14AB3156" w14:textId="77777777" w:rsidR="002154EB" w:rsidRPr="00DA76FF" w:rsidRDefault="002154EB" w:rsidP="001E30C2">
      <w:pPr>
        <w:spacing w:before="360" w:after="120"/>
        <w:jc w:val="both"/>
        <w:rPr>
          <w:rFonts w:asciiTheme="minorHAnsi" w:eastAsia="Times New Roman" w:hAnsiTheme="minorHAnsi" w:cstheme="minorHAnsi"/>
          <w:b/>
          <w:bCs/>
          <w:color w:val="000000"/>
          <w:sz w:val="22"/>
          <w:szCs w:val="22"/>
          <w:lang w:eastAsia="en-GB"/>
        </w:rPr>
      </w:pPr>
      <w:r w:rsidRPr="00DA76FF">
        <w:rPr>
          <w:rFonts w:asciiTheme="minorHAnsi" w:eastAsia="Times New Roman" w:hAnsiTheme="minorHAnsi" w:cstheme="minorHAnsi"/>
          <w:b/>
          <w:bCs/>
          <w:color w:val="000000"/>
          <w:sz w:val="22"/>
          <w:szCs w:val="22"/>
          <w:lang w:eastAsia="en-GB"/>
        </w:rPr>
        <w:t>Target 1.5: Access on the Internet for all schools</w:t>
      </w:r>
    </w:p>
    <w:p w14:paraId="6C6EE552" w14:textId="00010BB0" w:rsidR="00AF5E68" w:rsidRDefault="00AF5E68" w:rsidP="00AF5E68">
      <w:pPr>
        <w:jc w:val="both"/>
        <w:rPr>
          <w:sz w:val="22"/>
          <w:szCs w:val="22"/>
          <w:lang w:eastAsia="en-GB"/>
        </w:rPr>
      </w:pPr>
      <w:r w:rsidRPr="00AF5E68">
        <w:rPr>
          <w:sz w:val="22"/>
          <w:szCs w:val="22"/>
          <w:lang w:eastAsia="en-GB"/>
        </w:rPr>
        <w:t xml:space="preserve">This data is gathered by </w:t>
      </w:r>
      <w:r w:rsidR="00F000EC">
        <w:rPr>
          <w:sz w:val="22"/>
          <w:szCs w:val="22"/>
          <w:lang w:eastAsia="en-GB"/>
        </w:rPr>
        <w:t>the United Nations Educational, Scientific and Cultural Organization (</w:t>
      </w:r>
      <w:r w:rsidRPr="00AF5E68">
        <w:rPr>
          <w:sz w:val="22"/>
          <w:szCs w:val="22"/>
          <w:lang w:eastAsia="en-GB"/>
        </w:rPr>
        <w:t>UNESCO</w:t>
      </w:r>
      <w:r w:rsidR="00F000EC">
        <w:rPr>
          <w:sz w:val="22"/>
          <w:szCs w:val="22"/>
          <w:lang w:eastAsia="en-GB"/>
        </w:rPr>
        <w:t>)</w:t>
      </w:r>
      <w:r w:rsidRPr="00AF5E68">
        <w:rPr>
          <w:sz w:val="22"/>
          <w:szCs w:val="22"/>
          <w:lang w:eastAsia="en-GB"/>
        </w:rPr>
        <w:t xml:space="preserve">. In their Dashboard (see </w:t>
      </w:r>
      <w:hyperlink r:id="rId50" w:history="1">
        <w:r w:rsidRPr="00AF5E68">
          <w:rPr>
            <w:rStyle w:val="Hyperlink"/>
            <w:sz w:val="22"/>
            <w:szCs w:val="22"/>
            <w:lang w:eastAsia="en-GB"/>
          </w:rPr>
          <w:t>here</w:t>
        </w:r>
      </w:hyperlink>
      <w:r w:rsidRPr="00AF5E68">
        <w:rPr>
          <w:sz w:val="22"/>
          <w:szCs w:val="22"/>
          <w:lang w:eastAsia="en-GB"/>
        </w:rPr>
        <w:t>), it is possible to find (under Indicator 4a, Target 4a.1):</w:t>
      </w:r>
    </w:p>
    <w:p w14:paraId="49EF4F4E" w14:textId="3158226F" w:rsidR="00AF5E68" w:rsidRPr="00AF5E68" w:rsidRDefault="00AF5E68" w:rsidP="001E30C2">
      <w:pPr>
        <w:pStyle w:val="ListParagraph"/>
        <w:numPr>
          <w:ilvl w:val="0"/>
          <w:numId w:val="55"/>
        </w:numPr>
        <w:spacing w:after="120"/>
        <w:jc w:val="both"/>
      </w:pPr>
      <w:r w:rsidRPr="00AF5E68">
        <w:t>The percentage of schools with access to the Internet for pedagogical purposes and</w:t>
      </w:r>
    </w:p>
    <w:p w14:paraId="7CC2353B" w14:textId="329FA3B5" w:rsidR="00AF5E68" w:rsidRPr="00AF5E68" w:rsidRDefault="00AF5E68" w:rsidP="001E30C2">
      <w:pPr>
        <w:pStyle w:val="ListParagraph"/>
        <w:numPr>
          <w:ilvl w:val="0"/>
          <w:numId w:val="55"/>
        </w:numPr>
        <w:spacing w:after="120"/>
        <w:jc w:val="both"/>
        <w:rPr>
          <w:szCs w:val="24"/>
        </w:rPr>
      </w:pPr>
      <w:r w:rsidRPr="00AF5E68">
        <w:rPr>
          <w:szCs w:val="24"/>
        </w:rPr>
        <w:t>The percentage of schools with access to computers for pedagogical purposes</w:t>
      </w:r>
    </w:p>
    <w:p w14:paraId="24ABEF47" w14:textId="77777777" w:rsidR="00AF5E68" w:rsidRPr="00AF5E68" w:rsidRDefault="00AF5E68" w:rsidP="001E30C2">
      <w:pPr>
        <w:spacing w:after="120"/>
        <w:rPr>
          <w:sz w:val="22"/>
          <w:szCs w:val="22"/>
        </w:rPr>
      </w:pPr>
      <w:r w:rsidRPr="00AF5E68">
        <w:rPr>
          <w:sz w:val="22"/>
          <w:szCs w:val="22"/>
        </w:rPr>
        <w:t>Both by country and disaggregated by level (i.e. primary; lower secondary, upper secondary and secondary).</w:t>
      </w:r>
    </w:p>
    <w:p w14:paraId="06907C39" w14:textId="1EAB175C" w:rsidR="002154EB" w:rsidRPr="00DA76FF" w:rsidRDefault="00AF5E68" w:rsidP="001E30C2">
      <w:pPr>
        <w:spacing w:after="120"/>
        <w:rPr>
          <w:sz w:val="22"/>
          <w:szCs w:val="18"/>
          <w:lang w:eastAsia="en-GB"/>
        </w:rPr>
      </w:pPr>
      <w:r w:rsidRPr="00AF5E68">
        <w:rPr>
          <w:sz w:val="22"/>
          <w:szCs w:val="22"/>
        </w:rPr>
        <w:t>The existing data does not allow yet for extracting conclusions on the evolution of World averages.</w:t>
      </w:r>
    </w:p>
    <w:p w14:paraId="6FFA5139" w14:textId="77777777" w:rsidR="002154EB" w:rsidRPr="00DA76FF" w:rsidRDefault="002154EB" w:rsidP="001E30C2">
      <w:pPr>
        <w:spacing w:after="120"/>
        <w:jc w:val="both"/>
        <w:rPr>
          <w:rFonts w:asciiTheme="minorHAnsi" w:eastAsia="Times New Roman" w:hAnsiTheme="minorHAnsi" w:cstheme="minorHAnsi"/>
          <w:b/>
          <w:bCs/>
          <w:color w:val="000000"/>
          <w:sz w:val="22"/>
          <w:szCs w:val="22"/>
          <w:lang w:eastAsia="en-GB"/>
        </w:rPr>
      </w:pPr>
      <w:r w:rsidRPr="00DA76FF">
        <w:rPr>
          <w:b/>
          <w:bCs/>
          <w:sz w:val="22"/>
          <w:szCs w:val="18"/>
        </w:rPr>
        <w:t>Target 1.6: Improved cybersecurity preparedness of countries</w:t>
      </w:r>
    </w:p>
    <w:p w14:paraId="710AF296" w14:textId="77777777" w:rsidR="002154EB" w:rsidRPr="00DA76FF" w:rsidRDefault="002154EB" w:rsidP="001E30C2">
      <w:pPr>
        <w:spacing w:after="120"/>
        <w:jc w:val="both"/>
        <w:rPr>
          <w:b/>
          <w:bCs/>
          <w:sz w:val="22"/>
          <w:szCs w:val="18"/>
        </w:rPr>
      </w:pPr>
      <w:r w:rsidRPr="00DA76FF">
        <w:rPr>
          <w:rFonts w:eastAsia="Calibri"/>
          <w:sz w:val="22"/>
          <w:szCs w:val="22"/>
        </w:rPr>
        <w:t>In terms of enhancing cybersecurity preparedness among countries, notable progress has been observed. By 2024, 132 countries had established Computer Incident Response Teams (CIRTs), an increase from 109 in 2020. Additionally, 127 countries had implemented National Cybersecurity Strategies and Action Plans, up from 107 in 2020.</w:t>
      </w:r>
    </w:p>
    <w:p w14:paraId="4C096080" w14:textId="77777777" w:rsidR="002154EB" w:rsidRPr="00DA76FF" w:rsidRDefault="002154EB" w:rsidP="001E30C2">
      <w:pPr>
        <w:spacing w:after="120"/>
        <w:jc w:val="both"/>
        <w:rPr>
          <w:rFonts w:asciiTheme="minorHAnsi" w:hAnsiTheme="minorHAnsi" w:cstheme="minorHAnsi"/>
          <w:b/>
          <w:bCs/>
          <w:sz w:val="22"/>
          <w:szCs w:val="22"/>
        </w:rPr>
      </w:pPr>
      <w:r w:rsidRPr="00DA76FF">
        <w:rPr>
          <w:b/>
          <w:bCs/>
          <w:sz w:val="22"/>
          <w:szCs w:val="18"/>
        </w:rPr>
        <w:t xml:space="preserve">Target </w:t>
      </w:r>
      <w:r w:rsidRPr="00DA76FF">
        <w:rPr>
          <w:rFonts w:asciiTheme="minorHAnsi" w:eastAsia="Times New Roman" w:hAnsiTheme="minorHAnsi" w:cstheme="minorHAnsi"/>
          <w:b/>
          <w:bCs/>
          <w:color w:val="000000"/>
          <w:sz w:val="22"/>
          <w:szCs w:val="22"/>
          <w:lang w:eastAsia="en-GB"/>
        </w:rPr>
        <w:t>1.7: Universal access to the Internet by all individuals</w:t>
      </w:r>
    </w:p>
    <w:p w14:paraId="73F5BC9F" w14:textId="1D2DC156" w:rsidR="002154EB" w:rsidRPr="00DA76FF" w:rsidRDefault="002154EB" w:rsidP="001E30C2">
      <w:pPr>
        <w:spacing w:after="120"/>
        <w:jc w:val="both"/>
        <w:rPr>
          <w:sz w:val="22"/>
          <w:szCs w:val="18"/>
        </w:rPr>
      </w:pPr>
      <w:r w:rsidRPr="00DA76FF">
        <w:rPr>
          <w:sz w:val="22"/>
          <w:szCs w:val="18"/>
        </w:rPr>
        <w:t xml:space="preserve">In 2024, active mobile broadband subscriptions worldwide reached 94.6 per 100 inhabitants, demonstrating consistent growth. High-income countries achieved nearly universal coverage with a rate of 152.7 </w:t>
      </w:r>
      <w:bookmarkStart w:id="23" w:name="_Hlk193703673"/>
      <w:r w:rsidRPr="00DA76FF">
        <w:rPr>
          <w:sz w:val="22"/>
          <w:szCs w:val="18"/>
        </w:rPr>
        <w:t>per cent</w:t>
      </w:r>
      <w:bookmarkEnd w:id="23"/>
      <w:r w:rsidRPr="00DA76FF">
        <w:rPr>
          <w:sz w:val="22"/>
          <w:szCs w:val="18"/>
        </w:rPr>
        <w:t>, whereas low-income countries, although experiencing rapid growth, reached only 40.1 per cent. This persistent digital divide highlights the continuing challenge of achieving universal connectivity.</w:t>
      </w:r>
    </w:p>
    <w:p w14:paraId="07864BD2" w14:textId="77777777" w:rsidR="00A25266" w:rsidRDefault="00A25266" w:rsidP="001E30C2">
      <w:pPr>
        <w:keepNext/>
        <w:keepLines/>
        <w:spacing w:after="120"/>
        <w:jc w:val="center"/>
        <w:rPr>
          <w:sz w:val="22"/>
          <w:szCs w:val="18"/>
          <w:u w:val="single"/>
        </w:rPr>
      </w:pPr>
    </w:p>
    <w:p w14:paraId="3552219D" w14:textId="1BBEF33E" w:rsidR="002154EB" w:rsidRPr="00DA76FF" w:rsidRDefault="002154EB" w:rsidP="001E30C2">
      <w:pPr>
        <w:keepNext/>
        <w:keepLines/>
        <w:spacing w:after="120"/>
        <w:jc w:val="center"/>
        <w:rPr>
          <w:sz w:val="22"/>
          <w:szCs w:val="18"/>
          <w:u w:val="single"/>
        </w:rPr>
      </w:pPr>
      <w:r w:rsidRPr="00DA76FF">
        <w:rPr>
          <w:sz w:val="22"/>
          <w:szCs w:val="18"/>
          <w:u w:val="single"/>
        </w:rPr>
        <w:t xml:space="preserve">Percentage of individuals using the Internet by rural/urban; aggregated by level of development </w:t>
      </w:r>
      <w:r w:rsidR="0043796A" w:rsidRPr="00DA76FF">
        <w:rPr>
          <w:sz w:val="20"/>
          <w:u w:val="single"/>
        </w:rPr>
        <w:t>20</w:t>
      </w:r>
      <w:r w:rsidR="0043796A">
        <w:rPr>
          <w:sz w:val="20"/>
          <w:u w:val="single"/>
        </w:rPr>
        <w:t>21</w:t>
      </w:r>
      <w:r w:rsidRPr="00DA76FF">
        <w:rPr>
          <w:sz w:val="20"/>
          <w:u w:val="single"/>
        </w:rPr>
        <w:t>-2024</w:t>
      </w:r>
    </w:p>
    <w:p w14:paraId="2AE055A2" w14:textId="77777777" w:rsidR="002154EB" w:rsidRPr="00DA76FF" w:rsidRDefault="002154EB" w:rsidP="001E30C2">
      <w:pPr>
        <w:keepNext/>
        <w:keepLines/>
        <w:jc w:val="center"/>
        <w:rPr>
          <w:sz w:val="22"/>
          <w:szCs w:val="18"/>
        </w:rPr>
      </w:pPr>
      <w:r w:rsidRPr="00DA76FF">
        <w:rPr>
          <w:noProof/>
          <w:sz w:val="22"/>
          <w:szCs w:val="18"/>
        </w:rPr>
        <w:drawing>
          <wp:inline distT="0" distB="0" distL="0" distR="0" wp14:anchorId="18D42E9B" wp14:editId="61B0DD0D">
            <wp:extent cx="5881029" cy="3152775"/>
            <wp:effectExtent l="0" t="0" r="5715" b="0"/>
            <wp:docPr id="66232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5424" name="Picture 1"/>
                    <pic:cNvPicPr/>
                  </pic:nvPicPr>
                  <pic:blipFill>
                    <a:blip r:embed="rId51">
                      <a:extLst>
                        <a:ext uri="{96DAC541-7B7A-43D3-8B79-37D633B846F1}">
                          <asvg:svgBlip xmlns:asvg="http://schemas.microsoft.com/office/drawing/2016/SVG/main" r:embed="rId52"/>
                        </a:ext>
                      </a:extLst>
                    </a:blip>
                    <a:stretch>
                      <a:fillRect/>
                    </a:stretch>
                  </pic:blipFill>
                  <pic:spPr>
                    <a:xfrm>
                      <a:off x="0" y="0"/>
                      <a:ext cx="5881029" cy="3152775"/>
                    </a:xfrm>
                    <a:prstGeom prst="rect">
                      <a:avLst/>
                    </a:prstGeom>
                  </pic:spPr>
                </pic:pic>
              </a:graphicData>
            </a:graphic>
          </wp:inline>
        </w:drawing>
      </w:r>
    </w:p>
    <w:p w14:paraId="7B41FA45" w14:textId="41669C10" w:rsidR="002154EB" w:rsidRPr="00DA76FF" w:rsidRDefault="0043796A" w:rsidP="000D6814">
      <w:pPr>
        <w:pStyle w:val="NoSpacing"/>
        <w:spacing w:before="120" w:after="120"/>
        <w:jc w:val="center"/>
      </w:pPr>
      <w:r>
        <w:rPr>
          <w:sz w:val="16"/>
          <w:szCs w:val="16"/>
        </w:rPr>
        <w:t>Adapted f</w:t>
      </w:r>
      <w:r w:rsidR="002154EB" w:rsidRPr="00DA76FF">
        <w:rPr>
          <w:sz w:val="16"/>
          <w:szCs w:val="16"/>
        </w:rPr>
        <w:t xml:space="preserve">rom </w:t>
      </w:r>
      <w:r w:rsidR="002154EB" w:rsidRPr="00DA76FF">
        <w:rPr>
          <w:b/>
          <w:bCs/>
          <w:sz w:val="16"/>
          <w:szCs w:val="16"/>
        </w:rPr>
        <w:t>Facts &amp; Figures</w:t>
      </w:r>
      <w:r w:rsidR="002154EB" w:rsidRPr="00DA76FF">
        <w:rPr>
          <w:sz w:val="16"/>
          <w:szCs w:val="16"/>
        </w:rPr>
        <w:t>. See</w:t>
      </w:r>
      <w:r w:rsidR="001819E7">
        <w:rPr>
          <w:sz w:val="16"/>
          <w:szCs w:val="16"/>
        </w:rPr>
        <w:t xml:space="preserve"> </w:t>
      </w:r>
      <w:hyperlink r:id="rId53" w:anchor="chart-1" w:history="1">
        <w:r w:rsidR="001819E7" w:rsidRPr="001819E7">
          <w:rPr>
            <w:rStyle w:val="Hyperlink"/>
            <w:sz w:val="16"/>
            <w:szCs w:val="16"/>
          </w:rPr>
          <w:t>interactive chart:</w:t>
        </w:r>
        <w:r w:rsidR="002154EB" w:rsidRPr="001819E7">
          <w:rPr>
            <w:rStyle w:val="Hyperlink"/>
            <w:sz w:val="16"/>
            <w:szCs w:val="16"/>
          </w:rPr>
          <w:t xml:space="preserve"> Internet use</w:t>
        </w:r>
      </w:hyperlink>
      <w:r w:rsidR="002154EB" w:rsidRPr="00DA76FF">
        <w:rPr>
          <w:sz w:val="16"/>
          <w:szCs w:val="16"/>
        </w:rPr>
        <w:t xml:space="preserve"> </w:t>
      </w:r>
    </w:p>
    <w:p w14:paraId="0C11CB44" w14:textId="4346575E" w:rsidR="00783361" w:rsidRPr="00DA76FF" w:rsidRDefault="00FF2261" w:rsidP="00A25266">
      <w:pPr>
        <w:pStyle w:val="Heading2"/>
        <w:tabs>
          <w:tab w:val="clear" w:pos="567"/>
        </w:tabs>
        <w:spacing w:before="480"/>
      </w:pPr>
      <w:bookmarkStart w:id="24" w:name="_Toc198569350"/>
      <w:r w:rsidRPr="00DA76FF">
        <w:t>3</w:t>
      </w:r>
      <w:r w:rsidR="00B4366F" w:rsidRPr="00DA76FF">
        <w:t>.2</w:t>
      </w:r>
      <w:r w:rsidR="000C2FD8" w:rsidRPr="00DA76FF">
        <w:tab/>
      </w:r>
      <w:r w:rsidR="00783361" w:rsidRPr="00DA76FF">
        <w:t>Sustainable Digital Transformation</w:t>
      </w:r>
      <w:bookmarkEnd w:id="24"/>
    </w:p>
    <w:p w14:paraId="0143C833" w14:textId="229DE532" w:rsidR="00C455D4" w:rsidRDefault="00C455D4" w:rsidP="001E30C2">
      <w:pPr>
        <w:pStyle w:val="NoSpacing"/>
        <w:spacing w:before="120" w:after="120"/>
        <w:jc w:val="both"/>
      </w:pPr>
      <w:r>
        <w:t xml:space="preserve">ITU’s digital transformation </w:t>
      </w:r>
      <w:r w:rsidR="00DE7C3F">
        <w:t xml:space="preserve">push </w:t>
      </w:r>
      <w:r>
        <w:t xml:space="preserve">includes specific targets to bridge all digital gaps, boost digital skills, </w:t>
      </w:r>
      <w:r w:rsidR="00D42390">
        <w:t xml:space="preserve">enhance online services (both business and governmental), and </w:t>
      </w:r>
      <w:r w:rsidR="004242E9">
        <w:t>strengthen climate and environmental action through digital technologies.</w:t>
      </w:r>
    </w:p>
    <w:p w14:paraId="61C3C5AD" w14:textId="7057606E" w:rsidR="00C20980" w:rsidRPr="00DA76FF" w:rsidRDefault="00C20980" w:rsidP="001E30C2">
      <w:pPr>
        <w:pStyle w:val="NoSpacing"/>
        <w:spacing w:before="120" w:after="120"/>
        <w:jc w:val="both"/>
        <w:rPr>
          <w:b/>
          <w:bCs/>
          <w:sz w:val="18"/>
          <w:szCs w:val="18"/>
        </w:rPr>
      </w:pPr>
      <w:r w:rsidRPr="00DA76FF">
        <w:rPr>
          <w:b/>
          <w:bCs/>
        </w:rPr>
        <w:t>Target 2.1: All digital gaps to be bridged (particular</w:t>
      </w:r>
      <w:r w:rsidR="007D4CC0">
        <w:rPr>
          <w:b/>
          <w:bCs/>
        </w:rPr>
        <w:t>ly</w:t>
      </w:r>
      <w:r w:rsidRPr="00DA76FF">
        <w:rPr>
          <w:b/>
          <w:bCs/>
        </w:rPr>
        <w:t xml:space="preserve"> gender, age and urban/rural)</w:t>
      </w:r>
    </w:p>
    <w:p w14:paraId="04203A90" w14:textId="759EA9E9" w:rsidR="00C20980" w:rsidRPr="00DA76FF" w:rsidRDefault="00C20980" w:rsidP="001E30C2">
      <w:pPr>
        <w:pStyle w:val="NoSpacing"/>
        <w:spacing w:before="120" w:after="120"/>
        <w:jc w:val="both"/>
      </w:pPr>
      <w:r w:rsidRPr="00DA76FF">
        <w:t xml:space="preserve">This target, aimed at bridging all digital gaps, shows uneven progress depending on the chosen criteria for aggregation, such as gender, age, and rural versus urban distinctions. This indicates that advancements in digital </w:t>
      </w:r>
      <w:r w:rsidR="003523F0">
        <w:t>access</w:t>
      </w:r>
      <w:r w:rsidRPr="00DA76FF">
        <w:t xml:space="preserve"> are not uniform, highlighting the need for targeted strategies to address specific gaps. For example, in 2024, 70 per cent of men and 65 per cent of women globally used the Internet, resulting in nearly 189 million more men online than women. Gender parity is considered achieved when the gender parity score—calculated as the female percentage divided by the male percentage—falls between 0.98 and 1.02. Similar to overall Internet usage, gender parity closely correlates with the level of development</w:t>
      </w:r>
      <w:r w:rsidR="007560E1">
        <w:t xml:space="preserve"> (see </w:t>
      </w:r>
      <w:hyperlink r:id="rId54" w:history="1">
        <w:r w:rsidR="007560E1" w:rsidRPr="007560E1">
          <w:rPr>
            <w:rStyle w:val="Hyperlink"/>
          </w:rPr>
          <w:t>Facts&amp;Figures 2024</w:t>
        </w:r>
      </w:hyperlink>
      <w:r w:rsidR="007560E1">
        <w:t>)</w:t>
      </w:r>
      <w:r w:rsidRPr="00DA76F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20980" w:rsidRPr="00DA76FF" w14:paraId="3DD03D92" w14:textId="77777777">
        <w:trPr>
          <w:cantSplit/>
        </w:trPr>
        <w:tc>
          <w:tcPr>
            <w:tcW w:w="9071" w:type="dxa"/>
          </w:tcPr>
          <w:p w14:paraId="0D395DED" w14:textId="77777777" w:rsidR="00A25266" w:rsidRDefault="00A25266" w:rsidP="001E30C2">
            <w:pPr>
              <w:spacing w:after="120"/>
              <w:jc w:val="center"/>
              <w:rPr>
                <w:sz w:val="22"/>
                <w:szCs w:val="18"/>
                <w:u w:val="single"/>
              </w:rPr>
            </w:pPr>
          </w:p>
          <w:p w14:paraId="05078279" w14:textId="461776E7" w:rsidR="00C20980" w:rsidRPr="00DA76FF" w:rsidRDefault="00C20980" w:rsidP="001E30C2">
            <w:pPr>
              <w:spacing w:after="120"/>
              <w:jc w:val="center"/>
              <w:rPr>
                <w:sz w:val="22"/>
              </w:rPr>
            </w:pPr>
            <w:r w:rsidRPr="2C0EAE0F">
              <w:rPr>
                <w:sz w:val="22"/>
                <w:u w:val="single"/>
              </w:rPr>
              <w:t xml:space="preserve">Percentage of individuals using the Internet by gender; aggregated by </w:t>
            </w:r>
            <w:r w:rsidRPr="00DA76FF">
              <w:rPr>
                <w:sz w:val="20"/>
                <w:szCs w:val="20"/>
                <w:u w:val="single"/>
              </w:rPr>
              <w:t xml:space="preserve">level of development </w:t>
            </w:r>
            <w:r w:rsidR="00E26DD3">
              <w:br/>
            </w:r>
            <w:r w:rsidRPr="00DA76FF">
              <w:rPr>
                <w:sz w:val="20"/>
                <w:szCs w:val="20"/>
                <w:u w:val="single"/>
              </w:rPr>
              <w:t>2019-2024</w:t>
            </w:r>
          </w:p>
          <w:p w14:paraId="0C250B8A" w14:textId="77777777" w:rsidR="00C20980" w:rsidRPr="00DA76FF" w:rsidRDefault="00C20980">
            <w:pPr>
              <w:jc w:val="center"/>
              <w:rPr>
                <w:sz w:val="22"/>
                <w:szCs w:val="18"/>
              </w:rPr>
            </w:pPr>
            <w:r w:rsidRPr="00DA76FF">
              <w:rPr>
                <w:noProof/>
                <w:sz w:val="22"/>
                <w:szCs w:val="18"/>
              </w:rPr>
              <w:drawing>
                <wp:inline distT="0" distB="0" distL="0" distR="0" wp14:anchorId="639B3674" wp14:editId="1AD66C3C">
                  <wp:extent cx="5010351" cy="2676525"/>
                  <wp:effectExtent l="0" t="0" r="0" b="0"/>
                  <wp:docPr id="45595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56390" name="Picture 1"/>
                          <pic:cNvPicPr/>
                        </pic:nvPicPr>
                        <pic:blipFill>
                          <a:blip r:embed="rId55">
                            <a:extLst>
                              <a:ext uri="{96DAC541-7B7A-43D3-8B79-37D633B846F1}">
                                <asvg:svgBlip xmlns:asvg="http://schemas.microsoft.com/office/drawing/2016/SVG/main" r:embed="rId56"/>
                              </a:ext>
                            </a:extLst>
                          </a:blip>
                          <a:stretch>
                            <a:fillRect/>
                          </a:stretch>
                        </pic:blipFill>
                        <pic:spPr>
                          <a:xfrm>
                            <a:off x="0" y="0"/>
                            <a:ext cx="5010351" cy="2676525"/>
                          </a:xfrm>
                          <a:prstGeom prst="rect">
                            <a:avLst/>
                          </a:prstGeom>
                        </pic:spPr>
                      </pic:pic>
                    </a:graphicData>
                  </a:graphic>
                </wp:inline>
              </w:drawing>
            </w:r>
          </w:p>
          <w:p w14:paraId="3FDDDF67" w14:textId="1C9A6135" w:rsidR="00C20980" w:rsidRPr="00DA76FF" w:rsidRDefault="001B5303" w:rsidP="001E30C2">
            <w:pPr>
              <w:pStyle w:val="NoSpacing"/>
              <w:spacing w:before="120" w:after="120"/>
              <w:jc w:val="center"/>
            </w:pPr>
            <w:r>
              <w:rPr>
                <w:sz w:val="16"/>
                <w:szCs w:val="16"/>
              </w:rPr>
              <w:t>Adapted f</w:t>
            </w:r>
            <w:r w:rsidR="00C20980" w:rsidRPr="00DA76FF">
              <w:rPr>
                <w:sz w:val="16"/>
                <w:szCs w:val="16"/>
              </w:rPr>
              <w:t xml:space="preserve">rom </w:t>
            </w:r>
            <w:r w:rsidR="00C20980" w:rsidRPr="00DA76FF">
              <w:rPr>
                <w:b/>
                <w:bCs/>
                <w:sz w:val="16"/>
                <w:szCs w:val="16"/>
              </w:rPr>
              <w:t>Facts &amp; Figures</w:t>
            </w:r>
            <w:r w:rsidR="00C20980" w:rsidRPr="00DA76FF">
              <w:rPr>
                <w:sz w:val="16"/>
                <w:szCs w:val="16"/>
              </w:rPr>
              <w:t xml:space="preserve">. See </w:t>
            </w:r>
            <w:hyperlink r:id="rId57" w:anchor="chart-3" w:history="1">
              <w:r w:rsidR="001819E7" w:rsidRPr="001819E7">
                <w:rPr>
                  <w:rStyle w:val="Hyperlink"/>
                  <w:sz w:val="16"/>
                  <w:szCs w:val="16"/>
                  <w:lang w:eastAsia="zh-CN"/>
                </w:rPr>
                <w:t>i</w:t>
              </w:r>
              <w:r w:rsidR="001819E7" w:rsidRPr="001F5216">
                <w:rPr>
                  <w:rStyle w:val="Hyperlink"/>
                  <w:sz w:val="16"/>
                  <w:szCs w:val="16"/>
                </w:rPr>
                <w:t>nteractive chart:</w:t>
              </w:r>
              <w:r w:rsidR="001819E7" w:rsidRPr="001819E7">
                <w:rPr>
                  <w:rStyle w:val="Hyperlink"/>
                </w:rPr>
                <w:t xml:space="preserve"> </w:t>
              </w:r>
              <w:r w:rsidR="00C20980" w:rsidRPr="001819E7">
                <w:rPr>
                  <w:rStyle w:val="Hyperlink"/>
                  <w:sz w:val="16"/>
                  <w:szCs w:val="16"/>
                </w:rPr>
                <w:t>Internet use</w:t>
              </w:r>
            </w:hyperlink>
          </w:p>
        </w:tc>
      </w:tr>
    </w:tbl>
    <w:p w14:paraId="6930B352" w14:textId="1337A599" w:rsidR="00C20980" w:rsidRPr="00DA76FF" w:rsidRDefault="00C20980" w:rsidP="000D6814">
      <w:pPr>
        <w:spacing w:before="480" w:after="120"/>
        <w:jc w:val="center"/>
        <w:rPr>
          <w:noProof/>
          <w:sz w:val="22"/>
          <w:szCs w:val="18"/>
        </w:rPr>
      </w:pPr>
      <w:r w:rsidRPr="00DA76FF">
        <w:rPr>
          <w:sz w:val="22"/>
          <w:szCs w:val="18"/>
          <w:u w:val="single"/>
        </w:rPr>
        <w:t xml:space="preserve">Percentage of individuals using the Internet by age; aggregated by </w:t>
      </w:r>
      <w:r w:rsidR="00BF0ED8" w:rsidRPr="00844B5F">
        <w:rPr>
          <w:sz w:val="22"/>
          <w:szCs w:val="22"/>
          <w:u w:val="single"/>
        </w:rPr>
        <w:t>region</w:t>
      </w:r>
      <w:r w:rsidR="00BF0ED8">
        <w:rPr>
          <w:sz w:val="20"/>
          <w:u w:val="single"/>
        </w:rPr>
        <w:t xml:space="preserve"> </w:t>
      </w:r>
      <w:r w:rsidRPr="00DA76FF">
        <w:rPr>
          <w:sz w:val="20"/>
          <w:u w:val="single"/>
        </w:rPr>
        <w:t>20</w:t>
      </w:r>
      <w:r w:rsidR="00F818B0">
        <w:rPr>
          <w:sz w:val="20"/>
          <w:u w:val="single"/>
        </w:rPr>
        <w:t>21</w:t>
      </w:r>
      <w:r w:rsidRPr="00DA76FF">
        <w:rPr>
          <w:sz w:val="20"/>
          <w:u w:val="single"/>
        </w:rPr>
        <w:t>-</w:t>
      </w:r>
      <w:r w:rsidR="001E30C2">
        <w:rPr>
          <w:sz w:val="20"/>
          <w:u w:val="single"/>
        </w:rPr>
        <w:t>20</w:t>
      </w:r>
      <w:r w:rsidRPr="00DA76FF">
        <w:rPr>
          <w:sz w:val="20"/>
          <w:u w:val="single"/>
        </w:rPr>
        <w:t>24</w:t>
      </w:r>
    </w:p>
    <w:p w14:paraId="7A97BB81" w14:textId="0AC80AC0" w:rsidR="00C20980" w:rsidRPr="00DA76FF" w:rsidRDefault="00C20980" w:rsidP="00C20980">
      <w:pPr>
        <w:jc w:val="center"/>
        <w:rPr>
          <w:sz w:val="22"/>
          <w:szCs w:val="18"/>
        </w:rPr>
      </w:pPr>
      <w:r w:rsidRPr="00DA76FF">
        <w:rPr>
          <w:noProof/>
          <w:sz w:val="22"/>
          <w:szCs w:val="18"/>
        </w:rPr>
        <w:drawing>
          <wp:inline distT="0" distB="0" distL="0" distR="0" wp14:anchorId="37510C04" wp14:editId="1363D286">
            <wp:extent cx="5045720" cy="2752725"/>
            <wp:effectExtent l="0" t="0" r="2540" b="0"/>
            <wp:docPr id="105079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99283" name="Picture 1"/>
                    <pic:cNvPicPr/>
                  </pic:nvPicPr>
                  <pic:blipFill>
                    <a:blip r:embed="rId58">
                      <a:extLst>
                        <a:ext uri="{96DAC541-7B7A-43D3-8B79-37D633B846F1}">
                          <asvg:svgBlip xmlns:asvg="http://schemas.microsoft.com/office/drawing/2016/SVG/main" r:embed="rId59"/>
                        </a:ext>
                      </a:extLst>
                    </a:blip>
                    <a:stretch>
                      <a:fillRect/>
                    </a:stretch>
                  </pic:blipFill>
                  <pic:spPr>
                    <a:xfrm>
                      <a:off x="0" y="0"/>
                      <a:ext cx="5045720" cy="2752725"/>
                    </a:xfrm>
                    <a:prstGeom prst="rect">
                      <a:avLst/>
                    </a:prstGeom>
                  </pic:spPr>
                </pic:pic>
              </a:graphicData>
            </a:graphic>
          </wp:inline>
        </w:drawing>
      </w:r>
    </w:p>
    <w:p w14:paraId="0C5C36EB" w14:textId="0963F8BF" w:rsidR="00C20980" w:rsidRPr="00DA76FF" w:rsidRDefault="00325129" w:rsidP="000D6814">
      <w:pPr>
        <w:pStyle w:val="NoSpacing"/>
        <w:spacing w:before="120" w:after="120"/>
        <w:jc w:val="center"/>
      </w:pPr>
      <w:r>
        <w:rPr>
          <w:sz w:val="16"/>
          <w:szCs w:val="16"/>
        </w:rPr>
        <w:t>Adapted f</w:t>
      </w:r>
      <w:r w:rsidRPr="00DA76FF">
        <w:rPr>
          <w:sz w:val="16"/>
          <w:szCs w:val="16"/>
        </w:rPr>
        <w:t xml:space="preserve">rom </w:t>
      </w:r>
      <w:r w:rsidR="00C20980" w:rsidRPr="00DA76FF">
        <w:rPr>
          <w:sz w:val="16"/>
          <w:szCs w:val="16"/>
        </w:rPr>
        <w:t xml:space="preserve">rom </w:t>
      </w:r>
      <w:r w:rsidR="00C20980" w:rsidRPr="00DA76FF">
        <w:rPr>
          <w:b/>
          <w:bCs/>
          <w:sz w:val="16"/>
          <w:szCs w:val="16"/>
        </w:rPr>
        <w:t>Facts &amp; Figures</w:t>
      </w:r>
      <w:r w:rsidR="00C20980" w:rsidRPr="00DA76FF">
        <w:rPr>
          <w:sz w:val="16"/>
          <w:szCs w:val="16"/>
        </w:rPr>
        <w:t>. See</w:t>
      </w:r>
      <w:r w:rsidR="001819E7">
        <w:rPr>
          <w:sz w:val="16"/>
          <w:szCs w:val="16"/>
        </w:rPr>
        <w:t xml:space="preserve"> </w:t>
      </w:r>
      <w:hyperlink r:id="rId60" w:anchor="chart-1&quot;" w:history="1">
        <w:r w:rsidR="001819E7" w:rsidRPr="001819E7">
          <w:rPr>
            <w:rStyle w:val="Hyperlink"/>
            <w:sz w:val="16"/>
            <w:szCs w:val="16"/>
          </w:rPr>
          <w:t>interactive chart:</w:t>
        </w:r>
        <w:r w:rsidR="00C20980" w:rsidRPr="001819E7">
          <w:rPr>
            <w:rStyle w:val="Hyperlink"/>
            <w:sz w:val="16"/>
            <w:szCs w:val="16"/>
          </w:rPr>
          <w:t xml:space="preserve"> Internet use</w:t>
        </w:r>
      </w:hyperlink>
      <w:r w:rsidR="00C20980" w:rsidRPr="00DA76FF">
        <w:rPr>
          <w:sz w:val="16"/>
          <w:szCs w:val="16"/>
        </w:rPr>
        <w:t xml:space="preserve"> </w:t>
      </w:r>
    </w:p>
    <w:p w14:paraId="32CAE139" w14:textId="77777777" w:rsidR="00C20980" w:rsidRPr="00DA76FF" w:rsidRDefault="00C20980" w:rsidP="001E30C2">
      <w:pPr>
        <w:pStyle w:val="NoSpacing"/>
        <w:spacing w:before="360" w:after="120"/>
        <w:jc w:val="both"/>
      </w:pPr>
      <w:r w:rsidRPr="00DA76FF">
        <w:t>Recently, the global trend has moved gradually toward gender parity, with the gender parity score rising from 0.91 in 2019 to 0.94 in 2024. This improvement is evident across various regions and country groups, except for Least Developed Countries (LDCs), where gender parity has declined from 0.74 in 2019 to 0.70 in 2024.</w:t>
      </w:r>
    </w:p>
    <w:p w14:paraId="260A3656" w14:textId="4456C1F2" w:rsidR="00C20980" w:rsidRPr="00DA76FF" w:rsidRDefault="00C20980" w:rsidP="001E30C2">
      <w:pPr>
        <w:pStyle w:val="NoSpacing"/>
        <w:spacing w:before="120" w:after="120"/>
        <w:jc w:val="both"/>
      </w:pPr>
      <w:r w:rsidRPr="00DA76FF">
        <w:t>In the Small Island Developing States (SIDS) group, the gender parity score has decreased slightly, falling from just above one</w:t>
      </w:r>
      <w:r w:rsidR="007468BC" w:rsidRPr="00DA76FF">
        <w:t xml:space="preserve"> </w:t>
      </w:r>
      <w:r w:rsidRPr="00DA76FF">
        <w:t>—indicating that more women than men were using the Internet—</w:t>
      </w:r>
      <w:r w:rsidR="007468BC" w:rsidRPr="00DA76FF">
        <w:t xml:space="preserve"> </w:t>
      </w:r>
      <w:r w:rsidRPr="00DA76FF">
        <w:t>to exactly one in 2024, reflecting perfect gender parity. Notably, the SIDS represent a positive exception to the typical correlation between gender parity and overall Internet use, as they have achieved gender parity despite less than two-thirds of their population having Internet access.</w:t>
      </w:r>
    </w:p>
    <w:p w14:paraId="752F3F42" w14:textId="0191EAB7" w:rsidR="00C20980" w:rsidRPr="00DA76FF" w:rsidRDefault="00C20980" w:rsidP="001E30C2">
      <w:pPr>
        <w:pStyle w:val="NoSpacing"/>
        <w:keepNext/>
        <w:keepLines/>
        <w:spacing w:before="120" w:after="120"/>
        <w:jc w:val="both"/>
      </w:pPr>
      <w:r w:rsidRPr="00DA76FF">
        <w:lastRenderedPageBreak/>
        <w:t>Among the</w:t>
      </w:r>
      <w:r w:rsidR="00AB700B" w:rsidRPr="00DA76FF">
        <w:t xml:space="preserve"> six</w:t>
      </w:r>
      <w:r w:rsidRPr="00DA76FF">
        <w:t xml:space="preserve"> ITU </w:t>
      </w:r>
      <w:r w:rsidR="00AB700B" w:rsidRPr="00DA76FF">
        <w:t xml:space="preserve">world </w:t>
      </w:r>
      <w:r w:rsidRPr="00DA76FF">
        <w:t xml:space="preserve">regions, gender parity has been achieved in the Americas, Europe, and the </w:t>
      </w:r>
      <w:r w:rsidR="00A23DF7">
        <w:t>Commonwealth of Independent States (</w:t>
      </w:r>
      <w:r w:rsidRPr="00DA76FF">
        <w:t>CIS</w:t>
      </w:r>
      <w:r w:rsidR="00A23DF7">
        <w:t>)</w:t>
      </w:r>
      <w:r w:rsidRPr="00DA76FF">
        <w:t xml:space="preserve"> region. The Asia-Pacific region is making rapid progress, with its gender parity score increasing from 0.89 in 2019 to 0.95 in 2024. Conversely, the Arab States have seen no improvement, maintaining a score of 0.86 during this period. While Africa is making progress, it still lags significantly behind the other regions.</w:t>
      </w:r>
    </w:p>
    <w:p w14:paraId="3B3FD3D3" w14:textId="77777777" w:rsidR="00C20980" w:rsidRPr="00DA76FF" w:rsidRDefault="00C20980" w:rsidP="001E30C2">
      <w:pPr>
        <w:pStyle w:val="NoSpacing"/>
        <w:spacing w:before="120" w:after="120"/>
        <w:jc w:val="both"/>
      </w:pPr>
      <w:r w:rsidRPr="00DA76FF">
        <w:t>In terms of Internet usage by age, 79 per cent of individuals aged 15 to 24 are online, which is 13 percentage points higher than the overall population's usage rate of 66 per cent. This disparity exists across all regions but has been gradually decreasing over the past four years.</w:t>
      </w:r>
    </w:p>
    <w:p w14:paraId="37A9470F" w14:textId="5A9A9C24" w:rsidR="00C20980" w:rsidRPr="00DA76FF" w:rsidRDefault="00C20980" w:rsidP="001E30C2">
      <w:pPr>
        <w:pStyle w:val="NoSpacing"/>
        <w:spacing w:before="120" w:after="120"/>
        <w:jc w:val="both"/>
      </w:pPr>
      <w:r w:rsidRPr="00DA76FF">
        <w:t>In low-income countries, people between 15 to 24-year-old are 1.9 times more likely to use the Internet than other individuals. While this is the largest gap of any income group, it marks a slight improvement from 2021, when the figure was 2.2.</w:t>
      </w:r>
    </w:p>
    <w:p w14:paraId="528F88B6" w14:textId="5160B05C" w:rsidR="00C20980" w:rsidRPr="00DA76FF" w:rsidRDefault="00C20980" w:rsidP="001E30C2">
      <w:pPr>
        <w:pStyle w:val="NoSpacing"/>
        <w:spacing w:before="120" w:after="120"/>
        <w:jc w:val="both"/>
      </w:pPr>
      <w:r w:rsidRPr="00DA76FF">
        <w:t>Significant disparities in Internet usage persist between urban and rural areas. In 2024, 83 per cent of urban dwellers are online, while less than half of the rural population (48 per cent) has Internet access. Among the 2.6</w:t>
      </w:r>
      <w:r w:rsidR="00E26DD3">
        <w:t> </w:t>
      </w:r>
      <w:r w:rsidRPr="00DA76FF">
        <w:t>billion people not using the Internet, 1.8</w:t>
      </w:r>
      <w:r w:rsidR="00E26DD3">
        <w:t> </w:t>
      </w:r>
      <w:r w:rsidRPr="00DA76FF">
        <w:t>billion reside in rural areas, compared to 800</w:t>
      </w:r>
      <w:r w:rsidR="00E26DD3">
        <w:t> </w:t>
      </w:r>
      <w:r w:rsidRPr="00DA76FF">
        <w:t>million in urban areas.</w:t>
      </w:r>
    </w:p>
    <w:p w14:paraId="2FF70DFD" w14:textId="77777777" w:rsidR="00C20980" w:rsidRPr="00DA76FF" w:rsidRDefault="00C20980" w:rsidP="001E30C2">
      <w:pPr>
        <w:pStyle w:val="NoSpacing"/>
        <w:spacing w:before="120" w:after="120"/>
        <w:jc w:val="both"/>
      </w:pPr>
      <w:r w:rsidRPr="00DA76FF">
        <w:t>Over the past four years, the urban-rural gap in Internet usage, quantified as the ratio of urban to rural Internet users, has remained steady at 1.7. This gap is smallest in regions with high Internet penetration, such as Europe, where the ratio stands at just 1.1, while in Africa, it is significantly wider at 2.5. Overall, progress in narrowing this gap has been modest across all regions, with the Asia-Pacific region experiencing a slight increase in the gap from 1.6 to 1.7.</w:t>
      </w:r>
    </w:p>
    <w:p w14:paraId="41E0144F" w14:textId="7938302C" w:rsidR="00C20980" w:rsidRPr="00DA76FF" w:rsidRDefault="00C20980" w:rsidP="001E30C2">
      <w:pPr>
        <w:pStyle w:val="NoSpacing"/>
        <w:spacing w:before="120" w:after="120"/>
        <w:jc w:val="both"/>
      </w:pPr>
      <w:r w:rsidRPr="00E26DD3">
        <w:rPr>
          <w:spacing w:val="-2"/>
        </w:rPr>
        <w:t>On the other hand, in high-income countries the gap is almost non-existent, with an average ratio of 1.1.</w:t>
      </w:r>
      <w:r w:rsidRPr="00DA76FF">
        <w:t xml:space="preserve"> In low-income countries, by contrast, it remains a potent force, with just one rural dweller in six (16</w:t>
      </w:r>
      <w:r w:rsidR="00E26DD3">
        <w:t> </w:t>
      </w:r>
      <w:r w:rsidRPr="00DA76FF">
        <w:t>percent) using the Internet, barely one-third the figure for urban dwellers.</w:t>
      </w:r>
    </w:p>
    <w:p w14:paraId="2E973EB5" w14:textId="77777777" w:rsidR="00C20980" w:rsidRPr="00DA76FF" w:rsidRDefault="00C20980" w:rsidP="001E30C2">
      <w:pPr>
        <w:pStyle w:val="NoSpacing"/>
        <w:spacing w:before="120" w:after="120"/>
        <w:jc w:val="both"/>
        <w:rPr>
          <w:b/>
          <w:bCs/>
        </w:rPr>
      </w:pPr>
      <w:r w:rsidRPr="00DA76FF">
        <w:rPr>
          <w:b/>
          <w:bCs/>
        </w:rPr>
        <w:t>Target 2.2: Majority of individuals to have digital skills</w:t>
      </w:r>
    </w:p>
    <w:p w14:paraId="7B4D65F7" w14:textId="2E4DBA2A" w:rsidR="00C20980" w:rsidRPr="00DA76FF" w:rsidRDefault="00C20980" w:rsidP="001E30C2">
      <w:pPr>
        <w:pStyle w:val="NoSpacing"/>
        <w:spacing w:before="120" w:after="120"/>
        <w:jc w:val="both"/>
      </w:pPr>
      <w:r w:rsidRPr="00DA76FF">
        <w:t xml:space="preserve">Digital skills: While the importance of digital skills in leveraging </w:t>
      </w:r>
      <w:r w:rsidR="00D13963">
        <w:t>information and communication technologies (</w:t>
      </w:r>
      <w:r w:rsidRPr="00DA76FF">
        <w:t>ICTs</w:t>
      </w:r>
      <w:r w:rsidR="00D13963">
        <w:t>)</w:t>
      </w:r>
      <w:r w:rsidRPr="00DA76FF">
        <w:t xml:space="preserve"> for economic prosperity and social well-being is well-documented, data remain very scant. Only 90 countries have submitted data since 2020, and rarely for all skill areas. Even fewer – just 40 countries – provide comparable data on ICT skill levels.</w:t>
      </w:r>
    </w:p>
    <w:p w14:paraId="35377C9D" w14:textId="68651037" w:rsidR="00C20980" w:rsidRPr="00DA76FF" w:rsidRDefault="00C20980" w:rsidP="001E30C2">
      <w:pPr>
        <w:pStyle w:val="NoSpacing"/>
        <w:spacing w:before="120" w:after="120"/>
        <w:jc w:val="both"/>
      </w:pPr>
      <w:r w:rsidRPr="00DA76FF">
        <w:t xml:space="preserve">Regarding progress towards Target 2.2, which aims for the </w:t>
      </w:r>
      <w:r w:rsidR="00D13963">
        <w:t>m</w:t>
      </w:r>
      <w:r w:rsidRPr="00DA76FF">
        <w:t>ajority of individuals to have digital skills, emerging trends in ICT skills have been observed despite existing gaps. Among countries that report data on communication and collaboration skills, over 80 per cent of Internet users demonstrate at least basic communication skills, irrespective of the overall Internet usage levels in their respective countries.</w:t>
      </w:r>
    </w:p>
    <w:p w14:paraId="2A4F4944" w14:textId="77777777" w:rsidR="00C20980" w:rsidRPr="00DA76FF" w:rsidRDefault="00C20980" w:rsidP="001E30C2">
      <w:pPr>
        <w:pStyle w:val="NoSpacing"/>
        <w:spacing w:before="120" w:after="120"/>
        <w:jc w:val="both"/>
        <w:rPr>
          <w:b/>
          <w:bCs/>
        </w:rPr>
      </w:pPr>
      <w:r w:rsidRPr="00DA76FF">
        <w:rPr>
          <w:b/>
          <w:bCs/>
        </w:rPr>
        <w:t>Target 2.3: Universal usage of Internet services by businesses</w:t>
      </w:r>
    </w:p>
    <w:p w14:paraId="152D442A" w14:textId="758B6767" w:rsidR="00C20980" w:rsidRDefault="00E26DD3" w:rsidP="001E30C2">
      <w:pPr>
        <w:pStyle w:val="NoSpacing"/>
        <w:spacing w:before="120" w:after="120"/>
        <w:jc w:val="both"/>
        <w:rPr>
          <w:szCs w:val="24"/>
        </w:rPr>
      </w:pPr>
      <w:r>
        <w:rPr>
          <w:szCs w:val="24"/>
        </w:rPr>
        <w:t>The United Nations Conference on Trade and Development (</w:t>
      </w:r>
      <w:r w:rsidR="00AF7A99" w:rsidRPr="002C3012">
        <w:rPr>
          <w:szCs w:val="24"/>
        </w:rPr>
        <w:t>UNCTAD</w:t>
      </w:r>
      <w:r>
        <w:rPr>
          <w:szCs w:val="24"/>
        </w:rPr>
        <w:t>)</w:t>
      </w:r>
      <w:r w:rsidR="00AF7A99" w:rsidRPr="002C3012">
        <w:rPr>
          <w:szCs w:val="24"/>
        </w:rPr>
        <w:t xml:space="preserve"> is the custodian of this indicator. However, world averages are currently unavailable due to insufficient</w:t>
      </w:r>
      <w:r w:rsidR="00AF7A99">
        <w:rPr>
          <w:szCs w:val="24"/>
        </w:rPr>
        <w:t xml:space="preserve"> data.</w:t>
      </w:r>
    </w:p>
    <w:p w14:paraId="6D6B0E78" w14:textId="7B56F0AB" w:rsidR="00BD7771" w:rsidRDefault="00C20980" w:rsidP="001E30C2">
      <w:pPr>
        <w:pStyle w:val="NoSpacing"/>
        <w:spacing w:before="120" w:after="120"/>
        <w:jc w:val="both"/>
        <w:rPr>
          <w:szCs w:val="24"/>
        </w:rPr>
      </w:pPr>
      <w:r w:rsidRPr="00DA76FF">
        <w:rPr>
          <w:b/>
          <w:bCs/>
        </w:rPr>
        <w:t>Target 2.4: Majority of individuals accessing government services onlin</w:t>
      </w:r>
      <w:r w:rsidR="00BD7771">
        <w:rPr>
          <w:b/>
          <w:bCs/>
        </w:rPr>
        <w:t>e</w:t>
      </w:r>
    </w:p>
    <w:p w14:paraId="4302B5A4" w14:textId="2248F645" w:rsidR="00C20980" w:rsidRPr="00DA76FF" w:rsidRDefault="00BD7771" w:rsidP="001E30C2">
      <w:pPr>
        <w:pStyle w:val="NoSpacing"/>
        <w:spacing w:before="120" w:after="120"/>
        <w:jc w:val="both"/>
      </w:pPr>
      <w:r>
        <w:rPr>
          <w:szCs w:val="24"/>
        </w:rPr>
        <w:t>I</w:t>
      </w:r>
      <w:r w:rsidR="00FA33FE" w:rsidRPr="003D1191">
        <w:rPr>
          <w:szCs w:val="24"/>
        </w:rPr>
        <w:t>TU</w:t>
      </w:r>
      <w:r w:rsidR="00FA33FE">
        <w:rPr>
          <w:szCs w:val="24"/>
        </w:rPr>
        <w:t xml:space="preserve"> is in charge of this indicator, but </w:t>
      </w:r>
      <w:r w:rsidR="004F0FF0">
        <w:rPr>
          <w:szCs w:val="24"/>
        </w:rPr>
        <w:t>w</w:t>
      </w:r>
      <w:r w:rsidR="00FA33FE" w:rsidRPr="003D1191">
        <w:rPr>
          <w:szCs w:val="24"/>
        </w:rPr>
        <w:t xml:space="preserve">orld averages are not </w:t>
      </w:r>
      <w:r w:rsidR="00FA33FE">
        <w:rPr>
          <w:szCs w:val="24"/>
        </w:rPr>
        <w:t xml:space="preserve">yet </w:t>
      </w:r>
      <w:r w:rsidR="00FA33FE" w:rsidRPr="003D1191">
        <w:rPr>
          <w:szCs w:val="24"/>
        </w:rPr>
        <w:t>available as there is insufficient data</w:t>
      </w:r>
      <w:r w:rsidR="00FA33FE">
        <w:rPr>
          <w:szCs w:val="24"/>
        </w:rPr>
        <w:t>.</w:t>
      </w:r>
    </w:p>
    <w:p w14:paraId="59FF2FC4" w14:textId="3272B847" w:rsidR="00C20980" w:rsidRPr="00DA76FF" w:rsidRDefault="00C20980" w:rsidP="001E30C2">
      <w:pPr>
        <w:pStyle w:val="NoSpacing"/>
        <w:spacing w:before="120" w:after="120"/>
        <w:jc w:val="both"/>
        <w:rPr>
          <w:b/>
          <w:bCs/>
        </w:rPr>
      </w:pPr>
      <w:r w:rsidRPr="00DA76FF">
        <w:rPr>
          <w:b/>
          <w:bCs/>
        </w:rPr>
        <w:t>Target 2.5: climate and environment action</w:t>
      </w:r>
    </w:p>
    <w:p w14:paraId="7ED429E7" w14:textId="217C1FBF" w:rsidR="00482A23" w:rsidRDefault="00C20980" w:rsidP="000D6814">
      <w:pPr>
        <w:pStyle w:val="NoSpacing"/>
        <w:spacing w:before="120" w:after="360"/>
        <w:jc w:val="both"/>
      </w:pPr>
      <w:r w:rsidRPr="00DA76FF">
        <w:t xml:space="preserve">This target focuses on enhancing </w:t>
      </w:r>
      <w:r w:rsidR="006D14E9">
        <w:t xml:space="preserve">the </w:t>
      </w:r>
      <w:r w:rsidRPr="00DA76FF">
        <w:t xml:space="preserve">role </w:t>
      </w:r>
      <w:r w:rsidR="006D14E9">
        <w:t xml:space="preserve">of technologies </w:t>
      </w:r>
      <w:r w:rsidRPr="00DA76FF">
        <w:t>in climate and environmental action, emphasiz</w:t>
      </w:r>
      <w:r w:rsidR="00E53052">
        <w:t>ing</w:t>
      </w:r>
      <w:r w:rsidRPr="00DA76FF">
        <w:t xml:space="preserve"> the urgent need for responsible management </w:t>
      </w:r>
      <w:r w:rsidR="00562068">
        <w:t xml:space="preserve">electronic equipment waste (e-waste), particularly </w:t>
      </w:r>
      <w:r w:rsidRPr="00DA76FF">
        <w:t>as digital innovation accelerates. According to the 2024 Global E-waste Monitor, the world is projected to produce 82</w:t>
      </w:r>
      <w:r w:rsidR="00E26DD3">
        <w:t> </w:t>
      </w:r>
      <w:r w:rsidRPr="00DA76FF">
        <w:t>billion kilograms of e-waste annually by 2030. ITU has been actively supporting several countries across the Americas, Africa, and Asia-Pacific in developing and implementing producer responsibility regulations for e-waste.</w:t>
      </w:r>
      <w:r w:rsidR="00BF670D" w:rsidRPr="00DA76FF">
        <w:t xml:space="preserve"> In 2010, around 24</w:t>
      </w:r>
      <w:r w:rsidR="00BB7617">
        <w:t xml:space="preserve"> per cent</w:t>
      </w:r>
      <w:r w:rsidR="00BF670D" w:rsidRPr="00DA76FF">
        <w:t xml:space="preserve"> of the total e-</w:t>
      </w:r>
      <w:r w:rsidR="00E53052">
        <w:t>w</w:t>
      </w:r>
      <w:r w:rsidR="00BF670D" w:rsidRPr="00DA76FF">
        <w:t xml:space="preserve">aste was re-cycled. </w:t>
      </w:r>
      <w:r w:rsidR="00E53052">
        <w:t>A</w:t>
      </w:r>
      <w:r w:rsidR="00166C19" w:rsidRPr="00DA76FF">
        <w:t xml:space="preserve"> record 62</w:t>
      </w:r>
      <w:r w:rsidR="00E26DD3">
        <w:t> </w:t>
      </w:r>
      <w:r w:rsidR="00166C19" w:rsidRPr="00DA76FF">
        <w:t>billion k</w:t>
      </w:r>
      <w:r w:rsidR="00E53052">
        <w:t>ilo</w:t>
      </w:r>
      <w:r w:rsidR="00166C19" w:rsidRPr="00DA76FF">
        <w:t>g</w:t>
      </w:r>
      <w:r w:rsidR="00E53052">
        <w:t>rams</w:t>
      </w:r>
      <w:r w:rsidR="00166C19" w:rsidRPr="00DA76FF">
        <w:t xml:space="preserve"> of e-waste was generated globally </w:t>
      </w:r>
      <w:r w:rsidR="00E53052">
        <w:t xml:space="preserve">in 2022, </w:t>
      </w:r>
      <w:r w:rsidR="00166C19" w:rsidRPr="00DA76FF">
        <w:t>equivalent to an average of 7.8 k</w:t>
      </w:r>
      <w:r w:rsidR="00E53052">
        <w:t>ilogra</w:t>
      </w:r>
      <w:r w:rsidR="00D709BB">
        <w:t>m</w:t>
      </w:r>
      <w:r w:rsidR="00E53052">
        <w:t>s</w:t>
      </w:r>
      <w:r w:rsidR="00166C19" w:rsidRPr="00DA76FF">
        <w:t xml:space="preserve"> per capita</w:t>
      </w:r>
      <w:r w:rsidR="00E53052">
        <w:t xml:space="preserve"> for the year</w:t>
      </w:r>
      <w:r w:rsidR="00166C19" w:rsidRPr="00DA76FF">
        <w:t xml:space="preserve">; 22.3 per cent of this e-waste mass was documented as formally collected and recycled in an environmentally sound manner. Of the 81 </w:t>
      </w:r>
      <w:r w:rsidR="00166C19" w:rsidRPr="00DA76FF">
        <w:lastRenderedPageBreak/>
        <w:t>countries covered by a national e-waste policy, legislation, or regulation, 67 applied the Extended Producer Responsibility (EPR) principle, 46 had enshrined national e-waste collection targets in their regulations, and 36 had done so for e-waste recycling targets at the national level</w:t>
      </w:r>
      <w:r w:rsidR="0016275F" w:rsidRPr="00DA76FF">
        <w:t>.</w:t>
      </w:r>
    </w:p>
    <w:p w14:paraId="4E15C062" w14:textId="0D0B4AA9" w:rsidR="000D6814" w:rsidRPr="00DA76FF" w:rsidRDefault="000D6814" w:rsidP="001E30C2">
      <w:pPr>
        <w:pStyle w:val="NoSpacing"/>
        <w:spacing w:before="120" w:after="120"/>
        <w:jc w:val="both"/>
      </w:pPr>
      <w:r w:rsidRPr="00DA76FF">
        <w:rPr>
          <w:noProof/>
        </w:rPr>
        <w:drawing>
          <wp:inline distT="0" distB="0" distL="0" distR="0" wp14:anchorId="053BFF81" wp14:editId="7E8FF05F">
            <wp:extent cx="5170624" cy="2990850"/>
            <wp:effectExtent l="0" t="0" r="0" b="0"/>
            <wp:docPr id="418658926" name="Picture 1" descr="A graph of a graph showing the amount of waste in the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58926" name="Picture 1" descr="A graph of a graph showing the amount of waste in the market&#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170624" cy="2990850"/>
                    </a:xfrm>
                    <a:prstGeom prst="rect">
                      <a:avLst/>
                    </a:prstGeom>
                  </pic:spPr>
                </pic:pic>
              </a:graphicData>
            </a:graphic>
          </wp:inline>
        </w:drawing>
      </w:r>
    </w:p>
    <w:p w14:paraId="016B25FE" w14:textId="08C7B790" w:rsidR="00482A23" w:rsidRPr="00DA76FF" w:rsidRDefault="00B16F2B" w:rsidP="001E30C2">
      <w:pPr>
        <w:pStyle w:val="NoSpacing"/>
        <w:spacing w:before="120"/>
        <w:jc w:val="center"/>
        <w:rPr>
          <w:sz w:val="18"/>
          <w:szCs w:val="18"/>
        </w:rPr>
      </w:pPr>
      <w:r w:rsidRPr="00DA76FF">
        <w:rPr>
          <w:sz w:val="18"/>
          <w:szCs w:val="18"/>
        </w:rPr>
        <w:t xml:space="preserve">Figure </w:t>
      </w:r>
      <w:r w:rsidR="002E0474">
        <w:rPr>
          <w:sz w:val="18"/>
          <w:szCs w:val="18"/>
        </w:rPr>
        <w:t>adapted f</w:t>
      </w:r>
      <w:r w:rsidRPr="00DA76FF">
        <w:rPr>
          <w:sz w:val="18"/>
          <w:szCs w:val="18"/>
        </w:rPr>
        <w:t xml:space="preserve">rom </w:t>
      </w:r>
      <w:r w:rsidR="0097131F" w:rsidRPr="00DA76FF">
        <w:rPr>
          <w:sz w:val="18"/>
          <w:szCs w:val="18"/>
        </w:rPr>
        <w:t>ITU &amp; UNITAR</w:t>
      </w:r>
      <w:r w:rsidR="0097131F">
        <w:rPr>
          <w:sz w:val="18"/>
          <w:szCs w:val="18"/>
        </w:rPr>
        <w:t>:</w:t>
      </w:r>
      <w:r w:rsidR="0097131F" w:rsidRPr="00DA76FF" w:rsidDel="0097131F">
        <w:rPr>
          <w:sz w:val="18"/>
          <w:szCs w:val="18"/>
        </w:rPr>
        <w:t xml:space="preserve"> </w:t>
      </w:r>
      <w:hyperlink r:id="rId62" w:history="1">
        <w:r w:rsidRPr="0097131F">
          <w:rPr>
            <w:rStyle w:val="Hyperlink"/>
            <w:sz w:val="18"/>
            <w:szCs w:val="18"/>
          </w:rPr>
          <w:t>Global e-Waste Monitor 2024</w:t>
        </w:r>
      </w:hyperlink>
    </w:p>
    <w:p w14:paraId="70897E2A" w14:textId="67193B7F" w:rsidR="00C55AB3" w:rsidRPr="00DA76FF" w:rsidRDefault="00C20980" w:rsidP="00A25266">
      <w:pPr>
        <w:pStyle w:val="NoSpacing"/>
        <w:spacing w:before="480" w:after="120"/>
        <w:jc w:val="both"/>
      </w:pPr>
      <w:r w:rsidRPr="00DA76FF">
        <w:t xml:space="preserve">Additionally, ITU has made strides in studying energy consumption and </w:t>
      </w:r>
      <w:r w:rsidR="00E26DD3">
        <w:t>greenhouse gas (</w:t>
      </w:r>
      <w:r w:rsidR="00121340">
        <w:t>GHG</w:t>
      </w:r>
      <w:r w:rsidR="00E26DD3">
        <w:t>)</w:t>
      </w:r>
      <w:r w:rsidR="00121340">
        <w:t xml:space="preserve"> </w:t>
      </w:r>
      <w:r w:rsidRPr="00DA76FF">
        <w:t xml:space="preserve">emissions </w:t>
      </w:r>
      <w:r w:rsidR="006D14E9">
        <w:t>across</w:t>
      </w:r>
      <w:r w:rsidR="006D14E9" w:rsidRPr="00DA76FF">
        <w:t xml:space="preserve"> </w:t>
      </w:r>
      <w:r w:rsidRPr="00DA76FF">
        <w:t xml:space="preserve">the </w:t>
      </w:r>
      <w:r w:rsidR="00D75C17">
        <w:t>global tech</w:t>
      </w:r>
      <w:r w:rsidR="00D75C17" w:rsidRPr="00DA76FF">
        <w:t xml:space="preserve"> </w:t>
      </w:r>
      <w:r w:rsidRPr="00DA76FF">
        <w:t>sector. Through the "</w:t>
      </w:r>
      <w:hyperlink r:id="rId63" w:history="1">
        <w:r w:rsidR="004A57D4" w:rsidRPr="00DA76FF">
          <w:rPr>
            <w:rStyle w:val="Hyperlink"/>
          </w:rPr>
          <w:t>Greening Digital Companies report</w:t>
        </w:r>
      </w:hyperlink>
      <w:r w:rsidRPr="00DA76FF">
        <w:t>" series, the new Greening Digital Dashboard enables ITU and partners to monitor the climate impact of the ICT sector more effectively.</w:t>
      </w:r>
      <w:r w:rsidR="00A52865">
        <w:rPr>
          <w:rFonts w:eastAsia="Aptos" w:cstheme="minorHAnsi"/>
          <w:color w:val="000000" w:themeColor="text1"/>
        </w:rPr>
        <w:t xml:space="preserve"> </w:t>
      </w:r>
      <w:r w:rsidR="004A57D4" w:rsidRPr="00DA76FF">
        <w:t>It</w:t>
      </w:r>
      <w:r w:rsidR="00F77C6E" w:rsidRPr="00DA76FF">
        <w:t xml:space="preserve"> assesses GHG emissions and energy use of 200 digital companies.</w:t>
      </w:r>
      <w:r w:rsidR="00845717" w:rsidRPr="00DA76FF">
        <w:t xml:space="preserve"> The report shows that </w:t>
      </w:r>
      <w:r w:rsidR="00C55AB3" w:rsidRPr="00DA76FF">
        <w:t>emissions for the 166 digital companies that disclose climate data (accounting for 98 per cent of the revenue of the 200 companies) were 293</w:t>
      </w:r>
      <w:r w:rsidR="00A52865">
        <w:t> </w:t>
      </w:r>
      <w:r w:rsidR="00C55AB3" w:rsidRPr="00DA76FF">
        <w:t>million tCO2 in 2022, or 0.8 per cent of the world total energy-related emissions</w:t>
      </w:r>
      <w:r w:rsidR="006404E6" w:rsidRPr="00DA76FF">
        <w:t xml:space="preserve"> (global figure was 36.8 Gt in 2022)</w:t>
      </w:r>
      <w:r w:rsidR="00C55AB3" w:rsidRPr="00DA76FF">
        <w:t>.</w:t>
      </w:r>
    </w:p>
    <w:p w14:paraId="797AF4D5" w14:textId="15E2D564" w:rsidR="00A20553" w:rsidRPr="00DA76FF" w:rsidRDefault="00E35015" w:rsidP="001E30C2">
      <w:pPr>
        <w:pStyle w:val="NoSpacing"/>
        <w:spacing w:before="120" w:after="120"/>
        <w:jc w:val="both"/>
      </w:pPr>
      <w:r w:rsidRPr="00DA76FF">
        <w:t>The challenge of quantifying the positive impact of ICTs on reducing the environmental footprint of other sectors persists</w:t>
      </w:r>
      <w:r w:rsidR="00A20553" w:rsidRPr="00DA76FF">
        <w:t>.</w:t>
      </w:r>
    </w:p>
    <w:p w14:paraId="2A657124" w14:textId="21D31670" w:rsidR="00E841E7" w:rsidRPr="00DA76FF" w:rsidRDefault="00E841E7">
      <w:r w:rsidRPr="00DA76FF">
        <w:br w:type="page"/>
      </w:r>
    </w:p>
    <w:p w14:paraId="6BB2A4D9" w14:textId="2673324E" w:rsidR="00B455AF" w:rsidRPr="00DA76FF" w:rsidRDefault="00106039" w:rsidP="00C754AC">
      <w:pPr>
        <w:pStyle w:val="Heading1"/>
        <w:keepNext w:val="0"/>
        <w:keepLines w:val="0"/>
        <w:numPr>
          <w:ilvl w:val="0"/>
          <w:numId w:val="29"/>
        </w:numPr>
        <w:tabs>
          <w:tab w:val="clear" w:pos="567"/>
        </w:tabs>
        <w:spacing w:before="0" w:after="120"/>
        <w:ind w:left="567" w:hanging="567"/>
        <w:rPr>
          <w:color w:val="365F91" w:themeColor="accent1" w:themeShade="BF"/>
          <w:sz w:val="32"/>
          <w:szCs w:val="32"/>
        </w:rPr>
      </w:pPr>
      <w:bookmarkStart w:id="25" w:name="_Toc198569351"/>
      <w:bookmarkStart w:id="26" w:name="_Toc37860456"/>
      <w:bookmarkStart w:id="27" w:name="_Toc37861217"/>
      <w:bookmarkStart w:id="28" w:name="_Toc37943336"/>
      <w:bookmarkEnd w:id="12"/>
      <w:bookmarkEnd w:id="13"/>
      <w:bookmarkEnd w:id="14"/>
      <w:bookmarkEnd w:id="19"/>
      <w:r w:rsidRPr="00DA76FF">
        <w:rPr>
          <w:color w:val="365F91" w:themeColor="accent1" w:themeShade="BF"/>
          <w:sz w:val="32"/>
          <w:szCs w:val="32"/>
        </w:rPr>
        <w:lastRenderedPageBreak/>
        <w:t>Products and servic</w:t>
      </w:r>
      <w:r w:rsidR="00BD446A" w:rsidRPr="00DA76FF">
        <w:rPr>
          <w:color w:val="365F91" w:themeColor="accent1" w:themeShade="BF"/>
          <w:sz w:val="32"/>
          <w:szCs w:val="32"/>
        </w:rPr>
        <w:t>es</w:t>
      </w:r>
      <w:bookmarkEnd w:id="25"/>
    </w:p>
    <w:p w14:paraId="5A4DFA6C" w14:textId="1383F5B3" w:rsidR="00EE348A" w:rsidRPr="00DA76FF" w:rsidRDefault="008234E4" w:rsidP="00C754AC">
      <w:pPr>
        <w:pStyle w:val="Heading2"/>
        <w:keepNext w:val="0"/>
        <w:keepLines w:val="0"/>
        <w:tabs>
          <w:tab w:val="clear" w:pos="567"/>
        </w:tabs>
        <w:spacing w:before="360"/>
      </w:pPr>
      <w:bookmarkStart w:id="29" w:name="_Toc198569352"/>
      <w:r w:rsidRPr="00DA76FF">
        <w:t>4</w:t>
      </w:r>
      <w:r w:rsidR="00EE348A" w:rsidRPr="00DA76FF">
        <w:t>.1</w:t>
      </w:r>
      <w:r w:rsidR="00EE348A" w:rsidRPr="00DA76FF">
        <w:tab/>
        <w:t>Development and application of ITU Administrative Regulations</w:t>
      </w:r>
      <w:bookmarkEnd w:id="29"/>
    </w:p>
    <w:p w14:paraId="1102437F" w14:textId="237BB216" w:rsidR="00EE348A" w:rsidRPr="00DA76FF" w:rsidRDefault="008234E4" w:rsidP="00C754AC">
      <w:pPr>
        <w:pStyle w:val="Heading3"/>
        <w:keepNext w:val="0"/>
        <w:keepLines w:val="0"/>
        <w:tabs>
          <w:tab w:val="clear" w:pos="567"/>
        </w:tabs>
        <w:spacing w:before="240"/>
      </w:pPr>
      <w:bookmarkStart w:id="30" w:name="_Toc198569353"/>
      <w:r w:rsidRPr="00DA76FF">
        <w:t>4</w:t>
      </w:r>
      <w:r w:rsidR="00BE2230" w:rsidRPr="00DA76FF">
        <w:t>.1.1</w:t>
      </w:r>
      <w:r w:rsidR="00BE2230" w:rsidRPr="00DA76FF">
        <w:tab/>
        <w:t>Radio Regulations</w:t>
      </w:r>
      <w:bookmarkEnd w:id="30"/>
    </w:p>
    <w:p w14:paraId="48123D44" w14:textId="33037679" w:rsidR="00C6126E" w:rsidRPr="00DA76FF" w:rsidRDefault="006211B3" w:rsidP="001E30C2">
      <w:pPr>
        <w:spacing w:after="120"/>
        <w:jc w:val="both"/>
        <w:rPr>
          <w:rFonts w:cs="Calibri"/>
          <w:sz w:val="22"/>
          <w:szCs w:val="22"/>
        </w:rPr>
      </w:pPr>
      <w:r w:rsidRPr="00DA76FF">
        <w:rPr>
          <w:rFonts w:cs="Calibri"/>
          <w:sz w:val="22"/>
          <w:szCs w:val="22"/>
        </w:rPr>
        <w:t xml:space="preserve">ITU maintains the </w:t>
      </w:r>
      <w:hyperlink r:id="rId64">
        <w:r w:rsidRPr="5D1D5C22">
          <w:rPr>
            <w:rStyle w:val="Hyperlink"/>
            <w:rFonts w:cs="Calibri"/>
            <w:sz w:val="22"/>
            <w:szCs w:val="22"/>
          </w:rPr>
          <w:t>Radio Regulations</w:t>
        </w:r>
      </w:hyperlink>
      <w:r w:rsidRPr="00DA76FF">
        <w:rPr>
          <w:rFonts w:cs="Calibri"/>
          <w:sz w:val="22"/>
          <w:szCs w:val="22"/>
        </w:rPr>
        <w:t xml:space="preserve"> – the international treaty governing the use of the radio-frequency spectrum and satellite orbits for all kinds of wireless communications. In upholding the regulations and facilitating related international cooperation, the organization supports equitable access to and rational use of spectrum and orbits as finite natural resources. Through ITU, administrations agree on </w:t>
      </w:r>
      <w:r w:rsidR="2462D33B" w:rsidRPr="5D1D5C22">
        <w:rPr>
          <w:rFonts w:cs="Calibri"/>
          <w:sz w:val="22"/>
          <w:szCs w:val="22"/>
        </w:rPr>
        <w:t xml:space="preserve">the allocation of </w:t>
      </w:r>
      <w:r w:rsidRPr="00DA76FF">
        <w:rPr>
          <w:rFonts w:cs="Calibri"/>
          <w:sz w:val="22"/>
          <w:szCs w:val="22"/>
        </w:rPr>
        <w:t xml:space="preserve">radio </w:t>
      </w:r>
      <w:r w:rsidRPr="5D1D5C22">
        <w:rPr>
          <w:rFonts w:cs="Calibri"/>
          <w:sz w:val="22"/>
          <w:szCs w:val="22"/>
        </w:rPr>
        <w:t>frequenc</w:t>
      </w:r>
      <w:r w:rsidR="4F164451" w:rsidRPr="5D1D5C22">
        <w:rPr>
          <w:rFonts w:cs="Calibri"/>
          <w:sz w:val="22"/>
          <w:szCs w:val="22"/>
        </w:rPr>
        <w:t>ies</w:t>
      </w:r>
      <w:r w:rsidRPr="00DA76FF">
        <w:rPr>
          <w:rFonts w:cs="Calibri"/>
          <w:sz w:val="22"/>
          <w:szCs w:val="22"/>
        </w:rPr>
        <w:t xml:space="preserve"> and management, </w:t>
      </w:r>
      <w:r w:rsidR="2CD4627A" w:rsidRPr="5D1D5C22">
        <w:rPr>
          <w:rFonts w:cs="Calibri"/>
          <w:sz w:val="22"/>
          <w:szCs w:val="22"/>
        </w:rPr>
        <w:t xml:space="preserve">along with the procedures for </w:t>
      </w:r>
      <w:r w:rsidRPr="00DA76FF">
        <w:rPr>
          <w:rFonts w:cs="Calibri"/>
          <w:sz w:val="22"/>
          <w:szCs w:val="22"/>
        </w:rPr>
        <w:t>coordination to avoid harmful radio interference. ITU and its Radiocommunication Bureau enable these activities, supporting Member States worldwide with expertise on communications on land, at sea, in the air, and in space.</w:t>
      </w:r>
    </w:p>
    <w:p w14:paraId="4418265F" w14:textId="4C346233" w:rsidR="00C6126E" w:rsidRPr="00DA76FF" w:rsidRDefault="00C6126E" w:rsidP="001E30C2">
      <w:pPr>
        <w:pStyle w:val="NoSpacing"/>
        <w:spacing w:before="120" w:after="120"/>
        <w:jc w:val="both"/>
        <w:rPr>
          <w:rFonts w:ascii="Calibri" w:hAnsi="Calibri" w:cs="Calibri"/>
        </w:rPr>
      </w:pPr>
      <w:r w:rsidRPr="00DA76FF">
        <w:rPr>
          <w:rFonts w:ascii="Calibri" w:hAnsi="Calibri" w:cs="Calibri"/>
        </w:rPr>
        <w:t xml:space="preserve">In 2024, the </w:t>
      </w:r>
      <w:r w:rsidR="000941E9">
        <w:rPr>
          <w:rFonts w:ascii="Calibri" w:hAnsi="Calibri" w:cs="Calibri"/>
        </w:rPr>
        <w:t xml:space="preserve">Radiocommunication </w:t>
      </w:r>
      <w:r w:rsidRPr="00DA76FF">
        <w:rPr>
          <w:rFonts w:ascii="Calibri" w:hAnsi="Calibri" w:cs="Calibri"/>
        </w:rPr>
        <w:t xml:space="preserve">Bureau implemented the results of </w:t>
      </w:r>
      <w:hyperlink r:id="rId65" w:history="1">
        <w:r w:rsidRPr="00DA76FF">
          <w:rPr>
            <w:rStyle w:val="Hyperlink"/>
            <w:rFonts w:ascii="Calibri" w:hAnsi="Calibri" w:cs="Calibri"/>
          </w:rPr>
          <w:t>WRC-23</w:t>
        </w:r>
      </w:hyperlink>
      <w:r w:rsidRPr="00DA76FF">
        <w:rPr>
          <w:rFonts w:ascii="Calibri" w:hAnsi="Calibri" w:cs="Calibri"/>
        </w:rPr>
        <w:t>, including the completion of the following activities:</w:t>
      </w:r>
    </w:p>
    <w:p w14:paraId="6D84DC8E" w14:textId="6C91E0E7" w:rsidR="00C6126E" w:rsidRPr="00DA76FF" w:rsidRDefault="00C6126E" w:rsidP="001E30C2">
      <w:pPr>
        <w:pStyle w:val="NoSpacing"/>
        <w:numPr>
          <w:ilvl w:val="0"/>
          <w:numId w:val="20"/>
        </w:numPr>
        <w:spacing w:before="120" w:after="120"/>
        <w:jc w:val="both"/>
        <w:rPr>
          <w:rFonts w:ascii="Calibri" w:hAnsi="Calibri" w:cs="Calibri"/>
        </w:rPr>
      </w:pPr>
      <w:r w:rsidRPr="00DA76FF">
        <w:rPr>
          <w:rFonts w:ascii="Calibri" w:hAnsi="Calibri" w:cs="Calibri"/>
        </w:rPr>
        <w:t xml:space="preserve">The new edition of the Radio Regulations, containing the </w:t>
      </w:r>
      <w:r w:rsidR="0CE004CF" w:rsidRPr="5D1D5C22">
        <w:rPr>
          <w:rFonts w:ascii="Calibri" w:hAnsi="Calibri" w:cs="Calibri"/>
        </w:rPr>
        <w:t>final acts</w:t>
      </w:r>
      <w:r w:rsidRPr="00DA76FF">
        <w:rPr>
          <w:rFonts w:ascii="Calibri" w:hAnsi="Calibri" w:cs="Calibri"/>
        </w:rPr>
        <w:t xml:space="preserve"> adopted by WRC-23 was </w:t>
      </w:r>
      <w:hyperlink r:id="rId66" w:history="1">
        <w:r w:rsidRPr="0028120A">
          <w:rPr>
            <w:rStyle w:val="Hyperlink"/>
            <w:rFonts w:ascii="Calibri" w:hAnsi="Calibri" w:cs="Calibri"/>
          </w:rPr>
          <w:t>published in 2024</w:t>
        </w:r>
      </w:hyperlink>
      <w:r w:rsidRPr="5D1D5C22">
        <w:rPr>
          <w:rFonts w:ascii="Calibri" w:hAnsi="Calibri" w:cs="Calibri"/>
        </w:rPr>
        <w:t>.</w:t>
      </w:r>
      <w:r w:rsidRPr="00DA76FF">
        <w:rPr>
          <w:rFonts w:ascii="Calibri" w:hAnsi="Calibri" w:cs="Calibri"/>
        </w:rPr>
        <w:t xml:space="preserve"> </w:t>
      </w:r>
      <w:r w:rsidR="67330241" w:rsidRPr="5D1D5C22">
        <w:rPr>
          <w:rFonts w:ascii="Calibri" w:hAnsi="Calibri" w:cs="Calibri"/>
        </w:rPr>
        <w:t>T</w:t>
      </w:r>
      <w:r w:rsidRPr="5D1D5C22">
        <w:rPr>
          <w:rFonts w:ascii="Calibri" w:hAnsi="Calibri" w:cs="Calibri"/>
        </w:rPr>
        <w:t>he</w:t>
      </w:r>
      <w:r w:rsidRPr="00DA76FF">
        <w:rPr>
          <w:rFonts w:ascii="Calibri" w:hAnsi="Calibri" w:cs="Calibri"/>
        </w:rPr>
        <w:t xml:space="preserve"> Radio Regulations are available for free download from the ITU website.</w:t>
      </w:r>
    </w:p>
    <w:p w14:paraId="1D0E2FD2" w14:textId="33FA9888" w:rsidR="00C6126E" w:rsidRPr="00DA76FF" w:rsidRDefault="00C6126E" w:rsidP="001E30C2">
      <w:pPr>
        <w:pStyle w:val="NoSpacing"/>
        <w:numPr>
          <w:ilvl w:val="0"/>
          <w:numId w:val="20"/>
        </w:numPr>
        <w:spacing w:before="120" w:after="120"/>
        <w:jc w:val="both"/>
        <w:rPr>
          <w:rFonts w:ascii="Calibri" w:hAnsi="Calibri" w:cs="Calibri"/>
        </w:rPr>
      </w:pPr>
      <w:r w:rsidRPr="00DA76FF">
        <w:rPr>
          <w:rFonts w:ascii="Calibri" w:hAnsi="Calibri" w:cs="Calibri"/>
        </w:rPr>
        <w:t xml:space="preserve">The </w:t>
      </w:r>
      <w:r w:rsidR="000941E9">
        <w:rPr>
          <w:rFonts w:ascii="Calibri" w:hAnsi="Calibri" w:cs="Calibri"/>
        </w:rPr>
        <w:t xml:space="preserve">Radiocommunication </w:t>
      </w:r>
      <w:r w:rsidRPr="00DA76FF">
        <w:rPr>
          <w:rFonts w:ascii="Calibri" w:hAnsi="Calibri" w:cs="Calibri"/>
        </w:rPr>
        <w:t>Bureau continues to update and maintain software tools for the use and analysis of the Radio Regulations (RR). The Radio Regulation Navigation Tool is being updated with the 2024 edition. The RR5 Table of Frequency Allocations tool has been updated based on WRC-23 outcomes and the 2024 RR edition, incorporating changes in frequency allocations, country footnotes, and related references to associated Resolutions and Recommendations, as well as the latest version of the relevant Rules of Procedure, while also supporting the extraction of National Tables of Frequency Allocations.</w:t>
      </w:r>
    </w:p>
    <w:p w14:paraId="38CF488E" w14:textId="71024269" w:rsidR="00F26320" w:rsidRPr="00DA76FF" w:rsidRDefault="00C6126E" w:rsidP="001E30C2">
      <w:pPr>
        <w:pStyle w:val="NoSpacing"/>
        <w:numPr>
          <w:ilvl w:val="0"/>
          <w:numId w:val="20"/>
        </w:numPr>
        <w:spacing w:before="120" w:after="120"/>
        <w:jc w:val="both"/>
      </w:pPr>
      <w:r w:rsidRPr="00DA76FF">
        <w:rPr>
          <w:rFonts w:ascii="Calibri" w:hAnsi="Calibri" w:cs="Calibri"/>
        </w:rPr>
        <w:t>The Manual for Use by the Maritime Mobile and Maritime Mobile-Satellite Services (Maritime Manual), published in December 2024, provides a comprehensive overview of maritime communications.</w:t>
      </w:r>
    </w:p>
    <w:p w14:paraId="143B5AD4" w14:textId="7EBAB119" w:rsidR="00C6126E" w:rsidRPr="00DA76FF" w:rsidRDefault="00F26320" w:rsidP="001E30C2">
      <w:pPr>
        <w:pStyle w:val="NoSpacing"/>
        <w:numPr>
          <w:ilvl w:val="0"/>
          <w:numId w:val="20"/>
        </w:numPr>
        <w:spacing w:before="120" w:after="120"/>
        <w:jc w:val="both"/>
      </w:pPr>
      <w:r w:rsidRPr="00DA76FF">
        <w:rPr>
          <w:rFonts w:ascii="Calibri" w:hAnsi="Calibri" w:cs="Calibri"/>
        </w:rPr>
        <w:t xml:space="preserve">The </w:t>
      </w:r>
      <w:r w:rsidR="00D8012A">
        <w:rPr>
          <w:rFonts w:ascii="Calibri" w:hAnsi="Calibri" w:cs="Calibri"/>
        </w:rPr>
        <w:t xml:space="preserve">Radiocommunication </w:t>
      </w:r>
      <w:r w:rsidRPr="00DA76FF">
        <w:rPr>
          <w:rFonts w:ascii="Calibri" w:hAnsi="Calibri" w:cs="Calibri"/>
        </w:rPr>
        <w:t xml:space="preserve">Bureau also began preparations </w:t>
      </w:r>
      <w:r w:rsidR="00D8012A">
        <w:rPr>
          <w:rFonts w:ascii="Calibri" w:hAnsi="Calibri" w:cs="Calibri"/>
        </w:rPr>
        <w:t xml:space="preserve">across the ITU Radiocommunication Sector (ITU-R) </w:t>
      </w:r>
      <w:r w:rsidRPr="00DA76FF">
        <w:rPr>
          <w:rFonts w:ascii="Calibri" w:hAnsi="Calibri" w:cs="Calibri"/>
        </w:rPr>
        <w:t xml:space="preserve">for the </w:t>
      </w:r>
      <w:r w:rsidR="00D669EC">
        <w:rPr>
          <w:rFonts w:ascii="Calibri" w:hAnsi="Calibri" w:cs="Calibri"/>
        </w:rPr>
        <w:t>next World Radiocommunication Conference, coming up in 2027</w:t>
      </w:r>
      <w:r w:rsidRPr="00DA76FF">
        <w:rPr>
          <w:rFonts w:ascii="Calibri" w:hAnsi="Calibri" w:cs="Calibri"/>
        </w:rPr>
        <w:t>. In this regard, the WRC-27 agenda was adopted by Council 2024 and subsequently agreed by the majority of ITU Member States. The responsible and contributing groups for each WRC-27 agenda item, which were identified by CPM27-1, initiated the preparatory studies for WRC-27.</w:t>
      </w:r>
    </w:p>
    <w:p w14:paraId="444FC803" w14:textId="699BED99" w:rsidR="00EE348A" w:rsidRPr="00DA76FF" w:rsidRDefault="0056224B" w:rsidP="00C754AC">
      <w:pPr>
        <w:pStyle w:val="Heading2"/>
        <w:tabs>
          <w:tab w:val="clear" w:pos="567"/>
        </w:tabs>
        <w:spacing w:before="360"/>
      </w:pPr>
      <w:bookmarkStart w:id="31" w:name="_Toc198569354"/>
      <w:r w:rsidRPr="00DA76FF">
        <w:t>4</w:t>
      </w:r>
      <w:r w:rsidR="002B5318" w:rsidRPr="00DA76FF">
        <w:t>.2</w:t>
      </w:r>
      <w:r w:rsidR="002B5318" w:rsidRPr="00DA76FF">
        <w:tab/>
        <w:t>Allocation and management of resources</w:t>
      </w:r>
      <w:bookmarkEnd w:id="31"/>
    </w:p>
    <w:p w14:paraId="2A8820F0" w14:textId="28114719" w:rsidR="006D7F7A" w:rsidRPr="00DA76FF" w:rsidRDefault="0056224B" w:rsidP="00C754AC">
      <w:pPr>
        <w:pStyle w:val="Heading3"/>
        <w:tabs>
          <w:tab w:val="clear" w:pos="567"/>
        </w:tabs>
        <w:spacing w:before="240" w:after="120"/>
      </w:pPr>
      <w:bookmarkStart w:id="32" w:name="_Toc198569355"/>
      <w:r w:rsidRPr="00DA76FF">
        <w:t>4</w:t>
      </w:r>
      <w:r w:rsidR="006D7F7A" w:rsidRPr="00DA76FF">
        <w:t>.</w:t>
      </w:r>
      <w:r w:rsidR="00E87BCB" w:rsidRPr="00DA76FF">
        <w:t>2</w:t>
      </w:r>
      <w:r w:rsidR="006D7F7A" w:rsidRPr="00DA76FF">
        <w:t>.1</w:t>
      </w:r>
      <w:r w:rsidR="006D7F7A" w:rsidRPr="00DA76FF">
        <w:tab/>
      </w:r>
      <w:r w:rsidR="00E87BCB" w:rsidRPr="00DA76FF">
        <w:t>Spectrum use for space and terrestrial services</w:t>
      </w:r>
      <w:bookmarkEnd w:id="32"/>
    </w:p>
    <w:p w14:paraId="00927030" w14:textId="1555B847" w:rsidR="00032A5D" w:rsidRPr="00DA76FF" w:rsidRDefault="00032A5D" w:rsidP="001E30C2">
      <w:pPr>
        <w:pStyle w:val="NoSpacing"/>
        <w:spacing w:before="120" w:after="120"/>
        <w:jc w:val="both"/>
        <w:rPr>
          <w:rFonts w:ascii="Calibri" w:hAnsi="Calibri" w:cs="Calibri"/>
          <w:b/>
          <w:bCs/>
        </w:rPr>
      </w:pPr>
      <w:r w:rsidRPr="00DA76FF">
        <w:rPr>
          <w:rFonts w:ascii="Calibri" w:eastAsia="MS Mincho" w:hAnsi="Calibri" w:cs="Times New Roman"/>
          <w:b/>
          <w:bCs/>
          <w:kern w:val="0"/>
          <w:sz w:val="24"/>
          <w:szCs w:val="20"/>
          <w:lang w:eastAsia="en-GB"/>
          <w14:ligatures w14:val="none"/>
        </w:rPr>
        <w:t>ITU's</w:t>
      </w:r>
      <w:r w:rsidRPr="00DA76FF">
        <w:rPr>
          <w:rFonts w:ascii="Calibri" w:hAnsi="Calibri" w:cs="Calibri"/>
          <w:b/>
          <w:bCs/>
        </w:rPr>
        <w:t xml:space="preserve"> role in spectrum and orbit regulation and management</w:t>
      </w:r>
    </w:p>
    <w:p w14:paraId="48073742" w14:textId="77777777" w:rsidR="00032A5D" w:rsidRPr="00DA76FF" w:rsidRDefault="00032A5D" w:rsidP="001E30C2">
      <w:pPr>
        <w:spacing w:after="120"/>
        <w:rPr>
          <w:b/>
          <w:bCs/>
          <w:sz w:val="22"/>
          <w:szCs w:val="18"/>
        </w:rPr>
      </w:pPr>
      <w:r w:rsidRPr="00DA76FF">
        <w:rPr>
          <w:b/>
          <w:bCs/>
          <w:sz w:val="22"/>
          <w:szCs w:val="18"/>
        </w:rPr>
        <w:t>Key results of the processing of space and terrestrial notices and related activities</w:t>
      </w:r>
    </w:p>
    <w:p w14:paraId="57DFBDC2" w14:textId="690EB10B" w:rsidR="00032A5D" w:rsidRPr="00DA76FF" w:rsidRDefault="00D669EC" w:rsidP="001E30C2">
      <w:pPr>
        <w:pStyle w:val="NoSpacing"/>
        <w:spacing w:before="120" w:after="120"/>
        <w:jc w:val="both"/>
        <w:rPr>
          <w:rFonts w:ascii="Calibri" w:eastAsia="Calibri" w:hAnsi="Calibri" w:cs="Calibri"/>
        </w:rPr>
      </w:pPr>
      <w:r>
        <w:rPr>
          <w:rFonts w:ascii="Calibri" w:eastAsia="Calibri" w:hAnsi="Calibri" w:cs="Calibri"/>
        </w:rPr>
        <w:t>ITU’s</w:t>
      </w:r>
      <w:r w:rsidRPr="00DA76FF">
        <w:rPr>
          <w:rFonts w:ascii="Calibri" w:eastAsia="Calibri" w:hAnsi="Calibri" w:cs="Calibri"/>
        </w:rPr>
        <w:t xml:space="preserve"> </w:t>
      </w:r>
      <w:hyperlink r:id="rId67" w:history="1">
        <w:r w:rsidR="00032A5D" w:rsidRPr="00DA76FF">
          <w:rPr>
            <w:rStyle w:val="Hyperlink"/>
            <w:rFonts w:ascii="Calibri" w:hAnsi="Calibri" w:cs="Calibri"/>
          </w:rPr>
          <w:t>Radiocommunication</w:t>
        </w:r>
        <w:r w:rsidR="00032A5D" w:rsidRPr="00DA76FF">
          <w:rPr>
            <w:rStyle w:val="Hyperlink"/>
            <w:rFonts w:ascii="Calibri" w:eastAsia="Calibri" w:hAnsi="Calibri" w:cs="Calibri"/>
          </w:rPr>
          <w:t xml:space="preserve"> Bureau (BR)</w:t>
        </w:r>
      </w:hyperlink>
      <w:r w:rsidR="00032A5D" w:rsidRPr="00DA76FF">
        <w:rPr>
          <w:rFonts w:ascii="Calibri" w:eastAsia="Calibri" w:hAnsi="Calibri" w:cs="Calibri"/>
        </w:rPr>
        <w:t xml:space="preserve"> continues to produce software applications and databases to best facilitate the use of outputs by</w:t>
      </w:r>
      <w:r w:rsidR="00A661E6">
        <w:rPr>
          <w:rFonts w:ascii="Calibri" w:eastAsia="Calibri" w:hAnsi="Calibri" w:cs="Calibri"/>
        </w:rPr>
        <w:t xml:space="preserve"> the membership of the</w:t>
      </w:r>
      <w:r w:rsidR="00032A5D" w:rsidRPr="00DA76FF">
        <w:rPr>
          <w:rFonts w:ascii="Calibri" w:eastAsia="Calibri" w:hAnsi="Calibri" w:cs="Calibri"/>
        </w:rPr>
        <w:t xml:space="preserve"> </w:t>
      </w:r>
      <w:hyperlink r:id="rId68" w:history="1">
        <w:r w:rsidR="00032A5D" w:rsidRPr="00DA76FF">
          <w:rPr>
            <w:rStyle w:val="Hyperlink"/>
            <w:rFonts w:ascii="Calibri" w:eastAsia="Calibri" w:hAnsi="Calibri" w:cs="Calibri"/>
          </w:rPr>
          <w:t>ITU Radiocommunication Sector (ITU-R)</w:t>
        </w:r>
      </w:hyperlink>
      <w:r w:rsidR="00032A5D" w:rsidRPr="00DA76FF">
        <w:rPr>
          <w:rFonts w:ascii="Calibri" w:eastAsia="Calibri" w:hAnsi="Calibri" w:cs="Calibri"/>
        </w:rPr>
        <w:t xml:space="preserve">. In 2024, the </w:t>
      </w:r>
      <w:r w:rsidR="005624BD">
        <w:rPr>
          <w:rFonts w:ascii="Calibri" w:eastAsia="Calibri" w:hAnsi="Calibri" w:cs="Calibri"/>
        </w:rPr>
        <w:t>b</w:t>
      </w:r>
      <w:r w:rsidR="00032A5D" w:rsidRPr="00DA76FF">
        <w:rPr>
          <w:rFonts w:ascii="Calibri" w:eastAsia="Calibri" w:hAnsi="Calibri" w:cs="Calibri"/>
        </w:rPr>
        <w:t>ureau focused on software updates following WRC-23 decisions.</w:t>
      </w:r>
    </w:p>
    <w:p w14:paraId="3D7FB310" w14:textId="5B290F21" w:rsidR="00032A5D" w:rsidRPr="00DA76FF" w:rsidRDefault="00032A5D" w:rsidP="001E30C2">
      <w:pPr>
        <w:keepNext/>
        <w:keepLines/>
        <w:spacing w:after="120"/>
        <w:jc w:val="both"/>
        <w:rPr>
          <w:b/>
          <w:bCs/>
          <w:sz w:val="22"/>
          <w:szCs w:val="18"/>
        </w:rPr>
      </w:pPr>
      <w:r w:rsidRPr="00DA76FF">
        <w:rPr>
          <w:b/>
          <w:bCs/>
          <w:sz w:val="22"/>
          <w:szCs w:val="18"/>
        </w:rPr>
        <w:lastRenderedPageBreak/>
        <w:t>Progress in space services</w:t>
      </w:r>
    </w:p>
    <w:p w14:paraId="670542C1" w14:textId="7DFC1752" w:rsidR="00032A5D" w:rsidRPr="00DA76FF" w:rsidRDefault="00032A5D" w:rsidP="001E30C2">
      <w:pPr>
        <w:keepNext/>
        <w:keepLines/>
        <w:spacing w:after="120"/>
        <w:jc w:val="both"/>
        <w:rPr>
          <w:rFonts w:eastAsia="Calibri" w:cs="Calibri"/>
          <w:sz w:val="22"/>
          <w:szCs w:val="22"/>
        </w:rPr>
      </w:pPr>
      <w:r w:rsidRPr="00DA76FF">
        <w:rPr>
          <w:rFonts w:eastAsia="Calibri" w:cs="Calibri"/>
          <w:sz w:val="22"/>
          <w:szCs w:val="22"/>
        </w:rPr>
        <w:t>ITU-R processed and managed advanced publication information, coordination requests, and notification notices for non-planned space services, as well as broadcasting-satellite and fixed-satellite service plans and their associated feeder links. From 2019 to 2024, this involved handling over 5</w:t>
      </w:r>
      <w:r w:rsidR="00A52865">
        <w:rPr>
          <w:rFonts w:eastAsia="Calibri" w:cs="Calibri"/>
          <w:sz w:val="22"/>
          <w:szCs w:val="22"/>
        </w:rPr>
        <w:t> </w:t>
      </w:r>
      <w:r w:rsidRPr="00DA76FF">
        <w:rPr>
          <w:rFonts w:eastAsia="Calibri" w:cs="Calibri"/>
          <w:sz w:val="22"/>
          <w:szCs w:val="22"/>
        </w:rPr>
        <w:t xml:space="preserve">000 </w:t>
      </w:r>
      <w:r w:rsidRPr="00A52865">
        <w:rPr>
          <w:rFonts w:eastAsia="Calibri" w:cs="Calibri"/>
          <w:spacing w:val="2"/>
          <w:sz w:val="22"/>
          <w:szCs w:val="22"/>
        </w:rPr>
        <w:t>coordination and notification requests and managing more than 500 broadcasting-satellite and</w:t>
      </w:r>
      <w:r w:rsidRPr="00DA76FF">
        <w:rPr>
          <w:rFonts w:eastAsia="Calibri" w:cs="Calibri"/>
          <w:sz w:val="22"/>
          <w:szCs w:val="22"/>
        </w:rPr>
        <w:t xml:space="preserve"> fixed-satellite service plans. These efforts ensure compliance with relevant regulations and resolutions, supporting the efficient use of spectrum and orbital resources.</w:t>
      </w:r>
    </w:p>
    <w:p w14:paraId="4FDECD10" w14:textId="3C604005" w:rsidR="00032A5D" w:rsidRPr="00DA76FF" w:rsidRDefault="00032A5D" w:rsidP="001E30C2">
      <w:pPr>
        <w:spacing w:after="120"/>
        <w:jc w:val="both"/>
        <w:rPr>
          <w:rFonts w:eastAsia="Calibri" w:cs="Calibri"/>
          <w:sz w:val="22"/>
          <w:szCs w:val="22"/>
        </w:rPr>
      </w:pPr>
      <w:r w:rsidRPr="00DA76FF">
        <w:rPr>
          <w:rFonts w:eastAsia="Calibri" w:cs="Calibri"/>
          <w:b/>
          <w:bCs/>
          <w:sz w:val="22"/>
          <w:szCs w:val="22"/>
        </w:rPr>
        <w:t>Progress in terrestrial services</w:t>
      </w:r>
    </w:p>
    <w:p w14:paraId="316DCEAF" w14:textId="4D1644B0" w:rsidR="00032A5D" w:rsidRPr="00DA76FF" w:rsidRDefault="00032A5D" w:rsidP="001E30C2">
      <w:pPr>
        <w:spacing w:after="120"/>
        <w:jc w:val="both"/>
        <w:rPr>
          <w:rFonts w:eastAsia="Calibri" w:cs="Calibri"/>
          <w:sz w:val="22"/>
          <w:szCs w:val="22"/>
        </w:rPr>
      </w:pPr>
      <w:r w:rsidRPr="00DA76FF">
        <w:rPr>
          <w:rFonts w:eastAsia="Calibri" w:cs="Calibri"/>
          <w:sz w:val="22"/>
          <w:szCs w:val="22"/>
        </w:rPr>
        <w:t>Regarding terrestrial notices,</w:t>
      </w:r>
      <w:r w:rsidR="00A52865">
        <w:rPr>
          <w:rFonts w:eastAsia="Calibri" w:cs="Calibri"/>
          <w:sz w:val="22"/>
          <w:szCs w:val="22"/>
        </w:rPr>
        <w:t xml:space="preserve"> </w:t>
      </w:r>
      <w:r w:rsidRPr="00DA76FF">
        <w:rPr>
          <w:rFonts w:eastAsia="Calibri" w:cs="Calibri"/>
          <w:sz w:val="22"/>
          <w:szCs w:val="22"/>
        </w:rPr>
        <w:t>in 2024, more than 118 000 Notices were recorded in the MIFR and Plans, more than 1</w:t>
      </w:r>
      <w:r w:rsidR="00A52865">
        <w:rPr>
          <w:rFonts w:eastAsia="Calibri" w:cs="Calibri"/>
          <w:sz w:val="22"/>
          <w:szCs w:val="22"/>
        </w:rPr>
        <w:t> </w:t>
      </w:r>
      <w:r w:rsidRPr="00DA76FF">
        <w:rPr>
          <w:rFonts w:eastAsia="Calibri" w:cs="Calibri"/>
          <w:sz w:val="22"/>
          <w:szCs w:val="22"/>
        </w:rPr>
        <w:t>800 Notifications of coast and ship stations were processed for recording in the ITU maritime database, and more than 1</w:t>
      </w:r>
      <w:r w:rsidR="00A52865">
        <w:rPr>
          <w:rFonts w:eastAsia="Calibri" w:cs="Calibri"/>
          <w:sz w:val="22"/>
          <w:szCs w:val="22"/>
        </w:rPr>
        <w:t> </w:t>
      </w:r>
      <w:r w:rsidRPr="00DA76FF">
        <w:rPr>
          <w:rFonts w:eastAsia="Calibri" w:cs="Calibri"/>
          <w:sz w:val="22"/>
          <w:szCs w:val="22"/>
        </w:rPr>
        <w:t>100 reports of harmful interference were treated.</w:t>
      </w:r>
      <w:r w:rsidR="00A52865">
        <w:rPr>
          <w:rFonts w:eastAsia="Calibri" w:cs="Calibri"/>
          <w:sz w:val="22"/>
          <w:szCs w:val="22"/>
        </w:rPr>
        <w:t xml:space="preserve"> </w:t>
      </w:r>
      <w:r w:rsidRPr="00DA76FF">
        <w:rPr>
          <w:rFonts w:eastAsia="Calibri" w:cs="Calibri"/>
          <w:sz w:val="22"/>
          <w:szCs w:val="22"/>
        </w:rPr>
        <w:t>Our work ensures reliable spectrum management, promotes the efficient and interference-free use of radio frequency resources, and supports the growth and development of telecommunication infrastructure.</w:t>
      </w:r>
    </w:p>
    <w:p w14:paraId="5C9ECA51" w14:textId="77777777" w:rsidR="00032A5D" w:rsidRPr="00DA76FF" w:rsidRDefault="00032A5D" w:rsidP="001E30C2">
      <w:pPr>
        <w:spacing w:after="120"/>
        <w:rPr>
          <w:b/>
          <w:bCs/>
        </w:rPr>
      </w:pPr>
      <w:r w:rsidRPr="00DA76FF">
        <w:rPr>
          <w:b/>
          <w:bCs/>
        </w:rPr>
        <w:t>Advancement in software and tools for space services</w:t>
      </w:r>
    </w:p>
    <w:p w14:paraId="52C46ED9" w14:textId="7BB26F6E" w:rsidR="00032A5D" w:rsidRPr="00DA76FF" w:rsidRDefault="00032A5D" w:rsidP="001E30C2">
      <w:pPr>
        <w:tabs>
          <w:tab w:val="num" w:pos="540"/>
        </w:tabs>
        <w:spacing w:after="120"/>
        <w:jc w:val="both"/>
        <w:rPr>
          <w:rFonts w:eastAsia="Calibri" w:cs="Calibri"/>
          <w:color w:val="000000" w:themeColor="text1"/>
          <w:highlight w:val="yellow"/>
        </w:rPr>
      </w:pPr>
      <w:r w:rsidRPr="00DA76FF">
        <w:rPr>
          <w:rFonts w:eastAsia="Calibri" w:cs="Calibri"/>
          <w:sz w:val="22"/>
          <w:szCs w:val="22"/>
        </w:rPr>
        <w:t xml:space="preserve">The </w:t>
      </w:r>
      <w:hyperlink r:id="rId69" w:history="1">
        <w:r w:rsidRPr="00DA76FF">
          <w:rPr>
            <w:rStyle w:val="Hyperlink"/>
            <w:rFonts w:eastAsia="Calibri" w:cs="Calibri"/>
            <w:sz w:val="22"/>
            <w:szCs w:val="22"/>
          </w:rPr>
          <w:t>BR IFIC (Space services)</w:t>
        </w:r>
      </w:hyperlink>
      <w:r w:rsidRPr="00DA76FF">
        <w:rPr>
          <w:rFonts w:eastAsia="Calibri" w:cs="Calibri"/>
          <w:sz w:val="22"/>
          <w:szCs w:val="22"/>
        </w:rPr>
        <w:t xml:space="preserve"> online application </w:t>
      </w:r>
      <w:r w:rsidR="00A810FD">
        <w:rPr>
          <w:rFonts w:eastAsia="Calibri" w:cs="Calibri"/>
          <w:sz w:val="22"/>
          <w:szCs w:val="22"/>
        </w:rPr>
        <w:t>(</w:t>
      </w:r>
      <w:r w:rsidR="00D95CB9">
        <w:rPr>
          <w:rFonts w:eastAsia="Calibri" w:cs="Calibri"/>
          <w:sz w:val="22"/>
          <w:szCs w:val="22"/>
        </w:rPr>
        <w:t>an updated format for</w:t>
      </w:r>
      <w:r w:rsidR="00A810FD">
        <w:rPr>
          <w:rFonts w:eastAsia="Calibri" w:cs="Calibri"/>
          <w:sz w:val="22"/>
          <w:szCs w:val="22"/>
        </w:rPr>
        <w:t xml:space="preserve"> </w:t>
      </w:r>
      <w:r w:rsidR="00D95CB9">
        <w:rPr>
          <w:rFonts w:eastAsia="Calibri" w:cs="Calibri"/>
          <w:sz w:val="22"/>
          <w:szCs w:val="22"/>
        </w:rPr>
        <w:t>the</w:t>
      </w:r>
      <w:r w:rsidR="00A810FD">
        <w:rPr>
          <w:rFonts w:eastAsia="Calibri" w:cs="Calibri"/>
          <w:sz w:val="22"/>
          <w:szCs w:val="22"/>
        </w:rPr>
        <w:t xml:space="preserve"> ITU Radiocommunication Bureau’s </w:t>
      </w:r>
      <w:r w:rsidR="00D95CB9">
        <w:rPr>
          <w:rFonts w:eastAsia="Calibri" w:cs="Calibri"/>
          <w:sz w:val="22"/>
          <w:szCs w:val="22"/>
        </w:rPr>
        <w:t xml:space="preserve">long-running </w:t>
      </w:r>
      <w:r w:rsidR="00B0697E">
        <w:rPr>
          <w:rFonts w:eastAsia="Calibri" w:cs="Calibri"/>
          <w:sz w:val="22"/>
          <w:szCs w:val="22"/>
        </w:rPr>
        <w:t xml:space="preserve">Frequency Information Circular) </w:t>
      </w:r>
      <w:r w:rsidRPr="00DA76FF">
        <w:rPr>
          <w:rFonts w:eastAsia="Calibri" w:cs="Calibri"/>
          <w:sz w:val="22"/>
          <w:szCs w:val="22"/>
        </w:rPr>
        <w:t xml:space="preserve">was officially released on 23 January 2024 on a secure server that provides 24/7 access. This interface allows users to browse online the BR IFIC (Space services) content and to download the relevant publications and databases). From 1 January 2025, the main means of distribution </w:t>
      </w:r>
      <w:r w:rsidR="00F16576">
        <w:rPr>
          <w:rFonts w:eastAsia="Calibri" w:cs="Calibri"/>
          <w:sz w:val="22"/>
          <w:szCs w:val="22"/>
        </w:rPr>
        <w:t>for</w:t>
      </w:r>
      <w:r w:rsidRPr="00DA76FF">
        <w:rPr>
          <w:rFonts w:eastAsia="Calibri" w:cs="Calibri"/>
          <w:sz w:val="22"/>
          <w:szCs w:val="22"/>
        </w:rPr>
        <w:t xml:space="preserve"> the BR IFIC </w:t>
      </w:r>
      <w:r w:rsidR="00F16576">
        <w:rPr>
          <w:rFonts w:eastAsia="Calibri" w:cs="Calibri"/>
          <w:sz w:val="22"/>
          <w:szCs w:val="22"/>
        </w:rPr>
        <w:t>are</w:t>
      </w:r>
      <w:r w:rsidRPr="00DA76FF">
        <w:rPr>
          <w:rFonts w:eastAsia="Calibri" w:cs="Calibri"/>
          <w:sz w:val="22"/>
          <w:szCs w:val="22"/>
        </w:rPr>
        <w:t xml:space="preserve"> </w:t>
      </w:r>
      <w:r w:rsidR="00F16576">
        <w:rPr>
          <w:rFonts w:eastAsia="Calibri" w:cs="Calibri"/>
          <w:sz w:val="22"/>
          <w:szCs w:val="22"/>
        </w:rPr>
        <w:t>a</w:t>
      </w:r>
      <w:r w:rsidRPr="00DA76FF">
        <w:rPr>
          <w:rFonts w:eastAsia="Calibri" w:cs="Calibri"/>
          <w:sz w:val="22"/>
          <w:szCs w:val="22"/>
        </w:rPr>
        <w:t xml:space="preserve"> web-based </w:t>
      </w:r>
      <w:r w:rsidR="00D7530F">
        <w:rPr>
          <w:rFonts w:eastAsia="Calibri" w:cs="Calibri"/>
          <w:sz w:val="22"/>
          <w:szCs w:val="22"/>
        </w:rPr>
        <w:t>image</w:t>
      </w:r>
      <w:r w:rsidRPr="00DA76FF">
        <w:rPr>
          <w:rFonts w:eastAsia="Calibri" w:cs="Calibri"/>
          <w:sz w:val="22"/>
          <w:szCs w:val="22"/>
        </w:rPr>
        <w:t xml:space="preserve"> </w:t>
      </w:r>
      <w:r w:rsidR="00D7530F">
        <w:rPr>
          <w:rFonts w:eastAsia="Calibri" w:cs="Calibri"/>
          <w:sz w:val="22"/>
          <w:szCs w:val="22"/>
        </w:rPr>
        <w:t>version (</w:t>
      </w:r>
      <w:r w:rsidRPr="00DA76FF">
        <w:rPr>
          <w:rFonts w:eastAsia="Calibri" w:cs="Calibri"/>
          <w:sz w:val="22"/>
          <w:szCs w:val="22"/>
        </w:rPr>
        <w:t>ISO file</w:t>
      </w:r>
      <w:r w:rsidR="00D7530F">
        <w:rPr>
          <w:rFonts w:eastAsia="Calibri" w:cs="Calibri"/>
          <w:sz w:val="22"/>
          <w:szCs w:val="22"/>
        </w:rPr>
        <w:t>)</w:t>
      </w:r>
      <w:r w:rsidRPr="00DA76FF">
        <w:rPr>
          <w:rFonts w:eastAsia="Calibri" w:cs="Calibri"/>
          <w:sz w:val="22"/>
          <w:szCs w:val="22"/>
        </w:rPr>
        <w:t xml:space="preserve"> and the BR IFIC online application. The distribution of the BR IFIC on DVD-ROM has been discontinued for all administrations and subscribers, except for those who explicitly request to continue receiving it in this format. Member State administrations have been granted unlimited access to the BR IFIC Online. For paid subscribers, each subscription includes access for one designated user to the BR IFIC Online application and the web-based distribution of the ISO file.</w:t>
      </w:r>
    </w:p>
    <w:p w14:paraId="54DD6A79" w14:textId="77777777" w:rsidR="00032A5D" w:rsidRPr="00DA76FF" w:rsidRDefault="00032A5D" w:rsidP="001E30C2">
      <w:pPr>
        <w:tabs>
          <w:tab w:val="num" w:pos="540"/>
        </w:tabs>
        <w:spacing w:after="120"/>
        <w:jc w:val="both"/>
        <w:rPr>
          <w:rFonts w:eastAsia="Calibri" w:cs="Calibri"/>
          <w:color w:val="000000" w:themeColor="text1"/>
          <w:highlight w:val="yellow"/>
        </w:rPr>
      </w:pPr>
      <w:r w:rsidRPr="00DA76FF">
        <w:rPr>
          <w:rFonts w:eastAsia="Calibri" w:cs="Calibri"/>
          <w:sz w:val="22"/>
          <w:szCs w:val="22"/>
        </w:rPr>
        <w:t xml:space="preserve">Implementation of instructs 2 of Resolution </w:t>
      </w:r>
      <w:r w:rsidRPr="00DA76FF">
        <w:rPr>
          <w:rFonts w:eastAsia="Calibri" w:cs="Calibri"/>
          <w:b/>
          <w:sz w:val="22"/>
          <w:szCs w:val="22"/>
        </w:rPr>
        <w:t>186 (Rev. Dubai, 2018)</w:t>
      </w:r>
      <w:r w:rsidRPr="00DA76FF">
        <w:rPr>
          <w:rFonts w:eastAsia="Calibri" w:cs="Calibri"/>
          <w:sz w:val="22"/>
          <w:szCs w:val="22"/>
        </w:rPr>
        <w:t>: The ITU Space Explorer web application was released in production on 18 December 2024.</w:t>
      </w:r>
    </w:p>
    <w:p w14:paraId="4D4A9686" w14:textId="5384E57E" w:rsidR="00032A5D" w:rsidRPr="00CB0061" w:rsidRDefault="00032A5D" w:rsidP="001E30C2">
      <w:pPr>
        <w:tabs>
          <w:tab w:val="num" w:pos="540"/>
        </w:tabs>
        <w:spacing w:after="120"/>
        <w:jc w:val="both"/>
        <w:rPr>
          <w:rFonts w:eastAsia="Calibri" w:cs="Calibri"/>
          <w:sz w:val="22"/>
          <w:szCs w:val="22"/>
        </w:rPr>
      </w:pPr>
      <w:r w:rsidRPr="00CB0061">
        <w:rPr>
          <w:rFonts w:eastAsia="Calibri" w:cs="Calibri"/>
          <w:b/>
          <w:bCs/>
          <w:sz w:val="22"/>
          <w:szCs w:val="22"/>
        </w:rPr>
        <w:t>Modernization of the database platform for frequency assignments to space radiocommunication services</w:t>
      </w:r>
    </w:p>
    <w:p w14:paraId="417D621B" w14:textId="0769C294" w:rsidR="00032A5D" w:rsidRPr="00DA76FF" w:rsidRDefault="00032A5D" w:rsidP="001E30C2">
      <w:pPr>
        <w:spacing w:after="120"/>
        <w:jc w:val="both"/>
        <w:rPr>
          <w:rFonts w:eastAsia="Calibri" w:cs="Calibri"/>
        </w:rPr>
      </w:pPr>
      <w:r w:rsidRPr="00DA76FF">
        <w:rPr>
          <w:rFonts w:eastAsia="Calibri" w:cs="Calibri"/>
          <w:sz w:val="22"/>
          <w:szCs w:val="22"/>
        </w:rPr>
        <w:t xml:space="preserve">The </w:t>
      </w:r>
      <w:r w:rsidR="00E73D7B">
        <w:rPr>
          <w:rFonts w:eastAsia="Calibri" w:cs="Calibri"/>
          <w:sz w:val="22"/>
          <w:szCs w:val="22"/>
        </w:rPr>
        <w:t>ITU Radiocommunication Bureau</w:t>
      </w:r>
      <w:r w:rsidR="00E73D7B" w:rsidRPr="00DA76FF">
        <w:rPr>
          <w:rFonts w:eastAsia="Calibri" w:cs="Calibri"/>
          <w:sz w:val="22"/>
          <w:szCs w:val="22"/>
        </w:rPr>
        <w:t xml:space="preserve"> </w:t>
      </w:r>
      <w:r w:rsidRPr="00DA76FF">
        <w:rPr>
          <w:rFonts w:eastAsia="Calibri" w:cs="Calibri"/>
          <w:sz w:val="22"/>
          <w:szCs w:val="22"/>
        </w:rPr>
        <w:t>reviewed and updated most of the space software applications used for capturing, processing, and publishing satellite network submissions, including changes in the database schema and reference tables, data capture, validation, and examination software modules. The external administrative software was released on 10 December 2024 as BR Soft v10, while the new v10 database format and the external technical examination v10 software were released on 7 January 2025.</w:t>
      </w:r>
    </w:p>
    <w:p w14:paraId="02296DF8" w14:textId="620B1CA3" w:rsidR="00032A5D" w:rsidRPr="00DA76FF" w:rsidRDefault="00032A5D" w:rsidP="001E30C2">
      <w:pPr>
        <w:tabs>
          <w:tab w:val="num" w:pos="540"/>
        </w:tabs>
        <w:spacing w:after="120"/>
        <w:jc w:val="both"/>
        <w:rPr>
          <w:rFonts w:eastAsia="Calibri" w:cs="Calibri"/>
          <w:sz w:val="22"/>
          <w:szCs w:val="22"/>
        </w:rPr>
      </w:pPr>
      <w:r w:rsidRPr="00DA76FF">
        <w:rPr>
          <w:rFonts w:eastAsia="Calibri" w:cs="Calibri"/>
          <w:sz w:val="22"/>
          <w:szCs w:val="22"/>
        </w:rPr>
        <w:t xml:space="preserve">Implementation of Resolution </w:t>
      </w:r>
      <w:r w:rsidRPr="00DA76FF">
        <w:rPr>
          <w:rFonts w:eastAsia="Calibri" w:cs="Calibri"/>
          <w:b/>
          <w:sz w:val="22"/>
          <w:szCs w:val="22"/>
        </w:rPr>
        <w:t>55 (Rev.WRC-23)</w:t>
      </w:r>
      <w:r w:rsidRPr="00DA76FF">
        <w:rPr>
          <w:rFonts w:eastAsia="Calibri" w:cs="Calibri"/>
          <w:sz w:val="22"/>
          <w:szCs w:val="22"/>
        </w:rPr>
        <w:t>:</w:t>
      </w:r>
      <w:r w:rsidR="00A52865">
        <w:rPr>
          <w:rFonts w:eastAsia="Calibri" w:cs="Calibri"/>
          <w:sz w:val="22"/>
          <w:szCs w:val="22"/>
        </w:rPr>
        <w:t xml:space="preserve"> </w:t>
      </w:r>
      <w:r w:rsidRPr="00DA76FF">
        <w:rPr>
          <w:rFonts w:eastAsia="Calibri" w:cs="Calibri"/>
          <w:sz w:val="22"/>
          <w:szCs w:val="22"/>
        </w:rPr>
        <w:t xml:space="preserve">The </w:t>
      </w:r>
      <w:r w:rsidR="00E73D7B">
        <w:rPr>
          <w:rFonts w:eastAsia="Calibri" w:cs="Calibri"/>
          <w:sz w:val="22"/>
          <w:szCs w:val="22"/>
        </w:rPr>
        <w:t xml:space="preserve">Radiocommunication Bureau </w:t>
      </w:r>
      <w:r w:rsidRPr="00DA76FF">
        <w:rPr>
          <w:rFonts w:eastAsia="Calibri" w:cs="Calibri"/>
          <w:sz w:val="22"/>
          <w:szCs w:val="22"/>
        </w:rPr>
        <w:t>has been delivering</w:t>
      </w:r>
      <w:r w:rsidR="00A52865">
        <w:rPr>
          <w:rFonts w:eastAsia="Calibri" w:cs="Calibri"/>
          <w:sz w:val="22"/>
          <w:szCs w:val="22"/>
        </w:rPr>
        <w:t xml:space="preserve"> </w:t>
      </w:r>
      <w:r w:rsidRPr="00DA76FF">
        <w:rPr>
          <w:rFonts w:eastAsia="Calibri" w:cs="Calibri"/>
          <w:sz w:val="22"/>
          <w:szCs w:val="22"/>
        </w:rPr>
        <w:t>reliable round-the-clock operation</w:t>
      </w:r>
      <w:r w:rsidR="00A52865">
        <w:rPr>
          <w:rFonts w:eastAsia="Calibri" w:cs="Calibri"/>
          <w:sz w:val="22"/>
          <w:szCs w:val="22"/>
        </w:rPr>
        <w:t xml:space="preserve"> </w:t>
      </w:r>
      <w:r w:rsidRPr="00DA76FF">
        <w:rPr>
          <w:rFonts w:eastAsia="Calibri" w:cs="Calibri"/>
          <w:sz w:val="22"/>
          <w:szCs w:val="22"/>
        </w:rPr>
        <w:t>of the e-Submission system and e-Communications</w:t>
      </w:r>
      <w:r w:rsidR="00A52865">
        <w:rPr>
          <w:rFonts w:eastAsia="Calibri" w:cs="Calibri"/>
          <w:sz w:val="22"/>
          <w:szCs w:val="22"/>
        </w:rPr>
        <w:t xml:space="preserve"> </w:t>
      </w:r>
      <w:r w:rsidRPr="00DA76FF">
        <w:rPr>
          <w:rFonts w:eastAsia="Calibri" w:cs="Calibri"/>
          <w:sz w:val="22"/>
          <w:szCs w:val="22"/>
        </w:rPr>
        <w:t>system, attracting a growing number of administrations to register to use these systems throughout 2024.</w:t>
      </w:r>
    </w:p>
    <w:p w14:paraId="0A6C7380" w14:textId="20E6DF66" w:rsidR="00032A5D" w:rsidRPr="00DA76FF" w:rsidRDefault="00D85C74" w:rsidP="001E30C2">
      <w:pPr>
        <w:spacing w:after="120"/>
        <w:jc w:val="both"/>
        <w:rPr>
          <w:rFonts w:eastAsia="Calibri" w:cs="Calibri"/>
          <w:sz w:val="22"/>
          <w:szCs w:val="22"/>
        </w:rPr>
      </w:pPr>
      <w:r>
        <w:rPr>
          <w:rFonts w:eastAsia="Calibri" w:cs="Calibri"/>
          <w:sz w:val="22"/>
          <w:szCs w:val="22"/>
        </w:rPr>
        <w:t>T</w:t>
      </w:r>
      <w:r w:rsidR="00032A5D" w:rsidRPr="00DA76FF">
        <w:rPr>
          <w:rFonts w:eastAsia="Calibri" w:cs="Calibri"/>
          <w:sz w:val="22"/>
          <w:szCs w:val="22"/>
        </w:rPr>
        <w:t xml:space="preserve">he e-Submission system was further improved to allow administrations and operating agencies to </w:t>
      </w:r>
      <w:r w:rsidR="00032A5D" w:rsidRPr="00A52865">
        <w:rPr>
          <w:rFonts w:eastAsia="Calibri" w:cs="Calibri"/>
          <w:spacing w:val="2"/>
          <w:sz w:val="22"/>
          <w:szCs w:val="22"/>
        </w:rPr>
        <w:t>upload satellite network filings in SNS v10 format, including the new types of filings introduced at</w:t>
      </w:r>
      <w:r w:rsidR="00032A5D" w:rsidRPr="00DA76FF">
        <w:rPr>
          <w:rFonts w:eastAsia="Calibri" w:cs="Calibri"/>
          <w:sz w:val="22"/>
          <w:szCs w:val="22"/>
        </w:rPr>
        <w:t xml:space="preserve"> WRC-23, on 20 December 2024.</w:t>
      </w:r>
    </w:p>
    <w:p w14:paraId="402E90FC" w14:textId="2C64FF45" w:rsidR="00032A5D" w:rsidRPr="00DA76FF" w:rsidRDefault="00032A5D" w:rsidP="001E30C2">
      <w:pPr>
        <w:spacing w:after="120"/>
        <w:jc w:val="both"/>
        <w:rPr>
          <w:rFonts w:eastAsia="Calibri" w:cs="Calibri"/>
          <w:sz w:val="22"/>
          <w:szCs w:val="22"/>
        </w:rPr>
      </w:pPr>
      <w:r w:rsidRPr="00DA76FF">
        <w:rPr>
          <w:rFonts w:eastAsia="Calibri" w:cs="Calibri"/>
          <w:sz w:val="22"/>
          <w:szCs w:val="22"/>
        </w:rPr>
        <w:t xml:space="preserve">Furthermore, the new functions to integrate the e-Submission and e-Communications systems were introduced on 6 March 2024. This enhancement further facilitates administrations and </w:t>
      </w:r>
      <w:r w:rsidRPr="00A52865">
        <w:rPr>
          <w:rFonts w:eastAsia="Calibri" w:cs="Calibri"/>
          <w:spacing w:val="2"/>
          <w:sz w:val="22"/>
          <w:szCs w:val="22"/>
        </w:rPr>
        <w:t>intergovernmental satellite organizations to efficiently review satellite network filings submitted via</w:t>
      </w:r>
      <w:r w:rsidRPr="00DA76FF">
        <w:rPr>
          <w:rFonts w:eastAsia="Calibri" w:cs="Calibri"/>
          <w:sz w:val="22"/>
          <w:szCs w:val="22"/>
        </w:rPr>
        <w:t xml:space="preserve"> e-Submission and manage correspondences between the notifying administration and the </w:t>
      </w:r>
      <w:r w:rsidR="00E73D7B">
        <w:rPr>
          <w:rFonts w:eastAsia="Calibri" w:cs="Calibri"/>
          <w:sz w:val="22"/>
          <w:szCs w:val="22"/>
        </w:rPr>
        <w:t>ITU Radiocommunication Bureau</w:t>
      </w:r>
      <w:r w:rsidR="00E73D7B" w:rsidRPr="00DA76FF">
        <w:rPr>
          <w:rFonts w:eastAsia="Calibri" w:cs="Calibri"/>
          <w:sz w:val="22"/>
          <w:szCs w:val="22"/>
        </w:rPr>
        <w:t xml:space="preserve"> </w:t>
      </w:r>
      <w:r w:rsidRPr="00DA76FF">
        <w:rPr>
          <w:rFonts w:eastAsia="Calibri" w:cs="Calibri"/>
          <w:sz w:val="22"/>
          <w:szCs w:val="22"/>
        </w:rPr>
        <w:t>or other administrations on e-Communications.</w:t>
      </w:r>
    </w:p>
    <w:p w14:paraId="557CE07F" w14:textId="77777777" w:rsidR="00032A5D" w:rsidRPr="00DA76FF" w:rsidRDefault="00032A5D" w:rsidP="001E30C2">
      <w:pPr>
        <w:keepNext/>
        <w:keepLines/>
        <w:spacing w:after="120"/>
        <w:rPr>
          <w:b/>
          <w:bCs/>
        </w:rPr>
      </w:pPr>
      <w:r w:rsidRPr="00DA76FF">
        <w:rPr>
          <w:b/>
          <w:bCs/>
        </w:rPr>
        <w:lastRenderedPageBreak/>
        <w:t>Advancement in software and tools for terrestrial services</w:t>
      </w:r>
    </w:p>
    <w:p w14:paraId="32BD56E2" w14:textId="46D15A30" w:rsidR="00032A5D" w:rsidRPr="00DA76FF" w:rsidRDefault="00032A5D" w:rsidP="001E30C2">
      <w:pPr>
        <w:keepNext/>
        <w:keepLines/>
        <w:spacing w:after="120"/>
        <w:jc w:val="both"/>
        <w:rPr>
          <w:rFonts w:eastAsia="Calibri" w:cs="Calibri"/>
          <w:sz w:val="22"/>
          <w:szCs w:val="22"/>
        </w:rPr>
      </w:pPr>
      <w:r w:rsidRPr="00DA76FF">
        <w:rPr>
          <w:rFonts w:eastAsia="Calibri" w:cs="Calibri"/>
          <w:sz w:val="22"/>
          <w:szCs w:val="22"/>
        </w:rPr>
        <w:t xml:space="preserve">The development of software modules and associated tools continued during the reporting period, </w:t>
      </w:r>
      <w:r w:rsidR="00627585">
        <w:rPr>
          <w:rFonts w:eastAsia="Calibri" w:cs="Calibri"/>
          <w:sz w:val="22"/>
          <w:szCs w:val="22"/>
        </w:rPr>
        <w:t xml:space="preserve">with activities </w:t>
      </w:r>
      <w:r w:rsidR="007911EF">
        <w:rPr>
          <w:rFonts w:eastAsia="Calibri" w:cs="Calibri"/>
          <w:sz w:val="22"/>
          <w:szCs w:val="22"/>
        </w:rPr>
        <w:t>in the ITU Radiocommunication Bureau</w:t>
      </w:r>
      <w:r w:rsidR="007911EF" w:rsidRPr="00DA76FF">
        <w:rPr>
          <w:rFonts w:eastAsia="Calibri" w:cs="Calibri"/>
          <w:sz w:val="22"/>
          <w:szCs w:val="22"/>
        </w:rPr>
        <w:t xml:space="preserve"> </w:t>
      </w:r>
      <w:r w:rsidRPr="00DA76FF">
        <w:rPr>
          <w:rFonts w:eastAsia="Calibri" w:cs="Calibri"/>
          <w:sz w:val="22"/>
          <w:szCs w:val="22"/>
        </w:rPr>
        <w:t>including:</w:t>
      </w:r>
    </w:p>
    <w:p w14:paraId="24BAE16A" w14:textId="79A840F8" w:rsidR="00032A5D" w:rsidRPr="00DA76FF" w:rsidRDefault="00627585" w:rsidP="00D368C7">
      <w:pPr>
        <w:numPr>
          <w:ilvl w:val="0"/>
          <w:numId w:val="21"/>
        </w:numPr>
        <w:tabs>
          <w:tab w:val="clear" w:pos="720"/>
          <w:tab w:val="num" w:pos="540"/>
        </w:tabs>
        <w:spacing w:before="0" w:after="160"/>
        <w:ind w:left="539" w:hanging="539"/>
        <w:contextualSpacing/>
        <w:jc w:val="both"/>
        <w:rPr>
          <w:rFonts w:eastAsia="Calibri" w:cs="Calibri"/>
          <w:color w:val="000000" w:themeColor="text1"/>
          <w:sz w:val="22"/>
          <w:szCs w:val="22"/>
        </w:rPr>
      </w:pPr>
      <w:r>
        <w:rPr>
          <w:rFonts w:eastAsia="Calibri" w:cs="Calibri"/>
          <w:sz w:val="22"/>
          <w:szCs w:val="22"/>
        </w:rPr>
        <w:t>p</w:t>
      </w:r>
      <w:r w:rsidR="00032A5D" w:rsidRPr="00DA76FF">
        <w:rPr>
          <w:rFonts w:eastAsia="Calibri" w:cs="Calibri"/>
          <w:sz w:val="22"/>
          <w:szCs w:val="22"/>
        </w:rPr>
        <w:t>rocessing of coordination requests under RR No. 9.21 and of HAPS notifications,</w:t>
      </w:r>
    </w:p>
    <w:p w14:paraId="306653A9" w14:textId="4E464A96" w:rsidR="00032A5D" w:rsidRPr="00DA76FF" w:rsidRDefault="00032A5D" w:rsidP="00D368C7">
      <w:pPr>
        <w:numPr>
          <w:ilvl w:val="0"/>
          <w:numId w:val="21"/>
        </w:numPr>
        <w:tabs>
          <w:tab w:val="clear" w:pos="720"/>
          <w:tab w:val="num" w:pos="540"/>
        </w:tabs>
        <w:spacing w:before="0" w:after="160"/>
        <w:ind w:left="539" w:hanging="539"/>
        <w:contextualSpacing/>
        <w:jc w:val="both"/>
        <w:rPr>
          <w:rFonts w:eastAsia="Calibri" w:cs="Calibri"/>
          <w:color w:val="000000" w:themeColor="text1"/>
          <w:sz w:val="22"/>
          <w:szCs w:val="22"/>
        </w:rPr>
      </w:pPr>
      <w:r w:rsidRPr="00DA76FF">
        <w:rPr>
          <w:rFonts w:eastAsia="Calibri" w:cs="Calibri"/>
          <w:sz w:val="22"/>
          <w:szCs w:val="22"/>
        </w:rPr>
        <w:t>HFBC software re-engineering,</w:t>
      </w:r>
    </w:p>
    <w:p w14:paraId="60A43E0E" w14:textId="108E32C2" w:rsidR="00032A5D" w:rsidRPr="00DA76FF" w:rsidRDefault="00627585" w:rsidP="00D368C7">
      <w:pPr>
        <w:numPr>
          <w:ilvl w:val="0"/>
          <w:numId w:val="21"/>
        </w:numPr>
        <w:tabs>
          <w:tab w:val="clear" w:pos="720"/>
          <w:tab w:val="num" w:pos="540"/>
        </w:tabs>
        <w:spacing w:before="0" w:after="160"/>
        <w:ind w:left="539" w:hanging="539"/>
        <w:contextualSpacing/>
        <w:jc w:val="both"/>
        <w:rPr>
          <w:rFonts w:eastAsia="Calibri" w:cs="Calibri"/>
          <w:sz w:val="22"/>
          <w:szCs w:val="22"/>
        </w:rPr>
      </w:pPr>
      <w:r>
        <w:rPr>
          <w:rFonts w:eastAsia="Calibri" w:cs="Calibri"/>
          <w:sz w:val="22"/>
          <w:szCs w:val="22"/>
        </w:rPr>
        <w:t>m</w:t>
      </w:r>
      <w:r w:rsidR="00032A5D" w:rsidRPr="00DA76FF">
        <w:rPr>
          <w:rFonts w:eastAsia="Calibri" w:cs="Calibri"/>
          <w:sz w:val="22"/>
          <w:szCs w:val="22"/>
        </w:rPr>
        <w:t>odernization of the database platform for frequency assignment to terrestrial services,</w:t>
      </w:r>
    </w:p>
    <w:p w14:paraId="17ED79C0" w14:textId="3728FBF3" w:rsidR="00032A5D" w:rsidRPr="00DA76FF" w:rsidRDefault="00032A5D" w:rsidP="00D368C7">
      <w:pPr>
        <w:numPr>
          <w:ilvl w:val="0"/>
          <w:numId w:val="21"/>
        </w:numPr>
        <w:tabs>
          <w:tab w:val="clear" w:pos="720"/>
          <w:tab w:val="num" w:pos="540"/>
        </w:tabs>
        <w:spacing w:before="0" w:after="160"/>
        <w:ind w:left="539" w:hanging="539"/>
        <w:contextualSpacing/>
        <w:jc w:val="both"/>
        <w:rPr>
          <w:rFonts w:eastAsia="Calibri" w:cs="Calibri"/>
          <w:color w:val="000000" w:themeColor="text1"/>
          <w:sz w:val="22"/>
          <w:szCs w:val="22"/>
        </w:rPr>
      </w:pPr>
      <w:r w:rsidRPr="00DA76FF">
        <w:rPr>
          <w:rFonts w:eastAsia="Calibri" w:cs="Calibri"/>
          <w:sz w:val="22"/>
          <w:szCs w:val="22"/>
        </w:rPr>
        <w:t>BR</w:t>
      </w:r>
      <w:r w:rsidR="006C5418">
        <w:rPr>
          <w:rFonts w:eastAsia="Calibri" w:cs="Calibri"/>
          <w:sz w:val="22"/>
          <w:szCs w:val="22"/>
        </w:rPr>
        <w:t xml:space="preserve"> </w:t>
      </w:r>
      <w:r w:rsidRPr="00DA76FF">
        <w:rPr>
          <w:rFonts w:eastAsia="Calibri" w:cs="Calibri"/>
          <w:sz w:val="22"/>
          <w:szCs w:val="22"/>
        </w:rPr>
        <w:t>IFIC (Terrestrial services) online application,</w:t>
      </w:r>
    </w:p>
    <w:p w14:paraId="0C648C5A" w14:textId="1EEE7073" w:rsidR="00032A5D" w:rsidRPr="00DA76FF" w:rsidRDefault="00032A5D" w:rsidP="00D368C7">
      <w:pPr>
        <w:numPr>
          <w:ilvl w:val="0"/>
          <w:numId w:val="19"/>
        </w:numPr>
        <w:tabs>
          <w:tab w:val="num" w:pos="540"/>
        </w:tabs>
        <w:spacing w:before="0" w:after="160"/>
        <w:ind w:left="539" w:hanging="539"/>
        <w:contextualSpacing/>
        <w:jc w:val="both"/>
        <w:rPr>
          <w:rFonts w:eastAsia="Calibri" w:cs="Calibri"/>
          <w:color w:val="000000" w:themeColor="text1"/>
          <w:sz w:val="22"/>
          <w:szCs w:val="22"/>
        </w:rPr>
      </w:pPr>
      <w:r w:rsidRPr="00DA76FF">
        <w:rPr>
          <w:rFonts w:eastAsia="Calibri" w:cs="Calibri"/>
          <w:sz w:val="22"/>
          <w:szCs w:val="22"/>
        </w:rPr>
        <w:t>Geographic Information Systems (GIS) and GIS Task Force,</w:t>
      </w:r>
    </w:p>
    <w:p w14:paraId="086904C2" w14:textId="687DB316" w:rsidR="00032A5D" w:rsidRPr="00DA76FF" w:rsidRDefault="00032A5D" w:rsidP="00D368C7">
      <w:pPr>
        <w:numPr>
          <w:ilvl w:val="0"/>
          <w:numId w:val="21"/>
        </w:numPr>
        <w:tabs>
          <w:tab w:val="clear" w:pos="720"/>
          <w:tab w:val="num" w:pos="540"/>
        </w:tabs>
        <w:spacing w:before="0" w:after="160"/>
        <w:ind w:left="539" w:hanging="539"/>
        <w:contextualSpacing/>
        <w:jc w:val="both"/>
        <w:rPr>
          <w:rFonts w:eastAsia="Calibri" w:cs="Calibri"/>
          <w:sz w:val="22"/>
          <w:szCs w:val="22"/>
        </w:rPr>
      </w:pPr>
      <w:r w:rsidRPr="00DA76FF">
        <w:rPr>
          <w:rFonts w:eastAsia="Calibri" w:cs="Calibri"/>
          <w:sz w:val="22"/>
          <w:szCs w:val="22"/>
        </w:rPr>
        <w:t>further development of terrestrial web tools and their integration into a single portal,</w:t>
      </w:r>
    </w:p>
    <w:p w14:paraId="3FE83276" w14:textId="394C300E" w:rsidR="00032A5D" w:rsidRPr="00DA76FF" w:rsidRDefault="00032A5D" w:rsidP="00D368C7">
      <w:pPr>
        <w:numPr>
          <w:ilvl w:val="0"/>
          <w:numId w:val="21"/>
        </w:numPr>
        <w:tabs>
          <w:tab w:val="clear" w:pos="720"/>
          <w:tab w:val="num" w:pos="540"/>
        </w:tabs>
        <w:spacing w:before="0" w:after="160"/>
        <w:ind w:left="539" w:hanging="539"/>
        <w:contextualSpacing/>
        <w:jc w:val="both"/>
        <w:rPr>
          <w:rFonts w:eastAsia="Calibri" w:cs="Calibri"/>
          <w:sz w:val="22"/>
          <w:szCs w:val="22"/>
        </w:rPr>
      </w:pPr>
      <w:r w:rsidRPr="00DA76FF">
        <w:rPr>
          <w:rFonts w:eastAsia="Calibri" w:cs="Calibri"/>
          <w:sz w:val="22"/>
          <w:szCs w:val="22"/>
        </w:rPr>
        <w:t>Maritime Service Publications Project: online sales platform and the desktop application containing three digital publications (List IV, List V and Maritime Manual), and</w:t>
      </w:r>
    </w:p>
    <w:p w14:paraId="49E4A43F" w14:textId="3ADC537E" w:rsidR="00032A5D" w:rsidRPr="00DA76FF" w:rsidRDefault="00AB40F2" w:rsidP="001E30C2">
      <w:pPr>
        <w:numPr>
          <w:ilvl w:val="0"/>
          <w:numId w:val="21"/>
        </w:numPr>
        <w:tabs>
          <w:tab w:val="clear" w:pos="720"/>
          <w:tab w:val="num" w:pos="540"/>
        </w:tabs>
        <w:spacing w:before="0" w:after="120"/>
        <w:ind w:left="539" w:hanging="539"/>
        <w:jc w:val="both"/>
        <w:rPr>
          <w:rFonts w:eastAsia="Calibri" w:cs="Calibri"/>
          <w:sz w:val="22"/>
          <w:szCs w:val="22"/>
        </w:rPr>
      </w:pPr>
      <w:r>
        <w:rPr>
          <w:rFonts w:eastAsia="Calibri" w:cs="Calibri"/>
          <w:sz w:val="22"/>
          <w:szCs w:val="22"/>
        </w:rPr>
        <w:t>h</w:t>
      </w:r>
      <w:r w:rsidR="00032A5D" w:rsidRPr="00DA76FF">
        <w:rPr>
          <w:rFonts w:eastAsia="Calibri" w:cs="Calibri"/>
          <w:sz w:val="22"/>
          <w:szCs w:val="22"/>
        </w:rPr>
        <w:t>armful Interference to Terrestrial Services (HITS): new online platform for the treatment of the reports of harmful interference and infringements.</w:t>
      </w:r>
    </w:p>
    <w:p w14:paraId="637DD462" w14:textId="317BCA69" w:rsidR="00032A5D" w:rsidRPr="00DA76FF" w:rsidRDefault="005624BD" w:rsidP="001E30C2">
      <w:pPr>
        <w:spacing w:after="120"/>
        <w:jc w:val="both"/>
        <w:rPr>
          <w:rFonts w:eastAsia="Calibri" w:cs="Calibri"/>
          <w:color w:val="000000" w:themeColor="text1"/>
          <w:sz w:val="22"/>
          <w:szCs w:val="22"/>
          <w:highlight w:val="yellow"/>
        </w:rPr>
      </w:pPr>
      <w:r>
        <w:rPr>
          <w:rFonts w:eastAsia="Calibri" w:cs="Calibri"/>
          <w:sz w:val="22"/>
          <w:szCs w:val="22"/>
        </w:rPr>
        <w:t xml:space="preserve">See ITU-R web pages for </w:t>
      </w:r>
      <w:hyperlink r:id="rId70" w:history="1">
        <w:r w:rsidRPr="005624BD">
          <w:rPr>
            <w:rStyle w:val="Hyperlink"/>
            <w:rFonts w:eastAsia="Calibri" w:cs="Calibri"/>
            <w:sz w:val="22"/>
            <w:szCs w:val="22"/>
          </w:rPr>
          <w:t>p</w:t>
        </w:r>
        <w:r w:rsidR="00032A5D" w:rsidRPr="005624BD">
          <w:rPr>
            <w:rStyle w:val="Hyperlink"/>
            <w:rFonts w:eastAsia="Calibri" w:cs="Calibri"/>
            <w:sz w:val="22"/>
            <w:szCs w:val="22"/>
          </w:rPr>
          <w:t>rogress in terrestrial services</w:t>
        </w:r>
      </w:hyperlink>
      <w:r w:rsidR="00032A5D" w:rsidRPr="00DA76FF">
        <w:rPr>
          <w:rFonts w:eastAsia="Calibri" w:cs="Calibri"/>
          <w:sz w:val="22"/>
          <w:szCs w:val="22"/>
        </w:rPr>
        <w:t>.</w:t>
      </w:r>
    </w:p>
    <w:p w14:paraId="6D49A916" w14:textId="377F4A15" w:rsidR="00032A5D" w:rsidRPr="00DA76FF" w:rsidRDefault="00032A5D" w:rsidP="001E30C2">
      <w:pPr>
        <w:spacing w:after="120"/>
        <w:jc w:val="both"/>
        <w:rPr>
          <w:rFonts w:eastAsia="Calibri" w:cs="Calibri"/>
          <w:sz w:val="22"/>
          <w:szCs w:val="22"/>
        </w:rPr>
      </w:pPr>
      <w:r w:rsidRPr="00DA76FF">
        <w:rPr>
          <w:rFonts w:eastAsia="Calibri" w:cs="Calibri"/>
          <w:sz w:val="22"/>
          <w:szCs w:val="22"/>
        </w:rPr>
        <w:t xml:space="preserve">The </w:t>
      </w:r>
      <w:r w:rsidR="00DF2021">
        <w:rPr>
          <w:rFonts w:eastAsia="Calibri" w:cs="Calibri"/>
          <w:sz w:val="22"/>
          <w:szCs w:val="22"/>
        </w:rPr>
        <w:t xml:space="preserve">Radiocommunication </w:t>
      </w:r>
      <w:r w:rsidRPr="00DA76FF">
        <w:rPr>
          <w:rFonts w:eastAsia="Calibri" w:cs="Calibri"/>
          <w:sz w:val="22"/>
          <w:szCs w:val="22"/>
        </w:rPr>
        <w:t>Bureau completed the update of the software used for processing and publication of terrestrial notices, both for internal (TerRaSys) and external (BR IFIC (Terrestrial)) utilization. These includes changes in the terrestrial databases, validation, and examination software, and reference tables for the frequency bands shared with space services, subject to RR No. 9.21, identified for IMT, etc. All necessary changes were implemented, and the complete integration is expected during 2025.</w:t>
      </w:r>
    </w:p>
    <w:p w14:paraId="40EF23BA" w14:textId="7518CCD9" w:rsidR="006D7F7A" w:rsidRPr="00DA76FF" w:rsidRDefault="00032A5D" w:rsidP="001E30C2">
      <w:pPr>
        <w:spacing w:after="120"/>
        <w:jc w:val="both"/>
        <w:rPr>
          <w:rFonts w:eastAsia="Calibri" w:cs="Calibri"/>
          <w:sz w:val="22"/>
          <w:szCs w:val="22"/>
        </w:rPr>
      </w:pPr>
      <w:r w:rsidRPr="00DA76FF">
        <w:rPr>
          <w:rFonts w:eastAsia="Calibri" w:cs="Calibri"/>
          <w:sz w:val="22"/>
          <w:szCs w:val="22"/>
        </w:rPr>
        <w:t xml:space="preserve">The </w:t>
      </w:r>
      <w:r w:rsidR="00DF2021">
        <w:rPr>
          <w:rFonts w:eastAsia="Calibri" w:cs="Calibri"/>
          <w:sz w:val="22"/>
          <w:szCs w:val="22"/>
        </w:rPr>
        <w:t>b</w:t>
      </w:r>
      <w:r w:rsidRPr="00DA76FF">
        <w:rPr>
          <w:rFonts w:eastAsia="Calibri" w:cs="Calibri"/>
          <w:sz w:val="22"/>
          <w:szCs w:val="22"/>
        </w:rPr>
        <w:t xml:space="preserve">ureau also developed the software modules for processing HIBS notifications (validation, examination and publication tools). This task included the development of calculation modules for </w:t>
      </w:r>
      <w:r w:rsidRPr="00EF6229">
        <w:rPr>
          <w:rFonts w:eastAsia="Calibri" w:cs="Calibri"/>
          <w:spacing w:val="-2"/>
          <w:sz w:val="22"/>
          <w:szCs w:val="22"/>
        </w:rPr>
        <w:t xml:space="preserve">checking technical conditions specified Resolutions </w:t>
      </w:r>
      <w:r w:rsidRPr="00EF6229">
        <w:rPr>
          <w:rFonts w:eastAsia="Calibri" w:cs="Calibri"/>
          <w:b/>
          <w:spacing w:val="-2"/>
          <w:sz w:val="22"/>
          <w:szCs w:val="22"/>
        </w:rPr>
        <w:t>213 (WRC-23)</w:t>
      </w:r>
      <w:r w:rsidRPr="00EF6229">
        <w:rPr>
          <w:rFonts w:eastAsia="Calibri" w:cs="Calibri"/>
          <w:spacing w:val="-2"/>
          <w:sz w:val="22"/>
          <w:szCs w:val="22"/>
        </w:rPr>
        <w:t xml:space="preserve">, </w:t>
      </w:r>
      <w:r w:rsidRPr="00EF6229">
        <w:rPr>
          <w:rFonts w:eastAsia="Calibri" w:cs="Calibri"/>
          <w:b/>
          <w:spacing w:val="-2"/>
          <w:sz w:val="22"/>
          <w:szCs w:val="22"/>
        </w:rPr>
        <w:t>221 (Rev.WRC-23)</w:t>
      </w:r>
      <w:r w:rsidRPr="00EF6229">
        <w:rPr>
          <w:rFonts w:eastAsia="Calibri" w:cs="Calibri"/>
          <w:spacing w:val="-2"/>
          <w:sz w:val="22"/>
          <w:szCs w:val="22"/>
        </w:rPr>
        <w:t xml:space="preserve"> and</w:t>
      </w:r>
      <w:r w:rsidRPr="00DA76FF">
        <w:rPr>
          <w:rFonts w:eastAsia="Calibri" w:cs="Calibri"/>
          <w:sz w:val="22"/>
          <w:szCs w:val="22"/>
        </w:rPr>
        <w:t xml:space="preserve"> </w:t>
      </w:r>
      <w:r w:rsidRPr="00DA76FF">
        <w:rPr>
          <w:rFonts w:eastAsia="Calibri" w:cs="Calibri"/>
          <w:b/>
          <w:sz w:val="22"/>
          <w:szCs w:val="22"/>
        </w:rPr>
        <w:t>218 (WRC-23)</w:t>
      </w:r>
      <w:r w:rsidRPr="00DA76FF">
        <w:rPr>
          <w:rFonts w:eastAsia="Calibri" w:cs="Calibri"/>
          <w:sz w:val="22"/>
          <w:szCs w:val="22"/>
        </w:rPr>
        <w:t>, the changes in the database and filing structure.</w:t>
      </w:r>
    </w:p>
    <w:p w14:paraId="43DBDF6D" w14:textId="6C8CCD3A" w:rsidR="00E87BCB" w:rsidRPr="00DA76FF" w:rsidRDefault="001B47F9" w:rsidP="00C754AC">
      <w:pPr>
        <w:pStyle w:val="Heading3"/>
        <w:tabs>
          <w:tab w:val="clear" w:pos="567"/>
        </w:tabs>
        <w:spacing w:before="120" w:after="120"/>
      </w:pPr>
      <w:bookmarkStart w:id="33" w:name="_Toc198569356"/>
      <w:r w:rsidRPr="00DA76FF">
        <w:t>4</w:t>
      </w:r>
      <w:r w:rsidR="00E87BCB" w:rsidRPr="00DA76FF">
        <w:t>.2.</w:t>
      </w:r>
      <w:r w:rsidR="00B8192B" w:rsidRPr="00DA76FF">
        <w:t>2</w:t>
      </w:r>
      <w:r w:rsidR="00E87BCB" w:rsidRPr="00DA76FF">
        <w:tab/>
      </w:r>
      <w:r w:rsidR="003F4947" w:rsidRPr="00DA76FF">
        <w:t>N</w:t>
      </w:r>
      <w:r w:rsidR="00E87BCB" w:rsidRPr="00DA76FF">
        <w:t>umbering, naming, addressing and identification resources</w:t>
      </w:r>
      <w:bookmarkEnd w:id="33"/>
    </w:p>
    <w:p w14:paraId="13F71117" w14:textId="368F013A" w:rsidR="002C4A56" w:rsidRPr="00DA76FF" w:rsidRDefault="002C4A56" w:rsidP="001E30C2">
      <w:pPr>
        <w:spacing w:after="120"/>
        <w:rPr>
          <w:rFonts w:cs="Calibri"/>
          <w:b/>
          <w:bCs/>
          <w:sz w:val="22"/>
          <w:szCs w:val="22"/>
        </w:rPr>
      </w:pPr>
      <w:r w:rsidRPr="00DA76FF">
        <w:rPr>
          <w:rFonts w:cs="Calibri"/>
          <w:b/>
          <w:bCs/>
          <w:sz w:val="22"/>
          <w:szCs w:val="22"/>
        </w:rPr>
        <w:t xml:space="preserve">Enhancing </w:t>
      </w:r>
      <w:r w:rsidR="007911EF">
        <w:rPr>
          <w:rFonts w:cs="Calibri"/>
          <w:b/>
          <w:bCs/>
          <w:sz w:val="22"/>
          <w:szCs w:val="22"/>
        </w:rPr>
        <w:t>g</w:t>
      </w:r>
      <w:r w:rsidRPr="00DA76FF">
        <w:rPr>
          <w:rFonts w:cs="Calibri"/>
          <w:b/>
          <w:bCs/>
          <w:sz w:val="22"/>
          <w:szCs w:val="22"/>
        </w:rPr>
        <w:t xml:space="preserve">lobal </w:t>
      </w:r>
      <w:r w:rsidR="007911EF">
        <w:rPr>
          <w:rFonts w:cs="Calibri"/>
          <w:b/>
          <w:bCs/>
          <w:sz w:val="22"/>
          <w:szCs w:val="22"/>
        </w:rPr>
        <w:t>c</w:t>
      </w:r>
      <w:r w:rsidRPr="00DA76FF">
        <w:rPr>
          <w:rFonts w:cs="Calibri"/>
          <w:b/>
          <w:bCs/>
          <w:sz w:val="22"/>
          <w:szCs w:val="22"/>
        </w:rPr>
        <w:t xml:space="preserve">onnectivity: Evolution of NNAI </w:t>
      </w:r>
      <w:r w:rsidR="007911EF">
        <w:rPr>
          <w:rFonts w:cs="Calibri"/>
          <w:b/>
          <w:bCs/>
          <w:sz w:val="22"/>
          <w:szCs w:val="22"/>
        </w:rPr>
        <w:t>r</w:t>
      </w:r>
      <w:r w:rsidRPr="00DA76FF">
        <w:rPr>
          <w:rFonts w:cs="Calibri"/>
          <w:b/>
          <w:bCs/>
          <w:sz w:val="22"/>
          <w:szCs w:val="22"/>
        </w:rPr>
        <w:t xml:space="preserve">esource </w:t>
      </w:r>
      <w:r w:rsidR="007911EF">
        <w:rPr>
          <w:rFonts w:cs="Calibri"/>
          <w:b/>
          <w:bCs/>
          <w:sz w:val="22"/>
          <w:szCs w:val="22"/>
        </w:rPr>
        <w:t>m</w:t>
      </w:r>
      <w:r w:rsidRPr="00DA76FF">
        <w:rPr>
          <w:rFonts w:cs="Calibri"/>
          <w:b/>
          <w:bCs/>
          <w:sz w:val="22"/>
          <w:szCs w:val="22"/>
        </w:rPr>
        <w:t>anagement</w:t>
      </w:r>
    </w:p>
    <w:p w14:paraId="08574C77" w14:textId="77777777" w:rsidR="002C4A56" w:rsidRPr="00DA76FF" w:rsidRDefault="002C4A56" w:rsidP="001E30C2">
      <w:pPr>
        <w:spacing w:after="120"/>
        <w:jc w:val="both"/>
        <w:rPr>
          <w:rFonts w:cs="Calibri"/>
          <w:sz w:val="22"/>
          <w:szCs w:val="22"/>
        </w:rPr>
      </w:pPr>
      <w:r w:rsidRPr="00DA76FF">
        <w:rPr>
          <w:rFonts w:cs="Calibri"/>
          <w:sz w:val="22"/>
          <w:szCs w:val="22"/>
        </w:rPr>
        <w:t>In recent years, there has been a growing demand for international telecommunication numbering, naming, addressing, and identification (NNAI) resources, driven largely by the growth of machine-to-machine (M2M) and Internet of Things (IoT) services. Additionally, the scope of numbering assignments has broadened to include services provided via Low Earth Orbit (LEO) satellites, expanding beyond traditional Geostationary Orbit (GEO) satellites. These NNAI resources are increasingly serving as global identifiers for a diverse range of users and services, extending well beyond conventional telecommunication applications.</w:t>
      </w:r>
    </w:p>
    <w:p w14:paraId="3315AE68" w14:textId="125E091C" w:rsidR="002C4A56" w:rsidRPr="00DA76FF" w:rsidRDefault="002C4A56" w:rsidP="001E30C2">
      <w:pPr>
        <w:spacing w:after="120"/>
        <w:jc w:val="both"/>
        <w:rPr>
          <w:rFonts w:cs="Calibri"/>
          <w:sz w:val="22"/>
          <w:szCs w:val="22"/>
        </w:rPr>
      </w:pPr>
      <w:r w:rsidRPr="00DA76FF">
        <w:rPr>
          <w:rFonts w:cs="Calibri"/>
          <w:sz w:val="22"/>
          <w:szCs w:val="22"/>
        </w:rPr>
        <w:t xml:space="preserve">The dynamic nature of international mobile subscriber identity numbers, particularly with the introduction of embedded SIM cards (eSIMs), highlights the need for enhanced flexibility and adaptability in resource management. Promoting innovation and fostering an enabling environment for the adoption and effective use of new and emerging </w:t>
      </w:r>
      <w:r w:rsidR="00ED28F9">
        <w:rPr>
          <w:rFonts w:cs="Calibri"/>
          <w:sz w:val="22"/>
          <w:szCs w:val="22"/>
        </w:rPr>
        <w:t xml:space="preserve">digital </w:t>
      </w:r>
      <w:r w:rsidRPr="00DA76FF">
        <w:rPr>
          <w:rFonts w:cs="Calibri"/>
          <w:sz w:val="22"/>
          <w:szCs w:val="22"/>
        </w:rPr>
        <w:t>technologies is crucial. This involves the establishment of robust international telecommunication management infrastructure to support these advancements.</w:t>
      </w:r>
    </w:p>
    <w:p w14:paraId="1BAB1F3B" w14:textId="5098F7D8" w:rsidR="002C4A56" w:rsidRPr="00DA76FF" w:rsidRDefault="002C4A56" w:rsidP="001E30C2">
      <w:pPr>
        <w:spacing w:after="120"/>
        <w:jc w:val="both"/>
        <w:rPr>
          <w:rFonts w:cs="Calibri"/>
          <w:sz w:val="22"/>
          <w:szCs w:val="22"/>
        </w:rPr>
      </w:pPr>
      <w:r w:rsidRPr="00DA76FF">
        <w:rPr>
          <w:rFonts w:cs="Calibri"/>
          <w:sz w:val="22"/>
          <w:szCs w:val="22"/>
        </w:rPr>
        <w:t xml:space="preserve">At WTSA-24 in </w:t>
      </w:r>
      <w:r w:rsidR="007D5A9F">
        <w:rPr>
          <w:rFonts w:cs="Calibri"/>
          <w:sz w:val="22"/>
          <w:szCs w:val="22"/>
        </w:rPr>
        <w:t>October</w:t>
      </w:r>
      <w:r w:rsidR="007D5A9F" w:rsidRPr="00DA76FF">
        <w:rPr>
          <w:rFonts w:cs="Calibri"/>
          <w:sz w:val="22"/>
          <w:szCs w:val="22"/>
        </w:rPr>
        <w:t xml:space="preserve"> </w:t>
      </w:r>
      <w:r w:rsidRPr="00DA76FF">
        <w:rPr>
          <w:rFonts w:cs="Calibri"/>
          <w:sz w:val="22"/>
          <w:szCs w:val="22"/>
        </w:rPr>
        <w:t xml:space="preserve">2024, most </w:t>
      </w:r>
      <w:r w:rsidR="00EF6229">
        <w:rPr>
          <w:rFonts w:cs="Calibri"/>
          <w:sz w:val="22"/>
          <w:szCs w:val="22"/>
        </w:rPr>
        <w:t>r</w:t>
      </w:r>
      <w:r w:rsidRPr="00DA76FF">
        <w:rPr>
          <w:rFonts w:cs="Calibri"/>
          <w:sz w:val="22"/>
          <w:szCs w:val="22"/>
        </w:rPr>
        <w:t xml:space="preserve">esolutions relevant to </w:t>
      </w:r>
      <w:r w:rsidR="000A036F" w:rsidRPr="00DA76FF">
        <w:rPr>
          <w:rFonts w:cs="Calibri"/>
          <w:sz w:val="22"/>
          <w:szCs w:val="22"/>
        </w:rPr>
        <w:t>i</w:t>
      </w:r>
      <w:r w:rsidRPr="00DA76FF">
        <w:rPr>
          <w:rFonts w:cs="Calibri"/>
          <w:sz w:val="22"/>
          <w:szCs w:val="22"/>
        </w:rPr>
        <w:t xml:space="preserve">nternational </w:t>
      </w:r>
      <w:r w:rsidR="000A036F" w:rsidRPr="00DA76FF">
        <w:rPr>
          <w:rFonts w:cs="Calibri"/>
          <w:sz w:val="22"/>
          <w:szCs w:val="22"/>
        </w:rPr>
        <w:t>t</w:t>
      </w:r>
      <w:r w:rsidRPr="00DA76FF">
        <w:rPr>
          <w:rFonts w:cs="Calibri"/>
          <w:sz w:val="22"/>
          <w:szCs w:val="22"/>
        </w:rPr>
        <w:t xml:space="preserve">elecommunication numbering resources </w:t>
      </w:r>
      <w:r w:rsidR="007D5A9F">
        <w:rPr>
          <w:rFonts w:cs="Calibri"/>
          <w:sz w:val="22"/>
          <w:szCs w:val="22"/>
        </w:rPr>
        <w:t>were</w:t>
      </w:r>
      <w:r w:rsidRPr="00DA76FF">
        <w:rPr>
          <w:rFonts w:cs="Calibri"/>
          <w:sz w:val="22"/>
          <w:szCs w:val="22"/>
        </w:rPr>
        <w:t xml:space="preserve"> revised to address the above challenges. ITU-T Study Group 2 plays a pivotal role as the lead group in addressing the complexities of numbering, naming, addressing, and identification. To meet evolving demands, </w:t>
      </w:r>
      <w:r w:rsidR="006A2DD0">
        <w:rPr>
          <w:rFonts w:cs="Calibri"/>
          <w:sz w:val="22"/>
          <w:szCs w:val="22"/>
        </w:rPr>
        <w:t xml:space="preserve">ITU-T </w:t>
      </w:r>
      <w:r w:rsidRPr="00DA76FF">
        <w:rPr>
          <w:rFonts w:cs="Calibri"/>
          <w:sz w:val="22"/>
          <w:szCs w:val="22"/>
        </w:rPr>
        <w:t>S</w:t>
      </w:r>
      <w:r w:rsidR="006A2DD0">
        <w:rPr>
          <w:rFonts w:cs="Calibri"/>
          <w:sz w:val="22"/>
          <w:szCs w:val="22"/>
        </w:rPr>
        <w:t xml:space="preserve">tudy </w:t>
      </w:r>
      <w:r w:rsidRPr="00DA76FF">
        <w:rPr>
          <w:rFonts w:cs="Calibri"/>
          <w:sz w:val="22"/>
          <w:szCs w:val="22"/>
        </w:rPr>
        <w:t>G</w:t>
      </w:r>
      <w:r w:rsidR="006A2DD0">
        <w:rPr>
          <w:rFonts w:cs="Calibri"/>
          <w:sz w:val="22"/>
          <w:szCs w:val="22"/>
        </w:rPr>
        <w:t xml:space="preserve">roup </w:t>
      </w:r>
      <w:r w:rsidRPr="00DA76FF">
        <w:rPr>
          <w:rFonts w:cs="Calibri"/>
          <w:sz w:val="22"/>
          <w:szCs w:val="22"/>
        </w:rPr>
        <w:t>2 has actively revis</w:t>
      </w:r>
      <w:r w:rsidR="005F2439">
        <w:rPr>
          <w:rFonts w:cs="Calibri"/>
          <w:sz w:val="22"/>
          <w:szCs w:val="22"/>
        </w:rPr>
        <w:t>ed</w:t>
      </w:r>
      <w:r w:rsidRPr="00DA76FF">
        <w:rPr>
          <w:rFonts w:cs="Calibri"/>
          <w:sz w:val="22"/>
          <w:szCs w:val="22"/>
        </w:rPr>
        <w:t xml:space="preserve"> relevant recommendations</w:t>
      </w:r>
      <w:r w:rsidR="005F2439">
        <w:rPr>
          <w:rFonts w:cs="Calibri"/>
          <w:sz w:val="22"/>
          <w:szCs w:val="22"/>
        </w:rPr>
        <w:t>, as well as</w:t>
      </w:r>
      <w:r w:rsidRPr="00DA76FF">
        <w:rPr>
          <w:rFonts w:cs="Calibri"/>
          <w:sz w:val="22"/>
          <w:szCs w:val="22"/>
        </w:rPr>
        <w:t xml:space="preserve"> introduc</w:t>
      </w:r>
      <w:r w:rsidR="005F2439">
        <w:rPr>
          <w:rFonts w:cs="Calibri"/>
          <w:sz w:val="22"/>
          <w:szCs w:val="22"/>
        </w:rPr>
        <w:t>ing</w:t>
      </w:r>
      <w:r w:rsidRPr="00DA76FF">
        <w:rPr>
          <w:rFonts w:cs="Calibri"/>
          <w:sz w:val="22"/>
          <w:szCs w:val="22"/>
        </w:rPr>
        <w:t xml:space="preserve"> new </w:t>
      </w:r>
      <w:r w:rsidR="008C266E">
        <w:rPr>
          <w:rFonts w:cs="Calibri"/>
          <w:sz w:val="22"/>
          <w:szCs w:val="22"/>
        </w:rPr>
        <w:t>r</w:t>
      </w:r>
      <w:r w:rsidRPr="00DA76FF">
        <w:rPr>
          <w:rFonts w:cs="Calibri"/>
          <w:sz w:val="22"/>
          <w:szCs w:val="22"/>
        </w:rPr>
        <w:t xml:space="preserve">ecommendations </w:t>
      </w:r>
      <w:r w:rsidR="005F2439">
        <w:rPr>
          <w:rFonts w:cs="Calibri"/>
          <w:sz w:val="22"/>
          <w:szCs w:val="22"/>
        </w:rPr>
        <w:t>defining</w:t>
      </w:r>
      <w:r w:rsidRPr="00DA76FF">
        <w:rPr>
          <w:rFonts w:cs="Calibri"/>
          <w:sz w:val="22"/>
          <w:szCs w:val="22"/>
        </w:rPr>
        <w:t xml:space="preserve"> procedures for applicants, </w:t>
      </w:r>
      <w:r w:rsidR="008F2736">
        <w:rPr>
          <w:rFonts w:cs="Calibri"/>
          <w:sz w:val="22"/>
          <w:szCs w:val="22"/>
        </w:rPr>
        <w:t xml:space="preserve">as well as for </w:t>
      </w:r>
      <w:r w:rsidR="008C266E">
        <w:rPr>
          <w:rFonts w:cs="Calibri"/>
          <w:sz w:val="22"/>
          <w:szCs w:val="22"/>
        </w:rPr>
        <w:t>ITU’s</w:t>
      </w:r>
      <w:r w:rsidRPr="00DA76FF">
        <w:rPr>
          <w:rFonts w:cs="Calibri"/>
          <w:sz w:val="22"/>
          <w:szCs w:val="22"/>
        </w:rPr>
        <w:t xml:space="preserve"> Telecommunication Standardization </w:t>
      </w:r>
      <w:r w:rsidR="008C266E">
        <w:rPr>
          <w:rFonts w:cs="Calibri"/>
          <w:sz w:val="22"/>
          <w:szCs w:val="22"/>
        </w:rPr>
        <w:t>Director</w:t>
      </w:r>
      <w:r w:rsidRPr="00DA76FF">
        <w:rPr>
          <w:rFonts w:cs="Calibri"/>
          <w:sz w:val="22"/>
          <w:szCs w:val="22"/>
        </w:rPr>
        <w:t xml:space="preserve">, and pertinent ITU-T </w:t>
      </w:r>
      <w:r w:rsidR="005F2439">
        <w:rPr>
          <w:rFonts w:cs="Calibri"/>
          <w:sz w:val="22"/>
          <w:szCs w:val="22"/>
        </w:rPr>
        <w:t>s</w:t>
      </w:r>
      <w:r w:rsidR="005F2439" w:rsidRPr="00DA76FF">
        <w:rPr>
          <w:rFonts w:cs="Calibri"/>
          <w:sz w:val="22"/>
          <w:szCs w:val="22"/>
        </w:rPr>
        <w:t xml:space="preserve">tudy </w:t>
      </w:r>
      <w:r w:rsidR="005F2439">
        <w:rPr>
          <w:rFonts w:cs="Calibri"/>
          <w:sz w:val="22"/>
          <w:szCs w:val="22"/>
        </w:rPr>
        <w:t>g</w:t>
      </w:r>
      <w:r w:rsidR="005F2439" w:rsidRPr="00DA76FF">
        <w:rPr>
          <w:rFonts w:cs="Calibri"/>
          <w:sz w:val="22"/>
          <w:szCs w:val="22"/>
        </w:rPr>
        <w:t>roups</w:t>
      </w:r>
      <w:r w:rsidRPr="00DA76FF">
        <w:rPr>
          <w:rFonts w:cs="Calibri"/>
          <w:sz w:val="22"/>
          <w:szCs w:val="22"/>
        </w:rPr>
        <w:t xml:space="preserve">, which has improved transparency </w:t>
      </w:r>
      <w:r w:rsidR="008F2736">
        <w:rPr>
          <w:rFonts w:cs="Calibri"/>
          <w:sz w:val="22"/>
          <w:szCs w:val="22"/>
        </w:rPr>
        <w:t>in the application process</w:t>
      </w:r>
      <w:r w:rsidRPr="00DA76FF">
        <w:rPr>
          <w:rFonts w:cs="Calibri"/>
          <w:sz w:val="22"/>
          <w:szCs w:val="22"/>
        </w:rPr>
        <w:t xml:space="preserve">. These new recommendations also outline roles, responsibilities, and mechanisms for auditing assigned international resources. </w:t>
      </w:r>
      <w:r w:rsidR="00645549">
        <w:rPr>
          <w:rFonts w:cs="Calibri"/>
          <w:sz w:val="22"/>
          <w:szCs w:val="22"/>
        </w:rPr>
        <w:t>Such</w:t>
      </w:r>
      <w:r w:rsidRPr="00DA76FF">
        <w:rPr>
          <w:rFonts w:cs="Calibri"/>
          <w:sz w:val="22"/>
          <w:szCs w:val="22"/>
        </w:rPr>
        <w:t xml:space="preserve"> audits are designed as a supplementary and complementary mechanism to the existing principles related to identifiers and the reporting of misuse, as delineated in the E series of </w:t>
      </w:r>
      <w:r w:rsidR="009C02BC" w:rsidRPr="00DA76FF">
        <w:rPr>
          <w:rFonts w:cs="Calibri"/>
          <w:sz w:val="22"/>
          <w:szCs w:val="22"/>
        </w:rPr>
        <w:t xml:space="preserve">ITU-T </w:t>
      </w:r>
      <w:r w:rsidRPr="00DA76FF">
        <w:rPr>
          <w:rFonts w:cs="Calibri"/>
          <w:sz w:val="22"/>
          <w:szCs w:val="22"/>
        </w:rPr>
        <w:t>recommendations.</w:t>
      </w:r>
    </w:p>
    <w:p w14:paraId="566C61EB" w14:textId="77777777" w:rsidR="002C4A56" w:rsidRPr="00DA76FF" w:rsidRDefault="002C4A56" w:rsidP="001E30C2">
      <w:pPr>
        <w:spacing w:after="120"/>
        <w:jc w:val="both"/>
        <w:rPr>
          <w:rFonts w:cs="Calibri"/>
          <w:sz w:val="22"/>
          <w:szCs w:val="22"/>
        </w:rPr>
      </w:pPr>
      <w:r w:rsidRPr="00DA76FF">
        <w:rPr>
          <w:rFonts w:cs="Calibri"/>
          <w:sz w:val="22"/>
          <w:szCs w:val="22"/>
        </w:rPr>
        <w:lastRenderedPageBreak/>
        <w:t>This ongoing revision and enhancement of recommendations and resolutions ensure that the management of NNAI resources remains robust, transparent, and responsive to the technological shifts shaping the global telecommunication landscape.</w:t>
      </w:r>
    </w:p>
    <w:p w14:paraId="5B0E4791" w14:textId="0A9A8385" w:rsidR="002C4A56" w:rsidRPr="00DA76FF" w:rsidRDefault="002C4A56" w:rsidP="001E30C2">
      <w:pPr>
        <w:spacing w:after="120"/>
        <w:jc w:val="both"/>
        <w:rPr>
          <w:rFonts w:cs="Calibri"/>
          <w:b/>
          <w:bCs/>
          <w:sz w:val="22"/>
          <w:szCs w:val="22"/>
        </w:rPr>
      </w:pPr>
      <w:r w:rsidRPr="00DA76FF">
        <w:rPr>
          <w:rFonts w:cs="Calibri"/>
          <w:b/>
          <w:bCs/>
          <w:sz w:val="22"/>
          <w:szCs w:val="22"/>
        </w:rPr>
        <w:t xml:space="preserve">Addressing </w:t>
      </w:r>
      <w:r w:rsidR="007D5A9F">
        <w:rPr>
          <w:rFonts w:cs="Calibri"/>
          <w:b/>
          <w:bCs/>
          <w:sz w:val="22"/>
          <w:szCs w:val="22"/>
        </w:rPr>
        <w:t>n</w:t>
      </w:r>
      <w:r w:rsidRPr="00DA76FF">
        <w:rPr>
          <w:rFonts w:cs="Calibri"/>
          <w:b/>
          <w:bCs/>
          <w:sz w:val="22"/>
          <w:szCs w:val="22"/>
        </w:rPr>
        <w:t xml:space="preserve">umbering </w:t>
      </w:r>
      <w:r w:rsidR="007D5A9F">
        <w:rPr>
          <w:rFonts w:cs="Calibri"/>
          <w:b/>
          <w:bCs/>
          <w:sz w:val="22"/>
          <w:szCs w:val="22"/>
        </w:rPr>
        <w:t>m</w:t>
      </w:r>
      <w:r w:rsidRPr="00DA76FF">
        <w:rPr>
          <w:rFonts w:cs="Calibri"/>
          <w:b/>
          <w:bCs/>
          <w:sz w:val="22"/>
          <w:szCs w:val="22"/>
        </w:rPr>
        <w:t xml:space="preserve">isuse: Revisions and </w:t>
      </w:r>
      <w:r w:rsidR="007D5A9F">
        <w:rPr>
          <w:rFonts w:cs="Calibri"/>
          <w:b/>
          <w:bCs/>
          <w:sz w:val="22"/>
          <w:szCs w:val="22"/>
        </w:rPr>
        <w:t>i</w:t>
      </w:r>
      <w:r w:rsidRPr="00DA76FF">
        <w:rPr>
          <w:rFonts w:cs="Calibri"/>
          <w:b/>
          <w:bCs/>
          <w:sz w:val="22"/>
          <w:szCs w:val="22"/>
        </w:rPr>
        <w:t>nitiatives from WTSA-24</w:t>
      </w:r>
    </w:p>
    <w:p w14:paraId="4DDC5A45" w14:textId="7466984C" w:rsidR="002C4A56" w:rsidRPr="00DA76FF" w:rsidRDefault="007D5A9F" w:rsidP="001E30C2">
      <w:pPr>
        <w:spacing w:after="120"/>
        <w:jc w:val="both"/>
        <w:rPr>
          <w:rFonts w:cs="Calibri"/>
          <w:sz w:val="22"/>
          <w:szCs w:val="22"/>
        </w:rPr>
      </w:pPr>
      <w:r>
        <w:rPr>
          <w:rFonts w:cs="Calibri"/>
          <w:sz w:val="22"/>
          <w:szCs w:val="22"/>
        </w:rPr>
        <w:t>To</w:t>
      </w:r>
      <w:r w:rsidR="002C4A56" w:rsidRPr="00DA76FF">
        <w:rPr>
          <w:rFonts w:cs="Calibri"/>
          <w:sz w:val="22"/>
          <w:szCs w:val="22"/>
        </w:rPr>
        <w:t xml:space="preserve"> promote report of numbering misuse and misappropriation, WTSA Resolution 61 “Countering and combating misappropriation and misuse of international telecommunication numbering, naming addressing and identification resources” was revised. It also resolves to invite Member States to periodically review and update national regulations, share best experiences and develop public awareness campaigns. There is an ever-increasing use of spoofed CPN and CLI, short-message service (SMS) interception, voice cloning technologies, etc. that previous generation signalling protocols and telecommunication networks need to consider emerging requirements. Accordingly, WTSA Resolution 65 “Calling party number delivery, calling line identification and origin identification information” was revised.</w:t>
      </w:r>
    </w:p>
    <w:p w14:paraId="197FE5AE" w14:textId="77777777" w:rsidR="002C4A56" w:rsidRPr="00DA76FF" w:rsidRDefault="002C4A56" w:rsidP="001E30C2">
      <w:pPr>
        <w:spacing w:after="120"/>
        <w:jc w:val="both"/>
        <w:rPr>
          <w:rFonts w:cs="Calibri"/>
          <w:b/>
          <w:bCs/>
          <w:sz w:val="22"/>
          <w:szCs w:val="22"/>
        </w:rPr>
      </w:pPr>
      <w:r w:rsidRPr="00DA76FF">
        <w:rPr>
          <w:rFonts w:cs="Calibri"/>
          <w:b/>
          <w:bCs/>
          <w:sz w:val="22"/>
          <w:szCs w:val="22"/>
        </w:rPr>
        <w:t>Enhancements in information distribution</w:t>
      </w:r>
    </w:p>
    <w:p w14:paraId="5A9B0B2B" w14:textId="24099CD9" w:rsidR="002C4A56" w:rsidRPr="00DA76FF" w:rsidRDefault="002C4A56" w:rsidP="001E30C2">
      <w:pPr>
        <w:spacing w:after="120"/>
        <w:jc w:val="both"/>
        <w:rPr>
          <w:rFonts w:cs="Calibri"/>
          <w:sz w:val="22"/>
          <w:szCs w:val="22"/>
        </w:rPr>
      </w:pPr>
      <w:r w:rsidRPr="00DA76FF">
        <w:rPr>
          <w:rFonts w:cs="Calibri"/>
          <w:sz w:val="22"/>
          <w:szCs w:val="22"/>
        </w:rPr>
        <w:t>Established in 1966, the ITU Operational Bulletin facilitates the mandates in the ITU Constitution and Convention, International</w:t>
      </w:r>
      <w:r w:rsidR="006160C5">
        <w:rPr>
          <w:rFonts w:cs="Calibri"/>
          <w:sz w:val="22"/>
          <w:szCs w:val="22"/>
        </w:rPr>
        <w:t xml:space="preserve"> Telecommunications</w:t>
      </w:r>
      <w:r w:rsidRPr="00DA76FF">
        <w:rPr>
          <w:rFonts w:cs="Calibri"/>
          <w:sz w:val="22"/>
          <w:szCs w:val="22"/>
        </w:rPr>
        <w:t xml:space="preserve"> Regulations and ITU-T Recommendations</w:t>
      </w:r>
      <w:r w:rsidR="00FE4BC8" w:rsidRPr="00DA76FF">
        <w:rPr>
          <w:rFonts w:cs="Calibri"/>
          <w:sz w:val="22"/>
          <w:szCs w:val="22"/>
        </w:rPr>
        <w:t>,</w:t>
      </w:r>
      <w:r w:rsidRPr="00DA76FF">
        <w:rPr>
          <w:rFonts w:cs="Calibri"/>
          <w:sz w:val="22"/>
          <w:szCs w:val="22"/>
        </w:rPr>
        <w:t xml:space="preserve"> disseminating information approved by national Administrations, including notifications about updates, assignments, and reclamations of both national and international numbering/identification resources. Issued bi-monthly in </w:t>
      </w:r>
      <w:r w:rsidR="00440A04">
        <w:rPr>
          <w:rFonts w:cs="Calibri"/>
          <w:sz w:val="22"/>
          <w:szCs w:val="22"/>
        </w:rPr>
        <w:t>ITU’s</w:t>
      </w:r>
      <w:r w:rsidRPr="00DA76FF">
        <w:rPr>
          <w:rFonts w:cs="Calibri"/>
          <w:sz w:val="22"/>
          <w:szCs w:val="22"/>
        </w:rPr>
        <w:t xml:space="preserve"> six official languages, the Bulletin is now available in both PDF and Word formats. In alignment with digital transformation initiatives, the Telecommunication Standardization Bureau (TSB) is enhancing the readability and efficiency of publishing of the ITU Operational Bulletin.</w:t>
      </w:r>
    </w:p>
    <w:p w14:paraId="47225F6C" w14:textId="1768FFC0" w:rsidR="002C4A56" w:rsidRPr="00DA76FF" w:rsidRDefault="002C4A56" w:rsidP="001E30C2">
      <w:pPr>
        <w:spacing w:after="120"/>
        <w:jc w:val="both"/>
        <w:rPr>
          <w:rFonts w:cs="Calibri"/>
          <w:sz w:val="22"/>
          <w:szCs w:val="22"/>
        </w:rPr>
      </w:pPr>
      <w:r w:rsidRPr="00DA76FF">
        <w:rPr>
          <w:rFonts w:cs="Calibri"/>
          <w:sz w:val="22"/>
          <w:szCs w:val="22"/>
        </w:rPr>
        <w:t xml:space="preserve">In response to WTSA Resolution 91, titled “Enhancing Access to an Electronic Repository of Information on Numbering Plans,” TSB has established a repository for ITU national numbering plans (NNPs) based on methodologies introduced in Recommendation ITU-T E.129. The </w:t>
      </w:r>
      <w:r w:rsidR="009C02BC" w:rsidRPr="00DA76FF">
        <w:rPr>
          <w:rFonts w:cs="Calibri"/>
          <w:sz w:val="22"/>
          <w:szCs w:val="22"/>
        </w:rPr>
        <w:t xml:space="preserve">newly launched </w:t>
      </w:r>
      <w:r w:rsidRPr="00DA76FF">
        <w:rPr>
          <w:rFonts w:cs="Calibri"/>
          <w:sz w:val="22"/>
          <w:szCs w:val="22"/>
        </w:rPr>
        <w:t>ITU National Numbering Plan website is set to evolve further based on contributions and feedback from users. The revised WTSA Resolution 91 encourages Member States, Sector Members, Associates, and Academia to actively participate in ITU-T Study Group 2 and the Telecommunication Standardization Advisory Group, contributing to the discussions on requirements for electronic access to the repository of national numbering resources maintained by ITU-T.</w:t>
      </w:r>
    </w:p>
    <w:p w14:paraId="1CFF90D8" w14:textId="7D693E6F" w:rsidR="00F13E7D" w:rsidRPr="00DA76FF" w:rsidRDefault="001B47F9" w:rsidP="00C754AC">
      <w:pPr>
        <w:pStyle w:val="Heading2"/>
        <w:tabs>
          <w:tab w:val="clear" w:pos="567"/>
        </w:tabs>
        <w:spacing w:before="240" w:after="120"/>
      </w:pPr>
      <w:bookmarkStart w:id="34" w:name="_Toc198569357"/>
      <w:r w:rsidRPr="00DA76FF">
        <w:t>4</w:t>
      </w:r>
      <w:r w:rsidR="00F13E7D" w:rsidRPr="00DA76FF">
        <w:t>.3</w:t>
      </w:r>
      <w:r w:rsidR="00F13E7D" w:rsidRPr="00DA76FF">
        <w:tab/>
        <w:t>Development of international standards</w:t>
      </w:r>
      <w:bookmarkEnd w:id="34"/>
    </w:p>
    <w:p w14:paraId="4AAEA56B" w14:textId="77777777" w:rsidR="00EA4F61" w:rsidRPr="00DA76FF" w:rsidRDefault="00EA4F61" w:rsidP="001E30C2">
      <w:pPr>
        <w:spacing w:after="120"/>
        <w:rPr>
          <w:b/>
          <w:bCs/>
          <w:lang w:eastAsia="en-GB"/>
        </w:rPr>
      </w:pPr>
      <w:r w:rsidRPr="00DA76FF">
        <w:rPr>
          <w:b/>
          <w:bCs/>
          <w:lang w:eastAsia="en-GB"/>
        </w:rPr>
        <w:t>Standardization: Foundations to shape technologies of today and tomorrow</w:t>
      </w:r>
    </w:p>
    <w:p w14:paraId="290CC553" w14:textId="1A3AF45B" w:rsidR="00EA4F61" w:rsidRPr="00DA76FF" w:rsidRDefault="003523F0" w:rsidP="001E30C2">
      <w:pPr>
        <w:spacing w:after="120"/>
        <w:jc w:val="both"/>
        <w:rPr>
          <w:rFonts w:asciiTheme="minorHAnsi" w:hAnsiTheme="minorHAnsi" w:cstheme="minorBidi"/>
          <w:sz w:val="22"/>
          <w:szCs w:val="22"/>
        </w:rPr>
      </w:pPr>
      <w:r>
        <w:rPr>
          <w:sz w:val="22"/>
          <w:szCs w:val="22"/>
          <w:lang w:eastAsia="en-GB"/>
        </w:rPr>
        <w:t>Accessible</w:t>
      </w:r>
      <w:r w:rsidRPr="00DA76FF">
        <w:rPr>
          <w:sz w:val="22"/>
          <w:szCs w:val="22"/>
          <w:lang w:eastAsia="en-GB"/>
        </w:rPr>
        <w:t xml:space="preserve"> </w:t>
      </w:r>
      <w:r w:rsidR="00EA4F61" w:rsidRPr="00DA76FF">
        <w:rPr>
          <w:sz w:val="22"/>
          <w:szCs w:val="22"/>
          <w:lang w:eastAsia="en-GB"/>
        </w:rPr>
        <w:t>technologies built to universal specifications</w:t>
      </w:r>
      <w:r>
        <w:rPr>
          <w:sz w:val="22"/>
          <w:szCs w:val="22"/>
          <w:lang w:eastAsia="en-GB"/>
        </w:rPr>
        <w:t xml:space="preserve"> can</w:t>
      </w:r>
      <w:r w:rsidR="00EA4F61" w:rsidRPr="00DA76FF">
        <w:rPr>
          <w:sz w:val="22"/>
          <w:szCs w:val="22"/>
          <w:lang w:eastAsia="en-GB"/>
        </w:rPr>
        <w:t xml:space="preserve"> work smoothly for everyone</w:t>
      </w:r>
      <w:r w:rsidR="0003695F">
        <w:rPr>
          <w:rFonts w:asciiTheme="minorHAnsi" w:hAnsiTheme="minorHAnsi" w:cstheme="minorBidi"/>
          <w:sz w:val="22"/>
          <w:szCs w:val="22"/>
        </w:rPr>
        <w:t xml:space="preserve">. An </w:t>
      </w:r>
      <w:r w:rsidR="00EA4F61" w:rsidRPr="00DA76FF">
        <w:rPr>
          <w:rFonts w:asciiTheme="minorHAnsi" w:hAnsiTheme="minorHAnsi" w:cstheme="minorBidi"/>
          <w:sz w:val="22"/>
          <w:szCs w:val="22"/>
        </w:rPr>
        <w:t xml:space="preserve">unwavering commitment to interoperability, accessibility, security, affordability, and </w:t>
      </w:r>
      <w:r w:rsidR="00CB561D">
        <w:rPr>
          <w:rFonts w:asciiTheme="minorHAnsi" w:hAnsiTheme="minorHAnsi" w:cstheme="minorBidi"/>
          <w:sz w:val="22"/>
          <w:szCs w:val="22"/>
        </w:rPr>
        <w:t>resilience</w:t>
      </w:r>
      <w:r w:rsidR="00CB561D" w:rsidRPr="00DA76FF">
        <w:rPr>
          <w:rFonts w:asciiTheme="minorHAnsi" w:hAnsiTheme="minorHAnsi" w:cstheme="minorBidi"/>
          <w:sz w:val="22"/>
          <w:szCs w:val="22"/>
        </w:rPr>
        <w:t xml:space="preserve"> </w:t>
      </w:r>
      <w:r w:rsidR="00EA4F61" w:rsidRPr="00DA76FF">
        <w:rPr>
          <w:rFonts w:asciiTheme="minorHAnsi" w:hAnsiTheme="minorHAnsi" w:cstheme="minorBidi"/>
          <w:sz w:val="22"/>
          <w:szCs w:val="22"/>
        </w:rPr>
        <w:t>ensur</w:t>
      </w:r>
      <w:r w:rsidR="0003695F">
        <w:rPr>
          <w:rFonts w:asciiTheme="minorHAnsi" w:hAnsiTheme="minorHAnsi" w:cstheme="minorBidi"/>
          <w:sz w:val="22"/>
          <w:szCs w:val="22"/>
        </w:rPr>
        <w:t>es</w:t>
      </w:r>
      <w:r w:rsidR="00EA4F61" w:rsidRPr="00DA76FF">
        <w:rPr>
          <w:rFonts w:asciiTheme="minorHAnsi" w:hAnsiTheme="minorHAnsi" w:cstheme="minorBidi"/>
          <w:sz w:val="22"/>
          <w:szCs w:val="22"/>
        </w:rPr>
        <w:t xml:space="preserve"> that standards </w:t>
      </w:r>
      <w:r w:rsidR="005B6C3B">
        <w:rPr>
          <w:rFonts w:asciiTheme="minorHAnsi" w:hAnsiTheme="minorHAnsi" w:cstheme="minorBidi"/>
          <w:sz w:val="22"/>
          <w:szCs w:val="22"/>
        </w:rPr>
        <w:t xml:space="preserve">from ITU </w:t>
      </w:r>
      <w:r w:rsidR="00817FF4">
        <w:rPr>
          <w:rFonts w:asciiTheme="minorHAnsi" w:hAnsiTheme="minorHAnsi" w:cstheme="minorBidi"/>
          <w:sz w:val="22"/>
          <w:szCs w:val="22"/>
        </w:rPr>
        <w:t>benefit</w:t>
      </w:r>
      <w:r w:rsidR="005B6C3B" w:rsidRPr="00DA76FF">
        <w:rPr>
          <w:rFonts w:asciiTheme="minorHAnsi" w:hAnsiTheme="minorHAnsi" w:cstheme="minorBidi"/>
          <w:sz w:val="22"/>
          <w:szCs w:val="22"/>
        </w:rPr>
        <w:t xml:space="preserve"> </w:t>
      </w:r>
      <w:r w:rsidR="00EA4F61" w:rsidRPr="00DA76FF">
        <w:rPr>
          <w:rFonts w:asciiTheme="minorHAnsi" w:hAnsiTheme="minorHAnsi" w:cstheme="minorBidi"/>
          <w:sz w:val="22"/>
          <w:szCs w:val="22"/>
        </w:rPr>
        <w:t>the whole world. Through ITU technical standards, local devices link seamlessly with global networks. Safe connections, within reach for all, give communities access to vital information and help reduce climate impact.</w:t>
      </w:r>
    </w:p>
    <w:p w14:paraId="69FAD79E" w14:textId="0932D57D" w:rsidR="00EA4F61" w:rsidRPr="00DA76FF" w:rsidRDefault="00EA4F61" w:rsidP="001E30C2">
      <w:pPr>
        <w:spacing w:after="120"/>
        <w:jc w:val="both"/>
        <w:rPr>
          <w:rFonts w:asciiTheme="minorHAnsi" w:hAnsiTheme="minorHAnsi" w:cstheme="minorBidi"/>
          <w:sz w:val="22"/>
          <w:szCs w:val="22"/>
        </w:rPr>
      </w:pPr>
      <w:r w:rsidRPr="00DA76FF">
        <w:rPr>
          <w:rFonts w:asciiTheme="minorHAnsi" w:hAnsiTheme="minorHAnsi" w:cstheme="minorBidi"/>
          <w:sz w:val="22"/>
          <w:szCs w:val="22"/>
        </w:rPr>
        <w:t xml:space="preserve">ITU standards are developed </w:t>
      </w:r>
      <w:r w:rsidR="003A6488">
        <w:rPr>
          <w:rFonts w:asciiTheme="minorHAnsi" w:hAnsiTheme="minorHAnsi" w:cstheme="minorBidi"/>
          <w:sz w:val="22"/>
          <w:szCs w:val="22"/>
        </w:rPr>
        <w:t>in the</w:t>
      </w:r>
      <w:r w:rsidRPr="00DA76FF">
        <w:rPr>
          <w:rFonts w:asciiTheme="minorHAnsi" w:hAnsiTheme="minorHAnsi" w:cstheme="minorBidi"/>
          <w:sz w:val="22"/>
          <w:szCs w:val="22"/>
        </w:rPr>
        <w:t xml:space="preserve"> Telecommunication Standardization Sector </w:t>
      </w:r>
      <w:r w:rsidR="003A6488">
        <w:rPr>
          <w:rFonts w:asciiTheme="minorHAnsi" w:hAnsiTheme="minorHAnsi" w:cstheme="minorBidi"/>
          <w:sz w:val="22"/>
          <w:szCs w:val="22"/>
        </w:rPr>
        <w:t xml:space="preserve">(ITU-T) </w:t>
      </w:r>
      <w:r w:rsidRPr="00DA76FF">
        <w:rPr>
          <w:rFonts w:asciiTheme="minorHAnsi" w:hAnsiTheme="minorHAnsi" w:cstheme="minorBidi"/>
          <w:sz w:val="22"/>
          <w:szCs w:val="22"/>
        </w:rPr>
        <w:t>and Radiocommunication Sector</w:t>
      </w:r>
      <w:r w:rsidR="003A6488">
        <w:rPr>
          <w:rFonts w:asciiTheme="minorHAnsi" w:hAnsiTheme="minorHAnsi" w:cstheme="minorBidi"/>
          <w:sz w:val="22"/>
          <w:szCs w:val="22"/>
        </w:rPr>
        <w:t xml:space="preserve"> (ITU-R)</w:t>
      </w:r>
      <w:r w:rsidRPr="00DA76FF">
        <w:rPr>
          <w:rFonts w:asciiTheme="minorHAnsi" w:hAnsiTheme="minorHAnsi" w:cstheme="minorBidi"/>
          <w:sz w:val="22"/>
          <w:szCs w:val="22"/>
        </w:rPr>
        <w:t xml:space="preserve">, being issued, respectively, as </w:t>
      </w:r>
      <w:hyperlink r:id="rId71" w:history="1">
        <w:r w:rsidRPr="00DA76FF">
          <w:rPr>
            <w:rStyle w:val="Hyperlink"/>
            <w:rFonts w:eastAsia="Calibri" w:cs="Calibri"/>
            <w:sz w:val="22"/>
            <w:szCs w:val="22"/>
          </w:rPr>
          <w:t>ITU-T Recommendations</w:t>
        </w:r>
      </w:hyperlink>
      <w:r w:rsidRPr="00DA76FF">
        <w:rPr>
          <w:rFonts w:asciiTheme="minorHAnsi" w:hAnsiTheme="minorHAnsi" w:cstheme="minorBidi"/>
          <w:sz w:val="22"/>
          <w:szCs w:val="22"/>
        </w:rPr>
        <w:t xml:space="preserve"> and </w:t>
      </w:r>
      <w:hyperlink r:id="rId72" w:history="1">
        <w:r w:rsidRPr="00DA76FF">
          <w:rPr>
            <w:rStyle w:val="Hyperlink"/>
            <w:rFonts w:eastAsia="Calibri" w:cs="Calibri"/>
            <w:sz w:val="22"/>
            <w:szCs w:val="22"/>
          </w:rPr>
          <w:t>ITU-R Recommendations</w:t>
        </w:r>
      </w:hyperlink>
      <w:r w:rsidRPr="00DA76FF">
        <w:rPr>
          <w:rFonts w:asciiTheme="minorHAnsi" w:hAnsiTheme="minorHAnsi" w:cstheme="minorBidi"/>
          <w:sz w:val="22"/>
          <w:szCs w:val="22"/>
        </w:rPr>
        <w:t>.</w:t>
      </w:r>
    </w:p>
    <w:p w14:paraId="572EB9C4" w14:textId="57EAE064" w:rsidR="00EA4F61" w:rsidRPr="00DA76FF" w:rsidRDefault="001B47F9" w:rsidP="00C754AC">
      <w:pPr>
        <w:pStyle w:val="Heading3"/>
        <w:tabs>
          <w:tab w:val="clear" w:pos="567"/>
        </w:tabs>
        <w:spacing w:before="120" w:after="120"/>
      </w:pPr>
      <w:bookmarkStart w:id="35" w:name="_Toc198569358"/>
      <w:r w:rsidRPr="00DA76FF">
        <w:t>4.3.1</w:t>
      </w:r>
      <w:r w:rsidRPr="00DA76FF">
        <w:tab/>
      </w:r>
      <w:r w:rsidR="00EA4F61" w:rsidRPr="00DA76FF">
        <w:t>ITU-T Recommendations</w:t>
      </w:r>
      <w:bookmarkEnd w:id="35"/>
    </w:p>
    <w:p w14:paraId="36996739" w14:textId="56275DE8" w:rsidR="00EA4F61" w:rsidRPr="00EF6229" w:rsidRDefault="003449DD" w:rsidP="001E30C2">
      <w:pPr>
        <w:spacing w:after="120"/>
        <w:jc w:val="both"/>
        <w:rPr>
          <w:rFonts w:eastAsia="Calibri"/>
          <w:sz w:val="22"/>
          <w:szCs w:val="22"/>
        </w:rPr>
      </w:pPr>
      <w:r w:rsidRPr="00EF6229">
        <w:rPr>
          <w:sz w:val="22"/>
          <w:szCs w:val="22"/>
        </w:rPr>
        <w:t>ITU approved</w:t>
      </w:r>
      <w:r w:rsidR="00EF6229" w:rsidRPr="00EF6229">
        <w:rPr>
          <w:sz w:val="22"/>
          <w:szCs w:val="22"/>
        </w:rPr>
        <w:t xml:space="preserve"> </w:t>
      </w:r>
      <w:r w:rsidRPr="00EF6229">
        <w:rPr>
          <w:sz w:val="22"/>
          <w:szCs w:val="22"/>
        </w:rPr>
        <w:t>412 new and revised Recommendations and related texts in the Telecommunication Standardization Sector (ITU-T) during the reporting period (374 in </w:t>
      </w:r>
      <w:hyperlink r:id="rId73" w:tgtFrame="_blank" w:tooltip="https://www.itu.int/itu-t/workprog/wp_search.aspx?isn_sp=8265&amp;isn_status=-1,2&amp;adf=2024-01-01&amp;adt=2024-12-31&amp;details=0&amp;field=acdefghijo" w:history="1">
        <w:r w:rsidRPr="00EF6229">
          <w:rPr>
            <w:rStyle w:val="Hyperlink"/>
            <w:sz w:val="22"/>
            <w:szCs w:val="22"/>
          </w:rPr>
          <w:t>2022-2024 study period</w:t>
        </w:r>
      </w:hyperlink>
      <w:r w:rsidRPr="00EF6229">
        <w:rPr>
          <w:sz w:val="22"/>
          <w:szCs w:val="22"/>
        </w:rPr>
        <w:t xml:space="preserve"> (from 1</w:t>
      </w:r>
      <w:r w:rsidR="00EF6229">
        <w:rPr>
          <w:sz w:val="22"/>
          <w:szCs w:val="22"/>
        </w:rPr>
        <w:t> </w:t>
      </w:r>
      <w:r w:rsidRPr="00EF6229">
        <w:rPr>
          <w:sz w:val="22"/>
          <w:szCs w:val="22"/>
        </w:rPr>
        <w:t>January to 24 October 2024) and 38 in</w:t>
      </w:r>
      <w:r w:rsidR="00EF6229">
        <w:rPr>
          <w:sz w:val="22"/>
          <w:szCs w:val="22"/>
        </w:rPr>
        <w:t xml:space="preserve"> </w:t>
      </w:r>
      <w:hyperlink r:id="rId74" w:tgtFrame="_blank" w:tooltip="https://www.itu.int/itu-t/workprog/wp_search.aspx?isn_sp=9677&amp;isn_status=-1,2&amp;adf=2024-01-01&amp;adt=2024-12-31&amp;details=0&amp;field=acdefghijo" w:history="1">
        <w:r w:rsidRPr="00EF6229">
          <w:rPr>
            <w:rStyle w:val="Hyperlink"/>
            <w:sz w:val="22"/>
            <w:szCs w:val="22"/>
          </w:rPr>
          <w:t>2025-2028 study period</w:t>
        </w:r>
      </w:hyperlink>
      <w:r w:rsidRPr="00EF6229">
        <w:rPr>
          <w:sz w:val="22"/>
          <w:szCs w:val="22"/>
        </w:rPr>
        <w:t xml:space="preserve"> (from 25 October to 31 December 2024)</w:t>
      </w:r>
      <w:r w:rsidR="00EA4F61" w:rsidRPr="00EF6229">
        <w:rPr>
          <w:rFonts w:eastAsia="Calibri"/>
          <w:sz w:val="22"/>
          <w:szCs w:val="22"/>
        </w:rPr>
        <w:t xml:space="preserve">. For all such decisions currently in force, see the </w:t>
      </w:r>
      <w:hyperlink r:id="rId75">
        <w:r w:rsidR="00EA4F61" w:rsidRPr="00EF6229">
          <w:rPr>
            <w:rStyle w:val="Hyperlink"/>
            <w:rFonts w:eastAsia="Calibri"/>
            <w:sz w:val="22"/>
            <w:szCs w:val="22"/>
          </w:rPr>
          <w:t>catalogue of ITU-T Recommendations</w:t>
        </w:r>
      </w:hyperlink>
      <w:r w:rsidR="00EA4F61" w:rsidRPr="00EF6229">
        <w:rPr>
          <w:rFonts w:eastAsia="Calibri"/>
          <w:sz w:val="22"/>
          <w:szCs w:val="22"/>
        </w:rPr>
        <w:t xml:space="preserve">. Executive summaries of study group meetings can be found on ITU-T study group </w:t>
      </w:r>
      <w:hyperlink r:id="rId76">
        <w:r w:rsidR="00EA4F61" w:rsidRPr="00EF6229">
          <w:rPr>
            <w:rStyle w:val="Hyperlink"/>
            <w:rFonts w:eastAsia="Calibri"/>
            <w:sz w:val="22"/>
            <w:szCs w:val="22"/>
          </w:rPr>
          <w:t>homepages</w:t>
        </w:r>
      </w:hyperlink>
      <w:r w:rsidR="00EA4F61" w:rsidRPr="00EF6229">
        <w:rPr>
          <w:rFonts w:eastAsia="Calibri"/>
          <w:sz w:val="22"/>
          <w:szCs w:val="22"/>
        </w:rPr>
        <w:t>.</w:t>
      </w:r>
    </w:p>
    <w:p w14:paraId="3619D970" w14:textId="77777777" w:rsidR="00EA4F61" w:rsidRPr="00DA76FF" w:rsidRDefault="00EA4F61" w:rsidP="001E30C2">
      <w:pPr>
        <w:spacing w:after="120"/>
        <w:jc w:val="both"/>
        <w:rPr>
          <w:rFonts w:eastAsia="Calibri"/>
          <w:sz w:val="22"/>
          <w:szCs w:val="22"/>
        </w:rPr>
      </w:pPr>
      <w:r w:rsidRPr="00DA76FF">
        <w:rPr>
          <w:sz w:val="22"/>
          <w:szCs w:val="22"/>
          <w:lang w:eastAsia="ja-JP"/>
        </w:rPr>
        <w:lastRenderedPageBreak/>
        <w:t>Seven</w:t>
      </w:r>
      <w:r w:rsidRPr="00DA76FF">
        <w:rPr>
          <w:rFonts w:eastAsia="Calibri"/>
          <w:sz w:val="22"/>
          <w:szCs w:val="22"/>
        </w:rPr>
        <w:t xml:space="preserve"> ITU-T focus groups </w:t>
      </w:r>
      <w:r w:rsidRPr="00DA76FF">
        <w:rPr>
          <w:sz w:val="22"/>
          <w:szCs w:val="22"/>
          <w:lang w:eastAsia="ja-JP"/>
        </w:rPr>
        <w:t>were</w:t>
      </w:r>
      <w:r w:rsidRPr="00DA76FF">
        <w:rPr>
          <w:rFonts w:eastAsia="Calibri"/>
          <w:sz w:val="22"/>
          <w:szCs w:val="22"/>
        </w:rPr>
        <w:t xml:space="preserve"> active</w:t>
      </w:r>
      <w:r w:rsidRPr="00DA76FF">
        <w:rPr>
          <w:sz w:val="22"/>
          <w:szCs w:val="22"/>
          <w:lang w:eastAsia="ja-JP"/>
        </w:rPr>
        <w:t xml:space="preserve"> in the reporting period</w:t>
      </w:r>
      <w:r w:rsidRPr="00DA76FF">
        <w:rPr>
          <w:rFonts w:eastAsia="Calibri"/>
          <w:sz w:val="22"/>
          <w:szCs w:val="22"/>
        </w:rPr>
        <w:t xml:space="preserve">. Focus groups lay the groundwork for related standardization work in ITU-T study groups. Information on focus group activities and deliverables of can be found on ITU-T focus group </w:t>
      </w:r>
      <w:hyperlink r:id="rId77" w:history="1">
        <w:r w:rsidRPr="00DA76FF">
          <w:rPr>
            <w:rStyle w:val="Hyperlink"/>
            <w:rFonts w:eastAsia="Calibri"/>
            <w:sz w:val="22"/>
            <w:szCs w:val="22"/>
          </w:rPr>
          <w:t>homepages</w:t>
        </w:r>
      </w:hyperlink>
      <w:r w:rsidRPr="00DA76FF">
        <w:rPr>
          <w:rFonts w:eastAsia="Calibri"/>
          <w:sz w:val="22"/>
          <w:szCs w:val="22"/>
        </w:rPr>
        <w:t>.</w:t>
      </w:r>
    </w:p>
    <w:p w14:paraId="5015775D" w14:textId="0EED1A4D" w:rsidR="00EA4F61" w:rsidRPr="00DA76FF" w:rsidRDefault="001B47F9" w:rsidP="00C754AC">
      <w:pPr>
        <w:pStyle w:val="Heading3"/>
        <w:tabs>
          <w:tab w:val="clear" w:pos="567"/>
        </w:tabs>
        <w:spacing w:before="120" w:after="120"/>
      </w:pPr>
      <w:bookmarkStart w:id="36" w:name="_Toc198569359"/>
      <w:r w:rsidRPr="00DA76FF">
        <w:t>4.3.2</w:t>
      </w:r>
      <w:r w:rsidRPr="00DA76FF">
        <w:tab/>
      </w:r>
      <w:r w:rsidR="00EA4F61" w:rsidRPr="00DA76FF">
        <w:t>ITU-R Recommendations</w:t>
      </w:r>
      <w:bookmarkEnd w:id="36"/>
    </w:p>
    <w:p w14:paraId="22A47011" w14:textId="2FE9793A" w:rsidR="00F13E7D" w:rsidRDefault="00EA4F61" w:rsidP="001E30C2">
      <w:pPr>
        <w:spacing w:after="120"/>
        <w:jc w:val="both"/>
        <w:rPr>
          <w:rFonts w:eastAsia="Calibri" w:cs="Calibri"/>
          <w:color w:val="000000" w:themeColor="text1"/>
          <w:sz w:val="22"/>
          <w:szCs w:val="22"/>
        </w:rPr>
      </w:pPr>
      <w:r w:rsidRPr="00DA76FF">
        <w:rPr>
          <w:rFonts w:eastAsia="Calibri" w:cs="Calibri"/>
          <w:color w:val="000000" w:themeColor="text1"/>
          <w:sz w:val="22"/>
          <w:szCs w:val="22"/>
        </w:rPr>
        <w:t xml:space="preserve">During the period of </w:t>
      </w:r>
      <w:r w:rsidRPr="00DA76FF">
        <w:rPr>
          <w:rFonts w:asciiTheme="minorHAnsi" w:eastAsia="Calibri" w:hAnsiTheme="minorHAnsi" w:cstheme="minorBidi"/>
          <w:color w:val="000000" w:themeColor="text1"/>
          <w:kern w:val="2"/>
          <w:sz w:val="22"/>
          <w:szCs w:val="22"/>
          <w:lang w:eastAsia="zh-CN"/>
          <w14:ligatures w14:val="standardContextual"/>
        </w:rPr>
        <w:t>January</w:t>
      </w:r>
      <w:r w:rsidRPr="00DA76FF">
        <w:rPr>
          <w:rFonts w:eastAsia="Calibri" w:cs="Calibri"/>
          <w:color w:val="000000" w:themeColor="text1"/>
          <w:sz w:val="22"/>
          <w:szCs w:val="22"/>
        </w:rPr>
        <w:t xml:space="preserve"> to December 2024, the ITU Radiocommunication Sector (ITU-R) approved more than 24 new or revised</w:t>
      </w:r>
      <w:r w:rsidR="005624BD">
        <w:rPr>
          <w:rFonts w:eastAsia="Calibri" w:cs="Calibri"/>
          <w:color w:val="000000" w:themeColor="text1"/>
          <w:sz w:val="22"/>
          <w:szCs w:val="22"/>
        </w:rPr>
        <w:t xml:space="preserve"> standards, known as</w:t>
      </w:r>
      <w:r w:rsidRPr="00DA76FF">
        <w:rPr>
          <w:rFonts w:eastAsia="Calibri" w:cs="Calibri"/>
          <w:color w:val="000000" w:themeColor="text1"/>
          <w:sz w:val="22"/>
          <w:szCs w:val="22"/>
        </w:rPr>
        <w:t xml:space="preserve"> ITU-R Recommendations. See full set of </w:t>
      </w:r>
      <w:hyperlink r:id="rId78" w:history="1">
        <w:r w:rsidRPr="00DA76FF">
          <w:rPr>
            <w:rStyle w:val="Hyperlink"/>
            <w:rFonts w:eastAsia="Calibri" w:cs="Calibri"/>
            <w:sz w:val="22"/>
            <w:szCs w:val="22"/>
          </w:rPr>
          <w:t>ITU-R Recommendations</w:t>
        </w:r>
      </w:hyperlink>
      <w:r w:rsidRPr="00DA76FF">
        <w:rPr>
          <w:rStyle w:val="Hyperlink"/>
          <w:rFonts w:eastAsia="Calibri" w:cs="Calibri"/>
          <w:sz w:val="22"/>
          <w:szCs w:val="22"/>
        </w:rPr>
        <w:t>.</w:t>
      </w:r>
      <w:r w:rsidRPr="00DA76FF">
        <w:rPr>
          <w:rFonts w:eastAsia="Calibri" w:cs="Calibri"/>
          <w:color w:val="000000" w:themeColor="text1"/>
          <w:sz w:val="22"/>
          <w:szCs w:val="22"/>
        </w:rPr>
        <w:t xml:space="preserve"> As of February 2025, there are 1</w:t>
      </w:r>
      <w:r w:rsidR="00EF6229">
        <w:rPr>
          <w:rFonts w:eastAsia="Calibri" w:cs="Calibri"/>
          <w:color w:val="000000" w:themeColor="text1"/>
          <w:sz w:val="22"/>
          <w:szCs w:val="22"/>
        </w:rPr>
        <w:t> </w:t>
      </w:r>
      <w:r w:rsidRPr="00DA76FF">
        <w:rPr>
          <w:rFonts w:eastAsia="Calibri" w:cs="Calibri"/>
          <w:color w:val="000000" w:themeColor="text1"/>
          <w:sz w:val="22"/>
          <w:szCs w:val="22"/>
        </w:rPr>
        <w:t xml:space="preserve">203 ITU-R Recommendations in force. ITU-R </w:t>
      </w:r>
      <w:r w:rsidRPr="00EF6229">
        <w:rPr>
          <w:rFonts w:eastAsia="Calibri" w:cs="Calibri"/>
          <w:color w:val="000000" w:themeColor="text1"/>
          <w:spacing w:val="2"/>
          <w:sz w:val="22"/>
          <w:szCs w:val="22"/>
        </w:rPr>
        <w:t xml:space="preserve">approved more than 24 new or revised </w:t>
      </w:r>
      <w:r w:rsidR="009253F7" w:rsidRPr="00EF6229">
        <w:rPr>
          <w:rFonts w:eastAsia="Calibri" w:cs="Calibri"/>
          <w:color w:val="000000" w:themeColor="text1"/>
          <w:spacing w:val="2"/>
          <w:sz w:val="22"/>
          <w:szCs w:val="22"/>
        </w:rPr>
        <w:t>radiocommunication standards</w:t>
      </w:r>
      <w:r w:rsidR="00286BDF" w:rsidRPr="00EF6229">
        <w:rPr>
          <w:rFonts w:eastAsia="Calibri" w:cs="Calibri"/>
          <w:color w:val="000000" w:themeColor="text1"/>
          <w:spacing w:val="2"/>
          <w:sz w:val="22"/>
          <w:szCs w:val="22"/>
        </w:rPr>
        <w:t xml:space="preserve"> in 2024</w:t>
      </w:r>
      <w:r w:rsidRPr="00EF6229">
        <w:rPr>
          <w:rFonts w:eastAsia="Calibri" w:cs="Calibri"/>
          <w:color w:val="000000" w:themeColor="text1"/>
          <w:spacing w:val="2"/>
          <w:sz w:val="22"/>
          <w:szCs w:val="22"/>
        </w:rPr>
        <w:t xml:space="preserve">. See </w:t>
      </w:r>
      <w:r w:rsidR="009253F7" w:rsidRPr="00EF6229">
        <w:rPr>
          <w:rFonts w:eastAsia="Calibri" w:cs="Calibri"/>
          <w:color w:val="000000" w:themeColor="text1"/>
          <w:spacing w:val="2"/>
          <w:sz w:val="22"/>
          <w:szCs w:val="22"/>
        </w:rPr>
        <w:t xml:space="preserve">the </w:t>
      </w:r>
      <w:r w:rsidRPr="00EF6229">
        <w:rPr>
          <w:rFonts w:eastAsia="Calibri" w:cs="Calibri"/>
          <w:color w:val="000000" w:themeColor="text1"/>
          <w:spacing w:val="2"/>
          <w:sz w:val="22"/>
          <w:szCs w:val="22"/>
        </w:rPr>
        <w:t>full set of</w:t>
      </w:r>
      <w:r w:rsidRPr="00DA76FF">
        <w:rPr>
          <w:rFonts w:eastAsia="Calibri" w:cs="Calibri"/>
          <w:color w:val="000000" w:themeColor="text1"/>
          <w:sz w:val="22"/>
          <w:szCs w:val="22"/>
        </w:rPr>
        <w:t xml:space="preserve"> </w:t>
      </w:r>
      <w:hyperlink r:id="rId79" w:history="1">
        <w:r w:rsidRPr="00DA76FF">
          <w:rPr>
            <w:rStyle w:val="Hyperlink"/>
            <w:rFonts w:eastAsia="Calibri" w:cs="Calibri"/>
            <w:sz w:val="22"/>
            <w:szCs w:val="22"/>
          </w:rPr>
          <w:t>ITU-R Recommendations</w:t>
        </w:r>
      </w:hyperlink>
      <w:r w:rsidRPr="00DA76FF">
        <w:rPr>
          <w:rStyle w:val="Hyperlink"/>
          <w:rFonts w:eastAsia="Calibri" w:cs="Calibri"/>
          <w:sz w:val="22"/>
          <w:szCs w:val="22"/>
        </w:rPr>
        <w:t>.</w:t>
      </w:r>
      <w:r w:rsidRPr="00DA76FF">
        <w:rPr>
          <w:rFonts w:eastAsia="Calibri" w:cs="Calibri"/>
          <w:color w:val="000000" w:themeColor="text1"/>
          <w:sz w:val="22"/>
          <w:szCs w:val="22"/>
        </w:rPr>
        <w:t xml:space="preserve"> </w:t>
      </w:r>
      <w:r w:rsidR="00286BDF" w:rsidRPr="00DA76FF">
        <w:rPr>
          <w:rFonts w:eastAsia="Calibri" w:cs="Calibri"/>
          <w:color w:val="000000" w:themeColor="text1"/>
          <w:sz w:val="22"/>
          <w:szCs w:val="22"/>
        </w:rPr>
        <w:t>T</w:t>
      </w:r>
      <w:r w:rsidRPr="00DA76FF">
        <w:rPr>
          <w:rFonts w:eastAsia="Calibri" w:cs="Calibri"/>
          <w:color w:val="000000" w:themeColor="text1"/>
          <w:sz w:val="22"/>
          <w:szCs w:val="22"/>
        </w:rPr>
        <w:t xml:space="preserve">here </w:t>
      </w:r>
      <w:r w:rsidR="00286BDF" w:rsidRPr="00DA76FF">
        <w:rPr>
          <w:rFonts w:eastAsia="Calibri" w:cs="Calibri"/>
          <w:color w:val="000000" w:themeColor="text1"/>
          <w:sz w:val="22"/>
          <w:szCs w:val="22"/>
        </w:rPr>
        <w:t>we</w:t>
      </w:r>
      <w:r w:rsidRPr="00DA76FF">
        <w:rPr>
          <w:rFonts w:eastAsia="Calibri" w:cs="Calibri"/>
          <w:color w:val="000000" w:themeColor="text1"/>
          <w:sz w:val="22"/>
          <w:szCs w:val="22"/>
        </w:rPr>
        <w:t>re 1</w:t>
      </w:r>
      <w:r w:rsidR="00EF6229">
        <w:rPr>
          <w:rFonts w:eastAsia="Calibri" w:cs="Calibri"/>
          <w:color w:val="000000" w:themeColor="text1"/>
          <w:sz w:val="22"/>
          <w:szCs w:val="22"/>
        </w:rPr>
        <w:t> </w:t>
      </w:r>
      <w:r w:rsidRPr="00DA76FF">
        <w:rPr>
          <w:rFonts w:eastAsia="Calibri" w:cs="Calibri"/>
          <w:color w:val="000000" w:themeColor="text1"/>
          <w:sz w:val="22"/>
          <w:szCs w:val="22"/>
        </w:rPr>
        <w:t>203 ITU-R Recommendations in force</w:t>
      </w:r>
      <w:r w:rsidR="00286BDF" w:rsidRPr="00DA76FF">
        <w:rPr>
          <w:rFonts w:eastAsia="Calibri" w:cs="Calibri"/>
          <w:color w:val="000000" w:themeColor="text1"/>
          <w:sz w:val="22"/>
          <w:szCs w:val="22"/>
        </w:rPr>
        <w:t xml:space="preserve"> as of February 2025</w:t>
      </w:r>
      <w:r w:rsidRPr="00DA76FF">
        <w:rPr>
          <w:rFonts w:eastAsia="Calibri" w:cs="Calibri"/>
          <w:color w:val="000000" w:themeColor="text1"/>
          <w:sz w:val="22"/>
          <w:szCs w:val="22"/>
        </w:rPr>
        <w:t>.</w:t>
      </w:r>
    </w:p>
    <w:p w14:paraId="051CBA5C" w14:textId="0B2C3945" w:rsidR="001E0DDA" w:rsidRPr="00DA76FF" w:rsidRDefault="001E0DDA" w:rsidP="00C754AC">
      <w:pPr>
        <w:pStyle w:val="Heading3"/>
        <w:tabs>
          <w:tab w:val="clear" w:pos="567"/>
        </w:tabs>
        <w:spacing w:before="120" w:after="120"/>
      </w:pPr>
      <w:bookmarkStart w:id="37" w:name="_Toc198569360"/>
      <w:r>
        <w:t>4.3.3</w:t>
      </w:r>
      <w:r>
        <w:tab/>
      </w:r>
      <w:r w:rsidRPr="00DA76FF">
        <w:t>Bridging the standardization gap</w:t>
      </w:r>
      <w:bookmarkEnd w:id="37"/>
    </w:p>
    <w:p w14:paraId="3A26089B" w14:textId="77777777" w:rsidR="001E0DDA" w:rsidRPr="00DA76FF" w:rsidRDefault="001E0DDA" w:rsidP="001E30C2">
      <w:pPr>
        <w:spacing w:after="120"/>
        <w:jc w:val="both"/>
        <w:rPr>
          <w:sz w:val="22"/>
          <w:szCs w:val="22"/>
        </w:rPr>
      </w:pPr>
      <w:hyperlink r:id="rId80">
        <w:r w:rsidRPr="00DA76FF">
          <w:rPr>
            <w:rStyle w:val="Hyperlink"/>
            <w:sz w:val="22"/>
            <w:szCs w:val="22"/>
          </w:rPr>
          <w:t>WTSA Resolution 44</w:t>
        </w:r>
      </w:hyperlink>
      <w:r w:rsidRPr="00DA76FF">
        <w:rPr>
          <w:sz w:val="22"/>
          <w:szCs w:val="22"/>
        </w:rPr>
        <w:t>, “Bridging the standardization gap between developing and developed countries”, was updated at WTSA-24 to reaffirm and clarify the action plan for the next four years.</w:t>
      </w:r>
      <w:r>
        <w:rPr>
          <w:sz w:val="22"/>
          <w:szCs w:val="22"/>
        </w:rPr>
        <w:t xml:space="preserve"> ITU’s</w:t>
      </w:r>
      <w:r w:rsidRPr="00DA76FF">
        <w:rPr>
          <w:sz w:val="22"/>
          <w:szCs w:val="22"/>
        </w:rPr>
        <w:t xml:space="preserve"> </w:t>
      </w:r>
      <w:r>
        <w:rPr>
          <w:sz w:val="22"/>
          <w:szCs w:val="22"/>
        </w:rPr>
        <w:t xml:space="preserve">programme </w:t>
      </w:r>
      <w:hyperlink r:id="rId81">
        <w:r w:rsidRPr="00DA76FF">
          <w:rPr>
            <w:rStyle w:val="Hyperlink"/>
            <w:sz w:val="22"/>
            <w:szCs w:val="22"/>
          </w:rPr>
          <w:t>Bridging the Standardization Gap</w:t>
        </w:r>
      </w:hyperlink>
      <w:r w:rsidRPr="00DA76FF">
        <w:rPr>
          <w:sz w:val="22"/>
          <w:szCs w:val="22"/>
        </w:rPr>
        <w:t xml:space="preserve"> aims to enhance the ability of all countries, in particular developing countries, to participate in the</w:t>
      </w:r>
      <w:r w:rsidRPr="00DA76FF">
        <w:rPr>
          <w:i/>
          <w:iCs/>
          <w:sz w:val="22"/>
          <w:szCs w:val="22"/>
        </w:rPr>
        <w:t xml:space="preserve"> </w:t>
      </w:r>
      <w:r w:rsidRPr="00DA76FF">
        <w:rPr>
          <w:sz w:val="22"/>
          <w:szCs w:val="22"/>
        </w:rPr>
        <w:t>development and implementation of ITU-T standards.</w:t>
      </w:r>
    </w:p>
    <w:p w14:paraId="6024EA17" w14:textId="77777777" w:rsidR="001E0DDA" w:rsidRPr="00DA76FF" w:rsidRDefault="001E0DDA" w:rsidP="001E30C2">
      <w:pPr>
        <w:spacing w:after="120"/>
        <w:jc w:val="both"/>
        <w:rPr>
          <w:sz w:val="22"/>
          <w:szCs w:val="22"/>
        </w:rPr>
      </w:pPr>
      <w:r>
        <w:rPr>
          <w:sz w:val="22"/>
          <w:szCs w:val="22"/>
        </w:rPr>
        <w:t>S</w:t>
      </w:r>
      <w:r w:rsidRPr="00DA76FF">
        <w:rPr>
          <w:sz w:val="22"/>
          <w:szCs w:val="22"/>
        </w:rPr>
        <w:t>ince WTSA-24</w:t>
      </w:r>
      <w:r>
        <w:rPr>
          <w:sz w:val="22"/>
          <w:szCs w:val="22"/>
        </w:rPr>
        <w:t>, ITU’s Telecommunication Standardization Bureau (TSB)</w:t>
      </w:r>
      <w:r w:rsidRPr="00DA76FF">
        <w:rPr>
          <w:sz w:val="22"/>
          <w:szCs w:val="22"/>
        </w:rPr>
        <w:t xml:space="preserve"> has </w:t>
      </w:r>
      <w:r>
        <w:rPr>
          <w:sz w:val="22"/>
          <w:szCs w:val="22"/>
        </w:rPr>
        <w:t xml:space="preserve">continued </w:t>
      </w:r>
      <w:r w:rsidRPr="00DA76FF">
        <w:rPr>
          <w:sz w:val="22"/>
          <w:szCs w:val="22"/>
        </w:rPr>
        <w:t>buil</w:t>
      </w:r>
      <w:r>
        <w:rPr>
          <w:sz w:val="22"/>
          <w:szCs w:val="22"/>
        </w:rPr>
        <w:t>ding</w:t>
      </w:r>
      <w:r w:rsidRPr="00DA76FF">
        <w:rPr>
          <w:sz w:val="22"/>
          <w:szCs w:val="22"/>
        </w:rPr>
        <w:t xml:space="preserve"> on previous work, concentrating on:</w:t>
      </w:r>
    </w:p>
    <w:p w14:paraId="03354EA6" w14:textId="2ADC74E6" w:rsidR="001E0DDA" w:rsidRDefault="001E0DDA" w:rsidP="00C754AC">
      <w:pPr>
        <w:pStyle w:val="ListParagraph"/>
        <w:numPr>
          <w:ilvl w:val="0"/>
          <w:numId w:val="56"/>
        </w:numPr>
        <w:spacing w:after="120"/>
        <w:ind w:left="567" w:hanging="283"/>
        <w:jc w:val="both"/>
        <w:rPr>
          <w:lang w:val="en-GB"/>
        </w:rPr>
      </w:pPr>
      <w:r w:rsidRPr="00DA76FF">
        <w:rPr>
          <w:lang w:val="en-GB"/>
        </w:rPr>
        <w:t xml:space="preserve">Enhancing the content and delivery of training to more fully meet the needs of newcomers and experienced delegates, including those who serve or wish to serve in leadership positions. Training is provided online and in person at stand-alone events, study group meetings and regional group meetings, with an increased emphasis on practical skills and interactive learning; training materials are also provided for on-demand access via </w:t>
      </w:r>
      <w:hyperlink r:id="rId82">
        <w:r w:rsidRPr="00DA76FF">
          <w:rPr>
            <w:rStyle w:val="Hyperlink"/>
            <w:lang w:val="en-GB"/>
          </w:rPr>
          <w:t>ITU-T resources</w:t>
        </w:r>
      </w:hyperlink>
      <w:r w:rsidRPr="00DA76FF">
        <w:rPr>
          <w:lang w:val="en-GB"/>
        </w:rPr>
        <w:t>, in all six languages wherever possible.</w:t>
      </w:r>
    </w:p>
    <w:p w14:paraId="2F16E510" w14:textId="53D4BB1E" w:rsidR="001E0DDA" w:rsidRPr="00DA76FF" w:rsidRDefault="001E0DDA" w:rsidP="00C754AC">
      <w:pPr>
        <w:pStyle w:val="ListParagraph"/>
        <w:spacing w:after="120"/>
        <w:ind w:left="567"/>
        <w:jc w:val="both"/>
        <w:rPr>
          <w:lang w:val="en-GB"/>
        </w:rPr>
      </w:pPr>
      <w:r w:rsidRPr="00DA76FF">
        <w:rPr>
          <w:lang w:val="en-GB"/>
        </w:rPr>
        <w:t xml:space="preserve">Such training and capacity building activities are being carried out in close collaboration with work on WTSA Resolutions </w:t>
      </w:r>
      <w:hyperlink r:id="rId83">
        <w:r w:rsidRPr="00DA76FF">
          <w:rPr>
            <w:rStyle w:val="Hyperlink"/>
            <w:lang w:val="en-GB"/>
          </w:rPr>
          <w:t>55</w:t>
        </w:r>
      </w:hyperlink>
      <w:r w:rsidRPr="00DA76FF">
        <w:rPr>
          <w:lang w:val="en-GB"/>
        </w:rPr>
        <w:t xml:space="preserve"> (gender equality) and </w:t>
      </w:r>
      <w:hyperlink r:id="rId84">
        <w:r w:rsidRPr="00DA76FF">
          <w:rPr>
            <w:rStyle w:val="Hyperlink"/>
            <w:lang w:val="en-GB"/>
          </w:rPr>
          <w:t>107</w:t>
        </w:r>
      </w:hyperlink>
      <w:r w:rsidRPr="00DA76FF">
        <w:rPr>
          <w:lang w:val="en-GB"/>
        </w:rPr>
        <w:t xml:space="preserve"> (next-generation experts).</w:t>
      </w:r>
    </w:p>
    <w:p w14:paraId="6A4ECACB" w14:textId="77777777" w:rsidR="001E0DDA" w:rsidRPr="00DA76FF" w:rsidRDefault="001E0DDA" w:rsidP="00C754AC">
      <w:pPr>
        <w:pStyle w:val="ListParagraph"/>
        <w:numPr>
          <w:ilvl w:val="0"/>
          <w:numId w:val="56"/>
        </w:numPr>
        <w:spacing w:after="120"/>
        <w:ind w:left="567" w:hanging="283"/>
        <w:jc w:val="both"/>
        <w:rPr>
          <w:lang w:val="en-GB"/>
        </w:rPr>
      </w:pPr>
      <w:r>
        <w:rPr>
          <w:lang w:val="en-GB"/>
        </w:rPr>
        <w:t>Enhancing</w:t>
      </w:r>
      <w:r w:rsidRPr="00DA76FF">
        <w:rPr>
          <w:lang w:val="en-GB"/>
        </w:rPr>
        <w:t xml:space="preserve"> Electronic Working Methods to facilitate the participation of delegates from developing countries, primarily through the </w:t>
      </w:r>
      <w:hyperlink r:id="rId85" w:anchor="/Home">
        <w:r w:rsidRPr="00DA76FF">
          <w:rPr>
            <w:rStyle w:val="Hyperlink"/>
            <w:lang w:val="en-GB"/>
          </w:rPr>
          <w:t>MyWorkspace portal</w:t>
        </w:r>
      </w:hyperlink>
      <w:r w:rsidRPr="00DA76FF">
        <w:rPr>
          <w:lang w:val="en-GB"/>
        </w:rPr>
        <w:t xml:space="preserve">, and the enhancement of language services, such as on-demand machine translation of official (DMS) meeting documents. Such enhancements reinforce </w:t>
      </w:r>
      <w:r>
        <w:rPr>
          <w:lang w:val="en-GB"/>
        </w:rPr>
        <w:t>ITU</w:t>
      </w:r>
      <w:r w:rsidRPr="00DA76FF">
        <w:rPr>
          <w:lang w:val="en-GB"/>
        </w:rPr>
        <w:t xml:space="preserve">’s implementation of WTSA Resolutions </w:t>
      </w:r>
      <w:hyperlink r:id="rId86">
        <w:r w:rsidRPr="00DA76FF">
          <w:rPr>
            <w:rStyle w:val="Hyperlink"/>
            <w:lang w:val="en-GB"/>
          </w:rPr>
          <w:t>32</w:t>
        </w:r>
      </w:hyperlink>
      <w:r w:rsidRPr="00DA76FF">
        <w:rPr>
          <w:lang w:val="en-GB"/>
        </w:rPr>
        <w:t xml:space="preserve"> (strengthening electronic working methods) and </w:t>
      </w:r>
      <w:hyperlink r:id="rId87">
        <w:r w:rsidRPr="00DA76FF">
          <w:rPr>
            <w:rStyle w:val="Hyperlink"/>
            <w:lang w:val="en-GB"/>
          </w:rPr>
          <w:t>67</w:t>
        </w:r>
      </w:hyperlink>
      <w:r w:rsidRPr="00DA76FF">
        <w:rPr>
          <w:lang w:val="en-GB"/>
        </w:rPr>
        <w:t xml:space="preserve"> (use of all official languages on an equal footing).</w:t>
      </w:r>
    </w:p>
    <w:p w14:paraId="29E84D5D" w14:textId="77777777" w:rsidR="00EF6229" w:rsidRDefault="001E0DDA" w:rsidP="00C754AC">
      <w:pPr>
        <w:pStyle w:val="ListParagraph"/>
        <w:numPr>
          <w:ilvl w:val="0"/>
          <w:numId w:val="56"/>
        </w:numPr>
        <w:spacing w:after="120"/>
        <w:ind w:left="567" w:hanging="283"/>
        <w:jc w:val="both"/>
        <w:rPr>
          <w:lang w:val="en-GB"/>
        </w:rPr>
      </w:pPr>
      <w:r>
        <w:rPr>
          <w:lang w:val="en-GB"/>
        </w:rPr>
        <w:t>ITU’s bureaux for standardization (</w:t>
      </w:r>
      <w:r w:rsidRPr="00DA76FF">
        <w:rPr>
          <w:lang w:val="en-GB"/>
        </w:rPr>
        <w:t>TSB</w:t>
      </w:r>
      <w:r>
        <w:rPr>
          <w:lang w:val="en-GB"/>
        </w:rPr>
        <w:t>) and development (</w:t>
      </w:r>
      <w:r w:rsidRPr="00DA76FF">
        <w:rPr>
          <w:lang w:val="en-GB"/>
        </w:rPr>
        <w:t>BDT</w:t>
      </w:r>
      <w:r>
        <w:rPr>
          <w:lang w:val="en-GB"/>
        </w:rPr>
        <w:t>)</w:t>
      </w:r>
      <w:r w:rsidRPr="00DA76FF">
        <w:rPr>
          <w:lang w:val="en-GB"/>
        </w:rPr>
        <w:t xml:space="preserve"> </w:t>
      </w:r>
      <w:r>
        <w:rPr>
          <w:lang w:val="en-GB"/>
        </w:rPr>
        <w:t xml:space="preserve">are working closely with ITU </w:t>
      </w:r>
      <w:r w:rsidRPr="00DA76FF">
        <w:rPr>
          <w:lang w:val="en-GB"/>
        </w:rPr>
        <w:t>regional offices</w:t>
      </w:r>
      <w:r>
        <w:rPr>
          <w:lang w:val="en-GB"/>
        </w:rPr>
        <w:t xml:space="preserve"> and partners</w:t>
      </w:r>
      <w:r w:rsidRPr="00DA76FF">
        <w:rPr>
          <w:lang w:val="en-GB"/>
        </w:rPr>
        <w:t xml:space="preserve"> to raise awareness and build </w:t>
      </w:r>
      <w:r>
        <w:rPr>
          <w:lang w:val="en-GB"/>
        </w:rPr>
        <w:t xml:space="preserve">regional </w:t>
      </w:r>
      <w:r w:rsidRPr="00DA76FF">
        <w:rPr>
          <w:lang w:val="en-GB"/>
        </w:rPr>
        <w:t>capacity</w:t>
      </w:r>
      <w:r>
        <w:rPr>
          <w:lang w:val="en-GB"/>
        </w:rPr>
        <w:t>.</w:t>
      </w:r>
      <w:r w:rsidRPr="00DA76FF">
        <w:rPr>
          <w:lang w:val="en-GB"/>
        </w:rPr>
        <w:t xml:space="preserve"> Japan's Ministry of Internal Affairs and Communications</w:t>
      </w:r>
      <w:r>
        <w:rPr>
          <w:lang w:val="en-GB"/>
        </w:rPr>
        <w:t>, for example, supports</w:t>
      </w:r>
      <w:r w:rsidRPr="00DA76FF">
        <w:rPr>
          <w:lang w:val="en-GB"/>
        </w:rPr>
        <w:t xml:space="preserve"> a project </w:t>
      </w:r>
      <w:r>
        <w:rPr>
          <w:lang w:val="en-GB"/>
        </w:rPr>
        <w:t>for the build AI tech and standards capacity</w:t>
      </w:r>
      <w:r w:rsidRPr="00DA76FF">
        <w:rPr>
          <w:lang w:val="en-GB"/>
        </w:rPr>
        <w:t xml:space="preserve"> </w:t>
      </w:r>
      <w:r w:rsidRPr="001F5216">
        <w:rPr>
          <w:lang w:val="en-GB"/>
        </w:rPr>
        <w:t>in the Asia-Pacific region</w:t>
      </w:r>
      <w:r w:rsidRPr="005B535A">
        <w:rPr>
          <w:lang w:val="en-GB"/>
        </w:rPr>
        <w:t>.</w:t>
      </w:r>
    </w:p>
    <w:p w14:paraId="6BC6C807" w14:textId="7FBDA823" w:rsidR="001E0DDA" w:rsidRPr="00DA76FF" w:rsidRDefault="001E0DDA" w:rsidP="00C754AC">
      <w:pPr>
        <w:pStyle w:val="ListParagraph"/>
        <w:spacing w:after="120"/>
        <w:ind w:left="567"/>
        <w:jc w:val="both"/>
        <w:rPr>
          <w:lang w:val="en-GB"/>
        </w:rPr>
      </w:pPr>
      <w:r w:rsidRPr="00DA76FF">
        <w:rPr>
          <w:lang w:val="en-GB"/>
        </w:rPr>
        <w:t>WTSA Resolution 44 invites voluntary contributions from all stakeholders to facilitate ITU-T’s efforts to bridge the standardization gap.</w:t>
      </w:r>
    </w:p>
    <w:p w14:paraId="43F49F2B" w14:textId="77777777" w:rsidR="001E0DDA" w:rsidRPr="00DA76FF" w:rsidRDefault="001E0DDA" w:rsidP="00C754AC">
      <w:pPr>
        <w:pStyle w:val="ListParagraph"/>
        <w:numPr>
          <w:ilvl w:val="0"/>
          <w:numId w:val="56"/>
        </w:numPr>
        <w:spacing w:after="120"/>
        <w:ind w:left="567" w:hanging="283"/>
        <w:jc w:val="both"/>
        <w:rPr>
          <w:lang w:val="en-GB"/>
        </w:rPr>
      </w:pPr>
      <w:r w:rsidRPr="00DA76FF">
        <w:rPr>
          <w:lang w:val="en-GB"/>
        </w:rPr>
        <w:t xml:space="preserve">Streamlining and harmonizing internal data analysis, working methods and delegate on-boarding to help delegates, particularly those from developing countries, to contribute effectively at ITU-T events, and to report progress on implementation of WTSA Resolution 44 to Council, WTSA and </w:t>
      </w:r>
      <w:r>
        <w:rPr>
          <w:lang w:val="en-GB"/>
        </w:rPr>
        <w:t>the Telecommunication Standardization Advisory Group</w:t>
      </w:r>
      <w:r w:rsidRPr="00DA76FF">
        <w:rPr>
          <w:lang w:val="en-GB"/>
        </w:rPr>
        <w:t>.</w:t>
      </w:r>
    </w:p>
    <w:p w14:paraId="5F177158" w14:textId="5240F42C" w:rsidR="00F13E7D" w:rsidRPr="00DA76FF" w:rsidRDefault="001B47F9" w:rsidP="00C754AC">
      <w:pPr>
        <w:pStyle w:val="Heading2"/>
        <w:tabs>
          <w:tab w:val="clear" w:pos="567"/>
        </w:tabs>
        <w:spacing w:before="240" w:after="120"/>
      </w:pPr>
      <w:bookmarkStart w:id="38" w:name="_Toc198569361"/>
      <w:r w:rsidRPr="00DA76FF">
        <w:t>4</w:t>
      </w:r>
      <w:r w:rsidR="00DF5060" w:rsidRPr="00DA76FF">
        <w:t>.4</w:t>
      </w:r>
      <w:r w:rsidR="00DF5060" w:rsidRPr="00DA76FF">
        <w:tab/>
        <w:t>Development of policy frameworks and knowledge products</w:t>
      </w:r>
      <w:bookmarkEnd w:id="38"/>
    </w:p>
    <w:p w14:paraId="0FA578C3" w14:textId="0C83A1B8" w:rsidR="00CD5F76" w:rsidRPr="00EF6229" w:rsidRDefault="00CD5F76" w:rsidP="001E30C2">
      <w:pPr>
        <w:spacing w:after="120"/>
        <w:jc w:val="both"/>
        <w:rPr>
          <w:sz w:val="22"/>
          <w:szCs w:val="22"/>
        </w:rPr>
      </w:pPr>
      <w:r w:rsidRPr="00EF6229">
        <w:rPr>
          <w:sz w:val="22"/>
          <w:szCs w:val="22"/>
        </w:rPr>
        <w:t xml:space="preserve">ITU develops handbooks, technical reports and papers </w:t>
      </w:r>
      <w:r w:rsidR="002D117C" w:rsidRPr="00EF6229">
        <w:rPr>
          <w:sz w:val="22"/>
          <w:szCs w:val="22"/>
        </w:rPr>
        <w:t xml:space="preserve">through its study groups </w:t>
      </w:r>
      <w:r w:rsidRPr="00EF6229">
        <w:rPr>
          <w:sz w:val="22"/>
          <w:szCs w:val="22"/>
        </w:rPr>
        <w:t xml:space="preserve">to assist </w:t>
      </w:r>
      <w:r w:rsidR="00232D0B" w:rsidRPr="00EF6229">
        <w:rPr>
          <w:sz w:val="22"/>
          <w:szCs w:val="22"/>
        </w:rPr>
        <w:t>its</w:t>
      </w:r>
      <w:r w:rsidRPr="00EF6229">
        <w:rPr>
          <w:sz w:val="22"/>
          <w:szCs w:val="22"/>
        </w:rPr>
        <w:t xml:space="preserve"> membership</w:t>
      </w:r>
      <w:r w:rsidR="002D117C" w:rsidRPr="00EF6229">
        <w:rPr>
          <w:sz w:val="22"/>
          <w:szCs w:val="22"/>
        </w:rPr>
        <w:t xml:space="preserve"> on telecommunication/ ICT matters</w:t>
      </w:r>
      <w:r w:rsidRPr="00EF6229">
        <w:rPr>
          <w:sz w:val="22"/>
          <w:szCs w:val="22"/>
        </w:rPr>
        <w:t xml:space="preserve"> </w:t>
      </w:r>
      <w:r w:rsidR="002E4412" w:rsidRPr="00EF6229">
        <w:rPr>
          <w:sz w:val="22"/>
          <w:szCs w:val="22"/>
        </w:rPr>
        <w:t>(see, for example, sectio</w:t>
      </w:r>
      <w:r w:rsidR="00BC4B4B" w:rsidRPr="00EF6229">
        <w:rPr>
          <w:sz w:val="22"/>
          <w:szCs w:val="22"/>
        </w:rPr>
        <w:t>n</w:t>
      </w:r>
      <w:r w:rsidR="00464F69" w:rsidRPr="00EF6229">
        <w:rPr>
          <w:sz w:val="22"/>
          <w:szCs w:val="22"/>
        </w:rPr>
        <w:t xml:space="preserve"> </w:t>
      </w:r>
      <w:r w:rsidR="00AE0CFE" w:rsidRPr="00EF6229">
        <w:rPr>
          <w:sz w:val="22"/>
          <w:szCs w:val="22"/>
        </w:rPr>
        <w:t>4</w:t>
      </w:r>
      <w:r w:rsidR="00464F69" w:rsidRPr="00EF6229">
        <w:rPr>
          <w:sz w:val="22"/>
          <w:szCs w:val="22"/>
        </w:rPr>
        <w:t>.3 above</w:t>
      </w:r>
      <w:r w:rsidR="002D117C" w:rsidRPr="00EF6229">
        <w:rPr>
          <w:sz w:val="22"/>
          <w:szCs w:val="22"/>
        </w:rPr>
        <w:t>)</w:t>
      </w:r>
      <w:r w:rsidRPr="00EF6229">
        <w:rPr>
          <w:sz w:val="22"/>
          <w:szCs w:val="22"/>
        </w:rPr>
        <w:t>. Best practices from Member States, the private sector, research and academia are collected and shared back with Member States. ITU provides knowledge-exchange products and tools to enable dialogue and enhance cooperation</w:t>
      </w:r>
      <w:r w:rsidR="00796643" w:rsidRPr="00EF6229">
        <w:rPr>
          <w:sz w:val="22"/>
          <w:szCs w:val="22"/>
        </w:rPr>
        <w:t>,</w:t>
      </w:r>
      <w:r w:rsidRPr="00EF6229">
        <w:rPr>
          <w:sz w:val="22"/>
          <w:szCs w:val="22"/>
        </w:rPr>
        <w:t xml:space="preserve"> </w:t>
      </w:r>
      <w:r w:rsidR="00891A2E" w:rsidRPr="00EF6229">
        <w:rPr>
          <w:sz w:val="22"/>
          <w:szCs w:val="22"/>
        </w:rPr>
        <w:t>helping countries maximize digital benefits for everyone</w:t>
      </w:r>
      <w:r w:rsidR="00145734" w:rsidRPr="00EF6229">
        <w:rPr>
          <w:sz w:val="22"/>
          <w:szCs w:val="22"/>
        </w:rPr>
        <w:t>,</w:t>
      </w:r>
      <w:r w:rsidR="00891A2E" w:rsidRPr="00EF6229">
        <w:rPr>
          <w:sz w:val="22"/>
          <w:szCs w:val="22"/>
        </w:rPr>
        <w:t xml:space="preserve"> </w:t>
      </w:r>
      <w:r w:rsidRPr="00EF6229">
        <w:rPr>
          <w:sz w:val="22"/>
          <w:szCs w:val="22"/>
        </w:rPr>
        <w:t xml:space="preserve">and </w:t>
      </w:r>
      <w:r w:rsidR="00145734" w:rsidRPr="00EF6229">
        <w:rPr>
          <w:sz w:val="22"/>
          <w:szCs w:val="22"/>
        </w:rPr>
        <w:t>providing key insights to understand and navigate</w:t>
      </w:r>
      <w:r w:rsidRPr="00EF6229">
        <w:rPr>
          <w:sz w:val="22"/>
          <w:szCs w:val="22"/>
        </w:rPr>
        <w:t xml:space="preserve"> the challenges and opportunities that come with promoting connectivity and digital transformation.</w:t>
      </w:r>
    </w:p>
    <w:p w14:paraId="4AC8B715" w14:textId="1D6F2AB1" w:rsidR="004E2E65" w:rsidRPr="00DA76FF" w:rsidRDefault="001B47F9" w:rsidP="00C754AC">
      <w:pPr>
        <w:pStyle w:val="Heading3"/>
        <w:tabs>
          <w:tab w:val="clear" w:pos="567"/>
        </w:tabs>
        <w:spacing w:before="120" w:after="120"/>
        <w:rPr>
          <w:lang w:eastAsia="en-GB"/>
        </w:rPr>
      </w:pPr>
      <w:bookmarkStart w:id="39" w:name="_Toc198569362"/>
      <w:r w:rsidRPr="00DA76FF">
        <w:rPr>
          <w:lang w:eastAsia="en-GB"/>
        </w:rPr>
        <w:lastRenderedPageBreak/>
        <w:t>4</w:t>
      </w:r>
      <w:r w:rsidR="002635D9" w:rsidRPr="00DA76FF">
        <w:rPr>
          <w:lang w:eastAsia="en-GB"/>
        </w:rPr>
        <w:t>.4.1</w:t>
      </w:r>
      <w:r w:rsidR="002635D9" w:rsidRPr="00DA76FF">
        <w:rPr>
          <w:lang w:eastAsia="en-GB"/>
        </w:rPr>
        <w:tab/>
      </w:r>
      <w:r w:rsidR="004E2E65" w:rsidRPr="00DA76FF">
        <w:rPr>
          <w:lang w:eastAsia="en-GB"/>
        </w:rPr>
        <w:t>Cybersecurity: building confidence and security in ICTs</w:t>
      </w:r>
      <w:bookmarkEnd w:id="39"/>
    </w:p>
    <w:p w14:paraId="11248EED" w14:textId="77777777" w:rsidR="004E2E65" w:rsidRPr="00DA76FF" w:rsidRDefault="004E2E65" w:rsidP="001E30C2">
      <w:pPr>
        <w:pStyle w:val="NoSpacing"/>
        <w:spacing w:before="120" w:after="120"/>
        <w:jc w:val="both"/>
        <w:rPr>
          <w:rFonts w:cstheme="minorHAnsi"/>
        </w:rPr>
      </w:pPr>
      <w:r w:rsidRPr="00DA76FF">
        <w:t>ITU works to build confidence and security in the use of new and emerging technologies, particularly through support for countries to develop national strategies and set up cyber incident response teams (CIRTs). ITU’s child online protection programme helps raise awareness of online dangers and ensure a safe environment for young digital technology users.</w:t>
      </w:r>
    </w:p>
    <w:p w14:paraId="0A82393F" w14:textId="1BD62CBD" w:rsidR="004E2E65" w:rsidRPr="00DA76FF" w:rsidRDefault="004E2E65" w:rsidP="001E30C2">
      <w:pPr>
        <w:spacing w:after="120"/>
        <w:jc w:val="both"/>
        <w:rPr>
          <w:rFonts w:eastAsia="Calibri" w:cs="Calibri"/>
          <w:sz w:val="22"/>
          <w:szCs w:val="22"/>
        </w:rPr>
      </w:pPr>
      <w:r w:rsidRPr="00DA76FF">
        <w:rPr>
          <w:rFonts w:eastAsia="Calibri" w:cs="Calibri"/>
          <w:sz w:val="22"/>
          <w:szCs w:val="22"/>
        </w:rPr>
        <w:t xml:space="preserve">Document </w:t>
      </w:r>
      <w:hyperlink r:id="rId88" w:history="1">
        <w:r w:rsidR="0088307F" w:rsidRPr="00BC713B">
          <w:rPr>
            <w:rStyle w:val="Hyperlink"/>
            <w:rFonts w:eastAsia="Calibri" w:cs="Calibri"/>
            <w:sz w:val="22"/>
            <w:szCs w:val="22"/>
          </w:rPr>
          <w:t>C25/</w:t>
        </w:r>
        <w:r w:rsidR="004435BA" w:rsidRPr="00EB05DF">
          <w:rPr>
            <w:rStyle w:val="Hyperlink"/>
            <w:rFonts w:eastAsia="Calibri" w:cs="Calibri"/>
            <w:sz w:val="22"/>
            <w:szCs w:val="22"/>
          </w:rPr>
          <w:t>18</w:t>
        </w:r>
      </w:hyperlink>
      <w:r w:rsidR="004435BA">
        <w:rPr>
          <w:rFonts w:eastAsia="Calibri" w:cs="Calibri"/>
          <w:sz w:val="22"/>
          <w:szCs w:val="22"/>
        </w:rPr>
        <w:t xml:space="preserve"> </w:t>
      </w:r>
      <w:r w:rsidRPr="00DA76FF">
        <w:rPr>
          <w:rFonts w:eastAsia="Calibri" w:cs="Calibri"/>
          <w:sz w:val="22"/>
          <w:szCs w:val="22"/>
        </w:rPr>
        <w:t xml:space="preserve">on the implementation of Resolution 130 </w:t>
      </w:r>
      <w:r w:rsidR="00EF6229" w:rsidRPr="00DA76FF">
        <w:rPr>
          <w:rFonts w:eastAsia="Calibri" w:cs="Calibri"/>
          <w:sz w:val="22"/>
          <w:szCs w:val="22"/>
        </w:rPr>
        <w:t>(Rev. Bucharest, 2022</w:t>
      </w:r>
      <w:r w:rsidR="00EF6229">
        <w:rPr>
          <w:rFonts w:eastAsia="Calibri" w:cs="Calibri"/>
          <w:sz w:val="22"/>
          <w:szCs w:val="22"/>
        </w:rPr>
        <w:t xml:space="preserve">) of the Plenipotentiary Conference </w:t>
      </w:r>
      <w:r w:rsidRPr="00DA76FF">
        <w:rPr>
          <w:rFonts w:eastAsia="Calibri" w:cs="Calibri"/>
          <w:sz w:val="22"/>
          <w:szCs w:val="22"/>
        </w:rPr>
        <w:t xml:space="preserve">summarizes ITU’s activities in 2024-2025 in relation to Resolution 130, ITU’s role as sole facilitator for WSIS Action Line C5, and other decisions by the membership on strengthening the role of ITU in building confidence and security in the use of </w:t>
      </w:r>
      <w:r w:rsidR="006203E7">
        <w:rPr>
          <w:rFonts w:eastAsia="Calibri" w:cs="Calibri"/>
          <w:sz w:val="22"/>
          <w:szCs w:val="22"/>
        </w:rPr>
        <w:t>tech</w:t>
      </w:r>
      <w:r w:rsidRPr="00DA76FF">
        <w:rPr>
          <w:rFonts w:eastAsia="Calibri" w:cs="Calibri"/>
          <w:sz w:val="22"/>
          <w:szCs w:val="22"/>
        </w:rPr>
        <w:t xml:space="preserve">. See also </w:t>
      </w:r>
      <w:hyperlink r:id="rId89" w:history="1">
        <w:hyperlink r:id="rId90" w:history="1">
          <w:r w:rsidRPr="00DA76FF">
            <w:rPr>
              <w:rStyle w:val="Hyperlink"/>
              <w:rFonts w:eastAsia="Calibri" w:cs="Calibri"/>
              <w:sz w:val="22"/>
              <w:szCs w:val="22"/>
            </w:rPr>
            <w:t>ITU Cybersecurity activities</w:t>
          </w:r>
        </w:hyperlink>
      </w:hyperlink>
      <w:r w:rsidRPr="00DA76FF">
        <w:rPr>
          <w:rFonts w:eastAsia="Calibri" w:cs="Calibri"/>
          <w:sz w:val="22"/>
          <w:szCs w:val="22"/>
        </w:rPr>
        <w:t>.</w:t>
      </w:r>
    </w:p>
    <w:p w14:paraId="40DAE74D" w14:textId="77777777" w:rsidR="004E2E65" w:rsidRPr="00DA76FF" w:rsidRDefault="004E2E65" w:rsidP="001E30C2">
      <w:pPr>
        <w:spacing w:after="120"/>
        <w:rPr>
          <w:rFonts w:eastAsia="Calibri"/>
          <w:sz w:val="22"/>
          <w:szCs w:val="22"/>
        </w:rPr>
      </w:pPr>
      <w:r w:rsidRPr="00DA76FF">
        <w:rPr>
          <w:rFonts w:eastAsia="Calibri"/>
          <w:sz w:val="22"/>
          <w:szCs w:val="22"/>
        </w:rPr>
        <w:t>Progress has been identified on preparedness of administrations to face Cyberthreats (132 countries had CIRTS by 2024, up from 109 in 2020; and 127 have National Cybersecurity Strategies and Action Plans, as compared to 107 in 2020).</w:t>
      </w:r>
    </w:p>
    <w:p w14:paraId="21D0A9F2" w14:textId="5150BEF7" w:rsidR="004E2E65" w:rsidRPr="00DA76FF" w:rsidRDefault="001B47F9" w:rsidP="00C754AC">
      <w:pPr>
        <w:pStyle w:val="Heading3"/>
        <w:tabs>
          <w:tab w:val="clear" w:pos="567"/>
        </w:tabs>
        <w:spacing w:before="120" w:after="120"/>
        <w:rPr>
          <w:sz w:val="20"/>
          <w:lang w:eastAsia="en-GB"/>
        </w:rPr>
      </w:pPr>
      <w:bookmarkStart w:id="40" w:name="_Toc198569363"/>
      <w:r w:rsidRPr="00DA76FF">
        <w:t>4</w:t>
      </w:r>
      <w:r w:rsidR="002635D9" w:rsidRPr="00DA76FF">
        <w:t>.4.2</w:t>
      </w:r>
      <w:r w:rsidR="002635D9" w:rsidRPr="00DA76FF">
        <w:tab/>
      </w:r>
      <w:r w:rsidR="004E2E65" w:rsidRPr="00DA76FF">
        <w:t>Emerging techs: Shaping frameworks for transformation</w:t>
      </w:r>
      <w:bookmarkEnd w:id="40"/>
    </w:p>
    <w:p w14:paraId="187D417D" w14:textId="6EAFDBCF" w:rsidR="004E2E65" w:rsidRPr="00DA76FF" w:rsidRDefault="004E2E65" w:rsidP="001E30C2">
      <w:pPr>
        <w:pStyle w:val="NoSpacing"/>
        <w:spacing w:before="120" w:after="120"/>
        <w:jc w:val="both"/>
      </w:pPr>
      <w:r w:rsidRPr="00DA76FF">
        <w:t xml:space="preserve">ITU’s work has continued to focus heavily on managing the world’s radio spectrum; shaping emerging technologies </w:t>
      </w:r>
      <w:r w:rsidR="00582800">
        <w:t xml:space="preserve">and standards </w:t>
      </w:r>
      <w:r w:rsidRPr="00DA76FF">
        <w:t>for the good of humanity; and addressing the climate and environmental impact of rapidly accelerating tech uptake. Ongoing ITU-led projects and initiatives serve to strengthen cooperation on cybersecurity, ensure digital access</w:t>
      </w:r>
      <w:r w:rsidR="00904A83">
        <w:t xml:space="preserve"> for all,</w:t>
      </w:r>
      <w:r w:rsidR="00904A83" w:rsidRPr="00DA76FF">
        <w:t xml:space="preserve"> </w:t>
      </w:r>
      <w:r w:rsidRPr="00DA76FF">
        <w:t xml:space="preserve">and build impactful partnerships </w:t>
      </w:r>
      <w:r w:rsidR="00F71A92">
        <w:t>addressing</w:t>
      </w:r>
      <w:r w:rsidRPr="00DA76FF">
        <w:t xml:space="preserve"> </w:t>
      </w:r>
      <w:r w:rsidR="00F71A92">
        <w:t>global socio-economic development needs</w:t>
      </w:r>
      <w:r w:rsidRPr="00DA76FF">
        <w:t>. Much of this work is carried out through in-depth workshops, as well as through high-profile international meetings.</w:t>
      </w:r>
    </w:p>
    <w:p w14:paraId="18461495" w14:textId="259560D0" w:rsidR="004E2E65" w:rsidRPr="00DA76FF" w:rsidRDefault="004E2E65" w:rsidP="001E30C2">
      <w:pPr>
        <w:spacing w:after="120"/>
        <w:jc w:val="both"/>
        <w:rPr>
          <w:sz w:val="22"/>
          <w:szCs w:val="22"/>
          <w:lang w:eastAsia="en-GB"/>
        </w:rPr>
      </w:pPr>
      <w:r w:rsidRPr="00DA76FF">
        <w:rPr>
          <w:sz w:val="22"/>
          <w:szCs w:val="22"/>
        </w:rPr>
        <w:t xml:space="preserve">In working to shape accelerating tech development, ITU has focused closely on artificial intelligence (AI), quantum information technology, and the potential of the metaverse, or virtual worlds, to support digital transformation </w:t>
      </w:r>
      <w:r w:rsidR="009342A7">
        <w:rPr>
          <w:sz w:val="22"/>
          <w:szCs w:val="22"/>
        </w:rPr>
        <w:t xml:space="preserve">for the good of everyone </w:t>
      </w:r>
      <w:r w:rsidRPr="00DA76FF">
        <w:rPr>
          <w:sz w:val="22"/>
          <w:szCs w:val="22"/>
        </w:rPr>
        <w:t>worldwide.</w:t>
      </w:r>
    </w:p>
    <w:p w14:paraId="53904622" w14:textId="77777777" w:rsidR="004E2E65" w:rsidRPr="00DA76FF" w:rsidRDefault="004E2E65" w:rsidP="001E30C2">
      <w:pPr>
        <w:spacing w:after="120"/>
        <w:rPr>
          <w:b/>
          <w:bCs/>
          <w:sz w:val="22"/>
          <w:szCs w:val="18"/>
        </w:rPr>
      </w:pPr>
      <w:r w:rsidRPr="00DA76FF">
        <w:rPr>
          <w:b/>
          <w:bCs/>
          <w:sz w:val="22"/>
          <w:szCs w:val="18"/>
        </w:rPr>
        <w:t>Artificial intelligence</w:t>
      </w:r>
    </w:p>
    <w:p w14:paraId="60DF746B" w14:textId="0622C143" w:rsidR="004E2E65" w:rsidRPr="00EF6229" w:rsidRDefault="004E2E65" w:rsidP="001E30C2">
      <w:pPr>
        <w:spacing w:after="120"/>
        <w:jc w:val="both"/>
        <w:rPr>
          <w:sz w:val="22"/>
          <w:szCs w:val="22"/>
        </w:rPr>
      </w:pPr>
      <w:r w:rsidRPr="00EF6229">
        <w:rPr>
          <w:sz w:val="22"/>
          <w:szCs w:val="22"/>
        </w:rPr>
        <w:t xml:space="preserve">ITU has been at the leading edge of AI since 2017 with the aim of ensuring that AI accelerates </w:t>
      </w:r>
      <w:r w:rsidR="009A3B7E" w:rsidRPr="00EF6229">
        <w:rPr>
          <w:sz w:val="22"/>
          <w:szCs w:val="22"/>
        </w:rPr>
        <w:t>beneficial social and economic</w:t>
      </w:r>
      <w:r w:rsidR="00AF7BA4" w:rsidRPr="00EF6229">
        <w:rPr>
          <w:sz w:val="22"/>
          <w:szCs w:val="22"/>
        </w:rPr>
        <w:t xml:space="preserve"> </w:t>
      </w:r>
      <w:r w:rsidR="00D13553" w:rsidRPr="00EF6229">
        <w:rPr>
          <w:sz w:val="22"/>
          <w:szCs w:val="22"/>
        </w:rPr>
        <w:t>d</w:t>
      </w:r>
      <w:r w:rsidR="00AF7BA4" w:rsidRPr="00EF6229">
        <w:rPr>
          <w:sz w:val="22"/>
          <w:szCs w:val="22"/>
        </w:rPr>
        <w:t xml:space="preserve">evelopment </w:t>
      </w:r>
      <w:r w:rsidR="00D13553" w:rsidRPr="00EF6229">
        <w:rPr>
          <w:sz w:val="22"/>
          <w:szCs w:val="22"/>
        </w:rPr>
        <w:t>globally</w:t>
      </w:r>
      <w:r w:rsidR="00CD7C1B" w:rsidRPr="00EF6229">
        <w:rPr>
          <w:sz w:val="22"/>
          <w:szCs w:val="22"/>
        </w:rPr>
        <w:t>, as well as driving progress on</w:t>
      </w:r>
      <w:r w:rsidRPr="00EF6229">
        <w:rPr>
          <w:sz w:val="22"/>
          <w:szCs w:val="22"/>
        </w:rPr>
        <w:t xml:space="preserve"> universal connectivity and sustainable digital transformation.</w:t>
      </w:r>
    </w:p>
    <w:p w14:paraId="7782268D" w14:textId="7E5CE0E2" w:rsidR="004E2E65" w:rsidRPr="00EF6229" w:rsidRDefault="004E2E65" w:rsidP="001E30C2">
      <w:pPr>
        <w:spacing w:after="120"/>
        <w:jc w:val="both"/>
        <w:rPr>
          <w:sz w:val="22"/>
          <w:szCs w:val="22"/>
        </w:rPr>
      </w:pPr>
      <w:hyperlink r:id="rId91">
        <w:r w:rsidRPr="00EF6229">
          <w:rPr>
            <w:rStyle w:val="Hyperlink"/>
            <w:sz w:val="22"/>
            <w:szCs w:val="22"/>
          </w:rPr>
          <w:t>ITU’s work</w:t>
        </w:r>
      </w:hyperlink>
      <w:r w:rsidRPr="00EF6229">
        <w:rPr>
          <w:sz w:val="22"/>
          <w:szCs w:val="22"/>
        </w:rPr>
        <w:t xml:space="preserve"> related to AI includes:</w:t>
      </w:r>
    </w:p>
    <w:p w14:paraId="474E2773" w14:textId="0A5C09FB" w:rsidR="0033685F" w:rsidRPr="00EF6229" w:rsidRDefault="0033685F" w:rsidP="00C754AC">
      <w:pPr>
        <w:numPr>
          <w:ilvl w:val="0"/>
          <w:numId w:val="23"/>
        </w:numPr>
        <w:tabs>
          <w:tab w:val="clear" w:pos="567"/>
        </w:tabs>
        <w:spacing w:after="120"/>
        <w:ind w:left="567" w:hanging="283"/>
        <w:jc w:val="both"/>
        <w:rPr>
          <w:sz w:val="22"/>
          <w:szCs w:val="22"/>
        </w:rPr>
      </w:pPr>
      <w:hyperlink r:id="rId92" w:history="1">
        <w:r w:rsidRPr="00EF6229">
          <w:rPr>
            <w:rStyle w:val="Hyperlink"/>
            <w:sz w:val="22"/>
            <w:szCs w:val="22"/>
          </w:rPr>
          <w:t>AI for Good</w:t>
        </w:r>
      </w:hyperlink>
      <w:r w:rsidRPr="00EF6229">
        <w:rPr>
          <w:sz w:val="22"/>
          <w:szCs w:val="22"/>
        </w:rPr>
        <w:t xml:space="preserve"> </w:t>
      </w:r>
      <w:r w:rsidR="00265582" w:rsidRPr="00EF6229">
        <w:rPr>
          <w:sz w:val="22"/>
          <w:szCs w:val="22"/>
        </w:rPr>
        <w:t>–</w:t>
      </w:r>
      <w:r w:rsidRPr="00EF6229">
        <w:rPr>
          <w:sz w:val="22"/>
          <w:szCs w:val="22"/>
        </w:rPr>
        <w:t xml:space="preserve"> the leading action-oriented United Nations platform promoting AI to advance health, </w:t>
      </w:r>
      <w:r w:rsidR="00424F47" w:rsidRPr="00EF6229">
        <w:rPr>
          <w:sz w:val="22"/>
          <w:szCs w:val="22"/>
        </w:rPr>
        <w:t>education,</w:t>
      </w:r>
      <w:r w:rsidRPr="00EF6229">
        <w:rPr>
          <w:sz w:val="22"/>
          <w:szCs w:val="22"/>
        </w:rPr>
        <w:t xml:space="preserve"> infrastructure, and other global development priorities. AI for Good is organized in partnership with over 40 UN sister agencies and co-convened with the government of Switzerland.</w:t>
      </w:r>
    </w:p>
    <w:p w14:paraId="1C4C39BA" w14:textId="51332FA5" w:rsidR="0033685F" w:rsidRPr="00EF6229" w:rsidRDefault="0033685F" w:rsidP="00C754AC">
      <w:pPr>
        <w:numPr>
          <w:ilvl w:val="0"/>
          <w:numId w:val="23"/>
        </w:numPr>
        <w:tabs>
          <w:tab w:val="clear" w:pos="567"/>
        </w:tabs>
        <w:spacing w:after="120"/>
        <w:ind w:left="567" w:hanging="283"/>
        <w:jc w:val="both"/>
        <w:rPr>
          <w:sz w:val="22"/>
          <w:szCs w:val="22"/>
        </w:rPr>
      </w:pPr>
      <w:r w:rsidRPr="00EF6229">
        <w:rPr>
          <w:sz w:val="22"/>
          <w:szCs w:val="22"/>
        </w:rPr>
        <w:t xml:space="preserve">The </w:t>
      </w:r>
      <w:hyperlink r:id="rId93" w:history="1">
        <w:r w:rsidRPr="00EF6229">
          <w:rPr>
            <w:rStyle w:val="Hyperlink"/>
            <w:sz w:val="22"/>
            <w:szCs w:val="22"/>
          </w:rPr>
          <w:t>AI Skills Coalition</w:t>
        </w:r>
      </w:hyperlink>
      <w:r w:rsidR="00265582" w:rsidRPr="00EF6229">
        <w:rPr>
          <w:sz w:val="22"/>
          <w:szCs w:val="22"/>
        </w:rPr>
        <w:t xml:space="preserve"> –</w:t>
      </w:r>
      <w:r w:rsidRPr="00EF6229">
        <w:rPr>
          <w:sz w:val="22"/>
          <w:szCs w:val="22"/>
        </w:rPr>
        <w:t xml:space="preserve"> spearheaded by AI for Good under the AI for Good Impact Initiative, </w:t>
      </w:r>
      <w:r w:rsidR="007E1890" w:rsidRPr="00EF6229">
        <w:rPr>
          <w:sz w:val="22"/>
          <w:szCs w:val="22"/>
        </w:rPr>
        <w:t xml:space="preserve">aims to </w:t>
      </w:r>
      <w:r w:rsidRPr="00EF6229">
        <w:rPr>
          <w:sz w:val="22"/>
          <w:szCs w:val="22"/>
        </w:rPr>
        <w:t xml:space="preserve">serve as </w:t>
      </w:r>
      <w:r w:rsidR="00400789" w:rsidRPr="00EF6229">
        <w:rPr>
          <w:sz w:val="22"/>
          <w:szCs w:val="22"/>
        </w:rPr>
        <w:t>an</w:t>
      </w:r>
      <w:r w:rsidRPr="00EF6229">
        <w:rPr>
          <w:sz w:val="22"/>
          <w:szCs w:val="22"/>
        </w:rPr>
        <w:t xml:space="preserve"> open</w:t>
      </w:r>
      <w:r w:rsidR="00400789" w:rsidRPr="00EF6229">
        <w:rPr>
          <w:sz w:val="22"/>
          <w:szCs w:val="22"/>
        </w:rPr>
        <w:t xml:space="preserve"> and</w:t>
      </w:r>
      <w:r w:rsidRPr="00EF6229">
        <w:rPr>
          <w:sz w:val="22"/>
          <w:szCs w:val="22"/>
        </w:rPr>
        <w:t xml:space="preserve"> trusted platform for AI education and capacity building</w:t>
      </w:r>
      <w:r w:rsidR="00400789" w:rsidRPr="00EF6229">
        <w:rPr>
          <w:sz w:val="22"/>
          <w:szCs w:val="22"/>
        </w:rPr>
        <w:t xml:space="preserve"> globally</w:t>
      </w:r>
      <w:r w:rsidRPr="00EF6229">
        <w:rPr>
          <w:sz w:val="22"/>
          <w:szCs w:val="22"/>
        </w:rPr>
        <w:t>.</w:t>
      </w:r>
    </w:p>
    <w:p w14:paraId="334F4AF8" w14:textId="27217CDB" w:rsidR="0033685F" w:rsidRPr="00EF6229" w:rsidRDefault="0033685F" w:rsidP="00C754AC">
      <w:pPr>
        <w:numPr>
          <w:ilvl w:val="0"/>
          <w:numId w:val="23"/>
        </w:numPr>
        <w:tabs>
          <w:tab w:val="clear" w:pos="567"/>
        </w:tabs>
        <w:spacing w:after="120"/>
        <w:ind w:left="567" w:hanging="283"/>
        <w:jc w:val="both"/>
        <w:rPr>
          <w:sz w:val="22"/>
          <w:szCs w:val="22"/>
        </w:rPr>
      </w:pPr>
      <w:r w:rsidRPr="00EF6229">
        <w:rPr>
          <w:sz w:val="22"/>
          <w:szCs w:val="22"/>
        </w:rPr>
        <w:t xml:space="preserve">The adoption of </w:t>
      </w:r>
      <w:hyperlink r:id="rId94" w:history="1">
        <w:r w:rsidRPr="00EF6229">
          <w:rPr>
            <w:rStyle w:val="Hyperlink"/>
            <w:sz w:val="22"/>
            <w:szCs w:val="22"/>
          </w:rPr>
          <w:t>Resolution 101 (New Delhi, 2024)</w:t>
        </w:r>
      </w:hyperlink>
      <w:r w:rsidRPr="00EF6229">
        <w:rPr>
          <w:sz w:val="22"/>
          <w:szCs w:val="22"/>
        </w:rPr>
        <w:t xml:space="preserve"> at </w:t>
      </w:r>
      <w:r w:rsidR="00265582" w:rsidRPr="00EF6229">
        <w:rPr>
          <w:sz w:val="22"/>
          <w:szCs w:val="22"/>
        </w:rPr>
        <w:t xml:space="preserve">WTSA-24 </w:t>
      </w:r>
      <w:r w:rsidR="00273CC4" w:rsidRPr="00EF6229">
        <w:rPr>
          <w:sz w:val="22"/>
          <w:szCs w:val="22"/>
        </w:rPr>
        <w:t xml:space="preserve">– </w:t>
      </w:r>
      <w:r w:rsidRPr="00EF6229">
        <w:rPr>
          <w:sz w:val="22"/>
          <w:szCs w:val="22"/>
        </w:rPr>
        <w:t>further emphasiz</w:t>
      </w:r>
      <w:r w:rsidR="00273CC4" w:rsidRPr="00EF6229">
        <w:rPr>
          <w:sz w:val="22"/>
          <w:szCs w:val="22"/>
        </w:rPr>
        <w:t>ing</w:t>
      </w:r>
      <w:r w:rsidRPr="00EF6229">
        <w:rPr>
          <w:sz w:val="22"/>
          <w:szCs w:val="22"/>
        </w:rPr>
        <w:t xml:space="preserve"> ITU's recognized role in establishing trusted AI standards.</w:t>
      </w:r>
    </w:p>
    <w:p w14:paraId="03FBE0FE" w14:textId="3678C669" w:rsidR="0033685F" w:rsidRPr="00DA76FF" w:rsidRDefault="00273CC4" w:rsidP="00C754AC">
      <w:pPr>
        <w:keepNext/>
        <w:keepLines/>
        <w:numPr>
          <w:ilvl w:val="0"/>
          <w:numId w:val="23"/>
        </w:numPr>
        <w:tabs>
          <w:tab w:val="clear" w:pos="567"/>
        </w:tabs>
        <w:spacing w:after="120"/>
        <w:ind w:left="567" w:hanging="283"/>
        <w:jc w:val="both"/>
        <w:rPr>
          <w:sz w:val="22"/>
          <w:szCs w:val="22"/>
        </w:rPr>
      </w:pPr>
      <w:r w:rsidRPr="00EF6229">
        <w:rPr>
          <w:sz w:val="22"/>
          <w:szCs w:val="22"/>
        </w:rPr>
        <w:t>Newly e</w:t>
      </w:r>
      <w:r w:rsidR="0033685F" w:rsidRPr="00EF6229">
        <w:rPr>
          <w:sz w:val="22"/>
          <w:szCs w:val="22"/>
        </w:rPr>
        <w:t>stablished pre-standardization groups:</w:t>
      </w:r>
    </w:p>
    <w:p w14:paraId="70F31C07" w14:textId="77777777" w:rsidR="0033685F" w:rsidRPr="00F000EC" w:rsidRDefault="0033685F" w:rsidP="00C754AC">
      <w:pPr>
        <w:keepNext/>
        <w:keepLines/>
        <w:numPr>
          <w:ilvl w:val="1"/>
          <w:numId w:val="23"/>
        </w:numPr>
        <w:tabs>
          <w:tab w:val="clear" w:pos="567"/>
          <w:tab w:val="clear" w:pos="1134"/>
        </w:tabs>
        <w:spacing w:after="120"/>
        <w:ind w:left="1134" w:hanging="567"/>
        <w:jc w:val="both"/>
        <w:rPr>
          <w:sz w:val="22"/>
          <w:szCs w:val="22"/>
        </w:rPr>
      </w:pPr>
      <w:r w:rsidRPr="00F000EC">
        <w:rPr>
          <w:sz w:val="22"/>
          <w:szCs w:val="22"/>
        </w:rPr>
        <w:t xml:space="preserve">ITU-T </w:t>
      </w:r>
      <w:hyperlink r:id="rId95" w:history="1">
        <w:r w:rsidRPr="00F000EC">
          <w:rPr>
            <w:rStyle w:val="Hyperlink"/>
            <w:sz w:val="22"/>
            <w:szCs w:val="22"/>
          </w:rPr>
          <w:t>Focus Group on AI-Native Networks (FG AI-Native)</w:t>
        </w:r>
      </w:hyperlink>
    </w:p>
    <w:p w14:paraId="39873BBE" w14:textId="77777777" w:rsidR="0033685F" w:rsidRPr="00F000EC" w:rsidRDefault="0033685F" w:rsidP="00C754AC">
      <w:pPr>
        <w:numPr>
          <w:ilvl w:val="1"/>
          <w:numId w:val="23"/>
        </w:numPr>
        <w:tabs>
          <w:tab w:val="clear" w:pos="567"/>
          <w:tab w:val="clear" w:pos="1134"/>
        </w:tabs>
        <w:spacing w:after="120"/>
        <w:ind w:left="1134" w:hanging="567"/>
        <w:jc w:val="both"/>
        <w:rPr>
          <w:sz w:val="22"/>
          <w:szCs w:val="22"/>
        </w:rPr>
      </w:pPr>
      <w:hyperlink r:id="rId96" w:history="1">
        <w:r w:rsidRPr="00F000EC">
          <w:rPr>
            <w:rStyle w:val="Hyperlink"/>
            <w:sz w:val="22"/>
            <w:szCs w:val="22"/>
          </w:rPr>
          <w:t>Global Initiative on Resilience to Natural Hazards through AI Solutions</w:t>
        </w:r>
      </w:hyperlink>
    </w:p>
    <w:p w14:paraId="140BC3F7" w14:textId="6BAF3595" w:rsidR="0033685F" w:rsidRPr="00981F18" w:rsidRDefault="0033685F" w:rsidP="00C754AC">
      <w:pPr>
        <w:numPr>
          <w:ilvl w:val="0"/>
          <w:numId w:val="23"/>
        </w:numPr>
        <w:tabs>
          <w:tab w:val="clear" w:pos="567"/>
        </w:tabs>
        <w:spacing w:after="120"/>
        <w:ind w:left="567" w:hanging="283"/>
        <w:jc w:val="both"/>
        <w:rPr>
          <w:sz w:val="22"/>
          <w:szCs w:val="22"/>
        </w:rPr>
      </w:pPr>
      <w:r w:rsidRPr="00F000EC">
        <w:rPr>
          <w:sz w:val="22"/>
          <w:szCs w:val="22"/>
        </w:rPr>
        <w:t xml:space="preserve">The </w:t>
      </w:r>
      <w:r w:rsidR="00981F18" w:rsidRPr="00F000EC">
        <w:rPr>
          <w:sz w:val="22"/>
          <w:szCs w:val="22"/>
        </w:rPr>
        <w:t>new</w:t>
      </w:r>
      <w:r w:rsidR="00636351" w:rsidRPr="00F000EC">
        <w:rPr>
          <w:sz w:val="22"/>
          <w:szCs w:val="22"/>
        </w:rPr>
        <w:t xml:space="preserve"> </w:t>
      </w:r>
      <w:r w:rsidRPr="00F000EC">
        <w:rPr>
          <w:sz w:val="22"/>
          <w:szCs w:val="22"/>
        </w:rPr>
        <w:t>International AI Standards Summit</w:t>
      </w:r>
      <w:r w:rsidR="00981F18" w:rsidRPr="00F000EC">
        <w:rPr>
          <w:sz w:val="22"/>
          <w:szCs w:val="22"/>
        </w:rPr>
        <w:t xml:space="preserve"> –</w:t>
      </w:r>
      <w:r w:rsidRPr="00F000EC">
        <w:rPr>
          <w:sz w:val="22"/>
          <w:szCs w:val="22"/>
        </w:rPr>
        <w:t xml:space="preserve"> co-organized with ISO and IEC</w:t>
      </w:r>
      <w:r w:rsidR="00981F18" w:rsidRPr="00F000EC">
        <w:rPr>
          <w:sz w:val="22"/>
          <w:szCs w:val="22"/>
        </w:rPr>
        <w:t xml:space="preserve"> and launched at WTSA-24</w:t>
      </w:r>
      <w:r w:rsidR="007170C7" w:rsidRPr="00F000EC">
        <w:rPr>
          <w:sz w:val="22"/>
          <w:szCs w:val="22"/>
        </w:rPr>
        <w:t>,</w:t>
      </w:r>
      <w:r w:rsidRPr="00F000EC">
        <w:rPr>
          <w:sz w:val="22"/>
          <w:szCs w:val="22"/>
        </w:rPr>
        <w:t xml:space="preserve"> br</w:t>
      </w:r>
      <w:r w:rsidR="007170C7" w:rsidRPr="00F000EC">
        <w:rPr>
          <w:sz w:val="22"/>
          <w:szCs w:val="22"/>
        </w:rPr>
        <w:t>inging</w:t>
      </w:r>
      <w:r w:rsidRPr="00F000EC">
        <w:rPr>
          <w:sz w:val="22"/>
          <w:szCs w:val="22"/>
        </w:rPr>
        <w:t xml:space="preserve"> together global experts to advance standards for responsible AI. The next </w:t>
      </w:r>
      <w:r w:rsidR="001E5737" w:rsidRPr="00F000EC">
        <w:rPr>
          <w:sz w:val="22"/>
          <w:szCs w:val="22"/>
        </w:rPr>
        <w:t>edition is set to take place in Seoul, Republic of Korea</w:t>
      </w:r>
      <w:r w:rsidR="00F000EC">
        <w:rPr>
          <w:sz w:val="22"/>
          <w:szCs w:val="22"/>
        </w:rPr>
        <w:t>,</w:t>
      </w:r>
      <w:r w:rsidR="001E5737" w:rsidRPr="00F000EC">
        <w:rPr>
          <w:sz w:val="22"/>
          <w:szCs w:val="22"/>
        </w:rPr>
        <w:t xml:space="preserve"> in late 2025</w:t>
      </w:r>
      <w:r w:rsidRPr="00F000EC">
        <w:rPr>
          <w:sz w:val="22"/>
          <w:szCs w:val="22"/>
        </w:rPr>
        <w:t xml:space="preserve">. </w:t>
      </w:r>
      <w:r w:rsidR="001E5737" w:rsidRPr="00F000EC">
        <w:rPr>
          <w:sz w:val="22"/>
          <w:szCs w:val="22"/>
        </w:rPr>
        <w:t>In the meantime</w:t>
      </w:r>
      <w:r w:rsidRPr="00F000EC">
        <w:rPr>
          <w:sz w:val="22"/>
          <w:szCs w:val="22"/>
        </w:rPr>
        <w:t>, the AI for Good Global Summit 2025</w:t>
      </w:r>
      <w:r w:rsidR="001E5737" w:rsidRPr="00F000EC">
        <w:rPr>
          <w:sz w:val="22"/>
          <w:szCs w:val="22"/>
        </w:rPr>
        <w:t xml:space="preserve"> will feature a dedicated AI standards day</w:t>
      </w:r>
      <w:r w:rsidRPr="00F000EC">
        <w:rPr>
          <w:sz w:val="22"/>
          <w:szCs w:val="22"/>
        </w:rPr>
        <w:t>.</w:t>
      </w:r>
    </w:p>
    <w:p w14:paraId="22698957" w14:textId="5B5C8FB1" w:rsidR="0033685F" w:rsidRPr="00537364" w:rsidRDefault="00491707" w:rsidP="00C754AC">
      <w:pPr>
        <w:numPr>
          <w:ilvl w:val="0"/>
          <w:numId w:val="23"/>
        </w:numPr>
        <w:tabs>
          <w:tab w:val="clear" w:pos="567"/>
        </w:tabs>
        <w:spacing w:after="120"/>
        <w:ind w:left="567" w:hanging="283"/>
        <w:jc w:val="both"/>
        <w:rPr>
          <w:sz w:val="22"/>
          <w:szCs w:val="22"/>
        </w:rPr>
      </w:pPr>
      <w:r>
        <w:rPr>
          <w:sz w:val="22"/>
          <w:szCs w:val="22"/>
        </w:rPr>
        <w:t>T</w:t>
      </w:r>
      <w:r w:rsidR="0033685F" w:rsidRPr="00DA76FF">
        <w:rPr>
          <w:sz w:val="22"/>
          <w:szCs w:val="22"/>
        </w:rPr>
        <w:t xml:space="preserve">he first </w:t>
      </w:r>
      <w:hyperlink r:id="rId97" w:history="1">
        <w:r w:rsidR="0033685F" w:rsidRPr="00DA76FF">
          <w:rPr>
            <w:rStyle w:val="Hyperlink"/>
            <w:sz w:val="22"/>
            <w:szCs w:val="22"/>
          </w:rPr>
          <w:t>AI Governance Day</w:t>
        </w:r>
      </w:hyperlink>
      <w:r w:rsidR="0033685F" w:rsidRPr="00DA76FF">
        <w:rPr>
          <w:sz w:val="22"/>
          <w:szCs w:val="22"/>
        </w:rPr>
        <w:t xml:space="preserve"> </w:t>
      </w:r>
      <w:r w:rsidR="00537364">
        <w:rPr>
          <w:sz w:val="22"/>
          <w:szCs w:val="22"/>
        </w:rPr>
        <w:t>–</w:t>
      </w:r>
      <w:r w:rsidR="00537364" w:rsidRPr="00537364">
        <w:rPr>
          <w:sz w:val="22"/>
          <w:szCs w:val="22"/>
        </w:rPr>
        <w:t xml:space="preserve"> </w:t>
      </w:r>
      <w:r w:rsidR="0033685F" w:rsidRPr="00537364">
        <w:rPr>
          <w:sz w:val="22"/>
          <w:szCs w:val="22"/>
        </w:rPr>
        <w:t xml:space="preserve">held during the AI for Good Global Summit 2024. Bringing together global leaders, policymakers, and experts, the event focused on AI governance strategies. The next edition will take place at the 2025 </w:t>
      </w:r>
      <w:r w:rsidR="001E5737" w:rsidRPr="00537364">
        <w:rPr>
          <w:sz w:val="22"/>
          <w:szCs w:val="22"/>
        </w:rPr>
        <w:t>s</w:t>
      </w:r>
      <w:r w:rsidR="0033685F" w:rsidRPr="00537364">
        <w:rPr>
          <w:sz w:val="22"/>
          <w:szCs w:val="22"/>
        </w:rPr>
        <w:t>ummit.</w:t>
      </w:r>
    </w:p>
    <w:p w14:paraId="45C68155" w14:textId="027F0A15" w:rsidR="0033685F" w:rsidRPr="00537364" w:rsidRDefault="00537364" w:rsidP="00C754AC">
      <w:pPr>
        <w:numPr>
          <w:ilvl w:val="0"/>
          <w:numId w:val="23"/>
        </w:numPr>
        <w:tabs>
          <w:tab w:val="clear" w:pos="567"/>
        </w:tabs>
        <w:spacing w:after="120"/>
        <w:ind w:left="567" w:hanging="283"/>
        <w:jc w:val="both"/>
        <w:rPr>
          <w:sz w:val="22"/>
          <w:szCs w:val="22"/>
        </w:rPr>
      </w:pPr>
      <w:r>
        <w:rPr>
          <w:sz w:val="22"/>
          <w:szCs w:val="22"/>
        </w:rPr>
        <w:lastRenderedPageBreak/>
        <w:t>T</w:t>
      </w:r>
      <w:r w:rsidR="0033685F" w:rsidRPr="00DA76FF">
        <w:rPr>
          <w:sz w:val="22"/>
          <w:szCs w:val="22"/>
        </w:rPr>
        <w:t xml:space="preserve">he annual </w:t>
      </w:r>
      <w:hyperlink r:id="rId98" w:history="1">
        <w:r w:rsidR="0033685F" w:rsidRPr="00DA76FF">
          <w:rPr>
            <w:rStyle w:val="Hyperlink"/>
            <w:sz w:val="22"/>
            <w:szCs w:val="22"/>
          </w:rPr>
          <w:t>UN Activities on AI</w:t>
        </w:r>
      </w:hyperlink>
      <w:r w:rsidR="0033685F" w:rsidRPr="00DA76FF">
        <w:rPr>
          <w:sz w:val="22"/>
          <w:szCs w:val="22"/>
        </w:rPr>
        <w:t xml:space="preserve"> report</w:t>
      </w:r>
      <w:r>
        <w:rPr>
          <w:sz w:val="22"/>
          <w:szCs w:val="22"/>
        </w:rPr>
        <w:t xml:space="preserve"> – with t</w:t>
      </w:r>
      <w:r w:rsidR="0033685F" w:rsidRPr="00537364">
        <w:rPr>
          <w:sz w:val="22"/>
          <w:szCs w:val="22"/>
        </w:rPr>
        <w:t>he 2024 edition highlight</w:t>
      </w:r>
      <w:r>
        <w:rPr>
          <w:sz w:val="22"/>
          <w:szCs w:val="22"/>
        </w:rPr>
        <w:t>ing</w:t>
      </w:r>
      <w:r w:rsidR="0033685F" w:rsidRPr="00537364">
        <w:rPr>
          <w:sz w:val="22"/>
          <w:szCs w:val="22"/>
        </w:rPr>
        <w:t xml:space="preserve"> 408 AI projects from 47 agencies, involving collaborations across the UN system, governments, academia, and industry</w:t>
      </w:r>
      <w:r w:rsidR="00725CC7">
        <w:rPr>
          <w:sz w:val="22"/>
          <w:szCs w:val="22"/>
        </w:rPr>
        <w:t xml:space="preserve"> in line with </w:t>
      </w:r>
      <w:r w:rsidR="00CF6B68" w:rsidRPr="00CF6B68">
        <w:rPr>
          <w:sz w:val="22"/>
          <w:szCs w:val="22"/>
        </w:rPr>
        <w:t>the 2030 Agenda</w:t>
      </w:r>
      <w:r w:rsidR="0033685F" w:rsidRPr="00537364">
        <w:rPr>
          <w:sz w:val="22"/>
          <w:szCs w:val="22"/>
        </w:rPr>
        <w:t>.</w:t>
      </w:r>
    </w:p>
    <w:p w14:paraId="54A50D74" w14:textId="1A3D91C5" w:rsidR="0033685F" w:rsidRPr="00C754AC" w:rsidRDefault="0033685F" w:rsidP="000D6814">
      <w:pPr>
        <w:numPr>
          <w:ilvl w:val="0"/>
          <w:numId w:val="23"/>
        </w:numPr>
        <w:tabs>
          <w:tab w:val="clear" w:pos="567"/>
        </w:tabs>
        <w:spacing w:after="360"/>
        <w:ind w:left="527" w:hanging="283"/>
        <w:jc w:val="both"/>
        <w:rPr>
          <w:sz w:val="22"/>
          <w:szCs w:val="22"/>
        </w:rPr>
      </w:pPr>
      <w:r w:rsidRPr="00C754AC">
        <w:rPr>
          <w:sz w:val="22"/>
          <w:szCs w:val="22"/>
        </w:rPr>
        <w:t>The Inter-Agency Working Group on AI, co-chaired by ITU and UNESCO</w:t>
      </w:r>
      <w:r w:rsidR="00731BFD" w:rsidRPr="00C754AC">
        <w:rPr>
          <w:sz w:val="22"/>
          <w:szCs w:val="22"/>
        </w:rPr>
        <w:t xml:space="preserve"> – </w:t>
      </w:r>
      <w:r w:rsidRPr="00C754AC">
        <w:rPr>
          <w:sz w:val="22"/>
          <w:szCs w:val="22"/>
        </w:rPr>
        <w:t>lead</w:t>
      </w:r>
      <w:r w:rsidR="00731BFD" w:rsidRPr="00C754AC">
        <w:rPr>
          <w:sz w:val="22"/>
          <w:szCs w:val="22"/>
        </w:rPr>
        <w:t>ing</w:t>
      </w:r>
      <w:r w:rsidRPr="00C754AC">
        <w:rPr>
          <w:sz w:val="22"/>
          <w:szCs w:val="22"/>
        </w:rPr>
        <w:t xml:space="preserve"> comprehensive coordination across almost 50 UN entities</w:t>
      </w:r>
      <w:r w:rsidR="7E08DA37" w:rsidRPr="2C0EAE0F">
        <w:rPr>
          <w:sz w:val="22"/>
          <w:szCs w:val="22"/>
        </w:rPr>
        <w:t>.</w:t>
      </w:r>
      <w:r w:rsidRPr="2C0EAE0F">
        <w:rPr>
          <w:sz w:val="22"/>
          <w:szCs w:val="22"/>
        </w:rPr>
        <w:t xml:space="preserve"> </w:t>
      </w:r>
      <w:r w:rsidR="39083363" w:rsidRPr="2C0EAE0F">
        <w:rPr>
          <w:sz w:val="22"/>
          <w:szCs w:val="22"/>
        </w:rPr>
        <w:t>It has</w:t>
      </w:r>
      <w:r w:rsidRPr="2C0EAE0F">
        <w:rPr>
          <w:sz w:val="22"/>
          <w:szCs w:val="22"/>
        </w:rPr>
        <w:t xml:space="preserve"> </w:t>
      </w:r>
      <w:r w:rsidR="00B2717C" w:rsidRPr="2C0EAE0F">
        <w:rPr>
          <w:sz w:val="22"/>
          <w:szCs w:val="22"/>
        </w:rPr>
        <w:t>produc</w:t>
      </w:r>
      <w:r w:rsidR="31274FF1" w:rsidRPr="2C0EAE0F">
        <w:rPr>
          <w:sz w:val="22"/>
          <w:szCs w:val="22"/>
        </w:rPr>
        <w:t>ed</w:t>
      </w:r>
      <w:r w:rsidRPr="00C754AC">
        <w:rPr>
          <w:sz w:val="22"/>
          <w:szCs w:val="22"/>
        </w:rPr>
        <w:t xml:space="preserve"> the </w:t>
      </w:r>
      <w:hyperlink r:id="rId99">
        <w:r w:rsidRPr="2C0EAE0F">
          <w:rPr>
            <w:rStyle w:val="Hyperlink"/>
            <w:sz w:val="22"/>
            <w:szCs w:val="22"/>
          </w:rPr>
          <w:t>UN System White Paper on AI Governance</w:t>
        </w:r>
      </w:hyperlink>
      <w:r w:rsidRPr="00C754AC">
        <w:rPr>
          <w:sz w:val="22"/>
          <w:szCs w:val="22"/>
        </w:rPr>
        <w:t xml:space="preserve">, endorsed by </w:t>
      </w:r>
      <w:r w:rsidR="00390451" w:rsidRPr="00C754AC">
        <w:rPr>
          <w:sz w:val="22"/>
          <w:szCs w:val="22"/>
        </w:rPr>
        <w:t xml:space="preserve">the UN’s High-Level Committee of Programmes </w:t>
      </w:r>
      <w:r w:rsidRPr="00C754AC">
        <w:rPr>
          <w:sz w:val="22"/>
          <w:szCs w:val="22"/>
        </w:rPr>
        <w:t xml:space="preserve">and </w:t>
      </w:r>
      <w:r w:rsidR="00390451" w:rsidRPr="00C754AC">
        <w:rPr>
          <w:sz w:val="22"/>
          <w:szCs w:val="22"/>
        </w:rPr>
        <w:t xml:space="preserve">UN </w:t>
      </w:r>
      <w:r w:rsidRPr="00C754AC">
        <w:rPr>
          <w:sz w:val="22"/>
          <w:szCs w:val="22"/>
        </w:rPr>
        <w:t>C</w:t>
      </w:r>
      <w:r w:rsidR="00390451" w:rsidRPr="00C754AC">
        <w:rPr>
          <w:sz w:val="22"/>
          <w:szCs w:val="22"/>
        </w:rPr>
        <w:t xml:space="preserve">hief </w:t>
      </w:r>
      <w:r w:rsidRPr="00C754AC">
        <w:rPr>
          <w:sz w:val="22"/>
          <w:szCs w:val="22"/>
        </w:rPr>
        <w:t>E</w:t>
      </w:r>
      <w:r w:rsidR="00390451" w:rsidRPr="00C754AC">
        <w:rPr>
          <w:sz w:val="22"/>
          <w:szCs w:val="22"/>
        </w:rPr>
        <w:t xml:space="preserve">xecutives </w:t>
      </w:r>
      <w:r w:rsidRPr="00C754AC">
        <w:rPr>
          <w:sz w:val="22"/>
          <w:szCs w:val="22"/>
        </w:rPr>
        <w:t>B</w:t>
      </w:r>
      <w:r w:rsidR="00390451" w:rsidRPr="00C754AC">
        <w:rPr>
          <w:sz w:val="22"/>
          <w:szCs w:val="22"/>
        </w:rPr>
        <w:t>oard for Coordination</w:t>
      </w:r>
      <w:r w:rsidRPr="00C754AC">
        <w:rPr>
          <w:sz w:val="22"/>
          <w:szCs w:val="22"/>
        </w:rPr>
        <w:t>.</w:t>
      </w:r>
    </w:p>
    <w:p w14:paraId="5291B5CE" w14:textId="3374BC1E" w:rsidR="00214DFC" w:rsidRPr="00DA76FF" w:rsidRDefault="00FF5073" w:rsidP="00C754AC">
      <w:pPr>
        <w:spacing w:before="0"/>
        <w:jc w:val="both"/>
        <w:rPr>
          <w:sz w:val="22"/>
          <w:szCs w:val="22"/>
        </w:rPr>
      </w:pPr>
      <w:r w:rsidRPr="004F041F">
        <w:rPr>
          <w:rFonts w:cs="Calibri"/>
          <w:noProof/>
          <w:sz w:val="22"/>
          <w:szCs w:val="22"/>
        </w:rPr>
        <mc:AlternateContent>
          <mc:Choice Requires="wps">
            <w:drawing>
              <wp:inline distT="0" distB="0" distL="0" distR="0" wp14:anchorId="20618B30" wp14:editId="15F86FAB">
                <wp:extent cx="5626100" cy="1404620"/>
                <wp:effectExtent l="0" t="0" r="12700" b="12065"/>
                <wp:docPr id="952745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595B7AB5" w14:textId="6AF2503E" w:rsidR="006A0C3C" w:rsidRDefault="00FF5073" w:rsidP="00E34AC0">
                            <w:pPr>
                              <w:pStyle w:val="NoSpacing"/>
                              <w:shd w:val="clear" w:color="auto" w:fill="C6D9F1" w:themeFill="text2" w:themeFillTint="33"/>
                              <w:spacing w:after="240"/>
                            </w:pPr>
                            <w:r w:rsidRPr="005B195D">
                              <w:rPr>
                                <w:rFonts w:cs="Calibri"/>
                                <w:b/>
                                <w:bCs/>
                                <w:sz w:val="24"/>
                                <w:szCs w:val="24"/>
                              </w:rPr>
                              <w:t xml:space="preserve">AI for </w:t>
                            </w:r>
                            <w:r w:rsidR="006A0C3C">
                              <w:rPr>
                                <w:rFonts w:cs="Calibri"/>
                                <w:b/>
                                <w:bCs/>
                                <w:sz w:val="24"/>
                                <w:szCs w:val="24"/>
                              </w:rPr>
                              <w:t>H</w:t>
                            </w:r>
                            <w:r w:rsidRPr="005B195D">
                              <w:rPr>
                                <w:rFonts w:cs="Calibri"/>
                                <w:b/>
                                <w:bCs/>
                                <w:sz w:val="24"/>
                                <w:szCs w:val="24"/>
                              </w:rPr>
                              <w:t>ealth</w:t>
                            </w:r>
                          </w:p>
                          <w:p w14:paraId="5F78ACB2" w14:textId="426A6F7C" w:rsidR="0074328D" w:rsidRDefault="00290FBB" w:rsidP="00F000EC">
                            <w:pPr>
                              <w:pStyle w:val="NoSpacing"/>
                              <w:spacing w:after="240"/>
                              <w:jc w:val="both"/>
                              <w:rPr>
                                <w:rFonts w:eastAsia="Calibri" w:cs="Calibri"/>
                              </w:rPr>
                            </w:pPr>
                            <w:r w:rsidRPr="00DA76FF">
                              <w:t xml:space="preserve">The </w:t>
                            </w:r>
                            <w:hyperlink r:id="rId100" w:history="1">
                              <w:r w:rsidRPr="00DA76FF">
                                <w:rPr>
                                  <w:rStyle w:val="Hyperlink"/>
                                </w:rPr>
                                <w:t>Global Initiative on AI for Health</w:t>
                              </w:r>
                            </w:hyperlink>
                            <w:r w:rsidR="00480561">
                              <w:t>,</w:t>
                            </w:r>
                            <w:r w:rsidRPr="00DA76FF">
                              <w:t xml:space="preserve"> driven by ITU</w:t>
                            </w:r>
                            <w:r w:rsidR="00C92F48">
                              <w:t xml:space="preserve"> with</w:t>
                            </w:r>
                            <w:r w:rsidRPr="00DA76FF">
                              <w:t xml:space="preserve"> </w:t>
                            </w:r>
                            <w:r w:rsidR="00C92F48">
                              <w:t>the World Health Organization (</w:t>
                            </w:r>
                            <w:r w:rsidRPr="00DA76FF">
                              <w:t>WHO</w:t>
                            </w:r>
                            <w:r w:rsidR="00C92F48">
                              <w:t>)</w:t>
                            </w:r>
                            <w:r w:rsidRPr="00DA76FF">
                              <w:t xml:space="preserve"> and </w:t>
                            </w:r>
                            <w:r w:rsidR="00C92F48">
                              <w:t>World Intellectual Property Organization (</w:t>
                            </w:r>
                            <w:r w:rsidRPr="00DA76FF">
                              <w:t>WIPO</w:t>
                            </w:r>
                            <w:r w:rsidR="00C92F48">
                              <w:t>)</w:t>
                            </w:r>
                            <w:r w:rsidR="00480561">
                              <w:t>,</w:t>
                            </w:r>
                            <w:r w:rsidRPr="00DA76FF">
                              <w:t xml:space="preserve"> </w:t>
                            </w:r>
                            <w:r w:rsidR="007E1D9B">
                              <w:t>has set out to</w:t>
                            </w:r>
                            <w:r w:rsidR="00424B73">
                              <w:t xml:space="preserve"> </w:t>
                            </w:r>
                            <w:r w:rsidR="007E1D9B">
                              <w:t xml:space="preserve">help </w:t>
                            </w:r>
                            <w:r w:rsidRPr="00DA76FF">
                              <w:t xml:space="preserve">step up AI’s contribution </w:t>
                            </w:r>
                            <w:r w:rsidRPr="00DA76FF">
                              <w:rPr>
                                <w:rFonts w:eastAsia="Calibri" w:cs="Calibri"/>
                              </w:rPr>
                              <w:t>to health</w:t>
                            </w:r>
                            <w:r w:rsidR="007E1D9B">
                              <w:rPr>
                                <w:rFonts w:eastAsia="Calibri" w:cs="Calibri"/>
                              </w:rPr>
                              <w:t>care</w:t>
                            </w:r>
                            <w:r w:rsidRPr="00DA76FF">
                              <w:rPr>
                                <w:rFonts w:eastAsia="Calibri" w:cs="Calibri"/>
                              </w:rPr>
                              <w:t xml:space="preserve"> and </w:t>
                            </w:r>
                            <w:r w:rsidR="00C92F48">
                              <w:rPr>
                                <w:rFonts w:eastAsia="Calibri" w:cs="Calibri"/>
                              </w:rPr>
                              <w:t>ensure</w:t>
                            </w:r>
                            <w:r w:rsidR="00C92F48" w:rsidRPr="00DA76FF">
                              <w:rPr>
                                <w:rFonts w:eastAsia="Calibri" w:cs="Calibri"/>
                              </w:rPr>
                              <w:t xml:space="preserve"> </w:t>
                            </w:r>
                            <w:r w:rsidRPr="00DA76FF">
                              <w:rPr>
                                <w:rFonts w:eastAsia="Calibri" w:cs="Calibri"/>
                              </w:rPr>
                              <w:t>universal access to the resulting benefits.</w:t>
                            </w:r>
                            <w:r w:rsidR="0074328D">
                              <w:rPr>
                                <w:rFonts w:eastAsia="Calibri" w:cs="Calibri"/>
                              </w:rPr>
                              <w:t xml:space="preserve"> </w:t>
                            </w:r>
                          </w:p>
                          <w:p w14:paraId="5CC9D5EA" w14:textId="2FEB3974" w:rsidR="00290FBB" w:rsidRPr="00DA76FF" w:rsidRDefault="0074328D" w:rsidP="00F000EC">
                            <w:pPr>
                              <w:pStyle w:val="NoSpacing"/>
                              <w:spacing w:after="240"/>
                              <w:jc w:val="both"/>
                            </w:pPr>
                            <w:r>
                              <w:rPr>
                                <w:rFonts w:eastAsia="Calibri" w:cs="Calibri"/>
                              </w:rPr>
                              <w:t>The initiative</w:t>
                            </w:r>
                            <w:r w:rsidR="00290FBB" w:rsidRPr="00DA76FF">
                              <w:rPr>
                                <w:rFonts w:eastAsia="Calibri" w:cs="Calibri"/>
                              </w:rPr>
                              <w:t xml:space="preserve"> aims to develop technical standards and policy guidance, facilitate knowledge and data sharing, and support evidence-based decisions on the introduction of AI solutions for health.</w:t>
                            </w:r>
                            <w:r>
                              <w:rPr>
                                <w:rFonts w:eastAsia="Calibri" w:cs="Calibri"/>
                              </w:rPr>
                              <w:t xml:space="preserve"> </w:t>
                            </w:r>
                            <w:r w:rsidR="00290FBB" w:rsidRPr="00DA76FF">
                              <w:rPr>
                                <w:rFonts w:eastAsia="Calibri" w:cs="Calibri"/>
                              </w:rPr>
                              <w:t>It also promote</w:t>
                            </w:r>
                            <w:r w:rsidR="00290FBB">
                              <w:rPr>
                                <w:rFonts w:eastAsia="Calibri" w:cs="Calibri"/>
                              </w:rPr>
                              <w:t>s</w:t>
                            </w:r>
                            <w:r w:rsidR="00290FBB" w:rsidRPr="00DA76FF">
                              <w:rPr>
                                <w:rFonts w:eastAsia="Calibri" w:cs="Calibri"/>
                              </w:rPr>
                              <w:t xml:space="preserve"> collaborative mechanisms for AI solutions to reach underserved communities, and its</w:t>
                            </w:r>
                            <w:r w:rsidR="00290FBB" w:rsidRPr="00DA76FF">
                              <w:t xml:space="preserve"> scaling programme will assist low- and middle-income countries in adopting AI solutions for health.</w:t>
                            </w:r>
                          </w:p>
                          <w:p w14:paraId="6BE6D287" w14:textId="45906601" w:rsidR="00FF5073" w:rsidRPr="00F000EC" w:rsidRDefault="00290FBB" w:rsidP="00F000EC">
                            <w:pPr>
                              <w:jc w:val="both"/>
                              <w:rPr>
                                <w:rFonts w:cs="Calibri"/>
                                <w:sz w:val="22"/>
                                <w:szCs w:val="22"/>
                                <w:u w:val="single"/>
                              </w:rPr>
                            </w:pPr>
                            <w:r w:rsidRPr="00DA76FF">
                              <w:rPr>
                                <w:sz w:val="22"/>
                                <w:szCs w:val="22"/>
                              </w:rPr>
                              <w:t xml:space="preserve">The initiative, announced at the </w:t>
                            </w:r>
                            <w:hyperlink r:id="rId101" w:history="1">
                              <w:r w:rsidRPr="00DA76FF">
                                <w:rPr>
                                  <w:rStyle w:val="Hyperlink"/>
                                  <w:sz w:val="22"/>
                                  <w:szCs w:val="22"/>
                                </w:rPr>
                                <w:t>AI for Good Global Summit 2023</w:t>
                              </w:r>
                            </w:hyperlink>
                            <w:r w:rsidRPr="00DA76FF">
                              <w:rPr>
                                <w:sz w:val="22"/>
                                <w:szCs w:val="22"/>
                              </w:rPr>
                              <w:t xml:space="preserve"> and formalized in late 2024, builds on the momentum of the </w:t>
                            </w:r>
                            <w:hyperlink r:id="rId102" w:history="1">
                              <w:r w:rsidRPr="00DA76FF">
                                <w:rPr>
                                  <w:rStyle w:val="Hyperlink"/>
                                  <w:sz w:val="22"/>
                                  <w:szCs w:val="22"/>
                                </w:rPr>
                                <w:t>ITU-WHO Focus Group on AI for Health</w:t>
                              </w:r>
                            </w:hyperlink>
                            <w:r w:rsidRPr="00F000EC">
                              <w:t>.</w:t>
                            </w:r>
                          </w:p>
                        </w:txbxContent>
                      </wps:txbx>
                      <wps:bodyPr rot="0" vert="horz" wrap="square" lIns="91440" tIns="45720" rIns="91440" bIns="45720" anchor="t" anchorCtr="0">
                        <a:spAutoFit/>
                      </wps:bodyPr>
                    </wps:wsp>
                  </a:graphicData>
                </a:graphic>
              </wp:inline>
            </w:drawing>
          </mc:Choice>
          <mc:Fallback>
            <w:pict>
              <v:shape w14:anchorId="20618B30" id="_x0000_s1027"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">
                <v:textbox style="mso-fit-shape-to-text:t">
                  <w:txbxContent>
                    <w:p w14:paraId="595B7AB5" w14:textId="6AF2503E" w:rsidR="006A0C3C" w:rsidRDefault="00FF5073" w:rsidP="00E34AC0">
                      <w:pPr>
                        <w:pStyle w:val="NoSpacing"/>
                        <w:shd w:val="clear" w:color="auto" w:fill="C6D9F1" w:themeFill="text2" w:themeFillTint="33"/>
                        <w:spacing w:after="240"/>
                      </w:pPr>
                      <w:r w:rsidRPr="005B195D">
                        <w:rPr>
                          <w:rFonts w:cs="Calibri"/>
                          <w:b/>
                          <w:bCs/>
                          <w:sz w:val="24"/>
                          <w:szCs w:val="24"/>
                        </w:rPr>
                        <w:t xml:space="preserve">AI for </w:t>
                      </w:r>
                      <w:r w:rsidR="006A0C3C">
                        <w:rPr>
                          <w:rFonts w:cs="Calibri"/>
                          <w:b/>
                          <w:bCs/>
                          <w:sz w:val="24"/>
                          <w:szCs w:val="24"/>
                        </w:rPr>
                        <w:t>H</w:t>
                      </w:r>
                      <w:r w:rsidRPr="005B195D">
                        <w:rPr>
                          <w:rFonts w:cs="Calibri"/>
                          <w:b/>
                          <w:bCs/>
                          <w:sz w:val="24"/>
                          <w:szCs w:val="24"/>
                        </w:rPr>
                        <w:t>ealth</w:t>
                      </w:r>
                    </w:p>
                    <w:p w14:paraId="5F78ACB2" w14:textId="426A6F7C" w:rsidR="0074328D" w:rsidRDefault="00290FBB" w:rsidP="00F000EC">
                      <w:pPr>
                        <w:pStyle w:val="NoSpacing"/>
                        <w:spacing w:after="240"/>
                        <w:jc w:val="both"/>
                        <w:rPr>
                          <w:rFonts w:eastAsia="Calibri" w:cs="Calibri"/>
                        </w:rPr>
                      </w:pPr>
                      <w:r w:rsidRPr="00DA76FF">
                        <w:t xml:space="preserve">The </w:t>
                      </w:r>
                      <w:hyperlink r:id="rId103" w:history="1">
                        <w:r w:rsidRPr="00DA76FF">
                          <w:rPr>
                            <w:rStyle w:val="Hyperlink"/>
                          </w:rPr>
                          <w:t>Global Initiative on AI for Health</w:t>
                        </w:r>
                      </w:hyperlink>
                      <w:r w:rsidR="00480561">
                        <w:t>,</w:t>
                      </w:r>
                      <w:r w:rsidRPr="00DA76FF">
                        <w:t xml:space="preserve"> driven by ITU</w:t>
                      </w:r>
                      <w:r w:rsidR="00C92F48">
                        <w:t xml:space="preserve"> with</w:t>
                      </w:r>
                      <w:r w:rsidRPr="00DA76FF">
                        <w:t xml:space="preserve"> </w:t>
                      </w:r>
                      <w:r w:rsidR="00C92F48">
                        <w:t>the World Health Organization (</w:t>
                      </w:r>
                      <w:r w:rsidRPr="00DA76FF">
                        <w:t>WHO</w:t>
                      </w:r>
                      <w:r w:rsidR="00C92F48">
                        <w:t>)</w:t>
                      </w:r>
                      <w:r w:rsidRPr="00DA76FF">
                        <w:t xml:space="preserve"> and </w:t>
                      </w:r>
                      <w:r w:rsidR="00C92F48">
                        <w:t>World Intellectual Property Organization (</w:t>
                      </w:r>
                      <w:r w:rsidRPr="00DA76FF">
                        <w:t>WIPO</w:t>
                      </w:r>
                      <w:r w:rsidR="00C92F48">
                        <w:t>)</w:t>
                      </w:r>
                      <w:r w:rsidR="00480561">
                        <w:t>,</w:t>
                      </w:r>
                      <w:r w:rsidRPr="00DA76FF">
                        <w:t xml:space="preserve"> </w:t>
                      </w:r>
                      <w:r w:rsidR="007E1D9B">
                        <w:t>has set out to</w:t>
                      </w:r>
                      <w:r w:rsidR="00424B73">
                        <w:t xml:space="preserve"> </w:t>
                      </w:r>
                      <w:r w:rsidR="007E1D9B">
                        <w:t xml:space="preserve">help </w:t>
                      </w:r>
                      <w:r w:rsidRPr="00DA76FF">
                        <w:t xml:space="preserve">step up AI’s contribution </w:t>
                      </w:r>
                      <w:r w:rsidRPr="00DA76FF">
                        <w:rPr>
                          <w:rFonts w:eastAsia="Calibri" w:cs="Calibri"/>
                        </w:rPr>
                        <w:t>to health</w:t>
                      </w:r>
                      <w:r w:rsidR="007E1D9B">
                        <w:rPr>
                          <w:rFonts w:eastAsia="Calibri" w:cs="Calibri"/>
                        </w:rPr>
                        <w:t>care</w:t>
                      </w:r>
                      <w:r w:rsidRPr="00DA76FF">
                        <w:rPr>
                          <w:rFonts w:eastAsia="Calibri" w:cs="Calibri"/>
                        </w:rPr>
                        <w:t xml:space="preserve"> and </w:t>
                      </w:r>
                      <w:r w:rsidR="00C92F48">
                        <w:rPr>
                          <w:rFonts w:eastAsia="Calibri" w:cs="Calibri"/>
                        </w:rPr>
                        <w:t>ensure</w:t>
                      </w:r>
                      <w:r w:rsidR="00C92F48" w:rsidRPr="00DA76FF">
                        <w:rPr>
                          <w:rFonts w:eastAsia="Calibri" w:cs="Calibri"/>
                        </w:rPr>
                        <w:t xml:space="preserve"> </w:t>
                      </w:r>
                      <w:r w:rsidRPr="00DA76FF">
                        <w:rPr>
                          <w:rFonts w:eastAsia="Calibri" w:cs="Calibri"/>
                        </w:rPr>
                        <w:t>universal access to the resulting benefits.</w:t>
                      </w:r>
                      <w:r w:rsidR="0074328D">
                        <w:rPr>
                          <w:rFonts w:eastAsia="Calibri" w:cs="Calibri"/>
                        </w:rPr>
                        <w:t xml:space="preserve"> </w:t>
                      </w:r>
                    </w:p>
                    <w:p w14:paraId="5CC9D5EA" w14:textId="2FEB3974" w:rsidR="00290FBB" w:rsidRPr="00DA76FF" w:rsidRDefault="0074328D" w:rsidP="00F000EC">
                      <w:pPr>
                        <w:pStyle w:val="NoSpacing"/>
                        <w:spacing w:after="240"/>
                        <w:jc w:val="both"/>
                      </w:pPr>
                      <w:r>
                        <w:rPr>
                          <w:rFonts w:eastAsia="Calibri" w:cs="Calibri"/>
                        </w:rPr>
                        <w:t>The initiative</w:t>
                      </w:r>
                      <w:r w:rsidR="00290FBB" w:rsidRPr="00DA76FF">
                        <w:rPr>
                          <w:rFonts w:eastAsia="Calibri" w:cs="Calibri"/>
                        </w:rPr>
                        <w:t xml:space="preserve"> aims to develop technical standards and policy guidance, facilitate knowledge and data sharing, and support evidence-based decisions on the introduction of AI solutions for health.</w:t>
                      </w:r>
                      <w:r>
                        <w:rPr>
                          <w:rFonts w:eastAsia="Calibri" w:cs="Calibri"/>
                        </w:rPr>
                        <w:t xml:space="preserve"> </w:t>
                      </w:r>
                      <w:r w:rsidR="00290FBB" w:rsidRPr="00DA76FF">
                        <w:rPr>
                          <w:rFonts w:eastAsia="Calibri" w:cs="Calibri"/>
                        </w:rPr>
                        <w:t>It also promote</w:t>
                      </w:r>
                      <w:r w:rsidR="00290FBB">
                        <w:rPr>
                          <w:rFonts w:eastAsia="Calibri" w:cs="Calibri"/>
                        </w:rPr>
                        <w:t>s</w:t>
                      </w:r>
                      <w:r w:rsidR="00290FBB" w:rsidRPr="00DA76FF">
                        <w:rPr>
                          <w:rFonts w:eastAsia="Calibri" w:cs="Calibri"/>
                        </w:rPr>
                        <w:t xml:space="preserve"> collaborative mechanisms for AI solutions to reach underserved communities, and its</w:t>
                      </w:r>
                      <w:r w:rsidR="00290FBB" w:rsidRPr="00DA76FF">
                        <w:t xml:space="preserve"> scaling programme will assist low- and middle-income countries in adopting AI solutions for health.</w:t>
                      </w:r>
                    </w:p>
                    <w:p w14:paraId="6BE6D287" w14:textId="45906601" w:rsidR="00FF5073" w:rsidRPr="00F000EC" w:rsidRDefault="00290FBB" w:rsidP="00F000EC">
                      <w:pPr>
                        <w:jc w:val="both"/>
                        <w:rPr>
                          <w:rFonts w:cs="Calibri"/>
                          <w:sz w:val="22"/>
                          <w:szCs w:val="22"/>
                          <w:u w:val="single"/>
                        </w:rPr>
                      </w:pPr>
                      <w:r w:rsidRPr="00DA76FF">
                        <w:rPr>
                          <w:sz w:val="22"/>
                          <w:szCs w:val="22"/>
                        </w:rPr>
                        <w:t xml:space="preserve">The initiative, announced at the </w:t>
                      </w:r>
                      <w:hyperlink r:id="rId104" w:history="1">
                        <w:r w:rsidRPr="00DA76FF">
                          <w:rPr>
                            <w:rStyle w:val="Hyperlink"/>
                            <w:sz w:val="22"/>
                            <w:szCs w:val="22"/>
                          </w:rPr>
                          <w:t>AI for Good Global Summit 2023</w:t>
                        </w:r>
                      </w:hyperlink>
                      <w:r w:rsidRPr="00DA76FF">
                        <w:rPr>
                          <w:sz w:val="22"/>
                          <w:szCs w:val="22"/>
                        </w:rPr>
                        <w:t xml:space="preserve"> and formalized in late 2024, builds on the momentum of the </w:t>
                      </w:r>
                      <w:hyperlink r:id="rId105" w:history="1">
                        <w:r w:rsidRPr="00DA76FF">
                          <w:rPr>
                            <w:rStyle w:val="Hyperlink"/>
                            <w:sz w:val="22"/>
                            <w:szCs w:val="22"/>
                          </w:rPr>
                          <w:t>ITU-WHO Focus Group on AI for Health</w:t>
                        </w:r>
                      </w:hyperlink>
                      <w:r w:rsidRPr="00F000EC">
                        <w:t>.</w:t>
                      </w:r>
                    </w:p>
                  </w:txbxContent>
                </v:textbox>
                <w10:anchorlock/>
              </v:shape>
            </w:pict>
          </mc:Fallback>
        </mc:AlternateContent>
      </w:r>
    </w:p>
    <w:p w14:paraId="570DEED3" w14:textId="7E0E1D45" w:rsidR="004E2E65" w:rsidRPr="00DA76FF" w:rsidRDefault="004E2E65" w:rsidP="000D6814">
      <w:pPr>
        <w:spacing w:before="360" w:after="120"/>
        <w:jc w:val="both"/>
        <w:rPr>
          <w:b/>
          <w:bCs/>
          <w:sz w:val="22"/>
          <w:szCs w:val="22"/>
        </w:rPr>
      </w:pPr>
      <w:r w:rsidRPr="00DA76FF">
        <w:rPr>
          <w:b/>
          <w:bCs/>
          <w:sz w:val="22"/>
          <w:szCs w:val="18"/>
        </w:rPr>
        <w:t>Quantum information technology</w:t>
      </w:r>
    </w:p>
    <w:p w14:paraId="4C8FFB61" w14:textId="78507D7F" w:rsidR="004E2E65" w:rsidRDefault="004E2E65" w:rsidP="000D6814">
      <w:pPr>
        <w:pStyle w:val="xmsonormal"/>
        <w:spacing w:before="120" w:after="120"/>
        <w:jc w:val="both"/>
      </w:pPr>
      <w:r w:rsidRPr="00DA76FF">
        <w:t xml:space="preserve">Following the World Telecommunication Standardization Assembly (WTSA-24), ITU-T </w:t>
      </w:r>
      <w:r w:rsidR="00AF7E31">
        <w:t>s</w:t>
      </w:r>
      <w:r w:rsidRPr="00DA76FF">
        <w:t xml:space="preserve">tudy </w:t>
      </w:r>
      <w:r w:rsidR="00AF7E31">
        <w:t>g</w:t>
      </w:r>
      <w:r w:rsidRPr="00DA76FF">
        <w:t>roups reviewed and updated their mandates, enhancing the scope of quantum-related standardization work across multiple groups:</w:t>
      </w:r>
    </w:p>
    <w:p w14:paraId="799FE23A" w14:textId="00DF66B7" w:rsidR="000D6814" w:rsidRPr="00DA76FF" w:rsidRDefault="000D6814" w:rsidP="000D6814">
      <w:pPr>
        <w:pStyle w:val="xmsonormal"/>
        <w:spacing w:before="360" w:after="120"/>
        <w:jc w:val="both"/>
      </w:pPr>
      <w:r w:rsidRPr="004F041F">
        <w:rPr>
          <w:noProof/>
        </w:rPr>
        <mc:AlternateContent>
          <mc:Choice Requires="wps">
            <w:drawing>
              <wp:inline distT="0" distB="0" distL="0" distR="0" wp14:anchorId="157424E5" wp14:editId="23B81154">
                <wp:extent cx="5626100" cy="1404620"/>
                <wp:effectExtent l="0" t="0" r="12700" b="24130"/>
                <wp:docPr id="1521634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78B90336" w14:textId="77777777" w:rsidR="000D6814" w:rsidRPr="004A3701" w:rsidRDefault="000D6814" w:rsidP="000D6814">
                            <w:pPr>
                              <w:shd w:val="clear" w:color="auto" w:fill="C6D9F1" w:themeFill="text2" w:themeFillTint="33"/>
                              <w:rPr>
                                <w:rFonts w:cs="Calibri"/>
                                <w:b/>
                                <w:bCs/>
                                <w:szCs w:val="24"/>
                              </w:rPr>
                            </w:pPr>
                            <w:r>
                              <w:rPr>
                                <w:rFonts w:cs="Calibri"/>
                                <w:b/>
                                <w:bCs/>
                                <w:szCs w:val="24"/>
                              </w:rPr>
                              <w:t>WTSA-24 Hackathon in New Delhi</w:t>
                            </w:r>
                          </w:p>
                          <w:p w14:paraId="6CBD16EA" w14:textId="77777777" w:rsidR="000D6814" w:rsidRDefault="000D6814" w:rsidP="000D6814">
                            <w:pPr>
                              <w:jc w:val="both"/>
                              <w:rPr>
                                <w:rFonts w:cs="Calibri"/>
                                <w:sz w:val="22"/>
                                <w:szCs w:val="22"/>
                              </w:rPr>
                            </w:pPr>
                            <w:r>
                              <w:rPr>
                                <w:rFonts w:cs="Calibri"/>
                                <w:sz w:val="22"/>
                                <w:szCs w:val="22"/>
                              </w:rPr>
                              <w:t>A special collaborative hackathon in New Delhi, India, on 7-8 October 2024 focused on integrating artificial intelligence and machine learning (AI/ML) into 5G and 6G telecom networks. The competition – organized by ITU and India’s Department of Telecommunications during the World Telecommunication Standardization Assembly (WTSA-24) – reflected the country’s growing influence in setting global telecom standards.</w:t>
                            </w:r>
                          </w:p>
                          <w:p w14:paraId="2D250938" w14:textId="77777777" w:rsidR="000D6814" w:rsidRPr="00005091" w:rsidRDefault="000D6814" w:rsidP="000D6814">
                            <w:pPr>
                              <w:jc w:val="both"/>
                              <w:rPr>
                                <w:rFonts w:cs="Calibri"/>
                                <w:b/>
                                <w:bCs/>
                                <w:sz w:val="22"/>
                                <w:szCs w:val="22"/>
                                <w:u w:val="single"/>
                              </w:rPr>
                            </w:pPr>
                            <w:hyperlink r:id="rId106" w:history="1">
                              <w:r w:rsidRPr="000B7553">
                                <w:rPr>
                                  <w:rStyle w:val="Hyperlink"/>
                                  <w:rFonts w:cs="Calibri"/>
                                  <w:b/>
                                  <w:bCs/>
                                  <w:sz w:val="22"/>
                                  <w:szCs w:val="22"/>
                                </w:rPr>
                                <w:t>Learn more</w:t>
                              </w:r>
                            </w:hyperlink>
                          </w:p>
                        </w:txbxContent>
                      </wps:txbx>
                      <wps:bodyPr rot="0" vert="horz" wrap="square" lIns="91440" tIns="45720" rIns="91440" bIns="45720" anchor="t" anchorCtr="0">
                        <a:spAutoFit/>
                      </wps:bodyPr>
                    </wps:wsp>
                  </a:graphicData>
                </a:graphic>
              </wp:inline>
            </w:drawing>
          </mc:Choice>
          <mc:Fallback>
            <w:pict>
              <v:shape w14:anchorId="157424E5" id="_x0000_s1028"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">
                <v:textbox style="mso-fit-shape-to-text:t">
                  <w:txbxContent>
                    <w:p w14:paraId="78B90336" w14:textId="77777777" w:rsidR="000D6814" w:rsidRPr="004A3701" w:rsidRDefault="000D6814" w:rsidP="000D6814">
                      <w:pPr>
                        <w:shd w:val="clear" w:color="auto" w:fill="C6D9F1" w:themeFill="text2" w:themeFillTint="33"/>
                        <w:rPr>
                          <w:rFonts w:cs="Calibri"/>
                          <w:b/>
                          <w:bCs/>
                          <w:szCs w:val="24"/>
                        </w:rPr>
                      </w:pPr>
                      <w:r>
                        <w:rPr>
                          <w:rFonts w:cs="Calibri"/>
                          <w:b/>
                          <w:bCs/>
                          <w:szCs w:val="24"/>
                        </w:rPr>
                        <w:t>WTSA-24 Hackathon in New Delhi</w:t>
                      </w:r>
                    </w:p>
                    <w:p w14:paraId="6CBD16EA" w14:textId="77777777" w:rsidR="000D6814" w:rsidRDefault="000D6814" w:rsidP="000D6814">
                      <w:pPr>
                        <w:jc w:val="both"/>
                        <w:rPr>
                          <w:rFonts w:cs="Calibri"/>
                          <w:sz w:val="22"/>
                          <w:szCs w:val="22"/>
                        </w:rPr>
                      </w:pPr>
                      <w:r>
                        <w:rPr>
                          <w:rFonts w:cs="Calibri"/>
                          <w:sz w:val="22"/>
                          <w:szCs w:val="22"/>
                        </w:rPr>
                        <w:t>A special collaborative hackathon in New Delhi, India, on 7-8 October 2024 focused on integrating artificial intelligence and machine learning (AI/ML) into 5G and 6G telecom networks. The competition – organized by ITU and India’s Department of Telecommunications during the World Telecommunication Standardization Assembly (WTSA-24) – reflected the country’s growing influence in setting global telecom standards.</w:t>
                      </w:r>
                    </w:p>
                    <w:p w14:paraId="2D250938" w14:textId="77777777" w:rsidR="000D6814" w:rsidRPr="00005091" w:rsidRDefault="000D6814" w:rsidP="000D6814">
                      <w:pPr>
                        <w:jc w:val="both"/>
                        <w:rPr>
                          <w:rFonts w:cs="Calibri"/>
                          <w:b/>
                          <w:bCs/>
                          <w:sz w:val="22"/>
                          <w:szCs w:val="22"/>
                          <w:u w:val="single"/>
                        </w:rPr>
                      </w:pPr>
                      <w:hyperlink r:id="rId107" w:history="1">
                        <w:r w:rsidRPr="000B7553">
                          <w:rPr>
                            <w:rStyle w:val="Hyperlink"/>
                            <w:rFonts w:cs="Calibri"/>
                            <w:b/>
                            <w:bCs/>
                            <w:sz w:val="22"/>
                            <w:szCs w:val="22"/>
                          </w:rPr>
                          <w:t>Learn more</w:t>
                        </w:r>
                      </w:hyperlink>
                    </w:p>
                  </w:txbxContent>
                </v:textbox>
                <w10:anchorlock/>
              </v:shape>
            </w:pict>
          </mc:Fallback>
        </mc:AlternateContent>
      </w:r>
    </w:p>
    <w:p w14:paraId="4AAB9333" w14:textId="77777777" w:rsidR="004E2E65" w:rsidRPr="00DA76FF" w:rsidRDefault="004E2E65" w:rsidP="00C754AC">
      <w:pPr>
        <w:pStyle w:val="xmsonormal"/>
        <w:numPr>
          <w:ilvl w:val="0"/>
          <w:numId w:val="23"/>
        </w:numPr>
        <w:spacing w:before="360" w:after="120"/>
        <w:ind w:left="568" w:hanging="284"/>
        <w:jc w:val="both"/>
      </w:pPr>
      <w:hyperlink r:id="rId108" w:history="1">
        <w:r w:rsidRPr="00DA76FF">
          <w:rPr>
            <w:rStyle w:val="Hyperlink"/>
          </w:rPr>
          <w:t>ITU-T Study Group 11</w:t>
        </w:r>
      </w:hyperlink>
      <w:r w:rsidRPr="00DA76FF">
        <w:t>: To continue studies on network signalling and control architectures for Quantum Key Distribution Networks (QKDN).</w:t>
      </w:r>
    </w:p>
    <w:p w14:paraId="333AF900" w14:textId="77777777" w:rsidR="004E2E65" w:rsidRPr="00DA76FF" w:rsidRDefault="004E2E65" w:rsidP="00C754AC">
      <w:pPr>
        <w:pStyle w:val="xmsonormal"/>
        <w:numPr>
          <w:ilvl w:val="0"/>
          <w:numId w:val="23"/>
        </w:numPr>
        <w:spacing w:before="120" w:after="120"/>
        <w:ind w:left="568" w:hanging="284"/>
        <w:jc w:val="both"/>
      </w:pPr>
      <w:hyperlink r:id="rId109" w:history="1">
        <w:r w:rsidRPr="00DA76FF">
          <w:rPr>
            <w:rStyle w:val="Hyperlink"/>
          </w:rPr>
          <w:t>ITU-T Study Group 13</w:t>
        </w:r>
      </w:hyperlink>
      <w:r w:rsidRPr="00DA76FF">
        <w:t>: To continue studies on quantum networks, covering both networking aspects of QKDN and broader quantum network technologies.</w:t>
      </w:r>
    </w:p>
    <w:p w14:paraId="786F36EF" w14:textId="77777777" w:rsidR="004E2E65" w:rsidRPr="00DA76FF" w:rsidRDefault="004E2E65" w:rsidP="00C754AC">
      <w:pPr>
        <w:pStyle w:val="xmsonormal"/>
        <w:numPr>
          <w:ilvl w:val="0"/>
          <w:numId w:val="23"/>
        </w:numPr>
        <w:spacing w:before="120" w:after="120"/>
        <w:ind w:left="568" w:hanging="284"/>
        <w:jc w:val="both"/>
      </w:pPr>
      <w:hyperlink r:id="rId110" w:history="1">
        <w:r w:rsidRPr="00DA76FF">
          <w:rPr>
            <w:rStyle w:val="Hyperlink"/>
          </w:rPr>
          <w:t>ITU-T Study Group 15</w:t>
        </w:r>
      </w:hyperlink>
      <w:r w:rsidRPr="00DA76FF">
        <w:t>: Introduced studies addressing the management and use of Quantum Information Technology (QIT) in transport networks as well as network synchronization, timing and deployment requirements for QKDN.</w:t>
      </w:r>
    </w:p>
    <w:p w14:paraId="5D9B6908" w14:textId="18224CC5" w:rsidR="004E2E65" w:rsidRPr="00DA76FF" w:rsidRDefault="004E2E65" w:rsidP="00C754AC">
      <w:pPr>
        <w:pStyle w:val="xmsonormal"/>
        <w:keepNext/>
        <w:keepLines/>
        <w:numPr>
          <w:ilvl w:val="0"/>
          <w:numId w:val="23"/>
        </w:numPr>
        <w:spacing w:before="120" w:after="120"/>
        <w:ind w:left="568" w:hanging="284"/>
        <w:jc w:val="both"/>
      </w:pPr>
      <w:hyperlink r:id="rId111" w:history="1">
        <w:r w:rsidRPr="00DA76FF">
          <w:rPr>
            <w:rStyle w:val="Hyperlink"/>
          </w:rPr>
          <w:t>ITU-T Study Group 17</w:t>
        </w:r>
      </w:hyperlink>
      <w:r w:rsidRPr="00DA76FF">
        <w:t>: To continue leading security-related standardization for quantum technologies, including QKD and Post-Quantum Cryptography (PQC). WTSA-24 adopted an action recognizing the need to promote migration to and utilization of PQC in telecommunication and ICT networks, reinforcing S</w:t>
      </w:r>
      <w:r w:rsidR="0072048F">
        <w:t xml:space="preserve">tudy </w:t>
      </w:r>
      <w:r w:rsidRPr="00DA76FF">
        <w:t>G</w:t>
      </w:r>
      <w:r w:rsidR="0072048F">
        <w:t xml:space="preserve">roup </w:t>
      </w:r>
      <w:r w:rsidRPr="00DA76FF">
        <w:t xml:space="preserve">17’s role in developing necessary </w:t>
      </w:r>
      <w:r w:rsidR="0072048F">
        <w:t>ITU-T r</w:t>
      </w:r>
      <w:r w:rsidRPr="00DA76FF">
        <w:t>ecommendations, technical reports, and best practices.</w:t>
      </w:r>
    </w:p>
    <w:p w14:paraId="2E193BA3" w14:textId="77777777" w:rsidR="004E2E65" w:rsidRPr="00DA76FF" w:rsidRDefault="004E2E65" w:rsidP="00C754AC">
      <w:pPr>
        <w:pStyle w:val="xmsonormal"/>
        <w:spacing w:before="240" w:after="120"/>
        <w:jc w:val="both"/>
      </w:pPr>
      <w:r w:rsidRPr="00DA76FF">
        <w:t>ITU-T currently hosts a suite of 40 quantum technology standards, primarily focused on QKD covering its network, security and signalling aspects. An additional 30+ standards are under development.</w:t>
      </w:r>
    </w:p>
    <w:p w14:paraId="1911ACFE" w14:textId="4C4E640A" w:rsidR="004E2E65" w:rsidRPr="00DA76FF" w:rsidRDefault="004E2E65" w:rsidP="00C754AC">
      <w:pPr>
        <w:pStyle w:val="xmsonormal"/>
        <w:spacing w:before="120" w:after="120"/>
        <w:jc w:val="both"/>
      </w:pPr>
      <w:r w:rsidRPr="00DA76FF">
        <w:t xml:space="preserve">The </w:t>
      </w:r>
      <w:hyperlink r:id="rId112" w:history="1">
        <w:r w:rsidRPr="00DA76FF">
          <w:rPr>
            <w:rStyle w:val="Hyperlink"/>
          </w:rPr>
          <w:t>Joint Coordination Activity on Quantum Key Distribution Networks</w:t>
        </w:r>
      </w:hyperlink>
      <w:r w:rsidRPr="00DA76FF">
        <w:t xml:space="preserve"> (JCA-QKDN) which oversees ITU-T’s quantum standardization efforts and facilitates collaboration with external standards bodies held a </w:t>
      </w:r>
      <w:hyperlink r:id="rId113" w:history="1">
        <w:r w:rsidRPr="00DA76FF">
          <w:rPr>
            <w:rStyle w:val="Hyperlink"/>
          </w:rPr>
          <w:t>collaborative meeting in Singapore in May 2024</w:t>
        </w:r>
      </w:hyperlink>
      <w:r w:rsidRPr="00DA76FF">
        <w:t xml:space="preserve">, aligning with </w:t>
      </w:r>
      <w:r w:rsidR="003F37A1">
        <w:t xml:space="preserve">discussions held by mobile industry association </w:t>
      </w:r>
      <w:r w:rsidRPr="00DA76FF">
        <w:t>GSMA and</w:t>
      </w:r>
      <w:r w:rsidR="00453CF6">
        <w:t xml:space="preserve"> the European Telecommunications Standard</w:t>
      </w:r>
      <w:r w:rsidR="006B4B1C">
        <w:t>s Institute (</w:t>
      </w:r>
      <w:r w:rsidRPr="00DA76FF">
        <w:t>ETSI</w:t>
      </w:r>
      <w:r w:rsidR="006B4B1C">
        <w:t>)</w:t>
      </w:r>
      <w:r w:rsidRPr="00DA76FF">
        <w:t xml:space="preserve">. It also advanced the development of a </w:t>
      </w:r>
      <w:hyperlink r:id="rId114" w:history="1">
        <w:r w:rsidRPr="00DA76FF">
          <w:rPr>
            <w:rStyle w:val="Hyperlink"/>
          </w:rPr>
          <w:t>quantum standards database</w:t>
        </w:r>
      </w:hyperlink>
      <w:r w:rsidRPr="00DA76FF">
        <w:t>, providing a structured overview of global quantum information technology standards.</w:t>
      </w:r>
    </w:p>
    <w:p w14:paraId="10B53434" w14:textId="6DB5DA57" w:rsidR="00742CAD" w:rsidRDefault="001C6FDB" w:rsidP="00C754AC">
      <w:pPr>
        <w:pStyle w:val="xmsonormal"/>
        <w:spacing w:before="120" w:after="120"/>
        <w:jc w:val="both"/>
      </w:pPr>
      <w:r w:rsidRPr="004F041F">
        <w:rPr>
          <w:noProof/>
        </w:rPr>
        <mc:AlternateContent>
          <mc:Choice Requires="wps">
            <w:drawing>
              <wp:anchor distT="45720" distB="45720" distL="114300" distR="114300" simplePos="0" relativeHeight="251658240" behindDoc="0" locked="0" layoutInCell="1" allowOverlap="1" wp14:anchorId="5915E595" wp14:editId="74861D29">
                <wp:simplePos x="0" y="0"/>
                <wp:positionH relativeFrom="margin">
                  <wp:align>left</wp:align>
                </wp:positionH>
                <wp:positionV relativeFrom="paragraph">
                  <wp:posOffset>915670</wp:posOffset>
                </wp:positionV>
                <wp:extent cx="5626100" cy="1404620"/>
                <wp:effectExtent l="0" t="0" r="12700" b="22225"/>
                <wp:wrapSquare wrapText="bothSides"/>
                <wp:docPr id="733486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56C49DFE" w14:textId="77777777" w:rsidR="00742CAD" w:rsidRPr="004A3701" w:rsidRDefault="00742CAD" w:rsidP="001C6FDB">
                            <w:pPr>
                              <w:shd w:val="clear" w:color="auto" w:fill="C6D9F1" w:themeFill="text2" w:themeFillTint="33"/>
                              <w:rPr>
                                <w:rFonts w:cs="Calibri"/>
                                <w:b/>
                                <w:bCs/>
                                <w:szCs w:val="24"/>
                              </w:rPr>
                            </w:pPr>
                            <w:r w:rsidRPr="004A3701">
                              <w:rPr>
                                <w:rFonts w:cs="Calibri"/>
                                <w:b/>
                                <w:bCs/>
                                <w:szCs w:val="24"/>
                              </w:rPr>
                              <w:t xml:space="preserve">Quantum preparations </w:t>
                            </w:r>
                          </w:p>
                          <w:p w14:paraId="4FEDFA01" w14:textId="42C66B25" w:rsidR="00742CAD" w:rsidRPr="00084CCF" w:rsidRDefault="00742CAD" w:rsidP="00F000EC">
                            <w:pPr>
                              <w:jc w:val="both"/>
                              <w:rPr>
                                <w:rFonts w:cs="Calibri"/>
                                <w:sz w:val="22"/>
                                <w:szCs w:val="22"/>
                              </w:rPr>
                            </w:pPr>
                            <w:r w:rsidRPr="00882079">
                              <w:rPr>
                                <w:rFonts w:cs="Calibri"/>
                                <w:sz w:val="22"/>
                                <w:szCs w:val="22"/>
                              </w:rPr>
                              <w:t xml:space="preserve">ITU </w:t>
                            </w:r>
                            <w:r w:rsidRPr="00BD497F">
                              <w:rPr>
                                <w:rFonts w:cs="Calibri"/>
                                <w:sz w:val="22"/>
                                <w:szCs w:val="22"/>
                              </w:rPr>
                              <w:t xml:space="preserve">helped </w:t>
                            </w:r>
                            <w:r w:rsidRPr="00882079">
                              <w:rPr>
                                <w:rFonts w:cs="Calibri"/>
                                <w:sz w:val="22"/>
                                <w:szCs w:val="22"/>
                              </w:rPr>
                              <w:t xml:space="preserve">set the stage for </w:t>
                            </w:r>
                            <w:r w:rsidRPr="00BD497F">
                              <w:rPr>
                                <w:rFonts w:cs="Calibri"/>
                                <w:sz w:val="22"/>
                                <w:szCs w:val="22"/>
                              </w:rPr>
                              <w:t xml:space="preserve">2025 as </w:t>
                            </w:r>
                            <w:r w:rsidRPr="00882079">
                              <w:rPr>
                                <w:rFonts w:cs="Calibri"/>
                                <w:sz w:val="22"/>
                                <w:szCs w:val="22"/>
                              </w:rPr>
                              <w:t>the International Year of Quantum Science and Technology</w:t>
                            </w:r>
                            <w:r w:rsidRPr="00BD497F">
                              <w:rPr>
                                <w:rFonts w:cs="Calibri"/>
                                <w:sz w:val="22"/>
                                <w:szCs w:val="22"/>
                              </w:rPr>
                              <w:t>, enhancing cooperation on standards to address quantum security challenges, as well as stepping up partnerships to build skills, ensure access</w:t>
                            </w:r>
                            <w:r w:rsidR="00803D75">
                              <w:rPr>
                                <w:rFonts w:cs="Calibri"/>
                                <w:sz w:val="22"/>
                                <w:szCs w:val="22"/>
                              </w:rPr>
                              <w:t xml:space="preserve"> for everyone</w:t>
                            </w:r>
                            <w:r w:rsidRPr="00BD497F">
                              <w:rPr>
                                <w:rFonts w:cs="Calibri"/>
                                <w:sz w:val="22"/>
                                <w:szCs w:val="22"/>
                              </w:rPr>
                              <w:t xml:space="preserve">, and advance quantum for the good of humanity. </w:t>
                            </w:r>
                            <w:hyperlink r:id="rId115" w:history="1">
                              <w:r w:rsidRPr="00BD497F">
                                <w:rPr>
                                  <w:rStyle w:val="Hyperlink"/>
                                  <w:rFonts w:cs="Calibri"/>
                                  <w:b/>
                                  <w:bCs/>
                                  <w:sz w:val="22"/>
                                  <w:szCs w:val="22"/>
                                </w:rPr>
                                <w:t>Learn more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5E595" id="_x0000_s1029" type="#_x0000_t202" style="position:absolute;left:0;text-align:left;margin-left:0;margin-top:72.1pt;width:443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">
                <v:textbox style="mso-fit-shape-to-text:t">
                  <w:txbxContent>
                    <w:p w14:paraId="56C49DFE" w14:textId="77777777" w:rsidR="00742CAD" w:rsidRPr="004A3701" w:rsidRDefault="00742CAD" w:rsidP="001C6FDB">
                      <w:pPr>
                        <w:shd w:val="clear" w:color="auto" w:fill="C6D9F1" w:themeFill="text2" w:themeFillTint="33"/>
                        <w:rPr>
                          <w:rFonts w:cs="Calibri"/>
                          <w:b/>
                          <w:bCs/>
                          <w:szCs w:val="24"/>
                        </w:rPr>
                      </w:pPr>
                      <w:r w:rsidRPr="004A3701">
                        <w:rPr>
                          <w:rFonts w:cs="Calibri"/>
                          <w:b/>
                          <w:bCs/>
                          <w:szCs w:val="24"/>
                        </w:rPr>
                        <w:t xml:space="preserve">Quantum preparations </w:t>
                      </w:r>
                    </w:p>
                    <w:p w14:paraId="4FEDFA01" w14:textId="42C66B25" w:rsidR="00742CAD" w:rsidRPr="00084CCF" w:rsidRDefault="00742CAD" w:rsidP="00F000EC">
                      <w:pPr>
                        <w:jc w:val="both"/>
                        <w:rPr>
                          <w:rFonts w:cs="Calibri"/>
                          <w:sz w:val="22"/>
                          <w:szCs w:val="22"/>
                        </w:rPr>
                      </w:pPr>
                      <w:r w:rsidRPr="00882079">
                        <w:rPr>
                          <w:rFonts w:cs="Calibri"/>
                          <w:sz w:val="22"/>
                          <w:szCs w:val="22"/>
                        </w:rPr>
                        <w:t xml:space="preserve">ITU </w:t>
                      </w:r>
                      <w:r w:rsidRPr="00BD497F">
                        <w:rPr>
                          <w:rFonts w:cs="Calibri"/>
                          <w:sz w:val="22"/>
                          <w:szCs w:val="22"/>
                        </w:rPr>
                        <w:t xml:space="preserve">helped </w:t>
                      </w:r>
                      <w:r w:rsidRPr="00882079">
                        <w:rPr>
                          <w:rFonts w:cs="Calibri"/>
                          <w:sz w:val="22"/>
                          <w:szCs w:val="22"/>
                        </w:rPr>
                        <w:t xml:space="preserve">set the stage for </w:t>
                      </w:r>
                      <w:r w:rsidRPr="00BD497F">
                        <w:rPr>
                          <w:rFonts w:cs="Calibri"/>
                          <w:sz w:val="22"/>
                          <w:szCs w:val="22"/>
                        </w:rPr>
                        <w:t xml:space="preserve">2025 as </w:t>
                      </w:r>
                      <w:r w:rsidRPr="00882079">
                        <w:rPr>
                          <w:rFonts w:cs="Calibri"/>
                          <w:sz w:val="22"/>
                          <w:szCs w:val="22"/>
                        </w:rPr>
                        <w:t>the International Year of Quantum Science and Technology</w:t>
                      </w:r>
                      <w:r w:rsidRPr="00BD497F">
                        <w:rPr>
                          <w:rFonts w:cs="Calibri"/>
                          <w:sz w:val="22"/>
                          <w:szCs w:val="22"/>
                        </w:rPr>
                        <w:t>, enhancing cooperation on standards to address quantum security challenges, as well as stepping up partnerships to build skills, ensure access</w:t>
                      </w:r>
                      <w:r w:rsidR="00803D75">
                        <w:rPr>
                          <w:rFonts w:cs="Calibri"/>
                          <w:sz w:val="22"/>
                          <w:szCs w:val="22"/>
                        </w:rPr>
                        <w:t xml:space="preserve"> for everyone</w:t>
                      </w:r>
                      <w:r w:rsidRPr="00BD497F">
                        <w:rPr>
                          <w:rFonts w:cs="Calibri"/>
                          <w:sz w:val="22"/>
                          <w:szCs w:val="22"/>
                        </w:rPr>
                        <w:t xml:space="preserve">, and advance quantum for the good of humanity. </w:t>
                      </w:r>
                      <w:hyperlink r:id="rId116" w:history="1">
                        <w:r w:rsidRPr="00BD497F">
                          <w:rPr>
                            <w:rStyle w:val="Hyperlink"/>
                            <w:rFonts w:cs="Calibri"/>
                            <w:b/>
                            <w:bCs/>
                            <w:sz w:val="22"/>
                            <w:szCs w:val="22"/>
                          </w:rPr>
                          <w:t>Learn more</w:t>
                        </w:r>
                      </w:hyperlink>
                    </w:p>
                  </w:txbxContent>
                </v:textbox>
                <w10:wrap type="square" anchorx="margin"/>
              </v:shape>
            </w:pict>
          </mc:Fallback>
        </mc:AlternateContent>
      </w:r>
      <w:r w:rsidR="004E2E65" w:rsidRPr="00DA76FF">
        <w:t>In recognition of the 100</w:t>
      </w:r>
      <w:r w:rsidR="004E2E65" w:rsidRPr="00F000EC">
        <w:rPr>
          <w:vertAlign w:val="superscript"/>
        </w:rPr>
        <w:t>th</w:t>
      </w:r>
      <w:r w:rsidR="004E2E65" w:rsidRPr="00DA76FF">
        <w:t xml:space="preserve"> anniversary of quantum mechanics, the United Nations General Assembly declared 2025 as the International Year of Quantum Science and Technology (IYQ) through </w:t>
      </w:r>
      <w:hyperlink r:id="rId117" w:history="1">
        <w:r w:rsidR="004E2E65" w:rsidRPr="00DA76FF">
          <w:rPr>
            <w:rStyle w:val="Hyperlink"/>
          </w:rPr>
          <w:t>Resolution 78/287</w:t>
        </w:r>
      </w:hyperlink>
      <w:r w:rsidR="004E2E65" w:rsidRPr="00DA76FF">
        <w:t>, adopted on 7 June 2024. ITU plays a key role in the IYQ Steering Committee, guiding its implementation, planning global events, and overseeing related expenditures.</w:t>
      </w:r>
    </w:p>
    <w:p w14:paraId="3EBB028F" w14:textId="077232EE" w:rsidR="00EC1222" w:rsidRDefault="004E2E65" w:rsidP="00C754AC">
      <w:pPr>
        <w:pStyle w:val="xmsonormal"/>
        <w:spacing w:before="360" w:after="120"/>
        <w:jc w:val="both"/>
      </w:pPr>
      <w:r w:rsidRPr="00DA76FF">
        <w:t xml:space="preserve">One </w:t>
      </w:r>
      <w:r w:rsidR="00540055">
        <w:t xml:space="preserve">new </w:t>
      </w:r>
      <w:r w:rsidRPr="00DA76FF">
        <w:t xml:space="preserve">initiative supporting ITU’s contributions to the International Year is </w:t>
      </w:r>
      <w:r w:rsidRPr="00DA76FF">
        <w:rPr>
          <w:i/>
          <w:iCs/>
        </w:rPr>
        <w:t>Quantum for Good</w:t>
      </w:r>
      <w:r w:rsidRPr="00DA76FF">
        <w:t>, which explores how quantum technologies can drive global impact</w:t>
      </w:r>
      <w:r w:rsidR="00625E22" w:rsidRPr="00625E22">
        <w:t xml:space="preserve"> </w:t>
      </w:r>
      <w:r w:rsidR="00625E22">
        <w:t>in line with UN Sustainable Development Goals</w:t>
      </w:r>
      <w:r w:rsidRPr="00DA76FF">
        <w:t xml:space="preserve">. It </w:t>
      </w:r>
      <w:r w:rsidR="00906626">
        <w:t>began</w:t>
      </w:r>
      <w:r w:rsidR="00906626" w:rsidRPr="00DA76FF">
        <w:t xml:space="preserve"> </w:t>
      </w:r>
      <w:r w:rsidRPr="00DA76FF">
        <w:t>with a high-level side event, “</w:t>
      </w:r>
      <w:hyperlink r:id="rId118" w:history="1">
        <w:r w:rsidRPr="00DA76FF">
          <w:rPr>
            <w:rStyle w:val="Hyperlink"/>
          </w:rPr>
          <w:t>Quantum for Good: Frontier Technology for the SDGs</w:t>
        </w:r>
      </w:hyperlink>
      <w:r w:rsidRPr="00DA76FF">
        <w:t xml:space="preserve">,” on 20 September 2024 in New York during the Summit of the Future Action Days, co-organized with </w:t>
      </w:r>
      <w:r w:rsidR="00646378">
        <w:t>the United Nations International Computing Centre (</w:t>
      </w:r>
      <w:r w:rsidRPr="00DA76FF">
        <w:t>UNICC</w:t>
      </w:r>
      <w:r w:rsidR="00646378">
        <w:t>)</w:t>
      </w:r>
      <w:r w:rsidRPr="00DA76FF">
        <w:t xml:space="preserve">, </w:t>
      </w:r>
      <w:r w:rsidR="00646378">
        <w:t>the World Economic Forum (</w:t>
      </w:r>
      <w:r w:rsidRPr="00DA76FF">
        <w:t>WEF</w:t>
      </w:r>
      <w:r w:rsidR="00646378">
        <w:t>)</w:t>
      </w:r>
      <w:r w:rsidRPr="00DA76FF">
        <w:t>, and Quantum Delta NL.</w:t>
      </w:r>
    </w:p>
    <w:p w14:paraId="5038D157" w14:textId="09AFF7B7" w:rsidR="004E2E65" w:rsidRDefault="004E2E65" w:rsidP="00C754AC">
      <w:pPr>
        <w:pStyle w:val="xmsonormal"/>
        <w:spacing w:before="120" w:after="120"/>
        <w:jc w:val="both"/>
      </w:pPr>
      <w:r w:rsidRPr="00DA76FF">
        <w:t>A follow-up event</w:t>
      </w:r>
      <w:r w:rsidR="00EC1222">
        <w:t>,</w:t>
      </w:r>
      <w:r w:rsidRPr="00DA76FF">
        <w:t xml:space="preserve"> “</w:t>
      </w:r>
      <w:hyperlink r:id="rId119">
        <w:r w:rsidRPr="2C0EAE0F">
          <w:rPr>
            <w:rStyle w:val="Hyperlink"/>
          </w:rPr>
          <w:t>Quantum for Good: Setting the Stage for the International Year of Quantum</w:t>
        </w:r>
      </w:hyperlink>
      <w:r w:rsidRPr="00DA76FF">
        <w:t>” in The Hague on 20-21 November 2024</w:t>
      </w:r>
      <w:r w:rsidR="00EC1222">
        <w:t>,</w:t>
      </w:r>
      <w:r w:rsidRPr="00DA76FF">
        <w:t xml:space="preserve"> deepened discussions on the role of quantum technologies in addressing global challenges, forming thematic sub-working groups (ITU leads the cybersecurity track).</w:t>
      </w:r>
    </w:p>
    <w:p w14:paraId="2EC3C67B" w14:textId="77777777" w:rsidR="004E2E65" w:rsidRPr="00DA76FF" w:rsidRDefault="004E2E65" w:rsidP="00C754AC">
      <w:pPr>
        <w:spacing w:after="120"/>
        <w:jc w:val="both"/>
        <w:rPr>
          <w:rFonts w:eastAsia="Calibri"/>
          <w:b/>
          <w:bCs/>
          <w:sz w:val="22"/>
          <w:szCs w:val="22"/>
        </w:rPr>
      </w:pPr>
      <w:r w:rsidRPr="00DA76FF">
        <w:rPr>
          <w:b/>
          <w:bCs/>
          <w:sz w:val="22"/>
          <w:szCs w:val="18"/>
        </w:rPr>
        <w:t>Metavers</w:t>
      </w:r>
      <w:r w:rsidRPr="00DA76FF">
        <w:rPr>
          <w:rFonts w:eastAsia="Calibri"/>
          <w:b/>
          <w:bCs/>
          <w:sz w:val="22"/>
          <w:szCs w:val="22"/>
        </w:rPr>
        <w:t>e</w:t>
      </w:r>
    </w:p>
    <w:p w14:paraId="27A2284A" w14:textId="4ABCEA71" w:rsidR="004E2E65" w:rsidRPr="00DA76FF" w:rsidRDefault="004E2E65" w:rsidP="00C754AC">
      <w:pPr>
        <w:pStyle w:val="xmsonormal"/>
        <w:spacing w:before="120" w:after="120"/>
        <w:jc w:val="both"/>
      </w:pPr>
      <w:r w:rsidRPr="00DA76FF">
        <w:t>The</w:t>
      </w:r>
      <w:r w:rsidRPr="00DA76FF">
        <w:rPr>
          <w:rFonts w:asciiTheme="minorHAnsi" w:hAnsiTheme="minorHAnsi" w:cstheme="minorBidi"/>
        </w:rPr>
        <w:t xml:space="preserve"> </w:t>
      </w:r>
      <w:hyperlink r:id="rId120">
        <w:r w:rsidRPr="00DA76FF">
          <w:rPr>
            <w:rStyle w:val="Hyperlink"/>
            <w:rFonts w:asciiTheme="minorHAnsi" w:hAnsiTheme="minorHAnsi" w:cstheme="minorBidi"/>
          </w:rPr>
          <w:t>ITU Focus Group on metaverse (FG-MV)</w:t>
        </w:r>
      </w:hyperlink>
      <w:r w:rsidRPr="00DA76FF">
        <w:rPr>
          <w:rFonts w:asciiTheme="minorHAnsi" w:hAnsiTheme="minorHAnsi" w:cstheme="minorBidi"/>
        </w:rPr>
        <w:t xml:space="preserve"> concluded in June 2024 and produced 52 </w:t>
      </w:r>
      <w:hyperlink r:id="rId121" w:history="1">
        <w:r w:rsidRPr="00DA76FF">
          <w:rPr>
            <w:rStyle w:val="Hyperlink"/>
            <w:rFonts w:asciiTheme="minorHAnsi" w:hAnsiTheme="minorHAnsi" w:cstheme="minorBidi"/>
          </w:rPr>
          <w:t>deliverables</w:t>
        </w:r>
      </w:hyperlink>
      <w:r w:rsidRPr="00DA76FF">
        <w:t xml:space="preserve"> during its lifetime</w:t>
      </w:r>
      <w:r w:rsidRPr="00DA76FF">
        <w:rPr>
          <w:rFonts w:asciiTheme="minorHAnsi" w:hAnsiTheme="minorHAnsi" w:cstheme="minorBidi"/>
        </w:rPr>
        <w:t xml:space="preserve">, </w:t>
      </w:r>
      <w:r w:rsidRPr="00DA76FF">
        <w:t>including a definition of the metaverse and standardization roadmap. Deliverables also addressed generative AI in the metaverse</w:t>
      </w:r>
      <w:r w:rsidR="008075DA">
        <w:t xml:space="preserve"> and</w:t>
      </w:r>
      <w:r w:rsidRPr="00DA76FF">
        <w:t xml:space="preserve"> citiverse, cross-platform interoperability, security and trust, accessibility, </w:t>
      </w:r>
      <w:r w:rsidR="006E1A01">
        <w:t xml:space="preserve">and </w:t>
      </w:r>
      <w:r w:rsidRPr="00DA76FF">
        <w:t xml:space="preserve">energy efficiency, </w:t>
      </w:r>
      <w:r w:rsidR="006E1A01">
        <w:t>as well as</w:t>
      </w:r>
      <w:r w:rsidR="00160366">
        <w:t xml:space="preserve"> </w:t>
      </w:r>
      <w:r w:rsidRPr="00DA76FF">
        <w:t>metaverse applications for cities and industrial settings, IoT, digital twins, ethical issues in metaverse standardization, and policy and regulat</w:t>
      </w:r>
      <w:r w:rsidR="00D12A1C">
        <w:t>ory considerations</w:t>
      </w:r>
      <w:r w:rsidRPr="00DA76FF">
        <w:t>.</w:t>
      </w:r>
    </w:p>
    <w:p w14:paraId="12F05CED" w14:textId="5EB27CAD" w:rsidR="004E2E65" w:rsidRPr="00DA76FF" w:rsidRDefault="004E2E65" w:rsidP="00C754AC">
      <w:pPr>
        <w:pStyle w:val="xmsonormal"/>
        <w:spacing w:before="120" w:after="120"/>
        <w:jc w:val="both"/>
      </w:pPr>
      <w:r w:rsidRPr="00DA76FF">
        <w:t xml:space="preserve">The </w:t>
      </w:r>
      <w:hyperlink r:id="rId122" w:history="1">
        <w:r w:rsidRPr="00DA76FF">
          <w:rPr>
            <w:rStyle w:val="Hyperlink"/>
          </w:rPr>
          <w:t>Metaverse Think-a-Thon 2024</w:t>
        </w:r>
      </w:hyperlink>
      <w:r w:rsidRPr="00DA76FF">
        <w:t xml:space="preserve">, organized by ITU in collaboration with UNICC, </w:t>
      </w:r>
      <w:r w:rsidR="004B5466">
        <w:t>the UN Food and Agriculture Organization (</w:t>
      </w:r>
      <w:r w:rsidRPr="00DA76FF">
        <w:t>FAO</w:t>
      </w:r>
      <w:r w:rsidR="004B5466">
        <w:t>)</w:t>
      </w:r>
      <w:r w:rsidRPr="00DA76FF">
        <w:t xml:space="preserve">, and </w:t>
      </w:r>
      <w:r w:rsidR="00893F61">
        <w:t>the International Atomic Energy Agency (</w:t>
      </w:r>
      <w:r w:rsidRPr="00DA76FF">
        <w:t>IAEA</w:t>
      </w:r>
      <w:r w:rsidR="00893F61">
        <w:t>)</w:t>
      </w:r>
      <w:r w:rsidRPr="00DA76FF">
        <w:t>, challenged students and recent graduates to design innovative, technology-driven solutions for smart, sustainable cities and communities. Participants developed virtual simulations addressing global challenges in education, disaster preparedness, conflict resolution, and urban sustainability,</w:t>
      </w:r>
      <w:r w:rsidR="00D12A1C">
        <w:t xml:space="preserve"> in line with agreed global development priorities</w:t>
      </w:r>
      <w:r w:rsidRPr="00DA76FF">
        <w:t xml:space="preserve">. The winning teams—RtVall, focusing on </w:t>
      </w:r>
      <w:r w:rsidR="006203E7">
        <w:t xml:space="preserve">tech </w:t>
      </w:r>
      <w:r w:rsidRPr="00DA76FF">
        <w:t xml:space="preserve">education for youth; Hust Delia, presenting innovative virtual solutions; and HolNetVerse, promoting </w:t>
      </w:r>
      <w:r w:rsidR="00CC1C23">
        <w:t>sustainable</w:t>
      </w:r>
      <w:r w:rsidR="00CC1C23" w:rsidDel="00CC1C23">
        <w:t xml:space="preserve"> </w:t>
      </w:r>
      <w:r w:rsidR="00D12A1C">
        <w:t>l</w:t>
      </w:r>
      <w:r w:rsidR="00D12A1C" w:rsidRPr="00DA76FF">
        <w:t xml:space="preserve"> </w:t>
      </w:r>
      <w:r w:rsidRPr="00DA76FF">
        <w:t xml:space="preserve">development </w:t>
      </w:r>
      <w:r w:rsidRPr="00DA76FF">
        <w:lastRenderedPageBreak/>
        <w:t>through virtual worlds—were honoured during the UN Virtual Worlds Day for their impactful contributions.</w:t>
      </w:r>
    </w:p>
    <w:p w14:paraId="2A29B2DC" w14:textId="4C7ADF32" w:rsidR="004E2E65" w:rsidRPr="00DA76FF" w:rsidRDefault="004E2E65" w:rsidP="00C754AC">
      <w:pPr>
        <w:pStyle w:val="xmsonormal"/>
        <w:spacing w:before="120" w:after="120"/>
        <w:jc w:val="both"/>
      </w:pPr>
      <w:r w:rsidRPr="00DA76FF">
        <w:t xml:space="preserve">The </w:t>
      </w:r>
      <w:hyperlink r:id="rId123" w:history="1">
        <w:r w:rsidRPr="00DA76FF">
          <w:rPr>
            <w:rStyle w:val="Hyperlink"/>
          </w:rPr>
          <w:t>1</w:t>
        </w:r>
        <w:r w:rsidRPr="00F000EC">
          <w:rPr>
            <w:rStyle w:val="Hyperlink"/>
            <w:vertAlign w:val="superscript"/>
          </w:rPr>
          <w:t>st</w:t>
        </w:r>
        <w:r w:rsidRPr="00DA76FF">
          <w:rPr>
            <w:rStyle w:val="Hyperlink"/>
          </w:rPr>
          <w:t xml:space="preserve"> UN Citiverse Challenge</w:t>
        </w:r>
      </w:hyperlink>
      <w:r w:rsidRPr="00DA76FF">
        <w:t xml:space="preserve">, prepared in 2024 and launched on 13 February 2025 and co-organized by ITU alongside 15 global partners, invites students and startups to reimagine the future through the citiverse and digital public infrastructure. Focusing on access to public services, sustainability and resilience, and tourism and digital culture, participants </w:t>
      </w:r>
      <w:r w:rsidR="0099217D">
        <w:t>will</w:t>
      </w:r>
      <w:r w:rsidRPr="00DA76FF">
        <w:t xml:space="preserve"> design bold, innovative solutions </w:t>
      </w:r>
      <w:r w:rsidR="00F64C77">
        <w:t>to</w:t>
      </w:r>
      <w:r w:rsidRPr="00DA76FF">
        <w:t xml:space="preserve"> shape the cities of tomorrow and drive technology-driven urban transformation</w:t>
      </w:r>
      <w:r w:rsidR="00F64C77">
        <w:t xml:space="preserve"> for the benefit of all</w:t>
      </w:r>
      <w:r w:rsidRPr="00DA76FF">
        <w:t>.</w:t>
      </w:r>
    </w:p>
    <w:p w14:paraId="33724BED" w14:textId="0065E9C5" w:rsidR="00DF5060" w:rsidRPr="00DA76FF" w:rsidRDefault="004E2E65" w:rsidP="00C754AC">
      <w:pPr>
        <w:spacing w:after="120"/>
        <w:jc w:val="both"/>
      </w:pPr>
      <w:r w:rsidRPr="00DA76FF">
        <w:rPr>
          <w:sz w:val="22"/>
          <w:szCs w:val="22"/>
        </w:rPr>
        <w:t xml:space="preserve">The </w:t>
      </w:r>
      <w:hyperlink r:id="rId124" w:anchor="p=1" w:history="1">
        <w:r w:rsidRPr="00DA76FF">
          <w:rPr>
            <w:rStyle w:val="Hyperlink"/>
            <w:sz w:val="22"/>
            <w:szCs w:val="22"/>
          </w:rPr>
          <w:t>1</w:t>
        </w:r>
        <w:r w:rsidRPr="00F000EC">
          <w:rPr>
            <w:rStyle w:val="Hyperlink"/>
            <w:sz w:val="22"/>
            <w:szCs w:val="22"/>
            <w:vertAlign w:val="superscript"/>
          </w:rPr>
          <w:t>st</w:t>
        </w:r>
        <w:r w:rsidRPr="00DA76FF">
          <w:rPr>
            <w:rStyle w:val="Hyperlink"/>
            <w:sz w:val="22"/>
            <w:szCs w:val="22"/>
          </w:rPr>
          <w:t xml:space="preserve"> UN Executive Briefing on Unlocking the Potential of Virtual Worlds and the Metaverse for the Sustainable Development Goals</w:t>
        </w:r>
      </w:hyperlink>
      <w:r w:rsidRPr="00DA76FF">
        <w:rPr>
          <w:sz w:val="22"/>
          <w:szCs w:val="22"/>
        </w:rPr>
        <w:t xml:space="preserve"> was published by ITU and other 16 UN entities in June 2024. The briefing underscored the transformative potential of virtual worlds and the metaverse in reshaping sectors such as education, healthcare, and urban planning. The briefing also highlighted the importance of developing international standards and guidelines to ensure these technologies are harnessed responsibly, aligning with </w:t>
      </w:r>
      <w:r w:rsidR="008521D4">
        <w:rPr>
          <w:sz w:val="22"/>
          <w:szCs w:val="22"/>
        </w:rPr>
        <w:t>agreed development priorities</w:t>
      </w:r>
      <w:r w:rsidR="00BF2633">
        <w:rPr>
          <w:sz w:val="22"/>
          <w:szCs w:val="22"/>
        </w:rPr>
        <w:t xml:space="preserve"> such as the 2030 Agenda</w:t>
      </w:r>
      <w:r w:rsidRPr="00DA76FF">
        <w:rPr>
          <w:sz w:val="22"/>
          <w:szCs w:val="22"/>
        </w:rPr>
        <w:t>.</w:t>
      </w:r>
    </w:p>
    <w:p w14:paraId="63EBDD86" w14:textId="42380340" w:rsidR="00DF5060" w:rsidRPr="00DA76FF" w:rsidRDefault="00977D76" w:rsidP="00A25266">
      <w:pPr>
        <w:pStyle w:val="Heading2"/>
        <w:keepNext w:val="0"/>
        <w:keepLines w:val="0"/>
        <w:numPr>
          <w:ilvl w:val="1"/>
          <w:numId w:val="30"/>
        </w:numPr>
        <w:tabs>
          <w:tab w:val="clear" w:pos="567"/>
        </w:tabs>
        <w:spacing w:before="360" w:after="120"/>
        <w:ind w:left="567" w:hanging="567"/>
      </w:pPr>
      <w:bookmarkStart w:id="41" w:name="_Toc198569364"/>
      <w:r w:rsidRPr="00DA76FF">
        <w:t>Provision of data and statistics</w:t>
      </w:r>
      <w:bookmarkEnd w:id="41"/>
    </w:p>
    <w:p w14:paraId="3FDE7CD1" w14:textId="2ACA3901" w:rsidR="00803A68" w:rsidRPr="00DA76FF" w:rsidRDefault="00230D3A" w:rsidP="00C754AC">
      <w:pPr>
        <w:pStyle w:val="NoSpacing"/>
        <w:spacing w:before="120" w:after="120"/>
        <w:jc w:val="both"/>
      </w:pPr>
      <w:r w:rsidRPr="00DA76FF">
        <w:t xml:space="preserve">ITU </w:t>
      </w:r>
      <w:hyperlink r:id="rId125" w:history="1">
        <w:r w:rsidRPr="00DA76FF">
          <w:rPr>
            <w:rStyle w:val="Hyperlink"/>
          </w:rPr>
          <w:t>collects and disseminates vital data</w:t>
        </w:r>
      </w:hyperlink>
      <w:r w:rsidRPr="00DA76FF">
        <w:t xml:space="preserve"> and carries out world-class research to track and </w:t>
      </w:r>
      <w:r w:rsidR="008521D4">
        <w:t>interpret</w:t>
      </w:r>
      <w:r w:rsidR="00BD2BC4">
        <w:t xml:space="preserve"> </w:t>
      </w:r>
      <w:r w:rsidR="00355834">
        <w:t>the status of</w:t>
      </w:r>
      <w:r w:rsidRPr="00DA76FF">
        <w:t xml:space="preserve"> </w:t>
      </w:r>
      <w:hyperlink r:id="rId126" w:history="1">
        <w:r w:rsidR="00BD2BC4">
          <w:rPr>
            <w:rStyle w:val="Hyperlink"/>
          </w:rPr>
          <w:t>u</w:t>
        </w:r>
        <w:r w:rsidRPr="00DA76FF">
          <w:rPr>
            <w:rStyle w:val="Hyperlink"/>
          </w:rPr>
          <w:t>niversal meaningful connectivity</w:t>
        </w:r>
      </w:hyperlink>
      <w:r w:rsidRPr="00DA76FF">
        <w:t xml:space="preserve"> and </w:t>
      </w:r>
      <w:r w:rsidR="00BD2BC4">
        <w:t>s</w:t>
      </w:r>
      <w:r w:rsidR="00BD2BC4" w:rsidRPr="00DA76FF">
        <w:t xml:space="preserve">ustainable </w:t>
      </w:r>
      <w:r w:rsidR="00BD2BC4">
        <w:t>d</w:t>
      </w:r>
      <w:r w:rsidR="00BD2BC4" w:rsidRPr="00DA76FF">
        <w:t xml:space="preserve">igital </w:t>
      </w:r>
      <w:r w:rsidRPr="00DA76FF">
        <w:t xml:space="preserve">transformation globally. ITU’s Flagship report </w:t>
      </w:r>
      <w:hyperlink r:id="rId127" w:history="1">
        <w:r w:rsidRPr="00DA76FF">
          <w:rPr>
            <w:rStyle w:val="Hyperlink"/>
          </w:rPr>
          <w:t>Measuring digital development: Facts and Figures 2024</w:t>
        </w:r>
      </w:hyperlink>
      <w:r w:rsidRPr="00DA76FF">
        <w:t xml:space="preserve"> offers a snapshot of the most important ICT indicators, including estimates for the current year.</w:t>
      </w:r>
    </w:p>
    <w:p w14:paraId="7285BAE0" w14:textId="27C19885" w:rsidR="00803A68" w:rsidRPr="00DA76FF" w:rsidRDefault="00803A68" w:rsidP="00803A68">
      <w:pPr>
        <w:pStyle w:val="NoSpacing"/>
        <w:jc w:val="center"/>
      </w:pPr>
      <w:r w:rsidRPr="00DA76FF">
        <w:rPr>
          <w:noProof/>
        </w:rPr>
        <w:drawing>
          <wp:inline distT="0" distB="0" distL="0" distR="0" wp14:anchorId="4904E9E7" wp14:editId="057FE352">
            <wp:extent cx="2907247" cy="3619500"/>
            <wp:effectExtent l="0" t="0" r="7620" b="0"/>
            <wp:docPr id="1058327894"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7894" name="Picture 1" descr="A cover of a book&#10;&#10;AI-generated content may be incorrect."/>
                    <pic:cNvPicPr/>
                  </pic:nvPicPr>
                  <pic:blipFill>
                    <a:blip r:embed="rId128"/>
                    <a:stretch>
                      <a:fillRect/>
                    </a:stretch>
                  </pic:blipFill>
                  <pic:spPr>
                    <a:xfrm>
                      <a:off x="0" y="0"/>
                      <a:ext cx="2943369" cy="3664471"/>
                    </a:xfrm>
                    <a:prstGeom prst="rect">
                      <a:avLst/>
                    </a:prstGeom>
                  </pic:spPr>
                </pic:pic>
              </a:graphicData>
            </a:graphic>
          </wp:inline>
        </w:drawing>
      </w:r>
    </w:p>
    <w:p w14:paraId="08856B53" w14:textId="78CE8574" w:rsidR="00872F80" w:rsidRPr="00DA76FF" w:rsidRDefault="00286927" w:rsidP="00A25266">
      <w:pPr>
        <w:pStyle w:val="NoSpacing"/>
        <w:spacing w:before="480" w:after="120"/>
        <w:jc w:val="both"/>
      </w:pPr>
      <w:r w:rsidRPr="00DA76FF">
        <w:t>The</w:t>
      </w:r>
      <w:r w:rsidR="00F000EC">
        <w:t xml:space="preserve"> </w:t>
      </w:r>
      <w:hyperlink r:id="rId129" w:tgtFrame="_blank" w:history="1">
        <w:r w:rsidRPr="00DA76FF">
          <w:rPr>
            <w:rStyle w:val="Hyperlink"/>
          </w:rPr>
          <w:t>ICT Data and Analytics Division</w:t>
        </w:r>
      </w:hyperlink>
      <w:r w:rsidR="00F000EC">
        <w:t xml:space="preserve"> </w:t>
      </w:r>
      <w:r w:rsidRPr="00DA76FF">
        <w:t xml:space="preserve">within the Telecommunication Development Bureau's Digital Knowledge Society Department is responsible for ITU’s statistical work. </w:t>
      </w:r>
      <w:r w:rsidR="003812AE">
        <w:t>The division</w:t>
      </w:r>
      <w:r w:rsidRPr="00DA76FF">
        <w:t xml:space="preserve"> leads the global ICT statistics agenda by collecting and disseminating vital information and conducting world-class research, supporting</w:t>
      </w:r>
      <w:r w:rsidR="00F000EC">
        <w:t xml:space="preserve"> </w:t>
      </w:r>
      <w:r w:rsidRPr="00DA76FF">
        <w:t>evidence-based decision making towards universal and meaningful connectivity and sustained digital transformation.</w:t>
      </w:r>
    </w:p>
    <w:p w14:paraId="1E0017C2" w14:textId="1E394B0F" w:rsidR="00872F80" w:rsidRPr="00DA76FF" w:rsidRDefault="00872F80" w:rsidP="00C754AC">
      <w:pPr>
        <w:pStyle w:val="NoSpacing"/>
        <w:keepNext/>
        <w:keepLines/>
        <w:spacing w:before="120" w:after="120"/>
        <w:jc w:val="both"/>
        <w:rPr>
          <w:b/>
          <w:bCs/>
        </w:rPr>
      </w:pPr>
      <w:r w:rsidRPr="00DA76FF">
        <w:rPr>
          <w:b/>
          <w:bCs/>
        </w:rPr>
        <w:lastRenderedPageBreak/>
        <w:t xml:space="preserve">Key </w:t>
      </w:r>
      <w:r w:rsidR="00DD3BE2">
        <w:rPr>
          <w:b/>
          <w:bCs/>
        </w:rPr>
        <w:t xml:space="preserve">ICT </w:t>
      </w:r>
      <w:r w:rsidR="000B136A">
        <w:rPr>
          <w:b/>
          <w:bCs/>
        </w:rPr>
        <w:t>Data and A</w:t>
      </w:r>
      <w:r w:rsidR="00DD3BE2">
        <w:rPr>
          <w:b/>
          <w:bCs/>
        </w:rPr>
        <w:t xml:space="preserve">nalytics </w:t>
      </w:r>
      <w:r w:rsidRPr="00DA76FF">
        <w:rPr>
          <w:b/>
          <w:bCs/>
        </w:rPr>
        <w:t>activities</w:t>
      </w:r>
    </w:p>
    <w:p w14:paraId="049C3317" w14:textId="22323A97" w:rsidR="00872F80" w:rsidRPr="00DA76FF" w:rsidRDefault="00D64EE0" w:rsidP="00C754AC">
      <w:pPr>
        <w:pStyle w:val="NoSpacing"/>
        <w:keepNext/>
        <w:keepLines/>
        <w:spacing w:before="120" w:after="120"/>
        <w:jc w:val="both"/>
      </w:pPr>
      <w:r>
        <w:t>BDT</w:t>
      </w:r>
      <w:r w:rsidR="00DD3BE2" w:rsidRPr="00DA76FF">
        <w:t xml:space="preserve"> </w:t>
      </w:r>
      <w:r w:rsidR="00872F80" w:rsidRPr="00DA76FF">
        <w:t>is active across the data lifecycle in the following areas:</w:t>
      </w:r>
    </w:p>
    <w:p w14:paraId="7760A303" w14:textId="6FA1213A" w:rsidR="00872F80" w:rsidRPr="00DA76FF" w:rsidRDefault="00872F80" w:rsidP="00C754AC">
      <w:pPr>
        <w:pStyle w:val="NoSpacing"/>
        <w:numPr>
          <w:ilvl w:val="0"/>
          <w:numId w:val="35"/>
        </w:numPr>
        <w:tabs>
          <w:tab w:val="clear" w:pos="720"/>
        </w:tabs>
        <w:spacing w:before="120" w:after="120"/>
        <w:ind w:left="567" w:hanging="294"/>
        <w:jc w:val="both"/>
      </w:pPr>
      <w:r w:rsidRPr="00DA76FF">
        <w:rPr>
          <w:b/>
          <w:bCs/>
        </w:rPr>
        <w:t>Statistical standards:</w:t>
      </w:r>
      <w:r w:rsidR="00F000EC">
        <w:rPr>
          <w:b/>
          <w:bCs/>
        </w:rPr>
        <w:t xml:space="preserve"> </w:t>
      </w:r>
      <w:r w:rsidRPr="00DA76FF">
        <w:t>Through the Expert Group on Telecommunication/ICT Indicators (EGTI) and the Expert Group on ICT Household indicators (EGH), ITU sets and updates the international</w:t>
      </w:r>
      <w:r w:rsidR="00F000EC">
        <w:t xml:space="preserve"> </w:t>
      </w:r>
      <w:hyperlink r:id="rId130" w:tgtFrame="_blank" w:history="1">
        <w:r w:rsidRPr="00DA76FF">
          <w:rPr>
            <w:rStyle w:val="Hyperlink"/>
          </w:rPr>
          <w:t>statistical standards</w:t>
        </w:r>
      </w:hyperlink>
      <w:r w:rsidR="00F000EC">
        <w:t xml:space="preserve"> </w:t>
      </w:r>
      <w:r w:rsidRPr="00DA76FF">
        <w:t>and methodologies for ICT indicators.</w:t>
      </w:r>
    </w:p>
    <w:p w14:paraId="515AA9FE" w14:textId="2E88A65C" w:rsidR="00872F80" w:rsidRPr="00DA76FF" w:rsidRDefault="00872F80" w:rsidP="00C754AC">
      <w:pPr>
        <w:pStyle w:val="NoSpacing"/>
        <w:numPr>
          <w:ilvl w:val="0"/>
          <w:numId w:val="35"/>
        </w:numPr>
        <w:tabs>
          <w:tab w:val="clear" w:pos="720"/>
        </w:tabs>
        <w:spacing w:before="120" w:after="120"/>
        <w:ind w:left="567" w:hanging="294"/>
        <w:jc w:val="both"/>
      </w:pPr>
      <w:r w:rsidRPr="00DA76FF">
        <w:rPr>
          <w:b/>
          <w:bCs/>
        </w:rPr>
        <w:t>Collection, compilation and dissemination of ICT statistics:</w:t>
      </w:r>
      <w:r w:rsidR="00F000EC">
        <w:rPr>
          <w:b/>
          <w:bCs/>
        </w:rPr>
        <w:t xml:space="preserve"> </w:t>
      </w:r>
      <w:r w:rsidRPr="00DA76FF">
        <w:t>ITU compiles statistics for hundreds of ICT indicators, based on data collected from over 200 economies, and computes global and regional and country group estimates. All data is available free on the</w:t>
      </w:r>
      <w:r w:rsidR="00F000EC">
        <w:t xml:space="preserve"> </w:t>
      </w:r>
      <w:hyperlink r:id="rId131" w:tgtFrame="_blank" w:history="1">
        <w:r w:rsidRPr="00DA76FF">
          <w:rPr>
            <w:rStyle w:val="Hyperlink"/>
          </w:rPr>
          <w:t>ITU DataHub</w:t>
        </w:r>
      </w:hyperlink>
      <w:r w:rsidRPr="00DA76FF">
        <w:t>.</w:t>
      </w:r>
    </w:p>
    <w:p w14:paraId="1E385183" w14:textId="3DA46011" w:rsidR="00872F80" w:rsidRPr="00DA76FF" w:rsidRDefault="00872F80" w:rsidP="00C754AC">
      <w:pPr>
        <w:pStyle w:val="NoSpacing"/>
        <w:numPr>
          <w:ilvl w:val="0"/>
          <w:numId w:val="35"/>
        </w:numPr>
        <w:tabs>
          <w:tab w:val="clear" w:pos="720"/>
        </w:tabs>
        <w:spacing w:before="120" w:after="120"/>
        <w:ind w:left="567" w:hanging="294"/>
        <w:jc w:val="both"/>
      </w:pPr>
      <w:r w:rsidRPr="00DA76FF">
        <w:rPr>
          <w:b/>
          <w:bCs/>
        </w:rPr>
        <w:t>Data science and next-gen ICT statistics:</w:t>
      </w:r>
      <w:r w:rsidR="000F70EE">
        <w:t xml:space="preserve"> </w:t>
      </w:r>
      <w:r w:rsidR="00EC3406">
        <w:t>BDT</w:t>
      </w:r>
      <w:r w:rsidRPr="00DA76FF">
        <w:t>’s</w:t>
      </w:r>
      <w:r w:rsidR="00F000EC">
        <w:t xml:space="preserve"> </w:t>
      </w:r>
      <w:hyperlink r:id="rId132">
        <w:r w:rsidRPr="2C0EAE0F">
          <w:rPr>
            <w:rStyle w:val="Hyperlink"/>
          </w:rPr>
          <w:t>data science practice</w:t>
        </w:r>
      </w:hyperlink>
      <w:r w:rsidR="00F000EC">
        <w:t xml:space="preserve"> </w:t>
      </w:r>
      <w:r w:rsidRPr="00DA76FF">
        <w:t xml:space="preserve">leverages big data to enhance the accuracy, timeliness, and granularity of ICT statistics. </w:t>
      </w:r>
      <w:r w:rsidR="003812AE">
        <w:t>ITU</w:t>
      </w:r>
      <w:r w:rsidR="00D7755E">
        <w:t xml:space="preserve"> </w:t>
      </w:r>
      <w:r w:rsidRPr="00DA76FF">
        <w:t>chairs the UN Committee of Experts on Big Data and Data Science</w:t>
      </w:r>
      <w:r w:rsidR="00F000EC">
        <w:t xml:space="preserve"> </w:t>
      </w:r>
      <w:hyperlink r:id="rId133">
        <w:r w:rsidRPr="2C0EAE0F">
          <w:rPr>
            <w:rStyle w:val="Hyperlink"/>
          </w:rPr>
          <w:t>Task Team on Mobile Phone Data</w:t>
        </w:r>
      </w:hyperlink>
      <w:r w:rsidR="00F000EC">
        <w:t xml:space="preserve"> </w:t>
      </w:r>
      <w:r w:rsidRPr="00DA76FF">
        <w:t>and supports countries through pilot projects, particularly in using mobile phone data.</w:t>
      </w:r>
    </w:p>
    <w:p w14:paraId="719BD911" w14:textId="185A28E8" w:rsidR="00872F80" w:rsidRPr="00DA76FF" w:rsidRDefault="00872F80" w:rsidP="00C754AC">
      <w:pPr>
        <w:pStyle w:val="NoSpacing"/>
        <w:numPr>
          <w:ilvl w:val="0"/>
          <w:numId w:val="35"/>
        </w:numPr>
        <w:tabs>
          <w:tab w:val="clear" w:pos="720"/>
        </w:tabs>
        <w:spacing w:before="120" w:after="120"/>
        <w:ind w:left="567" w:hanging="294"/>
        <w:jc w:val="both"/>
      </w:pPr>
      <w:r w:rsidRPr="00DA76FF">
        <w:rPr>
          <w:b/>
          <w:bCs/>
        </w:rPr>
        <w:t>Analysis:</w:t>
      </w:r>
      <w:r w:rsidR="00F000EC">
        <w:rPr>
          <w:b/>
          <w:bCs/>
        </w:rPr>
        <w:t xml:space="preserve"> </w:t>
      </w:r>
      <w:r w:rsidRPr="00DA76FF">
        <w:t>Through various</w:t>
      </w:r>
      <w:r w:rsidR="00F000EC">
        <w:t xml:space="preserve"> </w:t>
      </w:r>
      <w:hyperlink r:id="rId134">
        <w:r w:rsidRPr="2C0EAE0F">
          <w:rPr>
            <w:rStyle w:val="Hyperlink"/>
          </w:rPr>
          <w:t>publications</w:t>
        </w:r>
      </w:hyperlink>
      <w:r w:rsidRPr="00DA76FF">
        <w:t xml:space="preserve">, including the Measuring Digital Development series, </w:t>
      </w:r>
      <w:r w:rsidR="000F70EE">
        <w:t xml:space="preserve">the </w:t>
      </w:r>
      <w:r w:rsidRPr="00DA76FF">
        <w:t>reports on the state of global connectivity, analyses drivers and impacts, and identifies good practices and solutions.</w:t>
      </w:r>
    </w:p>
    <w:p w14:paraId="02E35026" w14:textId="6B7870F2" w:rsidR="00872F80" w:rsidRPr="00DA76FF" w:rsidRDefault="00872F80" w:rsidP="00C754AC">
      <w:pPr>
        <w:pStyle w:val="NoSpacing"/>
        <w:numPr>
          <w:ilvl w:val="0"/>
          <w:numId w:val="35"/>
        </w:numPr>
        <w:tabs>
          <w:tab w:val="clear" w:pos="720"/>
        </w:tabs>
        <w:spacing w:before="120" w:after="120"/>
        <w:ind w:left="567" w:hanging="294"/>
        <w:jc w:val="both"/>
      </w:pPr>
      <w:r w:rsidRPr="00DA76FF">
        <w:rPr>
          <w:b/>
          <w:bCs/>
        </w:rPr>
        <w:t>Capacity building and technical assistance:</w:t>
      </w:r>
      <w:r w:rsidR="00F000EC">
        <w:rPr>
          <w:b/>
          <w:bCs/>
        </w:rPr>
        <w:t xml:space="preserve"> </w:t>
      </w:r>
      <w:r w:rsidR="00D7755E">
        <w:t>BDT</w:t>
      </w:r>
      <w:r w:rsidR="00F000EC">
        <w:t xml:space="preserve"> </w:t>
      </w:r>
      <w:hyperlink r:id="rId135">
        <w:r w:rsidRPr="2C0EAE0F">
          <w:rPr>
            <w:rStyle w:val="Hyperlink"/>
          </w:rPr>
          <w:t>supports</w:t>
        </w:r>
      </w:hyperlink>
      <w:r w:rsidR="00F000EC">
        <w:t xml:space="preserve"> </w:t>
      </w:r>
      <w:r w:rsidRPr="00DA76FF">
        <w:t>the statistical community and other stakeholders, including policymakers, by developing technical documentation, training materials, online courses, workshops, and providing technical assistance.</w:t>
      </w:r>
      <w:r w:rsidR="00F000EC">
        <w:t xml:space="preserve"> </w:t>
      </w:r>
    </w:p>
    <w:p w14:paraId="658675BA" w14:textId="0691D420" w:rsidR="00872F80" w:rsidRPr="00DA76FF" w:rsidRDefault="00872F80" w:rsidP="00C754AC">
      <w:pPr>
        <w:pStyle w:val="NoSpacing"/>
        <w:numPr>
          <w:ilvl w:val="0"/>
          <w:numId w:val="35"/>
        </w:numPr>
        <w:tabs>
          <w:tab w:val="clear" w:pos="720"/>
        </w:tabs>
        <w:spacing w:before="120" w:after="120"/>
        <w:ind w:left="567" w:hanging="294"/>
        <w:jc w:val="both"/>
      </w:pPr>
      <w:r w:rsidRPr="00DA76FF">
        <w:rPr>
          <w:b/>
          <w:bCs/>
        </w:rPr>
        <w:t>Partnerships, events and international cooperation:</w:t>
      </w:r>
      <w:r w:rsidR="00F000EC">
        <w:rPr>
          <w:b/>
          <w:bCs/>
        </w:rPr>
        <w:t xml:space="preserve"> </w:t>
      </w:r>
      <w:r w:rsidR="00CD7978" w:rsidRPr="00FF2122">
        <w:t>Through the ICT Data and Analytics division, ITU</w:t>
      </w:r>
      <w:r w:rsidR="00F000EC">
        <w:t xml:space="preserve"> </w:t>
      </w:r>
      <w:hyperlink r:id="rId136">
        <w:r w:rsidRPr="2C0EAE0F">
          <w:rPr>
            <w:rStyle w:val="Hyperlink"/>
          </w:rPr>
          <w:t>cooperates</w:t>
        </w:r>
      </w:hyperlink>
      <w:r w:rsidR="00F000EC">
        <w:t xml:space="preserve"> </w:t>
      </w:r>
      <w:r w:rsidRPr="00DA76FF">
        <w:t>with various organizations, to advance the statistics agenda, leverage synergies and complementarities, scale up activities, and maximize impact.</w:t>
      </w:r>
      <w:r w:rsidR="00F000EC">
        <w:t xml:space="preserve"> </w:t>
      </w:r>
      <w:r>
        <w:t>This includes the multi-pronged project “</w:t>
      </w:r>
      <w:hyperlink r:id="rId137">
        <w:r w:rsidRPr="2C0EAE0F">
          <w:rPr>
            <w:rStyle w:val="Hyperlink"/>
          </w:rPr>
          <w:t>Promoting and measuring universal and meaningful connectivity</w:t>
        </w:r>
      </w:hyperlink>
      <w:r w:rsidR="00282F71">
        <w:t>.</w:t>
      </w:r>
      <w:r>
        <w:t xml:space="preserve">” </w:t>
      </w:r>
      <w:r w:rsidRPr="00DA76FF">
        <w:t>Additionally,</w:t>
      </w:r>
      <w:r w:rsidR="00F000EC">
        <w:t xml:space="preserve"> </w:t>
      </w:r>
      <w:r w:rsidR="00D7755E">
        <w:t xml:space="preserve">ITU </w:t>
      </w:r>
      <w:r w:rsidRPr="00DA76FF">
        <w:t xml:space="preserve"> is </w:t>
      </w:r>
      <w:r w:rsidR="00232D0B" w:rsidRPr="00DA76FF">
        <w:t xml:space="preserve">responsible </w:t>
      </w:r>
      <w:r w:rsidRPr="00DA76FF">
        <w:t>for ITU’s</w:t>
      </w:r>
      <w:r w:rsidR="00C139AC">
        <w:t xml:space="preserve"> </w:t>
      </w:r>
      <w:hyperlink r:id="rId138">
        <w:r w:rsidRPr="2C0EAE0F">
          <w:rPr>
            <w:rStyle w:val="Hyperlink"/>
          </w:rPr>
          <w:t>World Telecommunication/ICT Indicators Symposium</w:t>
        </w:r>
      </w:hyperlink>
      <w:r w:rsidRPr="00DA76FF">
        <w:t>, the</w:t>
      </w:r>
      <w:r w:rsidR="00C139AC">
        <w:t xml:space="preserve"> </w:t>
      </w:r>
      <w:r w:rsidRPr="00DA76FF">
        <w:t>global forum on ICT statistics.</w:t>
      </w:r>
      <w:r w:rsidR="004B423C">
        <w:t xml:space="preserve"> </w:t>
      </w:r>
      <w:r w:rsidR="004B423C" w:rsidRPr="004B423C">
        <w:t xml:space="preserve">The </w:t>
      </w:r>
      <w:hyperlink r:id="rId139">
        <w:r w:rsidR="004B423C" w:rsidRPr="2C0EAE0F">
          <w:rPr>
            <w:rStyle w:val="Hyperlink"/>
          </w:rPr>
          <w:t>Partnership on Measuring ICT for Development</w:t>
        </w:r>
      </w:hyperlink>
      <w:r w:rsidR="004B423C" w:rsidRPr="004B423C">
        <w:t xml:space="preserve"> is an international, multi-stakeholder initiative that was launched in 2004 to improve the availability and quality of ICT data and indicators, particularly in developing countries. The initiative is a direct response to the request made by the World Summit on the Information Society (WSIS) to produce official statistics to monitor the information society.</w:t>
      </w:r>
    </w:p>
    <w:p w14:paraId="3E94FC76" w14:textId="410C9D5E" w:rsidR="00DF5060" w:rsidRPr="00DA76FF" w:rsidRDefault="001B47F9" w:rsidP="00A25266">
      <w:pPr>
        <w:pStyle w:val="Heading2"/>
        <w:spacing w:before="360" w:after="120"/>
      </w:pPr>
      <w:bookmarkStart w:id="42" w:name="_Toc198569365"/>
      <w:r w:rsidRPr="00DA76FF">
        <w:t>4</w:t>
      </w:r>
      <w:r w:rsidR="00704EB5" w:rsidRPr="00DA76FF">
        <w:t>.6</w:t>
      </w:r>
      <w:r w:rsidR="00704EB5" w:rsidRPr="00DA76FF">
        <w:tab/>
      </w:r>
      <w:r w:rsidR="002C7BB6" w:rsidRPr="00DA76FF">
        <w:t>Capacity development</w:t>
      </w:r>
      <w:bookmarkEnd w:id="42"/>
    </w:p>
    <w:p w14:paraId="05B71F50" w14:textId="741BC4ED" w:rsidR="004D0603" w:rsidRPr="00DA76FF" w:rsidRDefault="004D0603" w:rsidP="00C754AC">
      <w:pPr>
        <w:spacing w:after="120"/>
        <w:jc w:val="both"/>
        <w:rPr>
          <w:sz w:val="22"/>
          <w:szCs w:val="18"/>
          <w:lang w:eastAsia="en-GB"/>
        </w:rPr>
      </w:pPr>
      <w:r w:rsidRPr="00DA76FF">
        <w:rPr>
          <w:sz w:val="22"/>
          <w:szCs w:val="18"/>
          <w:lang w:eastAsia="en-GB"/>
        </w:rPr>
        <w:t xml:space="preserve">Capacity </w:t>
      </w:r>
      <w:r w:rsidR="00C25005">
        <w:rPr>
          <w:sz w:val="22"/>
          <w:szCs w:val="18"/>
          <w:lang w:eastAsia="en-GB"/>
        </w:rPr>
        <w:t>d</w:t>
      </w:r>
      <w:r w:rsidRPr="00DA76FF">
        <w:rPr>
          <w:sz w:val="22"/>
          <w:szCs w:val="18"/>
          <w:lang w:eastAsia="en-GB"/>
        </w:rPr>
        <w:t>evelopment is the flagship program</w:t>
      </w:r>
      <w:r w:rsidR="00407481" w:rsidRPr="00DA76FF">
        <w:rPr>
          <w:sz w:val="22"/>
          <w:szCs w:val="18"/>
          <w:lang w:eastAsia="en-GB"/>
        </w:rPr>
        <w:t>me</w:t>
      </w:r>
      <w:r w:rsidRPr="00DA76FF">
        <w:rPr>
          <w:sz w:val="22"/>
          <w:szCs w:val="18"/>
          <w:lang w:eastAsia="en-GB"/>
        </w:rPr>
        <w:t xml:space="preserve"> </w:t>
      </w:r>
      <w:r w:rsidR="00C25005">
        <w:rPr>
          <w:sz w:val="22"/>
          <w:szCs w:val="18"/>
          <w:lang w:eastAsia="en-GB"/>
        </w:rPr>
        <w:t xml:space="preserve">in the ITU Telecommunication Development Sector (ITU-D), </w:t>
      </w:r>
      <w:r w:rsidR="005B5545" w:rsidRPr="00DA76FF">
        <w:rPr>
          <w:sz w:val="22"/>
          <w:szCs w:val="18"/>
          <w:lang w:eastAsia="en-GB"/>
        </w:rPr>
        <w:t xml:space="preserve">aimed </w:t>
      </w:r>
      <w:r w:rsidRPr="00DA76FF">
        <w:rPr>
          <w:sz w:val="22"/>
          <w:szCs w:val="18"/>
          <w:lang w:eastAsia="en-GB"/>
        </w:rPr>
        <w:t xml:space="preserve">at achieving a digitally competent society where all people </w:t>
      </w:r>
      <w:r w:rsidR="00407481" w:rsidRPr="00DA76FF">
        <w:rPr>
          <w:sz w:val="22"/>
          <w:szCs w:val="18"/>
          <w:lang w:eastAsia="en-GB"/>
        </w:rPr>
        <w:t xml:space="preserve">can improve their livelihoods through </w:t>
      </w:r>
      <w:r w:rsidR="005B5545" w:rsidRPr="00DA76FF">
        <w:rPr>
          <w:sz w:val="22"/>
          <w:szCs w:val="18"/>
          <w:lang w:eastAsia="en-GB"/>
        </w:rPr>
        <w:t>digital</w:t>
      </w:r>
      <w:r w:rsidRPr="00DA76FF">
        <w:rPr>
          <w:sz w:val="22"/>
          <w:szCs w:val="18"/>
          <w:lang w:eastAsia="en-GB"/>
        </w:rPr>
        <w:t xml:space="preserve"> skills </w:t>
      </w:r>
      <w:r w:rsidR="005B5545" w:rsidRPr="00DA76FF">
        <w:rPr>
          <w:sz w:val="22"/>
          <w:szCs w:val="18"/>
          <w:lang w:eastAsia="en-GB"/>
        </w:rPr>
        <w:t>and tech knowledge</w:t>
      </w:r>
      <w:r w:rsidRPr="00DA76FF">
        <w:rPr>
          <w:sz w:val="22"/>
          <w:szCs w:val="18"/>
          <w:lang w:eastAsia="en-GB"/>
        </w:rPr>
        <w:t xml:space="preserve">. This is realized by developing capacities of </w:t>
      </w:r>
      <w:r w:rsidR="00DC62B1">
        <w:rPr>
          <w:sz w:val="22"/>
          <w:szCs w:val="18"/>
          <w:lang w:eastAsia="en-GB"/>
        </w:rPr>
        <w:t>tech</w:t>
      </w:r>
      <w:r w:rsidRPr="00DA76FF">
        <w:rPr>
          <w:sz w:val="22"/>
          <w:szCs w:val="18"/>
          <w:lang w:eastAsia="en-GB"/>
        </w:rPr>
        <w:t xml:space="preserve"> professionals, boosting digital literacy and skills of citizens, and developing knowledge resources. </w:t>
      </w:r>
      <w:r w:rsidR="00101A41">
        <w:rPr>
          <w:sz w:val="22"/>
          <w:szCs w:val="18"/>
          <w:lang w:eastAsia="en-GB"/>
        </w:rPr>
        <w:t>O</w:t>
      </w:r>
      <w:r w:rsidRPr="00DA76FF">
        <w:rPr>
          <w:sz w:val="22"/>
          <w:szCs w:val="18"/>
          <w:lang w:eastAsia="en-GB"/>
        </w:rPr>
        <w:t xml:space="preserve">ne of ITU’s key training delivery mechanisms, </w:t>
      </w:r>
      <w:r w:rsidR="00FE0278">
        <w:rPr>
          <w:sz w:val="22"/>
          <w:szCs w:val="18"/>
          <w:lang w:eastAsia="en-GB"/>
        </w:rPr>
        <w:t xml:space="preserve">known </w:t>
      </w:r>
      <w:r w:rsidR="007A1B82">
        <w:rPr>
          <w:sz w:val="22"/>
          <w:szCs w:val="18"/>
          <w:lang w:eastAsia="en-GB"/>
        </w:rPr>
        <w:t xml:space="preserve">until 2023 </w:t>
      </w:r>
      <w:r w:rsidR="00FE0278">
        <w:rPr>
          <w:sz w:val="22"/>
          <w:szCs w:val="18"/>
          <w:lang w:eastAsia="en-GB"/>
        </w:rPr>
        <w:t xml:space="preserve">as </w:t>
      </w:r>
      <w:r w:rsidRPr="00DA76FF">
        <w:rPr>
          <w:sz w:val="22"/>
          <w:szCs w:val="18"/>
          <w:lang w:eastAsia="en-GB"/>
        </w:rPr>
        <w:t>the Centres of Excellence programme</w:t>
      </w:r>
      <w:r w:rsidR="00101A41">
        <w:rPr>
          <w:sz w:val="22"/>
          <w:szCs w:val="18"/>
          <w:lang w:eastAsia="en-GB"/>
        </w:rPr>
        <w:t>,</w:t>
      </w:r>
      <w:r w:rsidRPr="00DA76FF">
        <w:rPr>
          <w:sz w:val="22"/>
          <w:szCs w:val="18"/>
          <w:lang w:eastAsia="en-GB"/>
        </w:rPr>
        <w:t xml:space="preserve"> </w:t>
      </w:r>
      <w:r w:rsidR="00FE0278">
        <w:rPr>
          <w:sz w:val="22"/>
          <w:szCs w:val="18"/>
          <w:lang w:eastAsia="en-GB"/>
        </w:rPr>
        <w:t xml:space="preserve">continues in </w:t>
      </w:r>
      <w:hyperlink r:id="rId140" w:history="1">
        <w:r w:rsidRPr="00DA76FF">
          <w:rPr>
            <w:rStyle w:val="Hyperlink"/>
            <w:sz w:val="22"/>
            <w:szCs w:val="18"/>
            <w:lang w:eastAsia="en-GB"/>
          </w:rPr>
          <w:t>ITU Academy Training Centres</w:t>
        </w:r>
      </w:hyperlink>
      <w:r w:rsidRPr="00DA76FF">
        <w:rPr>
          <w:sz w:val="22"/>
          <w:szCs w:val="18"/>
          <w:lang w:eastAsia="en-GB"/>
        </w:rPr>
        <w:t>.</w:t>
      </w:r>
    </w:p>
    <w:p w14:paraId="5D38FABB" w14:textId="77777777" w:rsidR="004D0603" w:rsidRPr="00DA76FF" w:rsidRDefault="004D0603" w:rsidP="00C754AC">
      <w:pPr>
        <w:spacing w:after="120"/>
        <w:jc w:val="both"/>
        <w:rPr>
          <w:sz w:val="22"/>
          <w:szCs w:val="18"/>
          <w:lang w:eastAsia="en-GB"/>
        </w:rPr>
      </w:pPr>
      <w:r w:rsidRPr="00DA76FF">
        <w:rPr>
          <w:sz w:val="22"/>
          <w:szCs w:val="18"/>
          <w:lang w:eastAsia="en-GB"/>
        </w:rPr>
        <w:t>The courses provided are conducted online through ITU's e-learning platform (the ITU Academy). Hybrid and face-to-face courses are also offered. Registration is available online through the ITU Academy platform. 14 centres were selected initially to begin working in 2023 and have been working in 2024.</w:t>
      </w:r>
    </w:p>
    <w:p w14:paraId="7F7C12BE" w14:textId="19DC05B5" w:rsidR="00B93D4B" w:rsidRPr="00DA76FF" w:rsidRDefault="00B93D4B" w:rsidP="00C754AC">
      <w:pPr>
        <w:spacing w:after="120"/>
        <w:jc w:val="both"/>
        <w:rPr>
          <w:sz w:val="22"/>
          <w:szCs w:val="18"/>
          <w:lang w:eastAsia="en-GB"/>
        </w:rPr>
      </w:pPr>
      <w:r w:rsidRPr="00DA76FF">
        <w:rPr>
          <w:sz w:val="22"/>
          <w:szCs w:val="18"/>
          <w:lang w:eastAsia="en-GB"/>
        </w:rPr>
        <w:t xml:space="preserve">ITU capacity development activities address the knowledge and skills gap in </w:t>
      </w:r>
      <w:r w:rsidR="00DC62B1">
        <w:rPr>
          <w:sz w:val="22"/>
          <w:szCs w:val="18"/>
          <w:lang w:eastAsia="en-GB"/>
        </w:rPr>
        <w:t>various tech-related fields</w:t>
      </w:r>
      <w:r w:rsidRPr="00DA76FF">
        <w:rPr>
          <w:sz w:val="22"/>
          <w:szCs w:val="18"/>
          <w:lang w:eastAsia="en-GB"/>
        </w:rPr>
        <w:t xml:space="preserve">. </w:t>
      </w:r>
      <w:r w:rsidR="002842D7">
        <w:rPr>
          <w:sz w:val="22"/>
          <w:szCs w:val="18"/>
          <w:lang w:eastAsia="en-GB"/>
        </w:rPr>
        <w:t>Key topics include c</w:t>
      </w:r>
      <w:r w:rsidR="00A5413D" w:rsidRPr="00DA76FF">
        <w:rPr>
          <w:sz w:val="22"/>
          <w:szCs w:val="18"/>
          <w:lang w:eastAsia="en-GB"/>
        </w:rPr>
        <w:t>ybersecu</w:t>
      </w:r>
      <w:r w:rsidR="00174B68" w:rsidRPr="00DA76FF">
        <w:rPr>
          <w:sz w:val="22"/>
          <w:szCs w:val="18"/>
          <w:lang w:eastAsia="en-GB"/>
        </w:rPr>
        <w:t>r</w:t>
      </w:r>
      <w:r w:rsidR="00A5413D" w:rsidRPr="00DA76FF">
        <w:rPr>
          <w:sz w:val="22"/>
          <w:szCs w:val="18"/>
          <w:lang w:eastAsia="en-GB"/>
        </w:rPr>
        <w:t xml:space="preserve">ity, </w:t>
      </w:r>
      <w:r w:rsidR="002842D7">
        <w:rPr>
          <w:sz w:val="22"/>
          <w:szCs w:val="18"/>
          <w:lang w:eastAsia="en-GB"/>
        </w:rPr>
        <w:t>d</w:t>
      </w:r>
      <w:r w:rsidR="00A5413D" w:rsidRPr="00DA76FF">
        <w:rPr>
          <w:sz w:val="22"/>
          <w:szCs w:val="18"/>
          <w:lang w:eastAsia="en-GB"/>
        </w:rPr>
        <w:t xml:space="preserve">igital </w:t>
      </w:r>
      <w:r w:rsidR="002842D7">
        <w:rPr>
          <w:sz w:val="22"/>
          <w:szCs w:val="18"/>
          <w:lang w:eastAsia="en-GB"/>
        </w:rPr>
        <w:t>access</w:t>
      </w:r>
      <w:r w:rsidR="00A5413D" w:rsidRPr="00DA76FF">
        <w:rPr>
          <w:sz w:val="22"/>
          <w:szCs w:val="18"/>
          <w:lang w:eastAsia="en-GB"/>
        </w:rPr>
        <w:t xml:space="preserve">, </w:t>
      </w:r>
      <w:r w:rsidR="00EF3D0B" w:rsidRPr="00DA76FF">
        <w:rPr>
          <w:sz w:val="22"/>
          <w:szCs w:val="18"/>
          <w:lang w:eastAsia="en-GB"/>
        </w:rPr>
        <w:t xml:space="preserve">innovation ecosystems, </w:t>
      </w:r>
      <w:r w:rsidR="00F22AAE">
        <w:rPr>
          <w:sz w:val="22"/>
          <w:szCs w:val="18"/>
          <w:lang w:eastAsia="en-GB"/>
        </w:rPr>
        <w:t xml:space="preserve">and </w:t>
      </w:r>
      <w:r w:rsidR="002842D7">
        <w:rPr>
          <w:sz w:val="22"/>
          <w:szCs w:val="18"/>
          <w:lang w:eastAsia="en-GB"/>
        </w:rPr>
        <w:t>d</w:t>
      </w:r>
      <w:r w:rsidR="00015183" w:rsidRPr="00DA76FF">
        <w:rPr>
          <w:sz w:val="22"/>
          <w:szCs w:val="18"/>
          <w:lang w:eastAsia="en-GB"/>
        </w:rPr>
        <w:t xml:space="preserve">igital services and applications, </w:t>
      </w:r>
      <w:r w:rsidR="00F22AAE">
        <w:rPr>
          <w:sz w:val="22"/>
          <w:szCs w:val="18"/>
          <w:lang w:eastAsia="en-GB"/>
        </w:rPr>
        <w:t>as well as e</w:t>
      </w:r>
      <w:r w:rsidR="00015183" w:rsidRPr="00DA76FF">
        <w:rPr>
          <w:sz w:val="22"/>
          <w:szCs w:val="18"/>
          <w:lang w:eastAsia="en-GB"/>
        </w:rPr>
        <w:t xml:space="preserve">mergency telecommunications, </w:t>
      </w:r>
      <w:r w:rsidR="004D76D8">
        <w:rPr>
          <w:sz w:val="22"/>
          <w:szCs w:val="18"/>
          <w:lang w:eastAsia="en-GB"/>
        </w:rPr>
        <w:t>n</w:t>
      </w:r>
      <w:r w:rsidR="004D76D8" w:rsidRPr="00DA76FF">
        <w:rPr>
          <w:sz w:val="22"/>
          <w:szCs w:val="18"/>
          <w:lang w:eastAsia="en-GB"/>
        </w:rPr>
        <w:t xml:space="preserve">etwork </w:t>
      </w:r>
      <w:r w:rsidR="00015183" w:rsidRPr="00DA76FF">
        <w:rPr>
          <w:sz w:val="22"/>
          <w:szCs w:val="18"/>
          <w:lang w:eastAsia="en-GB"/>
        </w:rPr>
        <w:t>and digital infrastructure,</w:t>
      </w:r>
      <w:r w:rsidR="001A1F40" w:rsidRPr="00DA76FF">
        <w:rPr>
          <w:sz w:val="22"/>
          <w:szCs w:val="18"/>
          <w:lang w:eastAsia="en-GB"/>
        </w:rPr>
        <w:t xml:space="preserve"> </w:t>
      </w:r>
      <w:r w:rsidR="004D76D8">
        <w:rPr>
          <w:sz w:val="22"/>
          <w:szCs w:val="18"/>
          <w:lang w:eastAsia="en-GB"/>
        </w:rPr>
        <w:t>p</w:t>
      </w:r>
      <w:r w:rsidR="001A1F40" w:rsidRPr="00DA76FF">
        <w:rPr>
          <w:sz w:val="22"/>
          <w:szCs w:val="18"/>
          <w:lang w:eastAsia="en-GB"/>
        </w:rPr>
        <w:t xml:space="preserve">olicy and regulation, </w:t>
      </w:r>
      <w:r w:rsidR="004D76D8">
        <w:rPr>
          <w:sz w:val="22"/>
          <w:szCs w:val="18"/>
          <w:lang w:eastAsia="en-GB"/>
        </w:rPr>
        <w:t>s</w:t>
      </w:r>
      <w:r w:rsidR="004D76D8" w:rsidRPr="00DA76FF">
        <w:rPr>
          <w:sz w:val="22"/>
          <w:szCs w:val="18"/>
          <w:lang w:eastAsia="en-GB"/>
        </w:rPr>
        <w:t>tatistics</w:t>
      </w:r>
      <w:r w:rsidR="001A1F40" w:rsidRPr="00DA76FF">
        <w:rPr>
          <w:sz w:val="22"/>
          <w:szCs w:val="18"/>
          <w:lang w:eastAsia="en-GB"/>
        </w:rPr>
        <w:t xml:space="preserve">, </w:t>
      </w:r>
      <w:r w:rsidR="00076FFD" w:rsidRPr="00DA76FF">
        <w:rPr>
          <w:sz w:val="22"/>
          <w:szCs w:val="18"/>
          <w:lang w:eastAsia="en-GB"/>
        </w:rPr>
        <w:t xml:space="preserve">and </w:t>
      </w:r>
      <w:r w:rsidR="001A1F40" w:rsidRPr="00DA76FF">
        <w:rPr>
          <w:sz w:val="22"/>
          <w:szCs w:val="18"/>
          <w:lang w:eastAsia="en-GB"/>
        </w:rPr>
        <w:t>Internet</w:t>
      </w:r>
      <w:r w:rsidR="004B22FA">
        <w:rPr>
          <w:sz w:val="22"/>
          <w:szCs w:val="18"/>
          <w:lang w:eastAsia="en-GB"/>
        </w:rPr>
        <w:t xml:space="preserve"> development issues</w:t>
      </w:r>
      <w:r w:rsidRPr="00DA76FF">
        <w:rPr>
          <w:sz w:val="22"/>
          <w:szCs w:val="18"/>
          <w:lang w:eastAsia="en-GB"/>
        </w:rPr>
        <w:t>.</w:t>
      </w:r>
    </w:p>
    <w:p w14:paraId="6DF7BA63" w14:textId="6D6B34EA" w:rsidR="004D0603" w:rsidRPr="00DA76FF" w:rsidRDefault="004D0603" w:rsidP="00C754AC">
      <w:pPr>
        <w:keepNext/>
        <w:keepLines/>
        <w:spacing w:after="120"/>
        <w:jc w:val="both"/>
        <w:rPr>
          <w:sz w:val="22"/>
          <w:szCs w:val="18"/>
          <w:lang w:eastAsia="en-GB"/>
        </w:rPr>
      </w:pPr>
      <w:r w:rsidRPr="00DA76FF">
        <w:rPr>
          <w:sz w:val="22"/>
          <w:szCs w:val="18"/>
          <w:lang w:eastAsia="en-GB"/>
        </w:rPr>
        <w:lastRenderedPageBreak/>
        <w:t xml:space="preserve">Section </w:t>
      </w:r>
      <w:r w:rsidR="001B47F9" w:rsidRPr="00DA76FF">
        <w:rPr>
          <w:sz w:val="22"/>
          <w:szCs w:val="18"/>
          <w:lang w:eastAsia="en-GB"/>
        </w:rPr>
        <w:t>2.</w:t>
      </w:r>
      <w:r w:rsidR="00CD3E9E" w:rsidRPr="00DA76FF">
        <w:rPr>
          <w:sz w:val="22"/>
          <w:szCs w:val="18"/>
          <w:lang w:eastAsia="en-GB"/>
        </w:rPr>
        <w:t>2</w:t>
      </w:r>
      <w:r w:rsidRPr="00DA76FF">
        <w:rPr>
          <w:sz w:val="22"/>
          <w:szCs w:val="18"/>
          <w:lang w:eastAsia="en-GB"/>
        </w:rPr>
        <w:t xml:space="preserve"> details the capacity building component of Bridging the </w:t>
      </w:r>
      <w:r w:rsidR="004A37D6">
        <w:rPr>
          <w:sz w:val="22"/>
          <w:szCs w:val="18"/>
          <w:lang w:eastAsia="en-GB"/>
        </w:rPr>
        <w:t>S</w:t>
      </w:r>
      <w:r w:rsidRPr="00DA76FF">
        <w:rPr>
          <w:sz w:val="22"/>
          <w:szCs w:val="18"/>
          <w:lang w:eastAsia="en-GB"/>
        </w:rPr>
        <w:t xml:space="preserve">tandardization </w:t>
      </w:r>
      <w:r w:rsidR="004A37D6">
        <w:rPr>
          <w:sz w:val="22"/>
          <w:szCs w:val="18"/>
          <w:lang w:eastAsia="en-GB"/>
        </w:rPr>
        <w:t>G</w:t>
      </w:r>
      <w:r w:rsidRPr="00DA76FF">
        <w:rPr>
          <w:sz w:val="22"/>
          <w:szCs w:val="18"/>
          <w:lang w:eastAsia="en-GB"/>
        </w:rPr>
        <w:t>ap</w:t>
      </w:r>
      <w:r w:rsidR="004A37D6">
        <w:rPr>
          <w:sz w:val="22"/>
          <w:szCs w:val="18"/>
          <w:lang w:eastAsia="en-GB"/>
        </w:rPr>
        <w:t>, with</w:t>
      </w:r>
      <w:r w:rsidRPr="00DA76FF">
        <w:rPr>
          <w:sz w:val="22"/>
          <w:szCs w:val="18"/>
          <w:lang w:eastAsia="en-GB"/>
        </w:rPr>
        <w:t xml:space="preserve"> </w:t>
      </w:r>
      <w:r w:rsidR="004A37D6">
        <w:rPr>
          <w:sz w:val="22"/>
          <w:szCs w:val="18"/>
          <w:lang w:eastAsia="en-GB"/>
        </w:rPr>
        <w:t xml:space="preserve">the initiative’s </w:t>
      </w:r>
      <w:r w:rsidRPr="00DA76FF">
        <w:rPr>
          <w:sz w:val="22"/>
          <w:szCs w:val="18"/>
          <w:lang w:eastAsia="en-GB"/>
        </w:rPr>
        <w:t xml:space="preserve">training materials provided for on-demand access via </w:t>
      </w:r>
      <w:hyperlink r:id="rId141" w:history="1">
        <w:r w:rsidRPr="00DA76FF">
          <w:rPr>
            <w:rStyle w:val="Hyperlink"/>
            <w:sz w:val="22"/>
            <w:szCs w:val="18"/>
            <w:lang w:eastAsia="en-GB"/>
          </w:rPr>
          <w:t>ITU-T resources</w:t>
        </w:r>
      </w:hyperlink>
      <w:r w:rsidRPr="00DA76FF">
        <w:rPr>
          <w:sz w:val="22"/>
          <w:szCs w:val="18"/>
          <w:lang w:eastAsia="en-GB"/>
        </w:rPr>
        <w:t>, in all six languages wherever possible</w:t>
      </w:r>
      <w:r w:rsidR="00ED046F">
        <w:rPr>
          <w:sz w:val="22"/>
          <w:szCs w:val="18"/>
          <w:lang w:eastAsia="en-GB"/>
        </w:rPr>
        <w:t>.</w:t>
      </w:r>
      <w:r w:rsidRPr="00DA76FF">
        <w:rPr>
          <w:sz w:val="22"/>
          <w:szCs w:val="18"/>
          <w:lang w:eastAsia="en-GB"/>
        </w:rPr>
        <w:t xml:space="preserve"> </w:t>
      </w:r>
      <w:r w:rsidR="00ED046F">
        <w:rPr>
          <w:sz w:val="22"/>
          <w:szCs w:val="18"/>
          <w:lang w:eastAsia="en-GB"/>
        </w:rPr>
        <w:t>C</w:t>
      </w:r>
      <w:r w:rsidRPr="00DA76FF">
        <w:rPr>
          <w:sz w:val="22"/>
          <w:szCs w:val="18"/>
          <w:lang w:eastAsia="en-GB"/>
        </w:rPr>
        <w:t xml:space="preserve">ollaboration </w:t>
      </w:r>
      <w:r w:rsidR="00ED046F">
        <w:rPr>
          <w:sz w:val="22"/>
          <w:szCs w:val="18"/>
          <w:lang w:eastAsia="en-GB"/>
        </w:rPr>
        <w:t xml:space="preserve">is ongoing </w:t>
      </w:r>
      <w:r w:rsidRPr="00DA76FF">
        <w:rPr>
          <w:sz w:val="22"/>
          <w:szCs w:val="18"/>
          <w:lang w:eastAsia="en-GB"/>
        </w:rPr>
        <w:t xml:space="preserve">between </w:t>
      </w:r>
      <w:r w:rsidR="00E96138">
        <w:rPr>
          <w:sz w:val="22"/>
          <w:szCs w:val="18"/>
          <w:lang w:eastAsia="en-GB"/>
        </w:rPr>
        <w:t>ITU’s standardization and development bureaux (</w:t>
      </w:r>
      <w:r w:rsidRPr="00DA76FF">
        <w:rPr>
          <w:sz w:val="22"/>
          <w:szCs w:val="18"/>
          <w:lang w:eastAsia="en-GB"/>
        </w:rPr>
        <w:t>TSB</w:t>
      </w:r>
      <w:r w:rsidR="00E96138">
        <w:rPr>
          <w:sz w:val="22"/>
          <w:szCs w:val="18"/>
          <w:lang w:eastAsia="en-GB"/>
        </w:rPr>
        <w:t xml:space="preserve"> and</w:t>
      </w:r>
      <w:r w:rsidRPr="00DA76FF">
        <w:rPr>
          <w:sz w:val="22"/>
          <w:szCs w:val="18"/>
          <w:lang w:eastAsia="en-GB"/>
        </w:rPr>
        <w:t xml:space="preserve"> BDT</w:t>
      </w:r>
      <w:r w:rsidR="00E96138">
        <w:rPr>
          <w:sz w:val="22"/>
          <w:szCs w:val="18"/>
          <w:lang w:eastAsia="en-GB"/>
        </w:rPr>
        <w:t>)</w:t>
      </w:r>
      <w:r w:rsidRPr="00DA76FF">
        <w:rPr>
          <w:sz w:val="22"/>
          <w:szCs w:val="18"/>
          <w:lang w:eastAsia="en-GB"/>
        </w:rPr>
        <w:t xml:space="preserve"> and </w:t>
      </w:r>
      <w:r w:rsidR="000F7B4E">
        <w:rPr>
          <w:sz w:val="22"/>
          <w:szCs w:val="18"/>
          <w:lang w:eastAsia="en-GB"/>
        </w:rPr>
        <w:t>ITU</w:t>
      </w:r>
      <w:r w:rsidRPr="00DA76FF">
        <w:rPr>
          <w:sz w:val="22"/>
          <w:szCs w:val="18"/>
          <w:lang w:eastAsia="en-GB"/>
        </w:rPr>
        <w:t xml:space="preserve"> regional offices to raise awareness and build </w:t>
      </w:r>
      <w:r w:rsidR="000F7B4E">
        <w:rPr>
          <w:sz w:val="22"/>
          <w:szCs w:val="18"/>
          <w:lang w:eastAsia="en-GB"/>
        </w:rPr>
        <w:t xml:space="preserve">regional-level </w:t>
      </w:r>
      <w:r w:rsidRPr="00DA76FF">
        <w:rPr>
          <w:sz w:val="22"/>
          <w:szCs w:val="18"/>
          <w:lang w:eastAsia="en-GB"/>
        </w:rPr>
        <w:t>capacity.</w:t>
      </w:r>
    </w:p>
    <w:p w14:paraId="0EEB862F" w14:textId="3D46E981" w:rsidR="002C7BB6" w:rsidRPr="00DA76FF" w:rsidRDefault="004D0603" w:rsidP="00C754AC">
      <w:pPr>
        <w:spacing w:after="120"/>
        <w:jc w:val="both"/>
        <w:rPr>
          <w:sz w:val="22"/>
          <w:szCs w:val="18"/>
          <w:lang w:eastAsia="en-GB"/>
        </w:rPr>
      </w:pPr>
      <w:r w:rsidRPr="00DA76FF">
        <w:rPr>
          <w:sz w:val="22"/>
          <w:szCs w:val="18"/>
          <w:lang w:eastAsia="en-GB"/>
        </w:rPr>
        <w:t>Another example of ongoing capacity building program</w:t>
      </w:r>
      <w:r w:rsidR="00F269E9">
        <w:rPr>
          <w:sz w:val="22"/>
          <w:szCs w:val="18"/>
          <w:lang w:eastAsia="en-GB"/>
        </w:rPr>
        <w:t>me</w:t>
      </w:r>
      <w:r w:rsidRPr="00DA76FF">
        <w:rPr>
          <w:sz w:val="22"/>
          <w:szCs w:val="18"/>
          <w:lang w:eastAsia="en-GB"/>
        </w:rPr>
        <w:t xml:space="preserve">s and initiatives can be found in section </w:t>
      </w:r>
      <w:r w:rsidR="001B47F9" w:rsidRPr="00DA76FF">
        <w:rPr>
          <w:sz w:val="22"/>
          <w:szCs w:val="18"/>
          <w:lang w:eastAsia="en-GB"/>
        </w:rPr>
        <w:t>4</w:t>
      </w:r>
      <w:r w:rsidRPr="00DA76FF">
        <w:rPr>
          <w:sz w:val="22"/>
          <w:szCs w:val="18"/>
          <w:lang w:eastAsia="en-GB"/>
        </w:rPr>
        <w:t>.</w:t>
      </w:r>
      <w:r w:rsidR="00E977B5" w:rsidRPr="00DA76FF">
        <w:rPr>
          <w:sz w:val="22"/>
          <w:szCs w:val="18"/>
          <w:lang w:eastAsia="en-GB"/>
        </w:rPr>
        <w:t>8</w:t>
      </w:r>
      <w:r w:rsidRPr="00DA76FF">
        <w:rPr>
          <w:sz w:val="22"/>
          <w:szCs w:val="18"/>
          <w:lang w:eastAsia="en-GB"/>
        </w:rPr>
        <w:t>.</w:t>
      </w:r>
      <w:r w:rsidR="00E977B5" w:rsidRPr="00DA76FF">
        <w:rPr>
          <w:sz w:val="22"/>
          <w:szCs w:val="18"/>
          <w:lang w:eastAsia="en-GB"/>
        </w:rPr>
        <w:t>2</w:t>
      </w:r>
      <w:r w:rsidRPr="00DA76FF">
        <w:rPr>
          <w:sz w:val="22"/>
          <w:szCs w:val="18"/>
          <w:lang w:eastAsia="en-GB"/>
        </w:rPr>
        <w:t>. (</w:t>
      </w:r>
      <w:hyperlink r:id="rId142" w:history="1">
        <w:r w:rsidRPr="00DA76FF">
          <w:rPr>
            <w:rStyle w:val="Hyperlink"/>
            <w:sz w:val="22"/>
            <w:szCs w:val="18"/>
            <w:lang w:eastAsia="en-GB"/>
          </w:rPr>
          <w:t>AI Skills Coalition</w:t>
        </w:r>
      </w:hyperlink>
      <w:r w:rsidRPr="00DA76FF">
        <w:rPr>
          <w:sz w:val="22"/>
          <w:szCs w:val="18"/>
          <w:lang w:eastAsia="en-GB"/>
        </w:rPr>
        <w:t xml:space="preserve">). A final example can be found in section </w:t>
      </w:r>
      <w:r w:rsidR="00CD3E9E" w:rsidRPr="00DA76FF">
        <w:rPr>
          <w:sz w:val="22"/>
          <w:szCs w:val="18"/>
          <w:lang w:eastAsia="en-GB"/>
        </w:rPr>
        <w:t>5</w:t>
      </w:r>
      <w:r w:rsidR="00C72CCE" w:rsidRPr="00DA76FF">
        <w:rPr>
          <w:sz w:val="22"/>
          <w:szCs w:val="18"/>
          <w:lang w:eastAsia="en-GB"/>
        </w:rPr>
        <w:t>.5</w:t>
      </w:r>
      <w:r w:rsidR="00347315">
        <w:rPr>
          <w:sz w:val="22"/>
          <w:szCs w:val="18"/>
          <w:lang w:eastAsia="en-GB"/>
        </w:rPr>
        <w:t>, which shows how</w:t>
      </w:r>
      <w:r w:rsidR="00C72CCE" w:rsidRPr="00DA76FF">
        <w:rPr>
          <w:sz w:val="22"/>
          <w:szCs w:val="18"/>
          <w:lang w:eastAsia="en-GB"/>
        </w:rPr>
        <w:t xml:space="preserve"> </w:t>
      </w:r>
      <w:r w:rsidR="00455967">
        <w:rPr>
          <w:sz w:val="22"/>
          <w:szCs w:val="18"/>
          <w:lang w:eastAsia="en-GB"/>
        </w:rPr>
        <w:t xml:space="preserve">the </w:t>
      </w:r>
      <w:r w:rsidRPr="00DA76FF">
        <w:rPr>
          <w:sz w:val="22"/>
          <w:szCs w:val="18"/>
        </w:rPr>
        <w:t>Giga</w:t>
      </w:r>
      <w:r w:rsidR="00455967">
        <w:rPr>
          <w:sz w:val="22"/>
          <w:szCs w:val="18"/>
        </w:rPr>
        <w:t xml:space="preserve"> school connectivity initiative</w:t>
      </w:r>
      <w:r w:rsidRPr="00DA76FF">
        <w:rPr>
          <w:sz w:val="22"/>
          <w:szCs w:val="18"/>
          <w:shd w:val="clear" w:color="auto" w:fill="FCFCFC"/>
        </w:rPr>
        <w:t xml:space="preserve"> is underpinned by capacity development program</w:t>
      </w:r>
      <w:r w:rsidR="00347315">
        <w:rPr>
          <w:sz w:val="22"/>
          <w:szCs w:val="18"/>
          <w:shd w:val="clear" w:color="auto" w:fill="FCFCFC"/>
        </w:rPr>
        <w:t>me</w:t>
      </w:r>
      <w:r w:rsidRPr="00DA76FF">
        <w:rPr>
          <w:sz w:val="22"/>
          <w:szCs w:val="18"/>
          <w:shd w:val="clear" w:color="auto" w:fill="FCFCFC"/>
        </w:rPr>
        <w:t>s with governments and stakeholders, leveraging the ITU Academy platform.</w:t>
      </w:r>
    </w:p>
    <w:p w14:paraId="3C721313" w14:textId="77777777" w:rsidR="00D054FE" w:rsidRPr="00DA76FF" w:rsidRDefault="00D054FE" w:rsidP="00A25266">
      <w:pPr>
        <w:pStyle w:val="Heading2"/>
        <w:tabs>
          <w:tab w:val="clear" w:pos="567"/>
        </w:tabs>
        <w:spacing w:before="360" w:after="120"/>
      </w:pPr>
      <w:bookmarkStart w:id="43" w:name="_Toc198569366"/>
      <w:r w:rsidRPr="00DA76FF">
        <w:t>4.7</w:t>
      </w:r>
      <w:r w:rsidRPr="00DA76FF">
        <w:tab/>
        <w:t>Provision of technical assistance</w:t>
      </w:r>
      <w:bookmarkEnd w:id="43"/>
    </w:p>
    <w:p w14:paraId="7F528488" w14:textId="77777777" w:rsidR="00D054FE" w:rsidRPr="00DA76FF" w:rsidRDefault="00D054FE" w:rsidP="00C754AC">
      <w:pPr>
        <w:spacing w:after="120"/>
        <w:jc w:val="both"/>
        <w:rPr>
          <w:rFonts w:eastAsia="Times New Roman"/>
          <w:sz w:val="22"/>
          <w:szCs w:val="22"/>
        </w:rPr>
      </w:pPr>
      <w:r w:rsidRPr="00DA76FF">
        <w:rPr>
          <w:rFonts w:eastAsia="Times New Roman"/>
          <w:sz w:val="22"/>
          <w:szCs w:val="22"/>
        </w:rPr>
        <w:t xml:space="preserve">Along with providing extensive technical expertise and coordination as a UN specialized agency, ITU serves as an executing agency for digital development projects aimed at ensuring connectivity benefits everyone, everywhere. </w:t>
      </w:r>
    </w:p>
    <w:p w14:paraId="1BB3644C" w14:textId="77777777" w:rsidR="00D054FE" w:rsidRPr="00DA76FF" w:rsidRDefault="00D054FE" w:rsidP="00C754AC">
      <w:pPr>
        <w:spacing w:after="120"/>
        <w:jc w:val="both"/>
        <w:rPr>
          <w:rFonts w:eastAsia="Times New Roman"/>
          <w:sz w:val="22"/>
          <w:szCs w:val="22"/>
        </w:rPr>
      </w:pPr>
      <w:r w:rsidRPr="00DA76FF">
        <w:rPr>
          <w:rFonts w:eastAsia="Times New Roman"/>
          <w:sz w:val="22"/>
          <w:szCs w:val="22"/>
        </w:rPr>
        <w:t xml:space="preserve">The ITU Development Sector (ITU-D) has the key function of implementing projects under arrangements established with funding partners. Such projects aim to facilitate and enhance telecommunication development by offering, organizing, and coordinating technical cooperation and assistance activities. </w:t>
      </w:r>
    </w:p>
    <w:p w14:paraId="4C1B7A12" w14:textId="23838BCB" w:rsidR="00D054FE" w:rsidRPr="00DA76FF" w:rsidRDefault="00D054FE" w:rsidP="00C754AC">
      <w:pPr>
        <w:spacing w:after="240"/>
        <w:jc w:val="both"/>
        <w:rPr>
          <w:rFonts w:eastAsia="Times New Roman"/>
          <w:sz w:val="22"/>
          <w:szCs w:val="22"/>
        </w:rPr>
      </w:pPr>
      <w:r w:rsidRPr="00DA76FF">
        <w:rPr>
          <w:rFonts w:eastAsia="Times New Roman"/>
          <w:sz w:val="22"/>
          <w:szCs w:val="22"/>
        </w:rPr>
        <w:t xml:space="preserve">During 2024, </w:t>
      </w:r>
      <w:r w:rsidR="00F2495C">
        <w:rPr>
          <w:rFonts w:eastAsia="Times New Roman"/>
          <w:sz w:val="22"/>
          <w:szCs w:val="22"/>
        </w:rPr>
        <w:t>ITU’s Telecommunication Development Bureau (</w:t>
      </w:r>
      <w:r w:rsidRPr="00DA76FF">
        <w:rPr>
          <w:rFonts w:eastAsia="Times New Roman"/>
          <w:sz w:val="22"/>
          <w:szCs w:val="22"/>
        </w:rPr>
        <w:t>BDT</w:t>
      </w:r>
      <w:r w:rsidR="00F2495C">
        <w:rPr>
          <w:rFonts w:eastAsia="Times New Roman"/>
          <w:sz w:val="22"/>
          <w:szCs w:val="22"/>
        </w:rPr>
        <w:t>)</w:t>
      </w:r>
      <w:r w:rsidRPr="00DA76FF">
        <w:rPr>
          <w:rFonts w:eastAsia="Times New Roman"/>
          <w:sz w:val="22"/>
          <w:szCs w:val="22"/>
        </w:rPr>
        <w:t xml:space="preserve"> </w:t>
      </w:r>
      <w:r w:rsidR="00C07BEF">
        <w:rPr>
          <w:rFonts w:eastAsia="Times New Roman"/>
          <w:sz w:val="22"/>
          <w:szCs w:val="22"/>
        </w:rPr>
        <w:t xml:space="preserve">was engaged on </w:t>
      </w:r>
      <w:r w:rsidRPr="00DA76FF">
        <w:rPr>
          <w:rFonts w:eastAsia="Times New Roman"/>
          <w:sz w:val="22"/>
          <w:szCs w:val="22"/>
        </w:rPr>
        <w:t>105 projects, valued at CHF 91.8</w:t>
      </w:r>
      <w:r w:rsidR="00C139AC">
        <w:rPr>
          <w:rFonts w:eastAsia="Times New Roman"/>
          <w:sz w:val="22"/>
          <w:szCs w:val="22"/>
        </w:rPr>
        <w:t> </w:t>
      </w:r>
      <w:r w:rsidRPr="00DA76FF">
        <w:rPr>
          <w:rFonts w:eastAsia="Times New Roman"/>
          <w:sz w:val="22"/>
          <w:szCs w:val="22"/>
        </w:rPr>
        <w:t>million</w:t>
      </w:r>
      <w:r w:rsidR="0049765C">
        <w:rPr>
          <w:rFonts w:eastAsia="Times New Roman"/>
          <w:sz w:val="22"/>
          <w:szCs w:val="22"/>
        </w:rPr>
        <w:t xml:space="preserve">, </w:t>
      </w:r>
      <w:r w:rsidR="0049765C" w:rsidRPr="0049765C">
        <w:rPr>
          <w:rFonts w:eastAsia="Times New Roman"/>
          <w:sz w:val="22"/>
          <w:szCs w:val="22"/>
        </w:rPr>
        <w:t xml:space="preserve">including </w:t>
      </w:r>
      <w:r w:rsidR="002E0E7D">
        <w:rPr>
          <w:rFonts w:eastAsia="Times New Roman"/>
          <w:sz w:val="22"/>
          <w:szCs w:val="22"/>
        </w:rPr>
        <w:t xml:space="preserve">those </w:t>
      </w:r>
      <w:r w:rsidR="0049765C" w:rsidRPr="0049765C">
        <w:rPr>
          <w:rFonts w:eastAsia="Times New Roman"/>
          <w:sz w:val="22"/>
          <w:szCs w:val="22"/>
        </w:rPr>
        <w:t>fund</w:t>
      </w:r>
      <w:r w:rsidR="002E0E7D">
        <w:rPr>
          <w:rFonts w:eastAsia="Times New Roman"/>
          <w:sz w:val="22"/>
          <w:szCs w:val="22"/>
        </w:rPr>
        <w:t>ed</w:t>
      </w:r>
      <w:r w:rsidR="0049765C" w:rsidRPr="0049765C">
        <w:rPr>
          <w:rFonts w:eastAsia="Times New Roman"/>
          <w:sz w:val="22"/>
          <w:szCs w:val="22"/>
        </w:rPr>
        <w:t xml:space="preserve"> in 2024, in previous years</w:t>
      </w:r>
      <w:r w:rsidR="002E0E7D">
        <w:rPr>
          <w:rFonts w:eastAsia="Times New Roman"/>
          <w:sz w:val="22"/>
          <w:szCs w:val="22"/>
        </w:rPr>
        <w:t>,</w:t>
      </w:r>
      <w:r w:rsidR="0049765C" w:rsidRPr="0049765C">
        <w:rPr>
          <w:rFonts w:eastAsia="Times New Roman"/>
          <w:sz w:val="22"/>
          <w:szCs w:val="22"/>
        </w:rPr>
        <w:t xml:space="preserve"> a</w:t>
      </w:r>
      <w:r w:rsidR="00CD3E18">
        <w:rPr>
          <w:rFonts w:eastAsia="Times New Roman"/>
          <w:sz w:val="22"/>
          <w:szCs w:val="22"/>
        </w:rPr>
        <w:t xml:space="preserve">nd yet </w:t>
      </w:r>
      <w:r w:rsidR="0049765C" w:rsidRPr="0049765C">
        <w:rPr>
          <w:rFonts w:eastAsia="Times New Roman"/>
          <w:sz w:val="22"/>
          <w:szCs w:val="22"/>
        </w:rPr>
        <w:t>to be implemented</w:t>
      </w:r>
      <w:r w:rsidRPr="00DA76FF">
        <w:rPr>
          <w:rFonts w:eastAsia="Times New Roman"/>
          <w:sz w:val="22"/>
          <w:szCs w:val="22"/>
        </w:rPr>
        <w:t>. Figure 1 presents the overall distribution of this portfolio by region and the overview of (1) the funds mobilized to support the implementation of these projects, (2) the seed funding allocated by ITU from the ICT Development Fund (ICT-DF).</w:t>
      </w:r>
    </w:p>
    <w:p w14:paraId="5526E2CC" w14:textId="77777777" w:rsidR="00D054FE" w:rsidRPr="00DA76FF" w:rsidRDefault="00D054FE" w:rsidP="00D054FE">
      <w:pPr>
        <w:keepNext/>
        <w:spacing w:after="120"/>
        <w:jc w:val="center"/>
        <w:rPr>
          <w:rFonts w:cstheme="minorHAnsi"/>
          <w:b/>
          <w:szCs w:val="24"/>
        </w:rPr>
      </w:pPr>
      <w:r w:rsidRPr="00DA76FF">
        <w:rPr>
          <w:rFonts w:cstheme="minorHAnsi"/>
          <w:b/>
          <w:szCs w:val="24"/>
        </w:rPr>
        <w:t>Figure 1 – Overview of on-going ITU projects by region (figures in k CHF)</w:t>
      </w:r>
    </w:p>
    <w:tbl>
      <w:tblPr>
        <w:tblW w:w="6116"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85"/>
        <w:gridCol w:w="1170"/>
        <w:gridCol w:w="1449"/>
        <w:gridCol w:w="1169"/>
        <w:gridCol w:w="1343"/>
      </w:tblGrid>
      <w:tr w:rsidR="00D054FE" w:rsidRPr="00DA76FF" w14:paraId="43809893" w14:textId="77777777">
        <w:trPr>
          <w:trHeight w:val="852"/>
          <w:jc w:val="center"/>
        </w:trPr>
        <w:tc>
          <w:tcPr>
            <w:tcW w:w="985" w:type="dxa"/>
            <w:shd w:val="clear" w:color="auto" w:fill="8DB3E2" w:themeFill="text2" w:themeFillTint="66"/>
            <w:noWrap/>
            <w:vAlign w:val="center"/>
            <w:hideMark/>
          </w:tcPr>
          <w:p w14:paraId="4FD79947" w14:textId="77777777" w:rsidR="00D054FE" w:rsidRPr="00DA76FF" w:rsidRDefault="00D054FE">
            <w:pPr>
              <w:keepNext/>
              <w:spacing w:before="60" w:after="60"/>
              <w:jc w:val="center"/>
              <w:rPr>
                <w:rFonts w:eastAsiaTheme="minorEastAsia" w:cstheme="minorHAnsi"/>
                <w:b/>
                <w:bCs/>
                <w:sz w:val="20"/>
                <w:lang w:eastAsia="zh-CN"/>
              </w:rPr>
            </w:pPr>
            <w:r w:rsidRPr="00DA76FF">
              <w:rPr>
                <w:rFonts w:eastAsiaTheme="minorEastAsia" w:cstheme="minorHAnsi"/>
                <w:b/>
                <w:bCs/>
                <w:sz w:val="20"/>
                <w:lang w:eastAsia="zh-CN"/>
              </w:rPr>
              <w:t>Region</w:t>
            </w:r>
          </w:p>
        </w:tc>
        <w:tc>
          <w:tcPr>
            <w:tcW w:w="1170" w:type="dxa"/>
            <w:shd w:val="clear" w:color="auto" w:fill="8DB3E2" w:themeFill="text2" w:themeFillTint="66"/>
            <w:noWrap/>
            <w:vAlign w:val="center"/>
            <w:hideMark/>
          </w:tcPr>
          <w:p w14:paraId="1D202B96" w14:textId="77777777" w:rsidR="00D054FE" w:rsidRPr="00DA76FF" w:rsidRDefault="00D054FE">
            <w:pPr>
              <w:keepNext/>
              <w:spacing w:before="60" w:after="60"/>
              <w:jc w:val="center"/>
              <w:rPr>
                <w:rFonts w:eastAsiaTheme="minorEastAsia" w:cstheme="minorHAnsi"/>
                <w:b/>
                <w:bCs/>
                <w:sz w:val="20"/>
                <w:lang w:eastAsia="zh-CN"/>
              </w:rPr>
            </w:pPr>
            <w:r w:rsidRPr="00DA76FF">
              <w:rPr>
                <w:rFonts w:eastAsiaTheme="minorEastAsia" w:cstheme="minorHAnsi"/>
                <w:b/>
                <w:bCs/>
                <w:sz w:val="20"/>
                <w:lang w:eastAsia="zh-CN"/>
              </w:rPr>
              <w:t>Number of Projects</w:t>
            </w:r>
          </w:p>
        </w:tc>
        <w:tc>
          <w:tcPr>
            <w:tcW w:w="1449" w:type="dxa"/>
            <w:shd w:val="clear" w:color="auto" w:fill="8DB3E2" w:themeFill="text2" w:themeFillTint="66"/>
            <w:noWrap/>
            <w:vAlign w:val="center"/>
            <w:hideMark/>
          </w:tcPr>
          <w:p w14:paraId="7634D774" w14:textId="77777777" w:rsidR="00D054FE" w:rsidRPr="00DA76FF" w:rsidRDefault="00D054FE">
            <w:pPr>
              <w:keepNext/>
              <w:spacing w:before="60" w:after="60"/>
              <w:jc w:val="center"/>
              <w:rPr>
                <w:rFonts w:eastAsiaTheme="minorEastAsia" w:cstheme="minorHAnsi"/>
                <w:b/>
                <w:bCs/>
                <w:sz w:val="20"/>
                <w:lang w:eastAsia="zh-CN"/>
              </w:rPr>
            </w:pPr>
            <w:r w:rsidRPr="00DA76FF">
              <w:rPr>
                <w:rFonts w:eastAsiaTheme="minorEastAsia" w:cstheme="minorHAnsi"/>
                <w:b/>
                <w:bCs/>
                <w:sz w:val="20"/>
                <w:lang w:eastAsia="zh-CN"/>
              </w:rPr>
              <w:t xml:space="preserve">Funding from partners </w:t>
            </w:r>
          </w:p>
        </w:tc>
        <w:tc>
          <w:tcPr>
            <w:tcW w:w="1169" w:type="dxa"/>
            <w:shd w:val="clear" w:color="auto" w:fill="8DB3E2" w:themeFill="text2" w:themeFillTint="66"/>
            <w:noWrap/>
            <w:vAlign w:val="center"/>
          </w:tcPr>
          <w:p w14:paraId="643A85A8" w14:textId="77777777" w:rsidR="00D054FE" w:rsidRPr="00DA76FF" w:rsidRDefault="00D054FE">
            <w:pPr>
              <w:keepNext/>
              <w:spacing w:before="60" w:after="60"/>
              <w:jc w:val="center"/>
              <w:rPr>
                <w:rFonts w:eastAsiaTheme="minorEastAsia" w:cstheme="minorHAnsi"/>
                <w:b/>
                <w:bCs/>
                <w:sz w:val="20"/>
                <w:lang w:eastAsia="zh-CN"/>
              </w:rPr>
            </w:pPr>
            <w:r w:rsidRPr="00DA76FF">
              <w:rPr>
                <w:rFonts w:eastAsiaTheme="minorEastAsia" w:cstheme="minorHAnsi"/>
                <w:b/>
                <w:bCs/>
                <w:sz w:val="20"/>
                <w:lang w:eastAsia="zh-CN"/>
              </w:rPr>
              <w:t xml:space="preserve">ITU funds </w:t>
            </w:r>
          </w:p>
        </w:tc>
        <w:tc>
          <w:tcPr>
            <w:tcW w:w="1343" w:type="dxa"/>
            <w:shd w:val="clear" w:color="auto" w:fill="8DB3E2" w:themeFill="text2" w:themeFillTint="66"/>
            <w:noWrap/>
            <w:vAlign w:val="center"/>
            <w:hideMark/>
          </w:tcPr>
          <w:p w14:paraId="34267C70" w14:textId="77777777" w:rsidR="00D054FE" w:rsidRPr="00DA76FF" w:rsidRDefault="00D054FE">
            <w:pPr>
              <w:keepNext/>
              <w:spacing w:before="60" w:after="60"/>
              <w:jc w:val="center"/>
              <w:rPr>
                <w:rFonts w:eastAsiaTheme="minorEastAsia" w:cstheme="minorHAnsi"/>
                <w:b/>
                <w:bCs/>
                <w:sz w:val="20"/>
                <w:lang w:eastAsia="zh-CN"/>
              </w:rPr>
            </w:pPr>
            <w:r w:rsidRPr="00DA76FF">
              <w:rPr>
                <w:rFonts w:eastAsiaTheme="minorEastAsia" w:cstheme="minorHAnsi"/>
                <w:b/>
                <w:bCs/>
                <w:sz w:val="20"/>
                <w:lang w:eastAsia="zh-CN"/>
              </w:rPr>
              <w:t>Total project funding</w:t>
            </w:r>
          </w:p>
        </w:tc>
      </w:tr>
      <w:tr w:rsidR="00D054FE" w:rsidRPr="00DA76FF" w14:paraId="20DB4011" w14:textId="77777777">
        <w:trPr>
          <w:trHeight w:val="54"/>
          <w:jc w:val="center"/>
        </w:trPr>
        <w:tc>
          <w:tcPr>
            <w:tcW w:w="985" w:type="dxa"/>
            <w:hideMark/>
          </w:tcPr>
          <w:p w14:paraId="376A089C" w14:textId="77777777" w:rsidR="00D054FE" w:rsidRPr="00DA76FF" w:rsidRDefault="00D054FE">
            <w:pPr>
              <w:spacing w:before="60" w:after="60"/>
              <w:rPr>
                <w:rFonts w:cstheme="minorHAnsi"/>
                <w:sz w:val="20"/>
                <w:lang w:eastAsia="zh-CN"/>
              </w:rPr>
            </w:pPr>
            <w:r w:rsidRPr="00DA76FF">
              <w:rPr>
                <w:rFonts w:cstheme="minorHAnsi"/>
                <w:sz w:val="20"/>
                <w:lang w:eastAsia="zh-CN"/>
              </w:rPr>
              <w:t xml:space="preserve">AFR </w:t>
            </w:r>
          </w:p>
        </w:tc>
        <w:tc>
          <w:tcPr>
            <w:tcW w:w="1170" w:type="dxa"/>
            <w:noWrap/>
            <w:vAlign w:val="bottom"/>
            <w:hideMark/>
          </w:tcPr>
          <w:p w14:paraId="79D90DE7" w14:textId="77777777" w:rsidR="00D054FE" w:rsidRPr="00DA76FF" w:rsidRDefault="00D054FE">
            <w:pPr>
              <w:spacing w:before="60" w:after="60"/>
              <w:jc w:val="center"/>
              <w:rPr>
                <w:rFonts w:eastAsiaTheme="minorEastAsia" w:cstheme="minorHAnsi"/>
                <w:sz w:val="20"/>
                <w:lang w:eastAsia="zh-CN"/>
              </w:rPr>
            </w:pPr>
            <w:r w:rsidRPr="00DA76FF">
              <w:rPr>
                <w:rFonts w:eastAsiaTheme="minorEastAsia" w:cstheme="minorHAnsi"/>
                <w:sz w:val="20"/>
                <w:lang w:eastAsia="zh-CN"/>
              </w:rPr>
              <w:t>17</w:t>
            </w:r>
          </w:p>
        </w:tc>
        <w:tc>
          <w:tcPr>
            <w:tcW w:w="1449" w:type="dxa"/>
            <w:vAlign w:val="bottom"/>
            <w:hideMark/>
          </w:tcPr>
          <w:p w14:paraId="16F750D4"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26,548.5</w:t>
            </w:r>
          </w:p>
        </w:tc>
        <w:tc>
          <w:tcPr>
            <w:tcW w:w="1169" w:type="dxa"/>
            <w:vAlign w:val="bottom"/>
            <w:hideMark/>
          </w:tcPr>
          <w:p w14:paraId="28E49CE0"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1,516.8</w:t>
            </w:r>
          </w:p>
        </w:tc>
        <w:tc>
          <w:tcPr>
            <w:tcW w:w="1343" w:type="dxa"/>
            <w:shd w:val="clear" w:color="auto" w:fill="DBE5F1" w:themeFill="accent1" w:themeFillTint="33"/>
            <w:vAlign w:val="bottom"/>
            <w:hideMark/>
          </w:tcPr>
          <w:p w14:paraId="6562F844"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28,197.8</w:t>
            </w:r>
          </w:p>
        </w:tc>
      </w:tr>
      <w:tr w:rsidR="00D054FE" w:rsidRPr="00DA76FF" w14:paraId="117114AE" w14:textId="77777777">
        <w:trPr>
          <w:trHeight w:val="54"/>
          <w:jc w:val="center"/>
        </w:trPr>
        <w:tc>
          <w:tcPr>
            <w:tcW w:w="985" w:type="dxa"/>
            <w:hideMark/>
          </w:tcPr>
          <w:p w14:paraId="16358D37" w14:textId="77777777" w:rsidR="00D054FE" w:rsidRPr="00DA76FF" w:rsidRDefault="00D054FE">
            <w:pPr>
              <w:spacing w:before="60" w:after="60"/>
              <w:rPr>
                <w:rFonts w:cstheme="minorHAnsi"/>
                <w:sz w:val="20"/>
                <w:lang w:eastAsia="zh-CN"/>
              </w:rPr>
            </w:pPr>
            <w:r w:rsidRPr="00DA76FF">
              <w:rPr>
                <w:rFonts w:cstheme="minorHAnsi"/>
                <w:sz w:val="20"/>
                <w:lang w:eastAsia="zh-CN"/>
              </w:rPr>
              <w:t xml:space="preserve">AMS </w:t>
            </w:r>
          </w:p>
        </w:tc>
        <w:tc>
          <w:tcPr>
            <w:tcW w:w="1170" w:type="dxa"/>
            <w:noWrap/>
            <w:vAlign w:val="bottom"/>
            <w:hideMark/>
          </w:tcPr>
          <w:p w14:paraId="1F7743EF" w14:textId="77777777" w:rsidR="00D054FE" w:rsidRPr="00DA76FF" w:rsidRDefault="00D054FE">
            <w:pPr>
              <w:spacing w:before="60" w:after="60"/>
              <w:jc w:val="center"/>
              <w:rPr>
                <w:rFonts w:eastAsiaTheme="minorEastAsia" w:cstheme="minorHAnsi"/>
                <w:sz w:val="20"/>
                <w:lang w:eastAsia="zh-CN"/>
              </w:rPr>
            </w:pPr>
            <w:r w:rsidRPr="00DA76FF">
              <w:rPr>
                <w:rFonts w:eastAsiaTheme="minorEastAsia" w:cstheme="minorHAnsi"/>
                <w:sz w:val="20"/>
                <w:lang w:eastAsia="zh-CN"/>
              </w:rPr>
              <w:t>19</w:t>
            </w:r>
          </w:p>
        </w:tc>
        <w:tc>
          <w:tcPr>
            <w:tcW w:w="1449" w:type="dxa"/>
            <w:vAlign w:val="bottom"/>
            <w:hideMark/>
          </w:tcPr>
          <w:p w14:paraId="3D75F035"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12,600.3</w:t>
            </w:r>
          </w:p>
        </w:tc>
        <w:tc>
          <w:tcPr>
            <w:tcW w:w="1169" w:type="dxa"/>
            <w:vAlign w:val="bottom"/>
            <w:hideMark/>
          </w:tcPr>
          <w:p w14:paraId="708CE68F"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335.5</w:t>
            </w:r>
          </w:p>
        </w:tc>
        <w:tc>
          <w:tcPr>
            <w:tcW w:w="1343" w:type="dxa"/>
            <w:shd w:val="clear" w:color="auto" w:fill="DBE5F1" w:themeFill="accent1" w:themeFillTint="33"/>
            <w:vAlign w:val="bottom"/>
            <w:hideMark/>
          </w:tcPr>
          <w:p w14:paraId="6875FCD3"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13,211.4</w:t>
            </w:r>
          </w:p>
        </w:tc>
      </w:tr>
      <w:tr w:rsidR="00D054FE" w:rsidRPr="00DA76FF" w14:paraId="4A7AF9EA" w14:textId="77777777">
        <w:trPr>
          <w:trHeight w:val="300"/>
          <w:jc w:val="center"/>
        </w:trPr>
        <w:tc>
          <w:tcPr>
            <w:tcW w:w="985" w:type="dxa"/>
            <w:hideMark/>
          </w:tcPr>
          <w:p w14:paraId="3A330B83" w14:textId="77777777" w:rsidR="00D054FE" w:rsidRPr="00DA76FF" w:rsidRDefault="00D054FE">
            <w:pPr>
              <w:spacing w:before="60" w:after="60"/>
              <w:rPr>
                <w:rFonts w:cstheme="minorHAnsi"/>
                <w:sz w:val="20"/>
                <w:lang w:eastAsia="zh-CN"/>
              </w:rPr>
            </w:pPr>
            <w:r w:rsidRPr="00DA76FF">
              <w:rPr>
                <w:rFonts w:cstheme="minorHAnsi"/>
                <w:sz w:val="20"/>
                <w:lang w:eastAsia="zh-CN"/>
              </w:rPr>
              <w:t xml:space="preserve">ARB </w:t>
            </w:r>
          </w:p>
        </w:tc>
        <w:tc>
          <w:tcPr>
            <w:tcW w:w="1170" w:type="dxa"/>
            <w:vAlign w:val="bottom"/>
            <w:hideMark/>
          </w:tcPr>
          <w:p w14:paraId="534D7230" w14:textId="77777777" w:rsidR="00D054FE" w:rsidRPr="00DA76FF" w:rsidRDefault="00D054FE">
            <w:pPr>
              <w:spacing w:before="60" w:after="60"/>
              <w:jc w:val="center"/>
              <w:rPr>
                <w:rFonts w:eastAsiaTheme="minorEastAsia" w:cstheme="minorHAnsi"/>
                <w:sz w:val="20"/>
                <w:lang w:eastAsia="zh-CN"/>
              </w:rPr>
            </w:pPr>
            <w:r w:rsidRPr="00DA76FF">
              <w:rPr>
                <w:rFonts w:eastAsiaTheme="minorEastAsia" w:cstheme="minorHAnsi"/>
                <w:sz w:val="20"/>
                <w:lang w:eastAsia="zh-CN"/>
              </w:rPr>
              <w:t>5</w:t>
            </w:r>
          </w:p>
        </w:tc>
        <w:tc>
          <w:tcPr>
            <w:tcW w:w="1449" w:type="dxa"/>
            <w:vAlign w:val="bottom"/>
            <w:hideMark/>
          </w:tcPr>
          <w:p w14:paraId="5D226DDB"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2,989.6</w:t>
            </w:r>
          </w:p>
        </w:tc>
        <w:tc>
          <w:tcPr>
            <w:tcW w:w="1169" w:type="dxa"/>
            <w:vAlign w:val="bottom"/>
            <w:hideMark/>
          </w:tcPr>
          <w:p w14:paraId="0CDD6346"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664.5</w:t>
            </w:r>
          </w:p>
        </w:tc>
        <w:tc>
          <w:tcPr>
            <w:tcW w:w="1343" w:type="dxa"/>
            <w:shd w:val="clear" w:color="auto" w:fill="DBE5F1" w:themeFill="accent1" w:themeFillTint="33"/>
            <w:vAlign w:val="bottom"/>
            <w:hideMark/>
          </w:tcPr>
          <w:p w14:paraId="24361972"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3,654.1</w:t>
            </w:r>
          </w:p>
        </w:tc>
      </w:tr>
      <w:tr w:rsidR="00D054FE" w:rsidRPr="00DA76FF" w14:paraId="112CFD7C" w14:textId="77777777">
        <w:trPr>
          <w:trHeight w:val="54"/>
          <w:jc w:val="center"/>
        </w:trPr>
        <w:tc>
          <w:tcPr>
            <w:tcW w:w="985" w:type="dxa"/>
            <w:vAlign w:val="center"/>
            <w:hideMark/>
          </w:tcPr>
          <w:p w14:paraId="6AD25521" w14:textId="77777777" w:rsidR="00D054FE" w:rsidRPr="00DA76FF" w:rsidRDefault="00D054FE">
            <w:pPr>
              <w:spacing w:before="60" w:after="60"/>
              <w:rPr>
                <w:rFonts w:cstheme="minorHAnsi"/>
                <w:sz w:val="20"/>
                <w:lang w:eastAsia="zh-CN"/>
              </w:rPr>
            </w:pPr>
            <w:r w:rsidRPr="00DA76FF">
              <w:rPr>
                <w:rFonts w:cstheme="minorHAnsi"/>
                <w:sz w:val="20"/>
                <w:lang w:eastAsia="zh-CN"/>
              </w:rPr>
              <w:t>ASP</w:t>
            </w:r>
          </w:p>
        </w:tc>
        <w:tc>
          <w:tcPr>
            <w:tcW w:w="1170" w:type="dxa"/>
            <w:noWrap/>
            <w:vAlign w:val="bottom"/>
            <w:hideMark/>
          </w:tcPr>
          <w:p w14:paraId="2218CC00" w14:textId="77777777" w:rsidR="00D054FE" w:rsidRPr="00DA76FF" w:rsidRDefault="00D054FE">
            <w:pPr>
              <w:spacing w:before="60" w:after="60"/>
              <w:jc w:val="center"/>
              <w:rPr>
                <w:rFonts w:eastAsiaTheme="minorEastAsia" w:cstheme="minorHAnsi"/>
                <w:sz w:val="20"/>
                <w:lang w:eastAsia="zh-CN"/>
              </w:rPr>
            </w:pPr>
            <w:r w:rsidRPr="00DA76FF">
              <w:rPr>
                <w:rFonts w:eastAsiaTheme="minorEastAsia" w:cstheme="minorHAnsi"/>
                <w:sz w:val="20"/>
                <w:lang w:eastAsia="zh-CN"/>
              </w:rPr>
              <w:t>15</w:t>
            </w:r>
          </w:p>
        </w:tc>
        <w:tc>
          <w:tcPr>
            <w:tcW w:w="1449" w:type="dxa"/>
            <w:vAlign w:val="bottom"/>
            <w:hideMark/>
          </w:tcPr>
          <w:p w14:paraId="2C56DCF7"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6,667.2</w:t>
            </w:r>
          </w:p>
        </w:tc>
        <w:tc>
          <w:tcPr>
            <w:tcW w:w="1169" w:type="dxa"/>
            <w:vAlign w:val="bottom"/>
          </w:tcPr>
          <w:p w14:paraId="1B67B5B7"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655.6</w:t>
            </w:r>
          </w:p>
        </w:tc>
        <w:tc>
          <w:tcPr>
            <w:tcW w:w="1343" w:type="dxa"/>
            <w:shd w:val="clear" w:color="auto" w:fill="DBE5F1" w:themeFill="accent1" w:themeFillTint="33"/>
            <w:vAlign w:val="bottom"/>
            <w:hideMark/>
          </w:tcPr>
          <w:p w14:paraId="74B2F9FB"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7,804.7</w:t>
            </w:r>
          </w:p>
        </w:tc>
      </w:tr>
      <w:tr w:rsidR="00D054FE" w:rsidRPr="00DA76FF" w14:paraId="45FBD8D2" w14:textId="77777777">
        <w:trPr>
          <w:trHeight w:val="54"/>
          <w:jc w:val="center"/>
        </w:trPr>
        <w:tc>
          <w:tcPr>
            <w:tcW w:w="985" w:type="dxa"/>
            <w:hideMark/>
          </w:tcPr>
          <w:p w14:paraId="060535B9" w14:textId="77777777" w:rsidR="00D054FE" w:rsidRPr="00DA76FF" w:rsidRDefault="00D054FE">
            <w:pPr>
              <w:spacing w:before="60" w:after="60"/>
              <w:rPr>
                <w:rFonts w:cstheme="minorHAnsi"/>
                <w:sz w:val="20"/>
                <w:lang w:eastAsia="zh-CN"/>
              </w:rPr>
            </w:pPr>
            <w:r w:rsidRPr="00DA76FF">
              <w:rPr>
                <w:rFonts w:cstheme="minorHAnsi"/>
                <w:sz w:val="20"/>
                <w:lang w:eastAsia="zh-CN"/>
              </w:rPr>
              <w:t xml:space="preserve">CIS </w:t>
            </w:r>
          </w:p>
        </w:tc>
        <w:tc>
          <w:tcPr>
            <w:tcW w:w="1170" w:type="dxa"/>
            <w:vAlign w:val="bottom"/>
            <w:hideMark/>
          </w:tcPr>
          <w:p w14:paraId="10EAAC1D" w14:textId="77777777" w:rsidR="00D054FE" w:rsidRPr="00DA76FF" w:rsidRDefault="00D054FE">
            <w:pPr>
              <w:spacing w:before="60" w:after="60"/>
              <w:jc w:val="center"/>
              <w:rPr>
                <w:rFonts w:eastAsiaTheme="minorEastAsia" w:cstheme="minorHAnsi"/>
                <w:sz w:val="20"/>
                <w:lang w:eastAsia="zh-CN"/>
              </w:rPr>
            </w:pPr>
            <w:r w:rsidRPr="00DA76FF">
              <w:rPr>
                <w:rFonts w:eastAsiaTheme="minorEastAsia" w:cstheme="minorHAnsi"/>
                <w:sz w:val="20"/>
                <w:lang w:eastAsia="zh-CN"/>
              </w:rPr>
              <w:t>4</w:t>
            </w:r>
          </w:p>
        </w:tc>
        <w:tc>
          <w:tcPr>
            <w:tcW w:w="1449" w:type="dxa"/>
            <w:vAlign w:val="bottom"/>
            <w:hideMark/>
          </w:tcPr>
          <w:p w14:paraId="15D986F7"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342.0</w:t>
            </w:r>
          </w:p>
        </w:tc>
        <w:tc>
          <w:tcPr>
            <w:tcW w:w="1169" w:type="dxa"/>
            <w:vAlign w:val="bottom"/>
          </w:tcPr>
          <w:p w14:paraId="551B6E92"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532.2</w:t>
            </w:r>
          </w:p>
        </w:tc>
        <w:tc>
          <w:tcPr>
            <w:tcW w:w="1343" w:type="dxa"/>
            <w:shd w:val="clear" w:color="auto" w:fill="DBE5F1" w:themeFill="accent1" w:themeFillTint="33"/>
            <w:vAlign w:val="bottom"/>
            <w:hideMark/>
          </w:tcPr>
          <w:p w14:paraId="186DC3C3"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874.1</w:t>
            </w:r>
          </w:p>
        </w:tc>
      </w:tr>
      <w:tr w:rsidR="00D054FE" w:rsidRPr="00DA76FF" w14:paraId="1173577D" w14:textId="77777777">
        <w:trPr>
          <w:trHeight w:val="54"/>
          <w:jc w:val="center"/>
        </w:trPr>
        <w:tc>
          <w:tcPr>
            <w:tcW w:w="985" w:type="dxa"/>
            <w:vAlign w:val="bottom"/>
            <w:hideMark/>
          </w:tcPr>
          <w:p w14:paraId="69B9C6FB" w14:textId="77777777" w:rsidR="00D054FE" w:rsidRPr="00DA76FF" w:rsidRDefault="00D054FE">
            <w:pPr>
              <w:spacing w:before="60" w:after="60"/>
              <w:rPr>
                <w:rFonts w:cstheme="minorHAnsi"/>
                <w:sz w:val="20"/>
                <w:lang w:eastAsia="zh-CN"/>
              </w:rPr>
            </w:pPr>
            <w:r w:rsidRPr="00DA76FF">
              <w:rPr>
                <w:rFonts w:cstheme="minorHAnsi"/>
                <w:sz w:val="20"/>
                <w:lang w:eastAsia="zh-CN"/>
              </w:rPr>
              <w:t>EUR</w:t>
            </w:r>
          </w:p>
        </w:tc>
        <w:tc>
          <w:tcPr>
            <w:tcW w:w="1170" w:type="dxa"/>
            <w:vAlign w:val="bottom"/>
            <w:hideMark/>
          </w:tcPr>
          <w:p w14:paraId="17136B18" w14:textId="77777777" w:rsidR="00D054FE" w:rsidRPr="00DA76FF" w:rsidRDefault="00D054FE">
            <w:pPr>
              <w:spacing w:before="60" w:after="60"/>
              <w:jc w:val="center"/>
              <w:rPr>
                <w:rFonts w:eastAsiaTheme="minorEastAsia" w:cstheme="minorHAnsi"/>
                <w:sz w:val="20"/>
                <w:lang w:eastAsia="zh-CN"/>
              </w:rPr>
            </w:pPr>
            <w:r w:rsidRPr="00DA76FF">
              <w:rPr>
                <w:rFonts w:eastAsiaTheme="minorEastAsia" w:cstheme="minorHAnsi"/>
                <w:sz w:val="20"/>
                <w:lang w:eastAsia="zh-CN"/>
              </w:rPr>
              <w:t>4</w:t>
            </w:r>
          </w:p>
        </w:tc>
        <w:tc>
          <w:tcPr>
            <w:tcW w:w="1449" w:type="dxa"/>
            <w:vAlign w:val="bottom"/>
            <w:hideMark/>
          </w:tcPr>
          <w:p w14:paraId="5F003E60"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4,034.6</w:t>
            </w:r>
          </w:p>
        </w:tc>
        <w:tc>
          <w:tcPr>
            <w:tcW w:w="1169" w:type="dxa"/>
            <w:vAlign w:val="bottom"/>
          </w:tcPr>
          <w:p w14:paraId="2765CDBB"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44.2</w:t>
            </w:r>
          </w:p>
        </w:tc>
        <w:tc>
          <w:tcPr>
            <w:tcW w:w="1343" w:type="dxa"/>
            <w:shd w:val="clear" w:color="auto" w:fill="DBE5F1" w:themeFill="accent1" w:themeFillTint="33"/>
            <w:vAlign w:val="bottom"/>
            <w:hideMark/>
          </w:tcPr>
          <w:p w14:paraId="07924525"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4,078.8</w:t>
            </w:r>
          </w:p>
        </w:tc>
      </w:tr>
      <w:tr w:rsidR="00D054FE" w:rsidRPr="00DA76FF" w14:paraId="694B95CB" w14:textId="77777777">
        <w:trPr>
          <w:trHeight w:val="54"/>
          <w:jc w:val="center"/>
        </w:trPr>
        <w:tc>
          <w:tcPr>
            <w:tcW w:w="985" w:type="dxa"/>
            <w:hideMark/>
          </w:tcPr>
          <w:p w14:paraId="10F00EFC" w14:textId="77777777" w:rsidR="00D054FE" w:rsidRPr="00DA76FF" w:rsidRDefault="00D054FE">
            <w:pPr>
              <w:spacing w:before="60" w:after="60"/>
              <w:rPr>
                <w:rFonts w:cstheme="minorHAnsi"/>
                <w:sz w:val="20"/>
                <w:lang w:eastAsia="zh-CN"/>
              </w:rPr>
            </w:pPr>
            <w:r w:rsidRPr="00DA76FF">
              <w:rPr>
                <w:rFonts w:cstheme="minorHAnsi"/>
                <w:sz w:val="20"/>
                <w:lang w:eastAsia="zh-CN"/>
              </w:rPr>
              <w:t>MUL (*)</w:t>
            </w:r>
          </w:p>
        </w:tc>
        <w:tc>
          <w:tcPr>
            <w:tcW w:w="1170" w:type="dxa"/>
            <w:noWrap/>
            <w:vAlign w:val="bottom"/>
            <w:hideMark/>
          </w:tcPr>
          <w:p w14:paraId="647B9257" w14:textId="77777777" w:rsidR="00D054FE" w:rsidRPr="00DA76FF" w:rsidRDefault="00D054FE">
            <w:pPr>
              <w:spacing w:before="60" w:after="60"/>
              <w:jc w:val="center"/>
              <w:rPr>
                <w:rFonts w:eastAsiaTheme="minorEastAsia" w:cstheme="minorHAnsi"/>
                <w:sz w:val="20"/>
                <w:lang w:eastAsia="zh-CN"/>
              </w:rPr>
            </w:pPr>
            <w:r w:rsidRPr="00DA76FF">
              <w:rPr>
                <w:rFonts w:eastAsiaTheme="minorEastAsia" w:cstheme="minorHAnsi"/>
                <w:sz w:val="20"/>
                <w:lang w:eastAsia="zh-CN"/>
              </w:rPr>
              <w:t>41</w:t>
            </w:r>
          </w:p>
        </w:tc>
        <w:tc>
          <w:tcPr>
            <w:tcW w:w="1449" w:type="dxa"/>
            <w:vAlign w:val="bottom"/>
            <w:hideMark/>
          </w:tcPr>
          <w:p w14:paraId="73AA07AB"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26,852.4</w:t>
            </w:r>
          </w:p>
        </w:tc>
        <w:tc>
          <w:tcPr>
            <w:tcW w:w="1169" w:type="dxa"/>
            <w:vAlign w:val="bottom"/>
            <w:hideMark/>
          </w:tcPr>
          <w:p w14:paraId="5CF512D2"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6,676.5</w:t>
            </w:r>
          </w:p>
        </w:tc>
        <w:tc>
          <w:tcPr>
            <w:tcW w:w="1343" w:type="dxa"/>
            <w:shd w:val="clear" w:color="auto" w:fill="DBE5F1" w:themeFill="accent1" w:themeFillTint="33"/>
            <w:vAlign w:val="bottom"/>
            <w:hideMark/>
          </w:tcPr>
          <w:p w14:paraId="40DFEB1D" w14:textId="77777777" w:rsidR="00D054FE" w:rsidRPr="00DA76FF" w:rsidRDefault="00D054FE">
            <w:pPr>
              <w:spacing w:before="60" w:after="60"/>
              <w:jc w:val="right"/>
              <w:rPr>
                <w:rFonts w:eastAsiaTheme="minorEastAsia" w:cstheme="minorHAnsi"/>
                <w:sz w:val="20"/>
                <w:lang w:eastAsia="zh-CN"/>
              </w:rPr>
            </w:pPr>
            <w:r w:rsidRPr="00DA76FF">
              <w:rPr>
                <w:rFonts w:eastAsiaTheme="minorEastAsia" w:cstheme="minorHAnsi"/>
                <w:sz w:val="20"/>
                <w:lang w:eastAsia="zh-CN"/>
              </w:rPr>
              <w:t>33,979.1</w:t>
            </w:r>
          </w:p>
        </w:tc>
      </w:tr>
      <w:tr w:rsidR="00D054FE" w:rsidRPr="00DA76FF" w14:paraId="3EFA9ABD" w14:textId="77777777">
        <w:trPr>
          <w:trHeight w:val="54"/>
          <w:jc w:val="center"/>
        </w:trPr>
        <w:tc>
          <w:tcPr>
            <w:tcW w:w="985" w:type="dxa"/>
            <w:shd w:val="clear" w:color="auto" w:fill="DBE5F1" w:themeFill="accent1" w:themeFillTint="33"/>
            <w:noWrap/>
            <w:vAlign w:val="center"/>
            <w:hideMark/>
          </w:tcPr>
          <w:p w14:paraId="13BE79EB" w14:textId="77777777" w:rsidR="00D054FE" w:rsidRPr="00DA76FF" w:rsidRDefault="00D054FE">
            <w:pPr>
              <w:spacing w:before="60" w:after="60"/>
              <w:rPr>
                <w:rFonts w:cstheme="minorHAnsi"/>
                <w:b/>
                <w:bCs/>
                <w:sz w:val="20"/>
                <w:lang w:eastAsia="zh-CN"/>
              </w:rPr>
            </w:pPr>
            <w:r w:rsidRPr="00DA76FF">
              <w:rPr>
                <w:rFonts w:cstheme="minorHAnsi"/>
                <w:b/>
                <w:bCs/>
                <w:sz w:val="20"/>
                <w:lang w:eastAsia="zh-CN"/>
              </w:rPr>
              <w:t>Total</w:t>
            </w:r>
          </w:p>
        </w:tc>
        <w:tc>
          <w:tcPr>
            <w:tcW w:w="1170" w:type="dxa"/>
            <w:shd w:val="clear" w:color="auto" w:fill="DBE5F1" w:themeFill="accent1" w:themeFillTint="33"/>
            <w:noWrap/>
            <w:vAlign w:val="bottom"/>
            <w:hideMark/>
          </w:tcPr>
          <w:p w14:paraId="0D57F8CD" w14:textId="77777777" w:rsidR="00D054FE" w:rsidRPr="00DA76FF" w:rsidRDefault="00D054FE">
            <w:pPr>
              <w:spacing w:before="60" w:after="60"/>
              <w:jc w:val="center"/>
              <w:rPr>
                <w:rFonts w:eastAsiaTheme="minorEastAsia" w:cstheme="minorHAnsi"/>
                <w:b/>
                <w:bCs/>
                <w:sz w:val="20"/>
                <w:lang w:eastAsia="zh-CN"/>
              </w:rPr>
            </w:pPr>
            <w:r w:rsidRPr="00DA76FF">
              <w:rPr>
                <w:rFonts w:eastAsiaTheme="minorEastAsia" w:cstheme="minorHAnsi"/>
                <w:b/>
                <w:bCs/>
                <w:sz w:val="20"/>
                <w:lang w:eastAsia="zh-CN"/>
              </w:rPr>
              <w:t>105</w:t>
            </w:r>
          </w:p>
        </w:tc>
        <w:tc>
          <w:tcPr>
            <w:tcW w:w="1449" w:type="dxa"/>
            <w:shd w:val="clear" w:color="auto" w:fill="DBE5F1" w:themeFill="accent1" w:themeFillTint="33"/>
            <w:noWrap/>
            <w:vAlign w:val="bottom"/>
            <w:hideMark/>
          </w:tcPr>
          <w:p w14:paraId="02F08E71" w14:textId="77777777" w:rsidR="00D054FE" w:rsidRPr="00DA76FF" w:rsidRDefault="00D054FE">
            <w:pPr>
              <w:spacing w:before="60" w:after="60"/>
              <w:jc w:val="right"/>
              <w:rPr>
                <w:rFonts w:eastAsiaTheme="minorEastAsia" w:cstheme="minorHAnsi"/>
                <w:b/>
                <w:bCs/>
                <w:sz w:val="20"/>
                <w:lang w:eastAsia="zh-CN"/>
              </w:rPr>
            </w:pPr>
            <w:r w:rsidRPr="00DA76FF">
              <w:rPr>
                <w:rFonts w:eastAsiaTheme="minorEastAsia" w:cstheme="minorHAnsi"/>
                <w:b/>
                <w:bCs/>
                <w:sz w:val="20"/>
                <w:lang w:eastAsia="zh-CN"/>
              </w:rPr>
              <w:t>80,034.7</w:t>
            </w:r>
          </w:p>
        </w:tc>
        <w:tc>
          <w:tcPr>
            <w:tcW w:w="1169" w:type="dxa"/>
            <w:shd w:val="clear" w:color="auto" w:fill="DBE5F1" w:themeFill="accent1" w:themeFillTint="33"/>
            <w:noWrap/>
            <w:vAlign w:val="bottom"/>
            <w:hideMark/>
          </w:tcPr>
          <w:p w14:paraId="619540D8" w14:textId="77777777" w:rsidR="00D054FE" w:rsidRPr="00DA76FF" w:rsidRDefault="00D054FE">
            <w:pPr>
              <w:spacing w:before="60" w:after="60"/>
              <w:jc w:val="right"/>
              <w:rPr>
                <w:rFonts w:eastAsiaTheme="minorEastAsia" w:cstheme="minorHAnsi"/>
                <w:b/>
                <w:bCs/>
                <w:sz w:val="20"/>
                <w:lang w:eastAsia="zh-CN"/>
              </w:rPr>
            </w:pPr>
            <w:r w:rsidRPr="00DA76FF">
              <w:rPr>
                <w:rFonts w:eastAsiaTheme="minorEastAsia" w:cstheme="minorHAnsi"/>
                <w:b/>
                <w:bCs/>
                <w:sz w:val="20"/>
                <w:lang w:eastAsia="zh-CN"/>
              </w:rPr>
              <w:t>10,425.3</w:t>
            </w:r>
          </w:p>
        </w:tc>
        <w:tc>
          <w:tcPr>
            <w:tcW w:w="1343" w:type="dxa"/>
            <w:shd w:val="clear" w:color="auto" w:fill="DBE5F1" w:themeFill="accent1" w:themeFillTint="33"/>
            <w:noWrap/>
            <w:vAlign w:val="bottom"/>
            <w:hideMark/>
          </w:tcPr>
          <w:p w14:paraId="35E5765D" w14:textId="77777777" w:rsidR="00D054FE" w:rsidRPr="00DA76FF" w:rsidRDefault="00D054FE">
            <w:pPr>
              <w:spacing w:before="60" w:after="60"/>
              <w:jc w:val="right"/>
              <w:rPr>
                <w:rFonts w:eastAsiaTheme="minorEastAsia" w:cstheme="minorHAnsi"/>
                <w:b/>
                <w:bCs/>
                <w:sz w:val="20"/>
                <w:lang w:eastAsia="zh-CN"/>
              </w:rPr>
            </w:pPr>
            <w:r w:rsidRPr="00DA76FF">
              <w:rPr>
                <w:rFonts w:eastAsiaTheme="minorEastAsia" w:cstheme="minorHAnsi"/>
                <w:b/>
                <w:bCs/>
                <w:sz w:val="20"/>
                <w:lang w:eastAsia="zh-CN"/>
              </w:rPr>
              <w:t>91,800.0</w:t>
            </w:r>
          </w:p>
        </w:tc>
      </w:tr>
    </w:tbl>
    <w:p w14:paraId="2F0F0D0B" w14:textId="77777777" w:rsidR="00D054FE" w:rsidRPr="00DA76FF" w:rsidRDefault="00D054FE" w:rsidP="00D054FE">
      <w:pPr>
        <w:rPr>
          <w:rFonts w:cstheme="minorHAnsi"/>
          <w:sz w:val="18"/>
          <w:szCs w:val="18"/>
        </w:rPr>
      </w:pPr>
      <w:r w:rsidRPr="00DA76FF">
        <w:rPr>
          <w:rFonts w:cstheme="minorHAnsi"/>
          <w:sz w:val="18"/>
          <w:szCs w:val="18"/>
        </w:rPr>
        <w:tab/>
      </w:r>
      <w:r w:rsidRPr="00DA76FF">
        <w:rPr>
          <w:rFonts w:cstheme="minorHAnsi"/>
          <w:sz w:val="18"/>
          <w:szCs w:val="18"/>
        </w:rPr>
        <w:tab/>
        <w:t>(*) Multi-regional projects benefiting all regions</w:t>
      </w:r>
    </w:p>
    <w:p w14:paraId="55A19ED9" w14:textId="2107039D" w:rsidR="00D054FE" w:rsidRPr="00DA76FF" w:rsidRDefault="00D054FE" w:rsidP="00C754AC">
      <w:pPr>
        <w:pStyle w:val="ListParagraph"/>
        <w:spacing w:before="360" w:after="120"/>
        <w:ind w:left="-100"/>
        <w:jc w:val="both"/>
        <w:rPr>
          <w:rFonts w:eastAsia="Times New Roman"/>
          <w:lang w:val="en-GB"/>
        </w:rPr>
      </w:pPr>
      <w:r w:rsidRPr="00DA76FF">
        <w:rPr>
          <w:rFonts w:eastAsia="Times New Roman"/>
          <w:lang w:val="en-GB"/>
        </w:rPr>
        <w:t xml:space="preserve">In 2024, </w:t>
      </w:r>
      <w:r w:rsidR="00C91284">
        <w:rPr>
          <w:rFonts w:eastAsia="Times New Roman"/>
          <w:lang w:val="en-GB"/>
        </w:rPr>
        <w:t xml:space="preserve">the </w:t>
      </w:r>
      <w:r w:rsidR="00DF2021">
        <w:rPr>
          <w:rFonts w:eastAsia="Times New Roman"/>
        </w:rPr>
        <w:t>Telecommunication Development Bureau</w:t>
      </w:r>
      <w:r w:rsidR="00C91284" w:rsidRPr="00DA76FF">
        <w:rPr>
          <w:rFonts w:eastAsia="Times New Roman"/>
          <w:lang w:val="en-GB"/>
        </w:rPr>
        <w:t xml:space="preserve"> </w:t>
      </w:r>
      <w:r w:rsidRPr="00DA76FF">
        <w:rPr>
          <w:rFonts w:eastAsia="Times New Roman"/>
          <w:lang w:val="en-GB"/>
        </w:rPr>
        <w:t xml:space="preserve">signed </w:t>
      </w:r>
      <w:r w:rsidR="00FE5AFE">
        <w:rPr>
          <w:rFonts w:eastAsia="Times New Roman"/>
          <w:lang w:val="en-GB"/>
        </w:rPr>
        <w:t xml:space="preserve">agreements on </w:t>
      </w:r>
      <w:r w:rsidRPr="00DA76FF">
        <w:rPr>
          <w:rFonts w:eastAsia="Times New Roman"/>
          <w:lang w:val="en-GB"/>
        </w:rPr>
        <w:t>37 new projects valued at CHF</w:t>
      </w:r>
      <w:r w:rsidR="00C139AC">
        <w:rPr>
          <w:rFonts w:eastAsia="Times New Roman"/>
          <w:lang w:val="en-GB"/>
        </w:rPr>
        <w:t> </w:t>
      </w:r>
      <w:r w:rsidRPr="00DA76FF">
        <w:rPr>
          <w:rFonts w:eastAsia="Times New Roman"/>
          <w:lang w:val="en-GB"/>
        </w:rPr>
        <w:t>28.6</w:t>
      </w:r>
      <w:r w:rsidR="00C139AC">
        <w:rPr>
          <w:rFonts w:eastAsia="Times New Roman"/>
          <w:lang w:val="en-GB"/>
        </w:rPr>
        <w:t> </w:t>
      </w:r>
      <w:r w:rsidRPr="00DA76FF">
        <w:rPr>
          <w:rFonts w:eastAsia="Times New Roman"/>
          <w:lang w:val="en-GB"/>
        </w:rPr>
        <w:t xml:space="preserve">million. These figures represent the highest level of funds raised in projects in the last 10 years, confirming the positive trend </w:t>
      </w:r>
      <w:r w:rsidR="00C91284">
        <w:rPr>
          <w:rFonts w:eastAsia="Times New Roman"/>
          <w:lang w:val="en-GB"/>
        </w:rPr>
        <w:t>in mobilizing</w:t>
      </w:r>
      <w:r w:rsidRPr="00DA76FF">
        <w:rPr>
          <w:rFonts w:eastAsia="Times New Roman"/>
          <w:lang w:val="en-GB"/>
        </w:rPr>
        <w:t xml:space="preserve"> extra-budgetary funds in support of </w:t>
      </w:r>
      <w:r w:rsidR="00C91284">
        <w:rPr>
          <w:rFonts w:eastAsia="Times New Roman"/>
          <w:lang w:val="en-GB"/>
        </w:rPr>
        <w:t xml:space="preserve">telecommunication development </w:t>
      </w:r>
      <w:r w:rsidRPr="00DA76FF">
        <w:rPr>
          <w:rFonts w:eastAsia="Times New Roman"/>
          <w:lang w:val="en-GB"/>
        </w:rPr>
        <w:t>projects (see figure 2).</w:t>
      </w:r>
    </w:p>
    <w:p w14:paraId="5EAE4C4D" w14:textId="39B59D63" w:rsidR="00D054FE" w:rsidRPr="00DA76FF" w:rsidRDefault="00D054FE" w:rsidP="00C754AC">
      <w:pPr>
        <w:pStyle w:val="ListParagraph"/>
        <w:spacing w:after="120"/>
        <w:ind w:left="-100"/>
        <w:jc w:val="both"/>
        <w:rPr>
          <w:rFonts w:cstheme="minorHAnsi"/>
          <w:lang w:val="en-GB"/>
        </w:rPr>
      </w:pPr>
      <w:r w:rsidRPr="00C139AC">
        <w:rPr>
          <w:rFonts w:eastAsia="Times New Roman"/>
          <w:spacing w:val="2"/>
          <w:lang w:val="en-GB"/>
        </w:rPr>
        <w:t>These new projects are multi-regional, regional, and national in nature, and cover the full range of</w:t>
      </w:r>
      <w:r w:rsidRPr="00DA76FF">
        <w:rPr>
          <w:rFonts w:eastAsia="Times New Roman"/>
          <w:lang w:val="en-GB"/>
        </w:rPr>
        <w:t xml:space="preserve"> ITU-D priorities defined in the WTDC Kigali Action Plan (KAP). With regards to </w:t>
      </w:r>
      <w:r w:rsidR="00210564">
        <w:rPr>
          <w:rFonts w:eastAsia="Times New Roman"/>
          <w:lang w:val="en-GB"/>
        </w:rPr>
        <w:t xml:space="preserve">funding </w:t>
      </w:r>
      <w:r w:rsidRPr="00DA76FF">
        <w:rPr>
          <w:rFonts w:eastAsia="Times New Roman"/>
          <w:lang w:val="en-GB"/>
        </w:rPr>
        <w:t>source</w:t>
      </w:r>
      <w:r w:rsidR="00210564">
        <w:rPr>
          <w:rFonts w:eastAsia="Times New Roman"/>
          <w:lang w:val="en-GB"/>
        </w:rPr>
        <w:t>s</w:t>
      </w:r>
      <w:r w:rsidRPr="00DA76FF">
        <w:rPr>
          <w:rFonts w:eastAsia="Times New Roman"/>
          <w:lang w:val="en-GB"/>
        </w:rPr>
        <w:t>, 92</w:t>
      </w:r>
      <w:r w:rsidR="00210564">
        <w:rPr>
          <w:rFonts w:eastAsia="Times New Roman"/>
          <w:lang w:val="en-GB"/>
        </w:rPr>
        <w:t xml:space="preserve"> per cent</w:t>
      </w:r>
      <w:r w:rsidR="00210564" w:rsidRPr="00DA76FF">
        <w:rPr>
          <w:rFonts w:eastAsia="Times New Roman"/>
          <w:lang w:val="en-GB"/>
        </w:rPr>
        <w:t xml:space="preserve"> </w:t>
      </w:r>
      <w:r w:rsidRPr="00DA76FF">
        <w:rPr>
          <w:rFonts w:eastAsia="Times New Roman"/>
          <w:lang w:val="en-GB"/>
        </w:rPr>
        <w:t>of the funds for new projects come from extra</w:t>
      </w:r>
      <w:r w:rsidR="00986831">
        <w:rPr>
          <w:rFonts w:eastAsia="Times New Roman"/>
          <w:lang w:val="en-GB"/>
        </w:rPr>
        <w:t>-</w:t>
      </w:r>
      <w:r w:rsidRPr="00DA76FF">
        <w:rPr>
          <w:rFonts w:eastAsia="Times New Roman"/>
          <w:lang w:val="en-GB"/>
        </w:rPr>
        <w:t>budgetary funds mobilized from third parties, while the remaining 8</w:t>
      </w:r>
      <w:r w:rsidR="004611AB">
        <w:rPr>
          <w:rFonts w:eastAsia="Times New Roman"/>
          <w:lang w:val="en-GB"/>
        </w:rPr>
        <w:t xml:space="preserve"> per cent</w:t>
      </w:r>
      <w:r w:rsidRPr="00DA76FF">
        <w:rPr>
          <w:rFonts w:eastAsia="Times New Roman"/>
          <w:lang w:val="en-GB"/>
        </w:rPr>
        <w:t xml:space="preserve"> result from the allocation of seed-funds from ITU.</w:t>
      </w:r>
    </w:p>
    <w:p w14:paraId="24C90753" w14:textId="208F48CB" w:rsidR="001A3A7D" w:rsidRPr="00FD557A" w:rsidRDefault="001A3A7D" w:rsidP="001A3A7D">
      <w:pPr>
        <w:spacing w:after="120"/>
        <w:jc w:val="center"/>
        <w:rPr>
          <w:rFonts w:cstheme="minorHAnsi"/>
        </w:rPr>
      </w:pPr>
      <w:r w:rsidRPr="00DA76FF">
        <w:rPr>
          <w:rFonts w:cstheme="minorHAnsi"/>
          <w:noProof/>
          <w:color w:val="FF0000"/>
        </w:rPr>
        <w:lastRenderedPageBreak/>
        <w:drawing>
          <wp:inline distT="0" distB="0" distL="0" distR="0" wp14:anchorId="33E853BC" wp14:editId="6E9F14BF">
            <wp:extent cx="4730771" cy="2914650"/>
            <wp:effectExtent l="0" t="0" r="0" b="0"/>
            <wp:docPr id="38397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74533" name="Picture 1"/>
                    <pic:cNvPicPr/>
                  </pic:nvPicPr>
                  <pic:blipFill>
                    <a:blip r:embed="rId143">
                      <a:extLst>
                        <a:ext uri="{96DAC541-7B7A-43D3-8B79-37D633B846F1}">
                          <asvg:svgBlip xmlns:asvg="http://schemas.microsoft.com/office/drawing/2016/SVG/main" r:embed="rId144"/>
                        </a:ext>
                      </a:extLst>
                    </a:blip>
                    <a:stretch>
                      <a:fillRect/>
                    </a:stretch>
                  </pic:blipFill>
                  <pic:spPr>
                    <a:xfrm>
                      <a:off x="0" y="0"/>
                      <a:ext cx="4757478" cy="2931104"/>
                    </a:xfrm>
                    <a:prstGeom prst="rect">
                      <a:avLst/>
                    </a:prstGeom>
                  </pic:spPr>
                </pic:pic>
              </a:graphicData>
            </a:graphic>
          </wp:inline>
        </w:drawing>
      </w:r>
    </w:p>
    <w:p w14:paraId="2F0F1E68" w14:textId="5FAF0237" w:rsidR="00D054FE" w:rsidRPr="00DA76FF" w:rsidRDefault="00D054FE" w:rsidP="00C754AC">
      <w:pPr>
        <w:spacing w:before="360" w:after="120"/>
        <w:jc w:val="both"/>
        <w:rPr>
          <w:rFonts w:eastAsia="Times New Roman"/>
          <w:sz w:val="22"/>
          <w:szCs w:val="22"/>
        </w:rPr>
      </w:pPr>
      <w:r w:rsidRPr="00DA76FF">
        <w:rPr>
          <w:rFonts w:eastAsia="Times New Roman"/>
          <w:sz w:val="22"/>
          <w:szCs w:val="22"/>
        </w:rPr>
        <w:t>During 2024 ITU has also continued to strengthen project management practices across all ITU projects. This included strengthening reporting to partners, continuing with the operation of the Projects Board and strengthening the project monitoring function.</w:t>
      </w:r>
    </w:p>
    <w:p w14:paraId="78A76379" w14:textId="62C67085" w:rsidR="00CE0924" w:rsidRPr="00DA76FF" w:rsidRDefault="00030DFE" w:rsidP="00C754AC">
      <w:pPr>
        <w:spacing w:after="120"/>
      </w:pPr>
      <w:r>
        <w:rPr>
          <w:rFonts w:eastAsia="Times New Roman"/>
          <w:sz w:val="22"/>
          <w:szCs w:val="22"/>
        </w:rPr>
        <w:t>Further</w:t>
      </w:r>
      <w:r w:rsidRPr="00DA76FF">
        <w:rPr>
          <w:rFonts w:eastAsia="Times New Roman"/>
          <w:sz w:val="22"/>
          <w:szCs w:val="22"/>
        </w:rPr>
        <w:t xml:space="preserve"> </w:t>
      </w:r>
      <w:r w:rsidR="00D054FE" w:rsidRPr="00DA76FF">
        <w:rPr>
          <w:rFonts w:eastAsia="Times New Roman"/>
          <w:sz w:val="22"/>
          <w:szCs w:val="22"/>
        </w:rPr>
        <w:t xml:space="preserve">details and data can be found in the </w:t>
      </w:r>
      <w:hyperlink r:id="rId145" w:history="1">
        <w:r w:rsidRPr="00030DFE">
          <w:rPr>
            <w:rStyle w:val="Hyperlink"/>
            <w:rFonts w:eastAsia="Times New Roman"/>
            <w:sz w:val="22"/>
            <w:szCs w:val="22"/>
          </w:rPr>
          <w:t>ITU-D p</w:t>
        </w:r>
        <w:r w:rsidR="00D054FE" w:rsidRPr="00030DFE">
          <w:rPr>
            <w:rStyle w:val="Hyperlink"/>
            <w:rFonts w:eastAsia="Times New Roman"/>
            <w:sz w:val="22"/>
            <w:szCs w:val="22"/>
          </w:rPr>
          <w:t>rojects portal</w:t>
        </w:r>
      </w:hyperlink>
      <w:r w:rsidR="00D054FE" w:rsidRPr="00DA76FF">
        <w:rPr>
          <w:rFonts w:eastAsia="Times New Roman"/>
          <w:sz w:val="22"/>
          <w:szCs w:val="22"/>
        </w:rPr>
        <w:t xml:space="preserve"> and the new </w:t>
      </w:r>
      <w:hyperlink r:id="rId146" w:history="1">
        <w:r w:rsidR="00D054FE" w:rsidRPr="00DA76FF">
          <w:rPr>
            <w:rFonts w:eastAsia="Times New Roman"/>
            <w:color w:val="0563C1"/>
            <w:sz w:val="22"/>
            <w:szCs w:val="22"/>
            <w:u w:val="single"/>
          </w:rPr>
          <w:t>dashboard for ITU membership on status of projects</w:t>
        </w:r>
      </w:hyperlink>
      <w:r w:rsidR="00D054FE" w:rsidRPr="00DA76FF">
        <w:rPr>
          <w:rFonts w:eastAsia="Times New Roman"/>
          <w:sz w:val="22"/>
          <w:szCs w:val="22"/>
        </w:rPr>
        <w:t xml:space="preserve"> (TIES protected).</w:t>
      </w:r>
    </w:p>
    <w:p w14:paraId="22336C4C" w14:textId="13A5C787" w:rsidR="00CE0924" w:rsidRPr="00DA76FF" w:rsidRDefault="001B47F9" w:rsidP="00A25266">
      <w:pPr>
        <w:pStyle w:val="Heading2"/>
        <w:tabs>
          <w:tab w:val="clear" w:pos="567"/>
        </w:tabs>
        <w:spacing w:before="360" w:after="120"/>
      </w:pPr>
      <w:bookmarkStart w:id="44" w:name="_Toc198569367"/>
      <w:r w:rsidRPr="00DA76FF">
        <w:t>4</w:t>
      </w:r>
      <w:r w:rsidR="00282156" w:rsidRPr="00DA76FF">
        <w:t>.8</w:t>
      </w:r>
      <w:r w:rsidR="00282156" w:rsidRPr="00DA76FF">
        <w:tab/>
      </w:r>
      <w:r w:rsidR="002747AE" w:rsidRPr="00DA76FF">
        <w:t>Convening platforms</w:t>
      </w:r>
      <w:bookmarkEnd w:id="44"/>
    </w:p>
    <w:p w14:paraId="6319CC84" w14:textId="57F4DEB5" w:rsidR="00D20557" w:rsidRPr="00DA76FF" w:rsidRDefault="001B47F9" w:rsidP="00C754AC">
      <w:pPr>
        <w:pStyle w:val="Heading3"/>
        <w:tabs>
          <w:tab w:val="clear" w:pos="567"/>
        </w:tabs>
        <w:spacing w:before="120" w:after="120"/>
        <w:rPr>
          <w:lang w:eastAsia="zh-CN"/>
        </w:rPr>
      </w:pPr>
      <w:bookmarkStart w:id="45" w:name="_Toc198569368"/>
      <w:r w:rsidRPr="00DA76FF">
        <w:rPr>
          <w:lang w:eastAsia="zh-CN"/>
        </w:rPr>
        <w:t>4</w:t>
      </w:r>
      <w:r w:rsidR="00D20557" w:rsidRPr="00DA76FF">
        <w:rPr>
          <w:lang w:eastAsia="zh-CN"/>
        </w:rPr>
        <w:t>.8.1</w:t>
      </w:r>
      <w:r w:rsidR="00D20557" w:rsidRPr="00DA76FF">
        <w:rPr>
          <w:lang w:eastAsia="zh-CN"/>
        </w:rPr>
        <w:tab/>
        <w:t xml:space="preserve">World Summit on the Information Society (WSIS) </w:t>
      </w:r>
      <w:r w:rsidR="00E80DBA">
        <w:rPr>
          <w:lang w:eastAsia="zh-CN"/>
        </w:rPr>
        <w:t>p</w:t>
      </w:r>
      <w:r w:rsidR="00D20557" w:rsidRPr="00DA76FF">
        <w:rPr>
          <w:lang w:eastAsia="zh-CN"/>
        </w:rPr>
        <w:t>rocess</w:t>
      </w:r>
      <w:bookmarkEnd w:id="45"/>
    </w:p>
    <w:p w14:paraId="5EF68D54" w14:textId="0EA50BE8" w:rsidR="00D20557" w:rsidRPr="00DA76FF" w:rsidRDefault="00D20557" w:rsidP="00C754AC">
      <w:pPr>
        <w:spacing w:after="120"/>
        <w:jc w:val="both"/>
        <w:rPr>
          <w:rFonts w:eastAsia="Calibri" w:cs="Calibri"/>
          <w:sz w:val="22"/>
          <w:szCs w:val="22"/>
        </w:rPr>
      </w:pPr>
      <w:r w:rsidRPr="00DA76FF">
        <w:rPr>
          <w:rFonts w:eastAsia="Calibri" w:cs="Calibri"/>
          <w:sz w:val="22"/>
          <w:szCs w:val="22"/>
        </w:rPr>
        <w:t xml:space="preserve">In 2024, ITU </w:t>
      </w:r>
      <w:r w:rsidR="00B96060" w:rsidRPr="00DA76FF">
        <w:rPr>
          <w:rFonts w:eastAsia="Calibri" w:cs="Calibri"/>
          <w:sz w:val="22"/>
          <w:szCs w:val="22"/>
        </w:rPr>
        <w:t>remained key</w:t>
      </w:r>
      <w:r w:rsidRPr="00DA76FF">
        <w:rPr>
          <w:rFonts w:eastAsia="Calibri" w:cs="Calibri"/>
          <w:sz w:val="22"/>
          <w:szCs w:val="22"/>
        </w:rPr>
        <w:t xml:space="preserve"> in strengthening </w:t>
      </w:r>
      <w:r w:rsidR="00970100">
        <w:rPr>
          <w:rFonts w:eastAsia="Calibri" w:cs="Calibri"/>
          <w:sz w:val="22"/>
          <w:szCs w:val="22"/>
        </w:rPr>
        <w:t>the</w:t>
      </w:r>
      <w:r w:rsidR="00970100" w:rsidRPr="00DA76FF">
        <w:rPr>
          <w:rFonts w:eastAsia="Calibri" w:cs="Calibri"/>
          <w:sz w:val="22"/>
          <w:szCs w:val="22"/>
        </w:rPr>
        <w:t xml:space="preserve"> </w:t>
      </w:r>
      <w:r w:rsidR="00E67970" w:rsidRPr="00DA76FF">
        <w:rPr>
          <w:rFonts w:eastAsia="Calibri" w:cs="Calibri"/>
          <w:sz w:val="22"/>
          <w:szCs w:val="22"/>
        </w:rPr>
        <w:t>outcomes</w:t>
      </w:r>
      <w:r w:rsidR="00970100">
        <w:rPr>
          <w:rFonts w:eastAsia="Calibri" w:cs="Calibri"/>
          <w:sz w:val="22"/>
          <w:szCs w:val="22"/>
        </w:rPr>
        <w:t xml:space="preserve"> of the World Summit on the Information Society (WSIS) and subsequent, ongoing digital cooperation</w:t>
      </w:r>
      <w:r w:rsidRPr="00DA76FF">
        <w:rPr>
          <w:rFonts w:eastAsia="Calibri" w:cs="Calibri"/>
          <w:sz w:val="22"/>
          <w:szCs w:val="22"/>
        </w:rPr>
        <w:t xml:space="preserve">, aligning </w:t>
      </w:r>
      <w:r w:rsidR="00E67970" w:rsidRPr="00DA76FF">
        <w:rPr>
          <w:rFonts w:eastAsia="Calibri" w:cs="Calibri"/>
          <w:sz w:val="22"/>
          <w:szCs w:val="22"/>
        </w:rPr>
        <w:t>th</w:t>
      </w:r>
      <w:r w:rsidR="00710D1F">
        <w:rPr>
          <w:rFonts w:eastAsia="Calibri" w:cs="Calibri"/>
          <w:sz w:val="22"/>
          <w:szCs w:val="22"/>
        </w:rPr>
        <w:t>ose</w:t>
      </w:r>
      <w:r w:rsidRPr="00DA76FF">
        <w:rPr>
          <w:rFonts w:eastAsia="Calibri" w:cs="Calibri"/>
          <w:sz w:val="22"/>
          <w:szCs w:val="22"/>
        </w:rPr>
        <w:t xml:space="preserve"> with various United Nations processes and activities</w:t>
      </w:r>
      <w:r w:rsidR="00C31E15" w:rsidRPr="00DA76FF">
        <w:rPr>
          <w:rFonts w:eastAsia="Calibri" w:cs="Calibri"/>
          <w:sz w:val="22"/>
          <w:szCs w:val="22"/>
        </w:rPr>
        <w:t>,</w:t>
      </w:r>
      <w:r w:rsidRPr="00DA76FF">
        <w:rPr>
          <w:rFonts w:eastAsia="Calibri" w:cs="Calibri"/>
          <w:sz w:val="22"/>
          <w:szCs w:val="22"/>
        </w:rPr>
        <w:t xml:space="preserve"> such as </w:t>
      </w:r>
      <w:r w:rsidR="00C31E15" w:rsidRPr="00DA76FF">
        <w:rPr>
          <w:rFonts w:eastAsia="Calibri" w:cs="Calibri"/>
          <w:sz w:val="22"/>
          <w:szCs w:val="22"/>
        </w:rPr>
        <w:t xml:space="preserve">the </w:t>
      </w:r>
      <w:r w:rsidRPr="00DA76FF">
        <w:rPr>
          <w:rFonts w:eastAsia="Calibri" w:cs="Calibri"/>
          <w:sz w:val="22"/>
          <w:szCs w:val="22"/>
        </w:rPr>
        <w:t xml:space="preserve">ECOSOC Partnership Forum, Beijing+30, the Commission on the Status of Women (CSW), the High-Level Political Forum, the Summit of the Future and </w:t>
      </w:r>
      <w:r w:rsidR="00BD4D26">
        <w:rPr>
          <w:rFonts w:eastAsia="Calibri" w:cs="Calibri"/>
          <w:sz w:val="22"/>
          <w:szCs w:val="22"/>
        </w:rPr>
        <w:t xml:space="preserve">the resulting </w:t>
      </w:r>
      <w:r w:rsidRPr="00DA76FF">
        <w:rPr>
          <w:rFonts w:eastAsia="Calibri" w:cs="Calibri"/>
          <w:sz w:val="22"/>
          <w:szCs w:val="22"/>
        </w:rPr>
        <w:t>Pact for the Future</w:t>
      </w:r>
      <w:r w:rsidR="00B3243E">
        <w:rPr>
          <w:rFonts w:eastAsia="Calibri" w:cs="Calibri"/>
          <w:sz w:val="22"/>
          <w:szCs w:val="22"/>
        </w:rPr>
        <w:t xml:space="preserve"> and</w:t>
      </w:r>
      <w:r w:rsidRPr="00DA76FF">
        <w:rPr>
          <w:rFonts w:eastAsia="Calibri" w:cs="Calibri"/>
          <w:sz w:val="22"/>
          <w:szCs w:val="22"/>
        </w:rPr>
        <w:t xml:space="preserve"> Global Digital Compact. ITU also worked at the regional level, collaborating with UN regional commissions, regional ITU offices, and other stakeholders to ensure the integration of the regional perspectives.</w:t>
      </w:r>
    </w:p>
    <w:p w14:paraId="3398AF0D" w14:textId="60C5EAC7" w:rsidR="00D20557" w:rsidRPr="00DA76FF" w:rsidRDefault="00D20557" w:rsidP="00C754AC">
      <w:pPr>
        <w:spacing w:after="120"/>
        <w:jc w:val="both"/>
        <w:rPr>
          <w:rFonts w:eastAsia="Calibri" w:cs="Calibri"/>
          <w:sz w:val="22"/>
          <w:szCs w:val="22"/>
        </w:rPr>
      </w:pPr>
      <w:r w:rsidRPr="00DA76FF">
        <w:rPr>
          <w:rFonts w:eastAsia="Calibri" w:cs="Calibri"/>
          <w:sz w:val="22"/>
          <w:szCs w:val="22"/>
        </w:rPr>
        <w:t xml:space="preserve">A key aspect of ITU’s work in 2024 was the continued implementation of WSIS </w:t>
      </w:r>
      <w:r w:rsidR="00C74523">
        <w:rPr>
          <w:rFonts w:eastAsia="Calibri" w:cs="Calibri"/>
          <w:sz w:val="22"/>
          <w:szCs w:val="22"/>
        </w:rPr>
        <w:t>a</w:t>
      </w:r>
      <w:r w:rsidRPr="00DA76FF">
        <w:rPr>
          <w:rFonts w:eastAsia="Calibri" w:cs="Calibri"/>
          <w:sz w:val="22"/>
          <w:szCs w:val="22"/>
        </w:rPr>
        <w:t xml:space="preserve">ction </w:t>
      </w:r>
      <w:r w:rsidR="00C74523">
        <w:rPr>
          <w:rFonts w:eastAsia="Calibri" w:cs="Calibri"/>
          <w:sz w:val="22"/>
          <w:szCs w:val="22"/>
        </w:rPr>
        <w:t>l</w:t>
      </w:r>
      <w:r w:rsidRPr="00DA76FF">
        <w:rPr>
          <w:rFonts w:eastAsia="Calibri" w:cs="Calibri"/>
          <w:sz w:val="22"/>
          <w:szCs w:val="22"/>
        </w:rPr>
        <w:t xml:space="preserve">ines, which are fundamental in driving </w:t>
      </w:r>
      <w:r w:rsidR="00355834">
        <w:rPr>
          <w:rFonts w:eastAsia="Calibri" w:cs="Calibri"/>
          <w:sz w:val="22"/>
          <w:szCs w:val="22"/>
        </w:rPr>
        <w:t>on global socio-economic development</w:t>
      </w:r>
      <w:r w:rsidRPr="00DA76FF">
        <w:rPr>
          <w:rFonts w:eastAsia="Calibri" w:cs="Calibri"/>
          <w:sz w:val="22"/>
          <w:szCs w:val="22"/>
        </w:rPr>
        <w:t xml:space="preserve">. These Action Lines address a broad range of issues, from </w:t>
      </w:r>
      <w:r w:rsidR="004B22FA">
        <w:rPr>
          <w:rFonts w:eastAsia="Calibri" w:cs="Calibri"/>
          <w:sz w:val="22"/>
          <w:szCs w:val="22"/>
        </w:rPr>
        <w:t xml:space="preserve">building </w:t>
      </w:r>
      <w:r w:rsidR="00737F97">
        <w:rPr>
          <w:rFonts w:eastAsia="Calibri" w:cs="Calibri"/>
          <w:sz w:val="22"/>
          <w:szCs w:val="22"/>
        </w:rPr>
        <w:t xml:space="preserve">people-centred </w:t>
      </w:r>
      <w:r w:rsidRPr="00DA76FF">
        <w:rPr>
          <w:rFonts w:eastAsia="Calibri" w:cs="Calibri"/>
          <w:sz w:val="22"/>
          <w:szCs w:val="22"/>
        </w:rPr>
        <w:t xml:space="preserve">digital economies to cybersecurity, creating an enabling environment, and promoting the </w:t>
      </w:r>
      <w:r w:rsidR="00C751B7">
        <w:rPr>
          <w:rFonts w:eastAsia="Calibri" w:cs="Calibri"/>
          <w:sz w:val="22"/>
          <w:szCs w:val="22"/>
        </w:rPr>
        <w:t>tech use</w:t>
      </w:r>
      <w:r w:rsidRPr="00DA76FF">
        <w:rPr>
          <w:rFonts w:eastAsia="Calibri" w:cs="Calibri"/>
          <w:sz w:val="22"/>
          <w:szCs w:val="22"/>
        </w:rPr>
        <w:t xml:space="preserve"> for health, education, and environmental sustainability. By aligning WSIS </w:t>
      </w:r>
      <w:r w:rsidR="00012023">
        <w:rPr>
          <w:rFonts w:eastAsia="Calibri" w:cs="Calibri"/>
          <w:sz w:val="22"/>
          <w:szCs w:val="22"/>
        </w:rPr>
        <w:t>a</w:t>
      </w:r>
      <w:r w:rsidRPr="00DA76FF">
        <w:rPr>
          <w:rFonts w:eastAsia="Calibri" w:cs="Calibri"/>
          <w:sz w:val="22"/>
          <w:szCs w:val="22"/>
        </w:rPr>
        <w:t xml:space="preserve">ction </w:t>
      </w:r>
      <w:r w:rsidR="00012023">
        <w:rPr>
          <w:rFonts w:eastAsia="Calibri" w:cs="Calibri"/>
          <w:sz w:val="22"/>
          <w:szCs w:val="22"/>
        </w:rPr>
        <w:t>l</w:t>
      </w:r>
      <w:r w:rsidRPr="00DA76FF">
        <w:rPr>
          <w:rFonts w:eastAsia="Calibri" w:cs="Calibri"/>
          <w:sz w:val="22"/>
          <w:szCs w:val="22"/>
        </w:rPr>
        <w:t xml:space="preserve">ines with </w:t>
      </w:r>
      <w:r w:rsidR="008B3C59">
        <w:rPr>
          <w:rFonts w:eastAsia="Calibri" w:cs="Calibri"/>
          <w:sz w:val="22"/>
          <w:szCs w:val="22"/>
        </w:rPr>
        <w:t>overall development priorities</w:t>
      </w:r>
      <w:r w:rsidRPr="00DA76FF">
        <w:rPr>
          <w:rFonts w:eastAsia="Calibri" w:cs="Calibri"/>
          <w:sz w:val="22"/>
          <w:szCs w:val="22"/>
        </w:rPr>
        <w:t xml:space="preserve">, ITU ensured that the WSIS </w:t>
      </w:r>
      <w:r w:rsidR="00BA6114">
        <w:rPr>
          <w:rFonts w:eastAsia="Calibri" w:cs="Calibri"/>
          <w:sz w:val="22"/>
          <w:szCs w:val="22"/>
        </w:rPr>
        <w:t>p</w:t>
      </w:r>
      <w:r w:rsidRPr="00DA76FF">
        <w:rPr>
          <w:rFonts w:eastAsia="Calibri" w:cs="Calibri"/>
          <w:sz w:val="22"/>
          <w:szCs w:val="22"/>
        </w:rPr>
        <w:t xml:space="preserve">rocess </w:t>
      </w:r>
      <w:r w:rsidR="002B35EC">
        <w:rPr>
          <w:rFonts w:eastAsia="Calibri" w:cs="Calibri"/>
          <w:sz w:val="22"/>
          <w:szCs w:val="22"/>
        </w:rPr>
        <w:t xml:space="preserve">helps advance </w:t>
      </w:r>
      <w:r w:rsidR="00F63B77">
        <w:rPr>
          <w:rFonts w:eastAsia="Calibri" w:cs="Calibri"/>
          <w:sz w:val="22"/>
          <w:szCs w:val="22"/>
        </w:rPr>
        <w:t>sustainable</w:t>
      </w:r>
      <w:r w:rsidR="002B35EC">
        <w:rPr>
          <w:rFonts w:eastAsia="Calibri" w:cs="Calibri"/>
          <w:sz w:val="22"/>
          <w:szCs w:val="22"/>
        </w:rPr>
        <w:t xml:space="preserve"> development</w:t>
      </w:r>
      <w:r w:rsidR="00E30A6B">
        <w:rPr>
          <w:rFonts w:eastAsia="Calibri" w:cs="Calibri"/>
          <w:sz w:val="22"/>
          <w:szCs w:val="22"/>
        </w:rPr>
        <w:t xml:space="preserve"> globally</w:t>
      </w:r>
      <w:r w:rsidRPr="00DA76FF">
        <w:rPr>
          <w:rFonts w:eastAsia="Calibri" w:cs="Calibri"/>
          <w:sz w:val="22"/>
          <w:szCs w:val="22"/>
        </w:rPr>
        <w:t>.</w:t>
      </w:r>
    </w:p>
    <w:p w14:paraId="03804FE8" w14:textId="40F37102" w:rsidR="00D20557" w:rsidRPr="00DA76FF" w:rsidRDefault="00E80DBA" w:rsidP="00C754AC">
      <w:pPr>
        <w:spacing w:after="120"/>
        <w:jc w:val="both"/>
        <w:rPr>
          <w:rFonts w:eastAsia="Calibri" w:cs="Calibri"/>
          <w:b/>
          <w:bCs/>
          <w:sz w:val="22"/>
          <w:szCs w:val="22"/>
        </w:rPr>
      </w:pPr>
      <w:r>
        <w:rPr>
          <w:rFonts w:eastAsia="Calibri" w:cs="Calibri"/>
          <w:b/>
          <w:bCs/>
          <w:sz w:val="22"/>
          <w:szCs w:val="22"/>
        </w:rPr>
        <w:t>WSIS</w:t>
      </w:r>
      <w:r w:rsidR="00D20557" w:rsidRPr="00DA76FF">
        <w:rPr>
          <w:rFonts w:eastAsia="Calibri" w:cs="Calibri"/>
          <w:b/>
          <w:bCs/>
          <w:sz w:val="22"/>
          <w:szCs w:val="22"/>
        </w:rPr>
        <w:t xml:space="preserve"> </w:t>
      </w:r>
      <w:r>
        <w:rPr>
          <w:rFonts w:eastAsia="Calibri" w:cs="Calibri"/>
          <w:b/>
          <w:bCs/>
          <w:sz w:val="22"/>
          <w:szCs w:val="22"/>
        </w:rPr>
        <w:t>a</w:t>
      </w:r>
      <w:r w:rsidR="00D20557" w:rsidRPr="00DA76FF">
        <w:rPr>
          <w:rFonts w:eastAsia="Calibri" w:cs="Calibri"/>
          <w:b/>
          <w:bCs/>
          <w:sz w:val="22"/>
          <w:szCs w:val="22"/>
        </w:rPr>
        <w:t xml:space="preserve">chievements and </w:t>
      </w:r>
      <w:r>
        <w:rPr>
          <w:rFonts w:eastAsia="Calibri" w:cs="Calibri"/>
          <w:b/>
          <w:bCs/>
          <w:sz w:val="22"/>
          <w:szCs w:val="22"/>
        </w:rPr>
        <w:t>m</w:t>
      </w:r>
      <w:r w:rsidR="00D20557" w:rsidRPr="00DA76FF">
        <w:rPr>
          <w:rFonts w:eastAsia="Calibri" w:cs="Calibri"/>
          <w:b/>
          <w:bCs/>
          <w:sz w:val="22"/>
          <w:szCs w:val="22"/>
        </w:rPr>
        <w:t>ilestones</w:t>
      </w:r>
    </w:p>
    <w:p w14:paraId="27185898" w14:textId="6810A0B7" w:rsidR="000C20CB" w:rsidRDefault="003C773F" w:rsidP="00C754AC">
      <w:pPr>
        <w:spacing w:after="120"/>
        <w:jc w:val="both"/>
        <w:rPr>
          <w:rFonts w:eastAsia="Calibri" w:cs="Calibri"/>
          <w:sz w:val="22"/>
          <w:szCs w:val="22"/>
        </w:rPr>
      </w:pPr>
      <w:r>
        <w:rPr>
          <w:rFonts w:eastAsia="Calibri" w:cs="Calibri"/>
          <w:sz w:val="22"/>
          <w:szCs w:val="22"/>
        </w:rPr>
        <w:t xml:space="preserve">The </w:t>
      </w:r>
      <w:r w:rsidR="00D20557" w:rsidRPr="00DA76FF">
        <w:rPr>
          <w:rFonts w:eastAsia="Calibri" w:cs="Calibri"/>
          <w:sz w:val="22"/>
          <w:szCs w:val="22"/>
        </w:rPr>
        <w:t xml:space="preserve">WSIS </w:t>
      </w:r>
      <w:r>
        <w:rPr>
          <w:rFonts w:eastAsia="Calibri" w:cs="Calibri"/>
          <w:sz w:val="22"/>
          <w:szCs w:val="22"/>
        </w:rPr>
        <w:t>p</w:t>
      </w:r>
      <w:r w:rsidR="00D20557" w:rsidRPr="00DA76FF">
        <w:rPr>
          <w:rFonts w:eastAsia="Calibri" w:cs="Calibri"/>
          <w:sz w:val="22"/>
          <w:szCs w:val="22"/>
        </w:rPr>
        <w:t xml:space="preserve">rocess reached several milestones </w:t>
      </w:r>
      <w:r w:rsidR="00794052">
        <w:rPr>
          <w:rFonts w:eastAsia="Calibri" w:cs="Calibri"/>
          <w:sz w:val="22"/>
          <w:szCs w:val="22"/>
        </w:rPr>
        <w:t>in 2024, the last full year ahead of</w:t>
      </w:r>
      <w:r w:rsidR="00794052" w:rsidRPr="00DA76FF">
        <w:rPr>
          <w:rFonts w:eastAsia="Calibri" w:cs="Calibri"/>
          <w:sz w:val="22"/>
          <w:szCs w:val="22"/>
        </w:rPr>
        <w:t xml:space="preserve"> </w:t>
      </w:r>
      <w:r w:rsidR="00D20557" w:rsidRPr="00DA76FF">
        <w:rPr>
          <w:rFonts w:eastAsia="Calibri" w:cs="Calibri"/>
          <w:sz w:val="22"/>
          <w:szCs w:val="22"/>
        </w:rPr>
        <w:t>the WSIS+20 overall review.</w:t>
      </w:r>
    </w:p>
    <w:p w14:paraId="6C862403" w14:textId="6D754015" w:rsidR="00D20557" w:rsidRPr="00DA76FF" w:rsidRDefault="000C20CB" w:rsidP="00C754AC">
      <w:pPr>
        <w:spacing w:after="120"/>
        <w:jc w:val="both"/>
        <w:rPr>
          <w:rFonts w:eastAsia="Calibri" w:cs="Calibri"/>
          <w:sz w:val="22"/>
          <w:szCs w:val="22"/>
        </w:rPr>
      </w:pPr>
      <w:r w:rsidRPr="00DA76FF">
        <w:rPr>
          <w:rFonts w:eastAsia="Calibri" w:cs="Calibri"/>
          <w:b/>
          <w:bCs/>
          <w:sz w:val="22"/>
          <w:szCs w:val="22"/>
        </w:rPr>
        <w:t xml:space="preserve">WSIS+20 </w:t>
      </w:r>
      <w:r>
        <w:rPr>
          <w:rFonts w:eastAsia="Calibri" w:cs="Calibri"/>
          <w:b/>
          <w:bCs/>
          <w:sz w:val="22"/>
          <w:szCs w:val="22"/>
        </w:rPr>
        <w:t>r</w:t>
      </w:r>
      <w:r w:rsidRPr="00DA76FF">
        <w:rPr>
          <w:rFonts w:eastAsia="Calibri" w:cs="Calibri"/>
          <w:b/>
          <w:bCs/>
          <w:sz w:val="22"/>
          <w:szCs w:val="22"/>
        </w:rPr>
        <w:t>eview</w:t>
      </w:r>
      <w:r>
        <w:rPr>
          <w:rFonts w:eastAsia="Calibri" w:cs="Calibri"/>
          <w:b/>
          <w:bCs/>
          <w:sz w:val="22"/>
          <w:szCs w:val="22"/>
        </w:rPr>
        <w:t xml:space="preserve"> preparation</w:t>
      </w:r>
      <w:r w:rsidRPr="00DA76FF">
        <w:rPr>
          <w:rFonts w:eastAsia="Calibri" w:cs="Calibri"/>
          <w:sz w:val="22"/>
          <w:szCs w:val="22"/>
        </w:rPr>
        <w:t xml:space="preserve">: </w:t>
      </w:r>
      <w:r w:rsidR="00D20557" w:rsidRPr="00DA76FF">
        <w:rPr>
          <w:rFonts w:eastAsia="Calibri" w:cs="Calibri"/>
          <w:sz w:val="22"/>
          <w:szCs w:val="22"/>
        </w:rPr>
        <w:t>Th</w:t>
      </w:r>
      <w:r w:rsidR="00794052">
        <w:rPr>
          <w:rFonts w:eastAsia="Calibri" w:cs="Calibri"/>
          <w:sz w:val="22"/>
          <w:szCs w:val="22"/>
        </w:rPr>
        <w:t>e</w:t>
      </w:r>
      <w:r w:rsidR="00D20557" w:rsidRPr="00DA76FF">
        <w:rPr>
          <w:rFonts w:eastAsia="Calibri" w:cs="Calibri"/>
          <w:sz w:val="22"/>
          <w:szCs w:val="22"/>
        </w:rPr>
        <w:t xml:space="preserve"> year saw a strengthened multistakeholder approach, contributing to the WSIS objectives in advancing </w:t>
      </w:r>
      <w:r w:rsidR="008C21BD">
        <w:rPr>
          <w:rFonts w:eastAsia="Calibri" w:cs="Calibri"/>
          <w:sz w:val="22"/>
          <w:szCs w:val="22"/>
        </w:rPr>
        <w:t>information and communication technologies (</w:t>
      </w:r>
      <w:r w:rsidR="00D20557" w:rsidRPr="00DA76FF">
        <w:rPr>
          <w:rFonts w:eastAsia="Calibri" w:cs="Calibri"/>
          <w:sz w:val="22"/>
          <w:szCs w:val="22"/>
        </w:rPr>
        <w:t>ICT</w:t>
      </w:r>
      <w:r w:rsidR="008C21BD">
        <w:rPr>
          <w:rFonts w:eastAsia="Calibri" w:cs="Calibri"/>
          <w:sz w:val="22"/>
          <w:szCs w:val="22"/>
        </w:rPr>
        <w:t>s)</w:t>
      </w:r>
      <w:r w:rsidR="00D20557" w:rsidRPr="00DA76FF">
        <w:rPr>
          <w:rFonts w:eastAsia="Calibri" w:cs="Calibri"/>
          <w:sz w:val="22"/>
          <w:szCs w:val="22"/>
        </w:rPr>
        <w:t xml:space="preserve"> for development. The WSIS </w:t>
      </w:r>
      <w:r w:rsidR="00BA6114">
        <w:rPr>
          <w:rFonts w:eastAsia="Calibri" w:cs="Calibri"/>
          <w:sz w:val="22"/>
          <w:szCs w:val="22"/>
        </w:rPr>
        <w:t>p</w:t>
      </w:r>
      <w:r w:rsidR="00D20557" w:rsidRPr="00DA76FF">
        <w:rPr>
          <w:rFonts w:eastAsia="Calibri" w:cs="Calibri"/>
          <w:sz w:val="22"/>
          <w:szCs w:val="22"/>
        </w:rPr>
        <w:t xml:space="preserve">rocess remains central to the global dialogue on ICT and development, with continued emphasis on </w:t>
      </w:r>
      <w:r w:rsidR="00737F97">
        <w:rPr>
          <w:rFonts w:eastAsia="Calibri" w:cs="Calibri"/>
          <w:sz w:val="22"/>
          <w:szCs w:val="22"/>
        </w:rPr>
        <w:t xml:space="preserve">broad multistakeholder </w:t>
      </w:r>
      <w:r w:rsidR="00D20557" w:rsidRPr="00DA76FF">
        <w:rPr>
          <w:rFonts w:eastAsia="Calibri" w:cs="Calibri"/>
          <w:sz w:val="22"/>
          <w:szCs w:val="22"/>
        </w:rPr>
        <w:t xml:space="preserve">collaboration. ITU, together with other </w:t>
      </w:r>
      <w:r w:rsidR="00554B31">
        <w:rPr>
          <w:rFonts w:eastAsia="Calibri" w:cs="Calibri"/>
          <w:sz w:val="22"/>
          <w:szCs w:val="22"/>
        </w:rPr>
        <w:t xml:space="preserve">UN agencies serving as </w:t>
      </w:r>
      <w:r w:rsidR="00D20557" w:rsidRPr="00DA76FF">
        <w:rPr>
          <w:rFonts w:eastAsia="Calibri" w:cs="Calibri"/>
          <w:sz w:val="22"/>
          <w:szCs w:val="22"/>
        </w:rPr>
        <w:t xml:space="preserve">WSIS Action Line facilitators, highlighted key milestones, challenges, and emerging trends </w:t>
      </w:r>
      <w:r w:rsidR="00B542BD">
        <w:rPr>
          <w:rFonts w:eastAsia="Calibri" w:cs="Calibri"/>
          <w:sz w:val="22"/>
          <w:szCs w:val="22"/>
        </w:rPr>
        <w:t xml:space="preserve">that could shape digital cooperation </w:t>
      </w:r>
      <w:r w:rsidR="00D20557" w:rsidRPr="00DA76FF">
        <w:rPr>
          <w:rFonts w:eastAsia="Calibri" w:cs="Calibri"/>
          <w:sz w:val="22"/>
          <w:szCs w:val="22"/>
        </w:rPr>
        <w:t xml:space="preserve">beyond 2025 in each </w:t>
      </w:r>
      <w:r w:rsidR="00B542BD">
        <w:rPr>
          <w:rFonts w:eastAsia="Calibri" w:cs="Calibri"/>
          <w:sz w:val="22"/>
          <w:szCs w:val="22"/>
        </w:rPr>
        <w:t xml:space="preserve">of the </w:t>
      </w:r>
      <w:hyperlink r:id="rId147" w:anchor="actionLines" w:history="1">
        <w:r w:rsidR="00D20557" w:rsidRPr="00B542BD">
          <w:rPr>
            <w:rStyle w:val="Hyperlink"/>
            <w:rFonts w:eastAsia="Calibri" w:cs="Calibri"/>
            <w:sz w:val="22"/>
            <w:szCs w:val="22"/>
          </w:rPr>
          <w:t xml:space="preserve">WSIS </w:t>
        </w:r>
        <w:r w:rsidR="00C74523">
          <w:rPr>
            <w:rStyle w:val="Hyperlink"/>
            <w:rFonts w:eastAsia="Calibri" w:cs="Calibri"/>
            <w:sz w:val="22"/>
            <w:szCs w:val="22"/>
          </w:rPr>
          <w:t>a</w:t>
        </w:r>
        <w:r w:rsidR="00D20557" w:rsidRPr="00B542BD">
          <w:rPr>
            <w:rStyle w:val="Hyperlink"/>
            <w:rFonts w:eastAsia="Calibri" w:cs="Calibri"/>
            <w:sz w:val="22"/>
            <w:szCs w:val="22"/>
          </w:rPr>
          <w:t xml:space="preserve">ction </w:t>
        </w:r>
        <w:r w:rsidR="00C74523">
          <w:rPr>
            <w:rStyle w:val="Hyperlink"/>
            <w:rFonts w:eastAsia="Calibri" w:cs="Calibri"/>
            <w:sz w:val="22"/>
            <w:szCs w:val="22"/>
          </w:rPr>
          <w:t>l</w:t>
        </w:r>
        <w:r w:rsidR="00D20557" w:rsidRPr="00B542BD">
          <w:rPr>
            <w:rStyle w:val="Hyperlink"/>
            <w:rFonts w:eastAsia="Calibri" w:cs="Calibri"/>
            <w:sz w:val="22"/>
            <w:szCs w:val="22"/>
          </w:rPr>
          <w:t>ine</w:t>
        </w:r>
        <w:r w:rsidR="00B542BD" w:rsidRPr="00B542BD">
          <w:rPr>
            <w:rStyle w:val="Hyperlink"/>
            <w:rFonts w:eastAsia="Calibri" w:cs="Calibri"/>
            <w:sz w:val="22"/>
            <w:szCs w:val="22"/>
          </w:rPr>
          <w:t>s</w:t>
        </w:r>
      </w:hyperlink>
      <w:r w:rsidR="00D20557" w:rsidRPr="00DA76FF">
        <w:rPr>
          <w:rFonts w:eastAsia="Calibri" w:cs="Calibri"/>
          <w:sz w:val="22"/>
          <w:szCs w:val="22"/>
        </w:rPr>
        <w:t>.</w:t>
      </w:r>
    </w:p>
    <w:p w14:paraId="685858CF" w14:textId="30BB0D47" w:rsidR="000C20CB" w:rsidRPr="008D2FB0" w:rsidRDefault="000C20CB" w:rsidP="00B96F88">
      <w:pPr>
        <w:keepNext/>
        <w:keepLines/>
        <w:spacing w:after="120"/>
        <w:jc w:val="both"/>
        <w:rPr>
          <w:b/>
          <w:bCs/>
          <w:sz w:val="22"/>
          <w:szCs w:val="22"/>
        </w:rPr>
      </w:pPr>
      <w:r w:rsidRPr="008D2FB0">
        <w:rPr>
          <w:b/>
          <w:bCs/>
          <w:sz w:val="22"/>
          <w:szCs w:val="22"/>
        </w:rPr>
        <w:lastRenderedPageBreak/>
        <w:t>Joint preparatory process</w:t>
      </w:r>
    </w:p>
    <w:p w14:paraId="712071C9" w14:textId="66DF7FF2" w:rsidR="00D20557" w:rsidRPr="00DA76FF" w:rsidRDefault="00D20557" w:rsidP="00B96F88">
      <w:pPr>
        <w:keepNext/>
        <w:keepLines/>
        <w:spacing w:after="120"/>
        <w:jc w:val="both"/>
        <w:rPr>
          <w:rFonts w:eastAsia="Calibri" w:cs="Calibri"/>
          <w:sz w:val="22"/>
          <w:szCs w:val="22"/>
        </w:rPr>
      </w:pPr>
      <w:r w:rsidRPr="00DA76FF">
        <w:rPr>
          <w:rFonts w:eastAsia="Calibri" w:cs="Calibri"/>
          <w:sz w:val="22"/>
          <w:szCs w:val="22"/>
        </w:rPr>
        <w:t xml:space="preserve">ITU initiated the </w:t>
      </w:r>
      <w:hyperlink r:id="rId148" w:history="1">
        <w:r w:rsidR="000C20CB" w:rsidRPr="00DA76FF">
          <w:rPr>
            <w:rStyle w:val="Hyperlink"/>
            <w:rFonts w:eastAsia="Calibri" w:cs="Calibri"/>
            <w:sz w:val="22"/>
            <w:szCs w:val="22"/>
          </w:rPr>
          <w:t>WSIS+20 Joint Preparatory Process</w:t>
        </w:r>
      </w:hyperlink>
      <w:r w:rsidRPr="00DA76FF">
        <w:rPr>
          <w:rFonts w:eastAsia="Calibri" w:cs="Calibri"/>
          <w:sz w:val="22"/>
          <w:szCs w:val="22"/>
        </w:rPr>
        <w:t xml:space="preserve"> in collaboration with key UN partners such as </w:t>
      </w:r>
      <w:r w:rsidR="00C139AC">
        <w:rPr>
          <w:rFonts w:eastAsia="Calibri" w:cs="Calibri"/>
          <w:sz w:val="22"/>
          <w:szCs w:val="22"/>
        </w:rPr>
        <w:t>the UN Department for Economic and Social Affairs (</w:t>
      </w:r>
      <w:r w:rsidRPr="00DA76FF">
        <w:rPr>
          <w:rFonts w:eastAsia="Calibri" w:cs="Calibri"/>
          <w:sz w:val="22"/>
          <w:szCs w:val="22"/>
        </w:rPr>
        <w:t>UNDESA</w:t>
      </w:r>
      <w:r w:rsidR="00C139AC">
        <w:rPr>
          <w:rFonts w:eastAsia="Calibri" w:cs="Calibri"/>
          <w:sz w:val="22"/>
          <w:szCs w:val="22"/>
        </w:rPr>
        <w:t>)</w:t>
      </w:r>
      <w:r w:rsidRPr="00DA76FF">
        <w:rPr>
          <w:rFonts w:eastAsia="Calibri" w:cs="Calibri"/>
          <w:sz w:val="22"/>
          <w:szCs w:val="22"/>
        </w:rPr>
        <w:t xml:space="preserve">, UNESCO, UNCTAD (CSTD), and </w:t>
      </w:r>
      <w:r w:rsidR="00C139AC">
        <w:rPr>
          <w:rFonts w:eastAsia="Calibri" w:cs="Calibri"/>
          <w:sz w:val="22"/>
          <w:szCs w:val="22"/>
        </w:rPr>
        <w:t xml:space="preserve">the </w:t>
      </w:r>
      <w:r w:rsidR="00C139AC" w:rsidRPr="00C139AC">
        <w:rPr>
          <w:rFonts w:eastAsia="Calibri" w:cs="Calibri"/>
          <w:sz w:val="22"/>
          <w:szCs w:val="22"/>
        </w:rPr>
        <w:t>United Nations Development Programme (UNDP)</w:t>
      </w:r>
      <w:r w:rsidRPr="00DA76FF">
        <w:rPr>
          <w:rFonts w:eastAsia="Calibri" w:cs="Calibri"/>
          <w:sz w:val="22"/>
          <w:szCs w:val="22"/>
        </w:rPr>
        <w:t xml:space="preserve">. This initiative has been crucial in preparing for the WSIS+20 review, ensuring that all relevant stakeholders are involved in the ongoing review of WSIS outcomes. A calendar of key milestone events has been scheduled and made available. The ITU Secretary-General has </w:t>
      </w:r>
      <w:r w:rsidR="00BB7F77" w:rsidRPr="00DA76FF">
        <w:rPr>
          <w:rFonts w:eastAsia="Calibri" w:cs="Calibri"/>
          <w:sz w:val="22"/>
          <w:szCs w:val="22"/>
        </w:rPr>
        <w:t>taken key step</w:t>
      </w:r>
      <w:r w:rsidRPr="00DA76FF">
        <w:rPr>
          <w:rFonts w:eastAsia="Calibri" w:cs="Calibri"/>
          <w:sz w:val="22"/>
          <w:szCs w:val="22"/>
        </w:rPr>
        <w:t xml:space="preserve"> to </w:t>
      </w:r>
      <w:r w:rsidR="00BB7F77" w:rsidRPr="00DA76FF">
        <w:rPr>
          <w:rFonts w:eastAsia="Calibri" w:cs="Calibri"/>
          <w:sz w:val="22"/>
          <w:szCs w:val="22"/>
        </w:rPr>
        <w:t>enhance</w:t>
      </w:r>
      <w:r w:rsidRPr="00DA76FF">
        <w:rPr>
          <w:rFonts w:eastAsia="Calibri" w:cs="Calibri"/>
          <w:sz w:val="22"/>
          <w:szCs w:val="22"/>
        </w:rPr>
        <w:t xml:space="preserve"> communication and information flow between the New York and Geneva </w:t>
      </w:r>
      <w:r w:rsidR="00BB7F77" w:rsidRPr="00DA76FF">
        <w:rPr>
          <w:rFonts w:eastAsia="Calibri" w:cs="Calibri"/>
          <w:sz w:val="22"/>
          <w:szCs w:val="22"/>
        </w:rPr>
        <w:t xml:space="preserve">diplomatic </w:t>
      </w:r>
      <w:r w:rsidRPr="00DA76FF">
        <w:rPr>
          <w:rFonts w:eastAsia="Calibri" w:cs="Calibri"/>
          <w:sz w:val="22"/>
          <w:szCs w:val="22"/>
        </w:rPr>
        <w:t>communities.</w:t>
      </w:r>
    </w:p>
    <w:p w14:paraId="74D5D9CF" w14:textId="265D798D" w:rsidR="000C20CB" w:rsidRPr="008D2FB0" w:rsidRDefault="000C20CB" w:rsidP="00C754AC">
      <w:pPr>
        <w:spacing w:after="120"/>
        <w:jc w:val="both"/>
        <w:rPr>
          <w:rFonts w:eastAsia="Calibri" w:cs="Calibri"/>
          <w:b/>
          <w:bCs/>
          <w:sz w:val="22"/>
          <w:szCs w:val="22"/>
        </w:rPr>
      </w:pPr>
      <w:r w:rsidRPr="008D2FB0">
        <w:rPr>
          <w:b/>
          <w:bCs/>
          <w:sz w:val="22"/>
          <w:szCs w:val="22"/>
        </w:rPr>
        <w:t>Call for input</w:t>
      </w:r>
    </w:p>
    <w:p w14:paraId="73456F36" w14:textId="28161ED4" w:rsidR="00D20557" w:rsidRDefault="00D20557" w:rsidP="00C754AC">
      <w:pPr>
        <w:spacing w:after="120"/>
        <w:jc w:val="both"/>
        <w:rPr>
          <w:rFonts w:eastAsia="Calibri" w:cs="Calibri"/>
          <w:sz w:val="22"/>
          <w:szCs w:val="22"/>
        </w:rPr>
      </w:pPr>
      <w:r w:rsidRPr="00DA76FF">
        <w:rPr>
          <w:rFonts w:eastAsia="Calibri" w:cs="Calibri"/>
          <w:sz w:val="22"/>
          <w:szCs w:val="22"/>
        </w:rPr>
        <w:t xml:space="preserve">The ITU Council </w:t>
      </w:r>
      <w:r w:rsidR="00C139AC" w:rsidRPr="00DA76FF">
        <w:rPr>
          <w:rFonts w:eastAsia="Calibri" w:cs="Calibri"/>
          <w:sz w:val="22"/>
          <w:szCs w:val="22"/>
        </w:rPr>
        <w:t xml:space="preserve">Working Group </w:t>
      </w:r>
      <w:r w:rsidR="00BB7F77" w:rsidRPr="00DA76FF">
        <w:rPr>
          <w:rFonts w:eastAsia="Calibri" w:cs="Calibri"/>
          <w:sz w:val="22"/>
          <w:szCs w:val="22"/>
        </w:rPr>
        <w:t>on WSIS and S</w:t>
      </w:r>
      <w:r w:rsidR="00A82C98">
        <w:rPr>
          <w:rFonts w:eastAsia="Calibri" w:cs="Calibri"/>
          <w:sz w:val="22"/>
          <w:szCs w:val="22"/>
        </w:rPr>
        <w:t xml:space="preserve">ustainable </w:t>
      </w:r>
      <w:r w:rsidR="00BB7F77" w:rsidRPr="00DA76FF">
        <w:rPr>
          <w:rFonts w:eastAsia="Calibri" w:cs="Calibri"/>
          <w:sz w:val="22"/>
          <w:szCs w:val="22"/>
        </w:rPr>
        <w:t>D</w:t>
      </w:r>
      <w:r w:rsidR="00A82C98">
        <w:rPr>
          <w:rFonts w:eastAsia="Calibri" w:cs="Calibri"/>
          <w:sz w:val="22"/>
          <w:szCs w:val="22"/>
        </w:rPr>
        <w:t xml:space="preserve">evelopment </w:t>
      </w:r>
      <w:r w:rsidR="00BB7F77" w:rsidRPr="00DA76FF">
        <w:rPr>
          <w:rFonts w:eastAsia="Calibri" w:cs="Calibri"/>
          <w:sz w:val="22"/>
          <w:szCs w:val="22"/>
        </w:rPr>
        <w:t>G</w:t>
      </w:r>
      <w:r w:rsidR="00A82C98">
        <w:rPr>
          <w:rFonts w:eastAsia="Calibri" w:cs="Calibri"/>
          <w:sz w:val="22"/>
          <w:szCs w:val="22"/>
        </w:rPr>
        <w:t>oal</w:t>
      </w:r>
      <w:r w:rsidR="00BB7F77" w:rsidRPr="00DA76FF">
        <w:rPr>
          <w:rFonts w:eastAsia="Calibri" w:cs="Calibri"/>
          <w:sz w:val="22"/>
          <w:szCs w:val="22"/>
        </w:rPr>
        <w:t xml:space="preserve">s </w:t>
      </w:r>
      <w:r w:rsidR="00C139AC">
        <w:rPr>
          <w:rFonts w:eastAsia="Calibri" w:cs="Calibri"/>
          <w:sz w:val="22"/>
          <w:szCs w:val="22"/>
        </w:rPr>
        <w:t xml:space="preserve">(CWG-WSIS&amp;SDG) </w:t>
      </w:r>
      <w:r w:rsidRPr="00DA76FF">
        <w:rPr>
          <w:rFonts w:eastAsia="Calibri" w:cs="Calibri"/>
          <w:sz w:val="22"/>
          <w:szCs w:val="22"/>
        </w:rPr>
        <w:t xml:space="preserve">launched the </w:t>
      </w:r>
      <w:hyperlink r:id="rId149" w:history="1">
        <w:r w:rsidR="000C20CB" w:rsidRPr="00DA76FF">
          <w:rPr>
            <w:rStyle w:val="Hyperlink"/>
            <w:rFonts w:eastAsia="Calibri" w:cs="Calibri"/>
            <w:sz w:val="22"/>
            <w:szCs w:val="22"/>
          </w:rPr>
          <w:t>ITU Call for Input on WSIS+20</w:t>
        </w:r>
      </w:hyperlink>
      <w:r w:rsidRPr="00DA76FF">
        <w:rPr>
          <w:rFonts w:eastAsia="Calibri" w:cs="Calibri"/>
          <w:sz w:val="22"/>
          <w:szCs w:val="22"/>
        </w:rPr>
        <w:t>, inviting stakeholders to provide feedback on ITU’s role in implementing the outcomes of WSIS since 2003. This open call is a vital part of the preparatory process for WSIS+20, promoting multistakeholder input on the impact of WSIS over the past two decades and its vision beyond 2025.</w:t>
      </w:r>
    </w:p>
    <w:p w14:paraId="47665D77" w14:textId="77777777" w:rsidR="00C139AC" w:rsidRDefault="00AB6F18" w:rsidP="00C754AC">
      <w:pPr>
        <w:spacing w:after="120"/>
        <w:jc w:val="both"/>
        <w:rPr>
          <w:b/>
          <w:bCs/>
        </w:rPr>
      </w:pPr>
      <w:r>
        <w:rPr>
          <w:rFonts w:eastAsia="Calibri" w:cs="Calibri"/>
          <w:b/>
          <w:bCs/>
          <w:sz w:val="22"/>
          <w:szCs w:val="22"/>
        </w:rPr>
        <w:t>Strategic</w:t>
      </w:r>
      <w:r w:rsidR="003C1BA4" w:rsidRPr="008D2FB0">
        <w:rPr>
          <w:rFonts w:eastAsia="Calibri" w:cs="Calibri"/>
          <w:b/>
          <w:bCs/>
          <w:sz w:val="22"/>
          <w:szCs w:val="22"/>
        </w:rPr>
        <w:t xml:space="preserve"> positioning</w:t>
      </w:r>
      <w:r>
        <w:t xml:space="preserve"> </w:t>
      </w:r>
      <w:r w:rsidRPr="008D2FB0">
        <w:rPr>
          <w:b/>
          <w:bCs/>
        </w:rPr>
        <w:t>of UNGIS</w:t>
      </w:r>
    </w:p>
    <w:p w14:paraId="49C86DBE" w14:textId="478EABEC" w:rsidR="00D20557" w:rsidRPr="00DA76FF" w:rsidRDefault="00D20557" w:rsidP="00C754AC">
      <w:pPr>
        <w:spacing w:after="120"/>
        <w:jc w:val="both"/>
        <w:rPr>
          <w:rFonts w:eastAsia="Calibri" w:cs="Calibri"/>
          <w:sz w:val="22"/>
          <w:szCs w:val="22"/>
        </w:rPr>
      </w:pPr>
      <w:r w:rsidRPr="00DA76FF">
        <w:rPr>
          <w:rFonts w:eastAsia="Calibri" w:cs="Calibri"/>
          <w:sz w:val="22"/>
          <w:szCs w:val="22"/>
        </w:rPr>
        <w:t>As the permanent secretariat of</w:t>
      </w:r>
      <w:r w:rsidR="003C1BA4">
        <w:rPr>
          <w:rFonts w:eastAsia="Calibri" w:cs="Calibri"/>
          <w:sz w:val="22"/>
          <w:szCs w:val="22"/>
        </w:rPr>
        <w:t xml:space="preserve"> the</w:t>
      </w:r>
      <w:r w:rsidRPr="00DA76FF">
        <w:rPr>
          <w:rFonts w:eastAsia="Calibri" w:cs="Calibri"/>
          <w:sz w:val="22"/>
          <w:szCs w:val="22"/>
        </w:rPr>
        <w:t xml:space="preserve"> </w:t>
      </w:r>
      <w:hyperlink r:id="rId150" w:history="1">
        <w:r w:rsidR="003C1BA4" w:rsidRPr="00DA76FF">
          <w:rPr>
            <w:rStyle w:val="Hyperlink"/>
            <w:rFonts w:eastAsia="Calibri" w:cs="Calibri"/>
            <w:sz w:val="22"/>
            <w:szCs w:val="22"/>
          </w:rPr>
          <w:t>United Nations Group on the Information S</w:t>
        </w:r>
      </w:hyperlink>
      <w:r w:rsidR="003C1BA4" w:rsidRPr="00DA76FF">
        <w:rPr>
          <w:rStyle w:val="Hyperlink"/>
        </w:rPr>
        <w:t>ociety</w:t>
      </w:r>
      <w:r w:rsidR="003C1BA4" w:rsidRPr="00DA76FF" w:rsidDel="003C1BA4">
        <w:rPr>
          <w:rFonts w:eastAsia="Calibri" w:cs="Calibri"/>
          <w:sz w:val="22"/>
          <w:szCs w:val="22"/>
        </w:rPr>
        <w:t xml:space="preserve"> </w:t>
      </w:r>
      <w:r w:rsidR="003C1BA4">
        <w:rPr>
          <w:rFonts w:eastAsia="Calibri" w:cs="Calibri"/>
          <w:sz w:val="22"/>
          <w:szCs w:val="22"/>
        </w:rPr>
        <w:t>(UNGIS)</w:t>
      </w:r>
      <w:r w:rsidRPr="00DA76FF">
        <w:rPr>
          <w:rFonts w:eastAsia="Calibri" w:cs="Calibri"/>
          <w:sz w:val="22"/>
          <w:szCs w:val="22"/>
        </w:rPr>
        <w:t xml:space="preserve"> and the </w:t>
      </w:r>
      <w:r w:rsidR="003C1BA4">
        <w:rPr>
          <w:rFonts w:eastAsia="Calibri" w:cs="Calibri"/>
          <w:sz w:val="22"/>
          <w:szCs w:val="22"/>
        </w:rPr>
        <w:t xml:space="preserve">group’s </w:t>
      </w:r>
      <w:r w:rsidRPr="00DA76FF">
        <w:rPr>
          <w:rFonts w:eastAsia="Calibri" w:cs="Calibri"/>
          <w:sz w:val="22"/>
          <w:szCs w:val="22"/>
        </w:rPr>
        <w:t xml:space="preserve">vice-chair in 2024, ITU continued to strengthen UNGIS as a well-functioning mechanism for digital cooperation. UNGIS actively contributed to various global processes through side events and joint inputs, including at the High-Level Political Forum, Internet Governance Forum, Summit of the Future, and discussions on the Global Digital Compact. ITU maintains the UNGIS website, including the Digital Transformation Repository, which serves as a reference guide and repository for UN agencies on </w:t>
      </w:r>
      <w:r w:rsidR="009B1AC2">
        <w:rPr>
          <w:rFonts w:eastAsia="Calibri" w:cs="Calibri"/>
          <w:sz w:val="22"/>
          <w:szCs w:val="22"/>
        </w:rPr>
        <w:t xml:space="preserve">the implementation of </w:t>
      </w:r>
      <w:r w:rsidRPr="00DA76FF">
        <w:rPr>
          <w:rFonts w:eastAsia="Calibri" w:cs="Calibri"/>
          <w:sz w:val="22"/>
          <w:szCs w:val="22"/>
        </w:rPr>
        <w:t xml:space="preserve">various initiatives, showcasing the direct impact of WSIS </w:t>
      </w:r>
      <w:r w:rsidR="00C74523">
        <w:rPr>
          <w:rFonts w:eastAsia="Calibri" w:cs="Calibri"/>
          <w:sz w:val="22"/>
          <w:szCs w:val="22"/>
        </w:rPr>
        <w:t>a</w:t>
      </w:r>
      <w:r w:rsidRPr="00DA76FF">
        <w:rPr>
          <w:rFonts w:eastAsia="Calibri" w:cs="Calibri"/>
          <w:sz w:val="22"/>
          <w:szCs w:val="22"/>
        </w:rPr>
        <w:t xml:space="preserve">ction </w:t>
      </w:r>
      <w:r w:rsidR="00C74523">
        <w:rPr>
          <w:rFonts w:eastAsia="Calibri" w:cs="Calibri"/>
          <w:sz w:val="22"/>
          <w:szCs w:val="22"/>
        </w:rPr>
        <w:t>l</w:t>
      </w:r>
      <w:r w:rsidRPr="00DA76FF">
        <w:rPr>
          <w:rFonts w:eastAsia="Calibri" w:cs="Calibri"/>
          <w:sz w:val="22"/>
          <w:szCs w:val="22"/>
        </w:rPr>
        <w:t>ines.</w:t>
      </w:r>
    </w:p>
    <w:p w14:paraId="57CBBFE0" w14:textId="77777777" w:rsidR="00841176" w:rsidRDefault="00D20557" w:rsidP="00C754AC">
      <w:pPr>
        <w:spacing w:after="120"/>
        <w:jc w:val="both"/>
        <w:rPr>
          <w:rFonts w:eastAsia="Calibri" w:cs="Calibri"/>
          <w:b/>
          <w:bCs/>
          <w:sz w:val="22"/>
          <w:szCs w:val="22"/>
        </w:rPr>
      </w:pPr>
      <w:r w:rsidRPr="00DA76FF">
        <w:rPr>
          <w:rFonts w:eastAsia="Calibri" w:cs="Calibri"/>
          <w:b/>
          <w:bCs/>
          <w:sz w:val="22"/>
          <w:szCs w:val="22"/>
        </w:rPr>
        <w:t xml:space="preserve">Linking WSIS with </w:t>
      </w:r>
      <w:r w:rsidR="00AB6F18">
        <w:rPr>
          <w:rFonts w:eastAsia="Calibri" w:cs="Calibri"/>
          <w:b/>
          <w:bCs/>
          <w:sz w:val="22"/>
          <w:szCs w:val="22"/>
        </w:rPr>
        <w:t>o</w:t>
      </w:r>
      <w:r w:rsidRPr="00DA76FF">
        <w:rPr>
          <w:rFonts w:eastAsia="Calibri" w:cs="Calibri"/>
          <w:b/>
          <w:bCs/>
          <w:sz w:val="22"/>
          <w:szCs w:val="22"/>
        </w:rPr>
        <w:t xml:space="preserve">ther UN </w:t>
      </w:r>
      <w:r w:rsidR="00AB6F18">
        <w:rPr>
          <w:rFonts w:eastAsia="Calibri" w:cs="Calibri"/>
          <w:b/>
          <w:bCs/>
          <w:sz w:val="22"/>
          <w:szCs w:val="22"/>
        </w:rPr>
        <w:t>p</w:t>
      </w:r>
      <w:r w:rsidRPr="00DA76FF">
        <w:rPr>
          <w:rFonts w:eastAsia="Calibri" w:cs="Calibri"/>
          <w:b/>
          <w:bCs/>
          <w:sz w:val="22"/>
          <w:szCs w:val="22"/>
        </w:rPr>
        <w:t>rocesses</w:t>
      </w:r>
    </w:p>
    <w:p w14:paraId="2926E712" w14:textId="5847DBE5" w:rsidR="00D20557" w:rsidRDefault="00D20557" w:rsidP="00C754AC">
      <w:pPr>
        <w:spacing w:after="120"/>
        <w:jc w:val="both"/>
        <w:rPr>
          <w:rFonts w:eastAsia="Calibri" w:cs="Calibri"/>
          <w:sz w:val="22"/>
          <w:szCs w:val="22"/>
        </w:rPr>
      </w:pPr>
      <w:r w:rsidRPr="00DA76FF">
        <w:rPr>
          <w:rFonts w:eastAsia="Calibri" w:cs="Calibri"/>
          <w:sz w:val="22"/>
          <w:szCs w:val="22"/>
        </w:rPr>
        <w:t xml:space="preserve">ITU continued its efforts to connect WSIS with other major UN processes, highlighting the importance of </w:t>
      </w:r>
      <w:r w:rsidR="00C751B7">
        <w:rPr>
          <w:rFonts w:eastAsia="Calibri" w:cs="Calibri"/>
          <w:sz w:val="22"/>
          <w:szCs w:val="22"/>
        </w:rPr>
        <w:t>tech to drive</w:t>
      </w:r>
      <w:r w:rsidRPr="00DA76FF">
        <w:rPr>
          <w:rFonts w:eastAsia="Calibri" w:cs="Calibri"/>
          <w:sz w:val="22"/>
          <w:szCs w:val="22"/>
        </w:rPr>
        <w:t xml:space="preserve"> </w:t>
      </w:r>
      <w:r w:rsidR="00E6476B">
        <w:rPr>
          <w:rFonts w:eastAsia="Calibri" w:cs="Calibri"/>
          <w:sz w:val="22"/>
          <w:szCs w:val="22"/>
        </w:rPr>
        <w:t xml:space="preserve">socio-economic </w:t>
      </w:r>
      <w:r w:rsidRPr="00DA76FF">
        <w:rPr>
          <w:rFonts w:eastAsia="Calibri" w:cs="Calibri"/>
          <w:sz w:val="22"/>
          <w:szCs w:val="22"/>
        </w:rPr>
        <w:t>development and address emerging global challenges. These efforts were especially visible in ITU’s coordination of inputs to the G</w:t>
      </w:r>
      <w:r w:rsidR="00BD4D26">
        <w:rPr>
          <w:rFonts w:eastAsia="Calibri" w:cs="Calibri"/>
          <w:sz w:val="22"/>
          <w:szCs w:val="22"/>
        </w:rPr>
        <w:t xml:space="preserve">lobal </w:t>
      </w:r>
      <w:r w:rsidRPr="00DA76FF">
        <w:rPr>
          <w:rFonts w:eastAsia="Calibri" w:cs="Calibri"/>
          <w:sz w:val="22"/>
          <w:szCs w:val="22"/>
        </w:rPr>
        <w:t>D</w:t>
      </w:r>
      <w:r w:rsidR="00BD4D26">
        <w:rPr>
          <w:rFonts w:eastAsia="Calibri" w:cs="Calibri"/>
          <w:sz w:val="22"/>
          <w:szCs w:val="22"/>
        </w:rPr>
        <w:t xml:space="preserve">igital </w:t>
      </w:r>
      <w:r w:rsidRPr="00DA76FF">
        <w:rPr>
          <w:rFonts w:eastAsia="Calibri" w:cs="Calibri"/>
          <w:sz w:val="22"/>
          <w:szCs w:val="22"/>
        </w:rPr>
        <w:t>C</w:t>
      </w:r>
      <w:r w:rsidR="00BD4D26">
        <w:rPr>
          <w:rFonts w:eastAsia="Calibri" w:cs="Calibri"/>
          <w:sz w:val="22"/>
          <w:szCs w:val="22"/>
        </w:rPr>
        <w:t>ompact</w:t>
      </w:r>
      <w:r w:rsidRPr="00DA76FF">
        <w:rPr>
          <w:rFonts w:eastAsia="Calibri" w:cs="Calibri"/>
          <w:sz w:val="22"/>
          <w:szCs w:val="22"/>
        </w:rPr>
        <w:t xml:space="preserve"> and organization of key side events.</w:t>
      </w:r>
    </w:p>
    <w:p w14:paraId="300D34CB" w14:textId="1B3893EA" w:rsidR="007F7F62" w:rsidRPr="008D2FB0" w:rsidRDefault="007F7F62" w:rsidP="00C754AC">
      <w:pPr>
        <w:spacing w:after="120"/>
        <w:jc w:val="both"/>
        <w:rPr>
          <w:rFonts w:eastAsia="Calibri" w:cs="Calibri"/>
          <w:b/>
          <w:bCs/>
          <w:sz w:val="22"/>
          <w:szCs w:val="22"/>
        </w:rPr>
      </w:pPr>
      <w:r w:rsidRPr="008D2FB0">
        <w:rPr>
          <w:rFonts w:eastAsia="Calibri" w:cs="Calibri"/>
          <w:b/>
          <w:bCs/>
          <w:sz w:val="22"/>
          <w:szCs w:val="22"/>
        </w:rPr>
        <w:t>Ongoing engagement and activities</w:t>
      </w:r>
    </w:p>
    <w:p w14:paraId="547B573C" w14:textId="61EE1943" w:rsidR="00D20557" w:rsidRPr="00DA76FF" w:rsidRDefault="00477FAE" w:rsidP="00C754AC">
      <w:pPr>
        <w:spacing w:after="120"/>
        <w:jc w:val="both"/>
        <w:rPr>
          <w:rFonts w:eastAsia="Calibri" w:cs="Calibri"/>
          <w:sz w:val="22"/>
          <w:szCs w:val="22"/>
        </w:rPr>
      </w:pPr>
      <w:r>
        <w:t xml:space="preserve">The </w:t>
      </w:r>
      <w:hyperlink r:id="rId151" w:history="1">
        <w:r w:rsidR="00D20557" w:rsidRPr="00DA76FF">
          <w:rPr>
            <w:rStyle w:val="Hyperlink"/>
            <w:rFonts w:eastAsia="Calibri" w:cs="Calibri"/>
            <w:sz w:val="22"/>
            <w:szCs w:val="22"/>
          </w:rPr>
          <w:t>WSIS Stocktaking</w:t>
        </w:r>
      </w:hyperlink>
      <w:r w:rsidR="00D20557" w:rsidRPr="00DA76FF">
        <w:rPr>
          <w:rFonts w:eastAsia="Calibri" w:cs="Calibri"/>
          <w:b/>
          <w:bCs/>
          <w:sz w:val="22"/>
          <w:szCs w:val="22"/>
        </w:rPr>
        <w:t xml:space="preserve"> </w:t>
      </w:r>
      <w:r w:rsidR="00D20557" w:rsidRPr="00DA76FF">
        <w:rPr>
          <w:rFonts w:eastAsia="Calibri" w:cs="Calibri"/>
          <w:sz w:val="22"/>
          <w:szCs w:val="22"/>
        </w:rPr>
        <w:t>platform, through its extensive database, continued to grow, reaching over 15</w:t>
      </w:r>
      <w:r w:rsidR="00841176">
        <w:rPr>
          <w:rFonts w:eastAsia="Calibri" w:cs="Calibri"/>
          <w:sz w:val="22"/>
          <w:szCs w:val="22"/>
        </w:rPr>
        <w:t> </w:t>
      </w:r>
      <w:r w:rsidR="00D20557" w:rsidRPr="00DA76FF">
        <w:rPr>
          <w:rFonts w:eastAsia="Calibri" w:cs="Calibri"/>
          <w:sz w:val="22"/>
          <w:szCs w:val="22"/>
        </w:rPr>
        <w:t>000 entries and 2.2</w:t>
      </w:r>
      <w:r w:rsidR="00841176">
        <w:rPr>
          <w:rFonts w:eastAsia="Calibri" w:cs="Calibri"/>
          <w:sz w:val="22"/>
          <w:szCs w:val="22"/>
        </w:rPr>
        <w:t> </w:t>
      </w:r>
      <w:r w:rsidR="00D20557" w:rsidRPr="00DA76FF">
        <w:rPr>
          <w:rFonts w:eastAsia="Calibri" w:cs="Calibri"/>
          <w:sz w:val="22"/>
          <w:szCs w:val="22"/>
        </w:rPr>
        <w:t>million stakeholders engaged in 2024. This platform, which provides annual and special reports (such as the WSIS+20 special report with Korea</w:t>
      </w:r>
      <w:r w:rsidR="00095EF2">
        <w:rPr>
          <w:rFonts w:eastAsia="Calibri" w:cs="Calibri"/>
          <w:sz w:val="22"/>
          <w:szCs w:val="22"/>
        </w:rPr>
        <w:t xml:space="preserve"> (Rep. of)</w:t>
      </w:r>
      <w:r w:rsidR="00D20557" w:rsidRPr="00DA76FF">
        <w:rPr>
          <w:rFonts w:eastAsia="Calibri" w:cs="Calibri"/>
          <w:sz w:val="22"/>
          <w:szCs w:val="22"/>
        </w:rPr>
        <w:t xml:space="preserve">), has become an analytical tool, offering insights into emerging trends and challenges in the implementation of WSIS </w:t>
      </w:r>
      <w:r>
        <w:rPr>
          <w:rFonts w:eastAsia="Calibri" w:cs="Calibri"/>
          <w:sz w:val="22"/>
          <w:szCs w:val="22"/>
        </w:rPr>
        <w:t>a</w:t>
      </w:r>
      <w:r w:rsidR="00D20557" w:rsidRPr="00DA76FF">
        <w:rPr>
          <w:rFonts w:eastAsia="Calibri" w:cs="Calibri"/>
          <w:sz w:val="22"/>
          <w:szCs w:val="22"/>
        </w:rPr>
        <w:t xml:space="preserve">ction </w:t>
      </w:r>
      <w:r>
        <w:rPr>
          <w:rFonts w:eastAsia="Calibri" w:cs="Calibri"/>
          <w:sz w:val="22"/>
          <w:szCs w:val="22"/>
        </w:rPr>
        <w:t>l</w:t>
      </w:r>
      <w:r w:rsidR="00D20557" w:rsidRPr="00DA76FF">
        <w:rPr>
          <w:rFonts w:eastAsia="Calibri" w:cs="Calibri"/>
          <w:sz w:val="22"/>
          <w:szCs w:val="22"/>
        </w:rPr>
        <w:t>ines worldwide.</w:t>
      </w:r>
    </w:p>
    <w:p w14:paraId="1ACE6D65" w14:textId="3091129C" w:rsidR="00D20557" w:rsidRPr="00DA76FF" w:rsidRDefault="00477FAE" w:rsidP="00C754AC">
      <w:pPr>
        <w:spacing w:after="120"/>
        <w:jc w:val="both"/>
        <w:rPr>
          <w:rFonts w:eastAsia="Calibri" w:cs="Calibri"/>
          <w:sz w:val="22"/>
          <w:szCs w:val="22"/>
        </w:rPr>
      </w:pPr>
      <w:r>
        <w:t xml:space="preserve">The </w:t>
      </w:r>
      <w:hyperlink r:id="rId152" w:history="1">
        <w:r w:rsidR="00D20557" w:rsidRPr="00DA76FF">
          <w:rPr>
            <w:rStyle w:val="Hyperlink"/>
            <w:rFonts w:eastAsia="Calibri" w:cs="Calibri"/>
            <w:sz w:val="22"/>
            <w:szCs w:val="22"/>
          </w:rPr>
          <w:t>WSIS Prizes</w:t>
        </w:r>
      </w:hyperlink>
      <w:r w:rsidR="00D20557" w:rsidRPr="00DA76FF">
        <w:rPr>
          <w:rFonts w:eastAsia="Calibri" w:cs="Calibri"/>
          <w:sz w:val="22"/>
          <w:szCs w:val="22"/>
        </w:rPr>
        <w:t xml:space="preserve"> </w:t>
      </w:r>
      <w:r w:rsidR="00C132BC">
        <w:rPr>
          <w:rFonts w:eastAsia="Calibri" w:cs="Calibri"/>
          <w:sz w:val="22"/>
          <w:szCs w:val="22"/>
        </w:rPr>
        <w:t>are a key</w:t>
      </w:r>
      <w:r w:rsidR="00D20557" w:rsidRPr="00DA76FF">
        <w:rPr>
          <w:rFonts w:eastAsia="Calibri" w:cs="Calibri"/>
          <w:sz w:val="22"/>
          <w:szCs w:val="22"/>
        </w:rPr>
        <w:t xml:space="preserve"> global contest</w:t>
      </w:r>
      <w:r w:rsidR="00C132BC">
        <w:rPr>
          <w:rFonts w:eastAsia="Calibri" w:cs="Calibri"/>
          <w:sz w:val="22"/>
          <w:szCs w:val="22"/>
        </w:rPr>
        <w:t xml:space="preserve"> highlighting</w:t>
      </w:r>
      <w:r w:rsidR="00D20557" w:rsidRPr="00DA76FF">
        <w:rPr>
          <w:rFonts w:eastAsia="Calibri" w:cs="Calibri"/>
          <w:sz w:val="22"/>
          <w:szCs w:val="22"/>
        </w:rPr>
        <w:t xml:space="preserve"> </w:t>
      </w:r>
      <w:r w:rsidR="00C132BC">
        <w:rPr>
          <w:rFonts w:eastAsia="Calibri" w:cs="Calibri"/>
          <w:sz w:val="22"/>
          <w:szCs w:val="22"/>
        </w:rPr>
        <w:t xml:space="preserve">and driving </w:t>
      </w:r>
      <w:r w:rsidR="00D20557" w:rsidRPr="00DA76FF">
        <w:rPr>
          <w:rFonts w:eastAsia="Calibri" w:cs="Calibri"/>
          <w:sz w:val="22"/>
          <w:szCs w:val="22"/>
        </w:rPr>
        <w:t xml:space="preserve">digital innovation and development. In 2024, the competition </w:t>
      </w:r>
      <w:r w:rsidR="005E1D83">
        <w:rPr>
          <w:rFonts w:eastAsia="Calibri" w:cs="Calibri"/>
          <w:sz w:val="22"/>
          <w:szCs w:val="22"/>
        </w:rPr>
        <w:t>engaged</w:t>
      </w:r>
      <w:r w:rsidR="00D20557" w:rsidRPr="00DA76FF">
        <w:rPr>
          <w:rFonts w:eastAsia="Calibri" w:cs="Calibri"/>
          <w:sz w:val="22"/>
          <w:szCs w:val="22"/>
        </w:rPr>
        <w:t xml:space="preserve"> stakeholders</w:t>
      </w:r>
      <w:r w:rsidR="005E1D83">
        <w:rPr>
          <w:rFonts w:eastAsia="Calibri" w:cs="Calibri"/>
          <w:sz w:val="22"/>
          <w:szCs w:val="22"/>
        </w:rPr>
        <w:t xml:space="preserve"> worldwide</w:t>
      </w:r>
      <w:r w:rsidR="00D20557" w:rsidRPr="00DA76FF">
        <w:rPr>
          <w:rFonts w:eastAsia="Calibri" w:cs="Calibri"/>
          <w:sz w:val="22"/>
          <w:szCs w:val="22"/>
        </w:rPr>
        <w:t xml:space="preserve"> with online voting and celebrations of 18</w:t>
      </w:r>
      <w:r w:rsidR="00095EF2">
        <w:rPr>
          <w:rFonts w:eastAsia="Calibri" w:cs="Calibri"/>
          <w:sz w:val="22"/>
          <w:szCs w:val="22"/>
        </w:rPr>
        <w:t> </w:t>
      </w:r>
      <w:r w:rsidR="00D20557" w:rsidRPr="00DA76FF">
        <w:rPr>
          <w:rFonts w:eastAsia="Calibri" w:cs="Calibri"/>
          <w:sz w:val="22"/>
          <w:szCs w:val="22"/>
        </w:rPr>
        <w:t xml:space="preserve">winners and 72 champions, showcasing outstanding contributions </w:t>
      </w:r>
      <w:r w:rsidR="00E6476B">
        <w:rPr>
          <w:rFonts w:eastAsia="Calibri" w:cs="Calibri"/>
          <w:sz w:val="22"/>
          <w:szCs w:val="22"/>
        </w:rPr>
        <w:t xml:space="preserve">to global development </w:t>
      </w:r>
      <w:r w:rsidR="00D81DA6">
        <w:rPr>
          <w:rFonts w:eastAsia="Calibri" w:cs="Calibri"/>
          <w:sz w:val="22"/>
          <w:szCs w:val="22"/>
        </w:rPr>
        <w:t>with digital technologies</w:t>
      </w:r>
      <w:r w:rsidR="00D20557" w:rsidRPr="00DA76FF">
        <w:rPr>
          <w:rFonts w:eastAsia="Calibri" w:cs="Calibri"/>
          <w:sz w:val="22"/>
          <w:szCs w:val="22"/>
        </w:rPr>
        <w:t>.</w:t>
      </w:r>
    </w:p>
    <w:p w14:paraId="5F3FE2AA" w14:textId="1BA6D6D3" w:rsidR="00D20557" w:rsidRPr="00DA76FF" w:rsidRDefault="00D20557" w:rsidP="00AD3A45">
      <w:pPr>
        <w:spacing w:after="120"/>
        <w:jc w:val="both"/>
        <w:rPr>
          <w:rStyle w:val="Heading1Char"/>
          <w:b w:val="0"/>
          <w:sz w:val="22"/>
          <w:szCs w:val="22"/>
          <w:lang w:eastAsia="zh-CN"/>
        </w:rPr>
      </w:pPr>
      <w:r w:rsidRPr="00DA76FF">
        <w:rPr>
          <w:rFonts w:eastAsia="Calibri" w:cs="Calibri"/>
          <w:sz w:val="22"/>
          <w:szCs w:val="22"/>
        </w:rPr>
        <w:t>Through collaborative initiatives, strategic positioning, and active participation in global discussions, ITU</w:t>
      </w:r>
      <w:r w:rsidR="004A66AD">
        <w:rPr>
          <w:rFonts w:eastAsia="Calibri" w:cs="Calibri"/>
          <w:sz w:val="22"/>
          <w:szCs w:val="22"/>
        </w:rPr>
        <w:t xml:space="preserve"> worked with UN sister agencies and other stakeholders </w:t>
      </w:r>
      <w:r w:rsidR="00DB1322">
        <w:rPr>
          <w:rFonts w:eastAsia="Calibri" w:cs="Calibri"/>
          <w:sz w:val="22"/>
          <w:szCs w:val="22"/>
        </w:rPr>
        <w:t>to continually renew and update the</w:t>
      </w:r>
      <w:r w:rsidRPr="00DA76FF">
        <w:rPr>
          <w:rFonts w:eastAsia="Calibri" w:cs="Calibri"/>
          <w:sz w:val="22"/>
          <w:szCs w:val="22"/>
        </w:rPr>
        <w:t xml:space="preserve"> WSIS framework. A prime example of this is the organization of the WSIS Forum alongside the AI for Good event. As we approach the WSIS+20 review, ITU remains committed to advancing ICTs as tools for global development.</w:t>
      </w:r>
    </w:p>
    <w:p w14:paraId="44E2DC07" w14:textId="417D9553" w:rsidR="001B47F9" w:rsidRPr="00DA76FF" w:rsidRDefault="001B47F9" w:rsidP="00AD3A45">
      <w:pPr>
        <w:pStyle w:val="Heading3"/>
        <w:tabs>
          <w:tab w:val="clear" w:pos="567"/>
        </w:tabs>
        <w:spacing w:before="120" w:after="120"/>
      </w:pPr>
      <w:bookmarkStart w:id="46" w:name="_Toc198569369"/>
      <w:r w:rsidRPr="00DA76FF">
        <w:lastRenderedPageBreak/>
        <w:t>4.8.2</w:t>
      </w:r>
      <w:r w:rsidRPr="00DA76FF">
        <w:tab/>
        <w:t>AI for Good</w:t>
      </w:r>
      <w:bookmarkEnd w:id="46"/>
    </w:p>
    <w:p w14:paraId="520E7CDF" w14:textId="319D9EBF" w:rsidR="00792FEE" w:rsidRPr="00DA76FF" w:rsidRDefault="00455967" w:rsidP="00AD3A45">
      <w:pPr>
        <w:keepNext/>
        <w:keepLines/>
        <w:spacing w:after="120"/>
        <w:jc w:val="both"/>
        <w:rPr>
          <w:bCs/>
          <w:sz w:val="22"/>
          <w:szCs w:val="22"/>
        </w:rPr>
      </w:pPr>
      <w:r>
        <w:rPr>
          <w:bCs/>
          <w:sz w:val="22"/>
          <w:szCs w:val="22"/>
        </w:rPr>
        <w:t xml:space="preserve">The </w:t>
      </w:r>
      <w:r w:rsidR="00AE4AD2" w:rsidRPr="00DA76FF">
        <w:rPr>
          <w:bCs/>
          <w:sz w:val="22"/>
          <w:szCs w:val="22"/>
        </w:rPr>
        <w:t xml:space="preserve">AI for Good </w:t>
      </w:r>
      <w:r>
        <w:rPr>
          <w:bCs/>
          <w:sz w:val="22"/>
          <w:szCs w:val="22"/>
        </w:rPr>
        <w:t>initiative</w:t>
      </w:r>
      <w:r w:rsidR="00AE4AD2" w:rsidRPr="00DA76FF">
        <w:rPr>
          <w:bCs/>
          <w:sz w:val="22"/>
          <w:szCs w:val="22"/>
        </w:rPr>
        <w:t xml:space="preserve"> identif</w:t>
      </w:r>
      <w:r w:rsidR="00E95A4B">
        <w:rPr>
          <w:bCs/>
          <w:sz w:val="22"/>
          <w:szCs w:val="22"/>
        </w:rPr>
        <w:t>ies</w:t>
      </w:r>
      <w:r w:rsidR="00AE4AD2" w:rsidRPr="00DA76FF">
        <w:rPr>
          <w:bCs/>
          <w:sz w:val="22"/>
          <w:szCs w:val="22"/>
        </w:rPr>
        <w:t xml:space="preserve"> innovative AI applications, </w:t>
      </w:r>
      <w:r w:rsidR="00E95A4B">
        <w:rPr>
          <w:bCs/>
          <w:sz w:val="22"/>
          <w:szCs w:val="22"/>
        </w:rPr>
        <w:t xml:space="preserve">helps </w:t>
      </w:r>
      <w:r w:rsidR="00AE4AD2" w:rsidRPr="00DA76FF">
        <w:rPr>
          <w:bCs/>
          <w:sz w:val="22"/>
          <w:szCs w:val="22"/>
        </w:rPr>
        <w:t>build skills and standards, and advanc</w:t>
      </w:r>
      <w:r w:rsidR="00E95A4B">
        <w:rPr>
          <w:bCs/>
          <w:sz w:val="22"/>
          <w:szCs w:val="22"/>
        </w:rPr>
        <w:t>es</w:t>
      </w:r>
      <w:r w:rsidR="00AE4AD2" w:rsidRPr="00DA76FF">
        <w:rPr>
          <w:bCs/>
          <w:sz w:val="22"/>
          <w:szCs w:val="22"/>
        </w:rPr>
        <w:t xml:space="preserve"> partnerships to solve global challenges.</w:t>
      </w:r>
      <w:r w:rsidR="00570D3A" w:rsidRPr="00DA76FF">
        <w:rPr>
          <w:bCs/>
          <w:sz w:val="22"/>
          <w:szCs w:val="22"/>
        </w:rPr>
        <w:t xml:space="preserve"> It </w:t>
      </w:r>
      <w:r w:rsidR="00AE4AD2" w:rsidRPr="00DA76FF">
        <w:rPr>
          <w:bCs/>
          <w:sz w:val="22"/>
          <w:szCs w:val="22"/>
        </w:rPr>
        <w:t xml:space="preserve">is organized by ITU in partnership with over 40 UN </w:t>
      </w:r>
      <w:r w:rsidR="00E95A4B">
        <w:rPr>
          <w:bCs/>
          <w:sz w:val="22"/>
          <w:szCs w:val="22"/>
        </w:rPr>
        <w:t>s</w:t>
      </w:r>
      <w:r w:rsidR="00AE4AD2" w:rsidRPr="00DA76FF">
        <w:rPr>
          <w:bCs/>
          <w:sz w:val="22"/>
          <w:szCs w:val="22"/>
        </w:rPr>
        <w:t xml:space="preserve">ister </w:t>
      </w:r>
      <w:r w:rsidR="00E95A4B">
        <w:rPr>
          <w:bCs/>
          <w:sz w:val="22"/>
          <w:szCs w:val="22"/>
        </w:rPr>
        <w:t>a</w:t>
      </w:r>
      <w:r w:rsidR="00AE4AD2" w:rsidRPr="00DA76FF">
        <w:rPr>
          <w:bCs/>
          <w:sz w:val="22"/>
          <w:szCs w:val="22"/>
        </w:rPr>
        <w:t>gencies and co-convened with the Government of Switzerland.</w:t>
      </w:r>
    </w:p>
    <w:p w14:paraId="2021C473" w14:textId="6072A4DF" w:rsidR="00B148A8" w:rsidRDefault="00B148A8" w:rsidP="00AD3A45">
      <w:pPr>
        <w:keepNext/>
        <w:keepLines/>
        <w:spacing w:after="360"/>
        <w:jc w:val="both"/>
        <w:rPr>
          <w:bCs/>
          <w:sz w:val="22"/>
          <w:szCs w:val="22"/>
        </w:rPr>
      </w:pPr>
      <w:r w:rsidRPr="00DA76FF">
        <w:rPr>
          <w:bCs/>
          <w:sz w:val="22"/>
          <w:szCs w:val="22"/>
        </w:rPr>
        <w:t xml:space="preserve">The AI for Good Global </w:t>
      </w:r>
      <w:r w:rsidR="00442DC5">
        <w:rPr>
          <w:bCs/>
          <w:sz w:val="22"/>
          <w:szCs w:val="22"/>
        </w:rPr>
        <w:t>S</w:t>
      </w:r>
      <w:r w:rsidRPr="00DA76FF">
        <w:rPr>
          <w:bCs/>
          <w:sz w:val="22"/>
          <w:szCs w:val="22"/>
        </w:rPr>
        <w:t xml:space="preserve">ummit in 2024 </w:t>
      </w:r>
      <w:r w:rsidR="000D789C">
        <w:rPr>
          <w:bCs/>
          <w:sz w:val="22"/>
          <w:szCs w:val="22"/>
        </w:rPr>
        <w:t xml:space="preserve">involved 27 UN partners and </w:t>
      </w:r>
      <w:r w:rsidRPr="00DA76FF">
        <w:rPr>
          <w:bCs/>
          <w:sz w:val="22"/>
          <w:szCs w:val="22"/>
        </w:rPr>
        <w:t>attracted more than 5</w:t>
      </w:r>
      <w:r w:rsidR="00095EF2">
        <w:rPr>
          <w:bCs/>
          <w:sz w:val="22"/>
          <w:szCs w:val="22"/>
        </w:rPr>
        <w:t> </w:t>
      </w:r>
      <w:r w:rsidRPr="00DA76FF">
        <w:rPr>
          <w:bCs/>
          <w:sz w:val="22"/>
          <w:szCs w:val="22"/>
        </w:rPr>
        <w:t xml:space="preserve">000 </w:t>
      </w:r>
      <w:r w:rsidR="006F6BCD">
        <w:rPr>
          <w:bCs/>
          <w:sz w:val="22"/>
          <w:szCs w:val="22"/>
        </w:rPr>
        <w:t>on-site</w:t>
      </w:r>
      <w:r w:rsidRPr="00DA76FF">
        <w:rPr>
          <w:bCs/>
          <w:sz w:val="22"/>
          <w:szCs w:val="22"/>
        </w:rPr>
        <w:t xml:space="preserve"> participants, </w:t>
      </w:r>
      <w:r w:rsidR="006F6BCD">
        <w:rPr>
          <w:bCs/>
          <w:sz w:val="22"/>
          <w:szCs w:val="22"/>
        </w:rPr>
        <w:t xml:space="preserve">along with </w:t>
      </w:r>
      <w:r w:rsidR="005F7087" w:rsidRPr="00DA76FF">
        <w:rPr>
          <w:bCs/>
          <w:sz w:val="22"/>
          <w:szCs w:val="22"/>
        </w:rPr>
        <w:t>35</w:t>
      </w:r>
      <w:r w:rsidR="006F6BCD">
        <w:rPr>
          <w:bCs/>
          <w:sz w:val="22"/>
          <w:szCs w:val="22"/>
        </w:rPr>
        <w:t> </w:t>
      </w:r>
      <w:r w:rsidR="005F7087" w:rsidRPr="00DA76FF">
        <w:rPr>
          <w:bCs/>
          <w:sz w:val="22"/>
          <w:szCs w:val="22"/>
        </w:rPr>
        <w:t xml:space="preserve">000 Neural Network </w:t>
      </w:r>
      <w:r w:rsidR="006F6BCD">
        <w:rPr>
          <w:bCs/>
          <w:sz w:val="22"/>
          <w:szCs w:val="22"/>
        </w:rPr>
        <w:t>m</w:t>
      </w:r>
      <w:r w:rsidR="005F7087" w:rsidRPr="00DA76FF">
        <w:rPr>
          <w:bCs/>
          <w:sz w:val="22"/>
          <w:szCs w:val="22"/>
        </w:rPr>
        <w:t>embers</w:t>
      </w:r>
      <w:r w:rsidR="00D07F2F">
        <w:rPr>
          <w:bCs/>
          <w:sz w:val="22"/>
          <w:szCs w:val="22"/>
        </w:rPr>
        <w:t xml:space="preserve"> and an online community of</w:t>
      </w:r>
      <w:r w:rsidR="005F7087" w:rsidRPr="00DA76FF">
        <w:rPr>
          <w:bCs/>
          <w:sz w:val="22"/>
          <w:szCs w:val="22"/>
        </w:rPr>
        <w:t xml:space="preserve"> </w:t>
      </w:r>
      <w:r w:rsidR="00144BE3" w:rsidRPr="00DA76FF">
        <w:rPr>
          <w:bCs/>
          <w:sz w:val="22"/>
          <w:szCs w:val="22"/>
        </w:rPr>
        <w:t>137</w:t>
      </w:r>
      <w:r w:rsidR="00095EF2">
        <w:rPr>
          <w:bCs/>
          <w:sz w:val="22"/>
          <w:szCs w:val="22"/>
        </w:rPr>
        <w:t> </w:t>
      </w:r>
      <w:r w:rsidR="00144BE3" w:rsidRPr="00DA76FF">
        <w:rPr>
          <w:bCs/>
          <w:sz w:val="22"/>
          <w:szCs w:val="22"/>
        </w:rPr>
        <w:t xml:space="preserve">000, </w:t>
      </w:r>
      <w:r w:rsidR="00D07F2F">
        <w:rPr>
          <w:bCs/>
          <w:sz w:val="22"/>
          <w:szCs w:val="22"/>
        </w:rPr>
        <w:t xml:space="preserve">attracting </w:t>
      </w:r>
      <w:r w:rsidR="00144BE3" w:rsidRPr="00DA76FF">
        <w:rPr>
          <w:bCs/>
          <w:sz w:val="22"/>
          <w:szCs w:val="22"/>
        </w:rPr>
        <w:t>900</w:t>
      </w:r>
      <w:r w:rsidR="00095EF2">
        <w:rPr>
          <w:bCs/>
          <w:sz w:val="22"/>
          <w:szCs w:val="22"/>
        </w:rPr>
        <w:t> </w:t>
      </w:r>
      <w:r w:rsidR="00144BE3" w:rsidRPr="00DA76FF">
        <w:rPr>
          <w:bCs/>
          <w:sz w:val="22"/>
          <w:szCs w:val="22"/>
        </w:rPr>
        <w:t>000 views</w:t>
      </w:r>
      <w:r w:rsidR="00D07F2F">
        <w:rPr>
          <w:bCs/>
          <w:sz w:val="22"/>
          <w:szCs w:val="22"/>
        </w:rPr>
        <w:t>. Participants came from</w:t>
      </w:r>
      <w:r w:rsidR="00144BE3" w:rsidRPr="00DA76FF">
        <w:rPr>
          <w:bCs/>
          <w:sz w:val="22"/>
          <w:szCs w:val="22"/>
        </w:rPr>
        <w:t xml:space="preserve"> </w:t>
      </w:r>
      <w:r w:rsidR="00023CC3" w:rsidRPr="00DA76FF">
        <w:rPr>
          <w:bCs/>
          <w:sz w:val="22"/>
          <w:szCs w:val="22"/>
        </w:rPr>
        <w:t>183 countries</w:t>
      </w:r>
      <w:r w:rsidR="00485E95">
        <w:rPr>
          <w:bCs/>
          <w:sz w:val="22"/>
          <w:szCs w:val="22"/>
        </w:rPr>
        <w:t>.</w:t>
      </w:r>
    </w:p>
    <w:p w14:paraId="0EE6AF1D" w14:textId="6CD5170D" w:rsidR="007170C7" w:rsidRDefault="00404E38" w:rsidP="00A25266">
      <w:pPr>
        <w:spacing w:before="0"/>
        <w:jc w:val="both"/>
        <w:rPr>
          <w:sz w:val="22"/>
          <w:szCs w:val="22"/>
        </w:rPr>
      </w:pPr>
      <w:r w:rsidRPr="004F041F">
        <w:rPr>
          <w:rFonts w:cs="Calibri"/>
          <w:noProof/>
          <w:sz w:val="22"/>
          <w:szCs w:val="22"/>
        </w:rPr>
        <mc:AlternateContent>
          <mc:Choice Requires="wps">
            <w:drawing>
              <wp:inline distT="0" distB="0" distL="0" distR="0" wp14:anchorId="7BC6CDDD" wp14:editId="77B54A8D">
                <wp:extent cx="5626100" cy="1404620"/>
                <wp:effectExtent l="0" t="0" r="12700" b="28575"/>
                <wp:docPr id="29815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013DA327" w14:textId="11F59B20" w:rsidR="00404E38" w:rsidRPr="004A3701" w:rsidRDefault="000B4CC8" w:rsidP="00404E38">
                            <w:pPr>
                              <w:shd w:val="clear" w:color="auto" w:fill="C6D9F1" w:themeFill="text2" w:themeFillTint="33"/>
                              <w:rPr>
                                <w:rFonts w:cs="Calibri"/>
                                <w:b/>
                                <w:bCs/>
                                <w:szCs w:val="24"/>
                              </w:rPr>
                            </w:pPr>
                            <w:r>
                              <w:rPr>
                                <w:rFonts w:cs="Calibri"/>
                                <w:b/>
                                <w:bCs/>
                                <w:szCs w:val="24"/>
                              </w:rPr>
                              <w:t>AI for Good Global Summit 2024</w:t>
                            </w:r>
                          </w:p>
                          <w:p w14:paraId="33A5A3F9" w14:textId="3CFD13FD" w:rsidR="000B4CC8" w:rsidRDefault="000B4CC8" w:rsidP="00095EF2">
                            <w:pPr>
                              <w:jc w:val="both"/>
                              <w:rPr>
                                <w:rFonts w:cs="Calibri"/>
                                <w:sz w:val="22"/>
                                <w:szCs w:val="22"/>
                              </w:rPr>
                            </w:pPr>
                            <w:r w:rsidRPr="001A5C3B">
                              <w:rPr>
                                <w:rFonts w:cs="Calibri"/>
                                <w:sz w:val="22"/>
                                <w:szCs w:val="22"/>
                              </w:rPr>
                              <w:t xml:space="preserve">ITU’s </w:t>
                            </w:r>
                            <w:r>
                              <w:rPr>
                                <w:rFonts w:cs="Calibri"/>
                                <w:sz w:val="22"/>
                                <w:szCs w:val="22"/>
                              </w:rPr>
                              <w:t xml:space="preserve">annual </w:t>
                            </w:r>
                            <w:r w:rsidRPr="001A5C3B">
                              <w:rPr>
                                <w:rFonts w:cs="Calibri"/>
                                <w:sz w:val="22"/>
                                <w:szCs w:val="22"/>
                              </w:rPr>
                              <w:t xml:space="preserve">AI for Good </w:t>
                            </w:r>
                            <w:r>
                              <w:rPr>
                                <w:rFonts w:cs="Calibri"/>
                                <w:sz w:val="22"/>
                                <w:szCs w:val="22"/>
                              </w:rPr>
                              <w:t>s</w:t>
                            </w:r>
                            <w:r w:rsidRPr="001A5C3B">
                              <w:rPr>
                                <w:rFonts w:cs="Calibri"/>
                                <w:sz w:val="22"/>
                                <w:szCs w:val="22"/>
                              </w:rPr>
                              <w:t xml:space="preserve">ummit </w:t>
                            </w:r>
                            <w:r>
                              <w:rPr>
                                <w:rFonts w:cs="Calibri"/>
                                <w:sz w:val="22"/>
                                <w:szCs w:val="22"/>
                              </w:rPr>
                              <w:t xml:space="preserve">brought 47 United Nations partners together with global tech innovators to </w:t>
                            </w:r>
                            <w:r w:rsidRPr="001A5C3B">
                              <w:rPr>
                                <w:rFonts w:cs="Calibri"/>
                                <w:sz w:val="22"/>
                                <w:szCs w:val="22"/>
                              </w:rPr>
                              <w:t>showcase</w:t>
                            </w:r>
                            <w:r>
                              <w:rPr>
                                <w:rFonts w:cs="Calibri"/>
                                <w:sz w:val="22"/>
                                <w:szCs w:val="22"/>
                              </w:rPr>
                              <w:t xml:space="preserve"> the power of artificial intelligence (AI) for </w:t>
                            </w:r>
                            <w:r w:rsidR="008C4AFF">
                              <w:rPr>
                                <w:rFonts w:cs="Calibri"/>
                                <w:sz w:val="22"/>
                                <w:szCs w:val="22"/>
                              </w:rPr>
                              <w:t>people, planet and prosperity</w:t>
                            </w:r>
                            <w:r>
                              <w:rPr>
                                <w:rFonts w:cs="Calibri"/>
                                <w:sz w:val="22"/>
                                <w:szCs w:val="22"/>
                              </w:rPr>
                              <w:t>. Live demonstrations of state-of-the-art</w:t>
                            </w:r>
                            <w:r w:rsidRPr="001A5C3B">
                              <w:rPr>
                                <w:rFonts w:cs="Calibri"/>
                                <w:sz w:val="22"/>
                                <w:szCs w:val="22"/>
                              </w:rPr>
                              <w:t xml:space="preserve"> brain-machine interfaces </w:t>
                            </w:r>
                            <w:r>
                              <w:rPr>
                                <w:rFonts w:cs="Calibri"/>
                                <w:sz w:val="22"/>
                                <w:szCs w:val="22"/>
                              </w:rPr>
                              <w:t>(BMIs) for advanced neurology and healthcare, as well as robotics improving accessibility for persons with disabilities, took centre stage over the three-day event.</w:t>
                            </w:r>
                          </w:p>
                          <w:p w14:paraId="7490565B" w14:textId="77777777" w:rsidR="000B4CC8" w:rsidRDefault="000B4CC8" w:rsidP="00095EF2">
                            <w:pPr>
                              <w:spacing w:before="0"/>
                              <w:jc w:val="both"/>
                              <w:rPr>
                                <w:rFonts w:cs="Calibri"/>
                                <w:sz w:val="22"/>
                                <w:szCs w:val="22"/>
                              </w:rPr>
                            </w:pPr>
                            <w:hyperlink r:id="rId153" w:history="1">
                              <w:r w:rsidRPr="00AF7DE7">
                                <w:rPr>
                                  <w:rStyle w:val="Hyperlink"/>
                                  <w:rFonts w:cs="Calibri"/>
                                  <w:sz w:val="22"/>
                                  <w:szCs w:val="22"/>
                                </w:rPr>
                                <w:t>Learn more about BMI</w:t>
                              </w:r>
                              <w:r>
                                <w:rPr>
                                  <w:rStyle w:val="Hyperlink"/>
                                  <w:rFonts w:cs="Calibri"/>
                                  <w:sz w:val="22"/>
                                  <w:szCs w:val="22"/>
                                </w:rPr>
                                <w:t xml:space="preserve"> innovation</w:t>
                              </w:r>
                            </w:hyperlink>
                          </w:p>
                          <w:p w14:paraId="2291A983" w14:textId="2C988654" w:rsidR="000B4CC8" w:rsidRDefault="000B4CC8" w:rsidP="00095EF2">
                            <w:pPr>
                              <w:spacing w:before="0"/>
                              <w:jc w:val="both"/>
                            </w:pPr>
                            <w:hyperlink r:id="rId154" w:history="1">
                              <w:r>
                                <w:rPr>
                                  <w:rStyle w:val="Hyperlink"/>
                                  <w:rFonts w:cs="Calibri"/>
                                  <w:sz w:val="22"/>
                                  <w:szCs w:val="22"/>
                                </w:rPr>
                                <w:t>Summit closing p</w:t>
                              </w:r>
                              <w:r w:rsidRPr="00654861">
                                <w:rPr>
                                  <w:rStyle w:val="Hyperlink"/>
                                  <w:rFonts w:cs="Calibri"/>
                                  <w:sz w:val="22"/>
                                  <w:szCs w:val="22"/>
                                </w:rPr>
                                <w:t>ress release</w:t>
                              </w:r>
                            </w:hyperlink>
                          </w:p>
                          <w:p w14:paraId="7CD0773A" w14:textId="77777777" w:rsidR="006F1855" w:rsidRDefault="006F1855" w:rsidP="00095EF2">
                            <w:pPr>
                              <w:spacing w:before="0"/>
                              <w:jc w:val="both"/>
                            </w:pPr>
                          </w:p>
                          <w:p w14:paraId="502A4325" w14:textId="66EAC55E" w:rsidR="000B4CC8" w:rsidRPr="006F1855" w:rsidRDefault="006F1855" w:rsidP="00095EF2">
                            <w:pPr>
                              <w:shd w:val="clear" w:color="auto" w:fill="C6D9F1" w:themeFill="text2" w:themeFillTint="33"/>
                              <w:spacing w:before="0"/>
                              <w:jc w:val="both"/>
                              <w:rPr>
                                <w:b/>
                                <w:bCs/>
                              </w:rPr>
                            </w:pPr>
                            <w:r w:rsidRPr="006F1855">
                              <w:rPr>
                                <w:b/>
                                <w:bCs/>
                              </w:rPr>
                              <w:t>Innovation Factory</w:t>
                            </w:r>
                          </w:p>
                          <w:p w14:paraId="2115F2F8" w14:textId="77777777" w:rsidR="000B4CC8" w:rsidRDefault="000B4CC8" w:rsidP="00095EF2">
                            <w:pPr>
                              <w:jc w:val="both"/>
                              <w:rPr>
                                <w:rFonts w:cs="Calibri"/>
                                <w:sz w:val="22"/>
                                <w:szCs w:val="22"/>
                              </w:rPr>
                            </w:pPr>
                            <w:r>
                              <w:rPr>
                                <w:rFonts w:cs="Calibri"/>
                                <w:sz w:val="22"/>
                                <w:szCs w:val="22"/>
                              </w:rPr>
                              <w:t xml:space="preserve">This global competition has grown to become the leading UN </w:t>
                            </w:r>
                            <w:r w:rsidRPr="008B2E0F">
                              <w:rPr>
                                <w:rFonts w:cs="Calibri"/>
                                <w:sz w:val="22"/>
                                <w:szCs w:val="22"/>
                              </w:rPr>
                              <w:t>pitching and acceleration platform for AI startups from all corners of the worl</w:t>
                            </w:r>
                            <w:r>
                              <w:rPr>
                                <w:rFonts w:cs="Calibri"/>
                                <w:sz w:val="22"/>
                                <w:szCs w:val="22"/>
                              </w:rPr>
                              <w:t xml:space="preserve">d. At the </w:t>
                            </w:r>
                            <w:r w:rsidRPr="008136CC">
                              <w:rPr>
                                <w:rFonts w:cs="Calibri"/>
                                <w:sz w:val="22"/>
                                <w:szCs w:val="22"/>
                              </w:rPr>
                              <w:t>Innovation Factory Grand Finale</w:t>
                            </w:r>
                            <w:r w:rsidDel="00B71296">
                              <w:rPr>
                                <w:rFonts w:cs="Calibri"/>
                                <w:sz w:val="22"/>
                                <w:szCs w:val="22"/>
                              </w:rPr>
                              <w:t xml:space="preserve"> </w:t>
                            </w:r>
                            <w:r>
                              <w:rPr>
                                <w:rFonts w:cs="Calibri"/>
                                <w:sz w:val="22"/>
                                <w:szCs w:val="22"/>
                              </w:rPr>
                              <w:t xml:space="preserve">in 2024, the top AI solution award went to Stemuli, a US-based AI developer </w:t>
                            </w:r>
                            <w:r w:rsidRPr="008136CC">
                              <w:rPr>
                                <w:rFonts w:cs="Calibri"/>
                                <w:sz w:val="22"/>
                                <w:szCs w:val="22"/>
                              </w:rPr>
                              <w:t xml:space="preserve">with </w:t>
                            </w:r>
                            <w:r>
                              <w:rPr>
                                <w:rFonts w:cs="Calibri"/>
                                <w:sz w:val="22"/>
                                <w:szCs w:val="22"/>
                              </w:rPr>
                              <w:t>a</w:t>
                            </w:r>
                            <w:r w:rsidRPr="008136CC">
                              <w:rPr>
                                <w:rFonts w:cs="Calibri"/>
                                <w:sz w:val="22"/>
                                <w:szCs w:val="22"/>
                              </w:rPr>
                              <w:t xml:space="preserve"> generative metaverse gaming platform</w:t>
                            </w:r>
                            <w:r>
                              <w:rPr>
                                <w:rFonts w:cs="Calibri"/>
                                <w:sz w:val="22"/>
                                <w:szCs w:val="22"/>
                              </w:rPr>
                              <w:t xml:space="preserve"> for</w:t>
                            </w:r>
                            <w:r w:rsidRPr="008136CC">
                              <w:rPr>
                                <w:rFonts w:cs="Calibri"/>
                                <w:sz w:val="22"/>
                                <w:szCs w:val="22"/>
                              </w:rPr>
                              <w:t xml:space="preserve"> education and continuous learning.</w:t>
                            </w:r>
                          </w:p>
                          <w:p w14:paraId="0055B564" w14:textId="292BE3F1" w:rsidR="000B4CC8" w:rsidRDefault="000B4CC8" w:rsidP="00095EF2">
                            <w:pPr>
                              <w:spacing w:before="0"/>
                              <w:jc w:val="both"/>
                              <w:rPr>
                                <w:rFonts w:cs="Calibri"/>
                                <w:b/>
                                <w:bCs/>
                                <w:sz w:val="22"/>
                                <w:szCs w:val="22"/>
                              </w:rPr>
                            </w:pPr>
                            <w:hyperlink r:id="rId155" w:history="1">
                              <w:r w:rsidRPr="00805AE8">
                                <w:rPr>
                                  <w:rStyle w:val="Hyperlink"/>
                                  <w:rFonts w:cs="Calibri"/>
                                  <w:sz w:val="22"/>
                                  <w:szCs w:val="22"/>
                                </w:rPr>
                                <w:t>Learn more about the startups</w:t>
                              </w:r>
                            </w:hyperlink>
                          </w:p>
                          <w:p w14:paraId="38D140C0" w14:textId="77777777" w:rsidR="007F262E" w:rsidRDefault="007F262E" w:rsidP="00095EF2">
                            <w:pPr>
                              <w:spacing w:before="0"/>
                              <w:jc w:val="both"/>
                              <w:rPr>
                                <w:rFonts w:cs="Calibri"/>
                                <w:b/>
                                <w:bCs/>
                                <w:sz w:val="22"/>
                                <w:szCs w:val="22"/>
                              </w:rPr>
                            </w:pPr>
                          </w:p>
                          <w:p w14:paraId="0D5A2D07" w14:textId="44E83BF5" w:rsidR="007F262E" w:rsidRPr="007F262E" w:rsidRDefault="007F262E" w:rsidP="00095EF2">
                            <w:pPr>
                              <w:shd w:val="clear" w:color="auto" w:fill="C6D9F1" w:themeFill="text2" w:themeFillTint="33"/>
                              <w:spacing w:before="0"/>
                              <w:jc w:val="both"/>
                              <w:rPr>
                                <w:rFonts w:cs="Calibri"/>
                                <w:b/>
                                <w:bCs/>
                                <w:szCs w:val="24"/>
                              </w:rPr>
                            </w:pPr>
                            <w:r w:rsidRPr="007F262E">
                              <w:rPr>
                                <w:rFonts w:cs="Calibri"/>
                                <w:b/>
                                <w:bCs/>
                                <w:szCs w:val="24"/>
                              </w:rPr>
                              <w:t>Young AI Leaders Community</w:t>
                            </w:r>
                          </w:p>
                          <w:p w14:paraId="3BEAD87D" w14:textId="77777777" w:rsidR="007F262E" w:rsidRPr="007F262E" w:rsidRDefault="007F262E" w:rsidP="00095EF2">
                            <w:pPr>
                              <w:jc w:val="both"/>
                              <w:rPr>
                                <w:rFonts w:eastAsia="Times New Roman" w:cs="Calibri"/>
                                <w:sz w:val="22"/>
                                <w:szCs w:val="22"/>
                                <w:lang w:eastAsia="en-GB"/>
                              </w:rPr>
                            </w:pPr>
                            <w:r w:rsidRPr="007F262E">
                              <w:rPr>
                                <w:rFonts w:eastAsia="Times New Roman" w:cs="Calibri"/>
                                <w:sz w:val="22"/>
                                <w:szCs w:val="22"/>
                                <w:shd w:val="clear" w:color="auto" w:fill="FAFAFA"/>
                                <w:lang w:eastAsia="en-GB"/>
                              </w:rPr>
                              <w:t>A new community of young AI leaders launched at the AI for Good summit in 2024 highlights diverse perspectives, promotes gender equality in tech, and aims to equip youth around the world with crucial skills and tools to shape the future of AI.</w:t>
                            </w:r>
                          </w:p>
                          <w:p w14:paraId="51553A67" w14:textId="55B5F9DB" w:rsidR="007F262E" w:rsidRPr="00055A94" w:rsidRDefault="007F262E" w:rsidP="00095EF2">
                            <w:pPr>
                              <w:jc w:val="both"/>
                              <w:rPr>
                                <w:rFonts w:cs="Calibri"/>
                                <w:sz w:val="22"/>
                                <w:szCs w:val="22"/>
                              </w:rPr>
                            </w:pPr>
                            <w:hyperlink r:id="rId156" w:history="1">
                              <w:r w:rsidRPr="006A30CB">
                                <w:rPr>
                                  <w:rStyle w:val="Hyperlink"/>
                                  <w:rFonts w:eastAsia="Times New Roman" w:cs="Calibri"/>
                                  <w:b/>
                                  <w:bCs/>
                                  <w:sz w:val="22"/>
                                  <w:szCs w:val="22"/>
                                  <w:lang w:eastAsia="en-GB"/>
                                </w:rPr>
                                <w:t>Learn more</w:t>
                              </w:r>
                            </w:hyperlink>
                          </w:p>
                        </w:txbxContent>
                      </wps:txbx>
                      <wps:bodyPr rot="0" vert="horz" wrap="square" lIns="91440" tIns="45720" rIns="91440" bIns="45720" anchor="t" anchorCtr="0">
                        <a:spAutoFit/>
                      </wps:bodyPr>
                    </wps:wsp>
                  </a:graphicData>
                </a:graphic>
              </wp:inline>
            </w:drawing>
          </mc:Choice>
          <mc:Fallback>
            <w:pict>
              <v:shape w14:anchorId="7BC6CDDD" id="_x0000_s1030"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">
                <v:textbox style="mso-fit-shape-to-text:t">
                  <w:txbxContent>
                    <w:p w14:paraId="013DA327" w14:textId="11F59B20" w:rsidR="00404E38" w:rsidRPr="004A3701" w:rsidRDefault="000B4CC8" w:rsidP="00404E38">
                      <w:pPr>
                        <w:shd w:val="clear" w:color="auto" w:fill="C6D9F1" w:themeFill="text2" w:themeFillTint="33"/>
                        <w:rPr>
                          <w:rFonts w:cs="Calibri"/>
                          <w:b/>
                          <w:bCs/>
                          <w:szCs w:val="24"/>
                        </w:rPr>
                      </w:pPr>
                      <w:r>
                        <w:rPr>
                          <w:rFonts w:cs="Calibri"/>
                          <w:b/>
                          <w:bCs/>
                          <w:szCs w:val="24"/>
                        </w:rPr>
                        <w:t>AI for Good Global Summit 2024</w:t>
                      </w:r>
                    </w:p>
                    <w:p w14:paraId="33A5A3F9" w14:textId="3CFD13FD" w:rsidR="000B4CC8" w:rsidRDefault="000B4CC8" w:rsidP="00095EF2">
                      <w:pPr>
                        <w:jc w:val="both"/>
                        <w:rPr>
                          <w:rFonts w:cs="Calibri"/>
                          <w:sz w:val="22"/>
                          <w:szCs w:val="22"/>
                        </w:rPr>
                      </w:pPr>
                      <w:r w:rsidRPr="001A5C3B">
                        <w:rPr>
                          <w:rFonts w:cs="Calibri"/>
                          <w:sz w:val="22"/>
                          <w:szCs w:val="22"/>
                        </w:rPr>
                        <w:t xml:space="preserve">ITU’s </w:t>
                      </w:r>
                      <w:r>
                        <w:rPr>
                          <w:rFonts w:cs="Calibri"/>
                          <w:sz w:val="22"/>
                          <w:szCs w:val="22"/>
                        </w:rPr>
                        <w:t xml:space="preserve">annual </w:t>
                      </w:r>
                      <w:r w:rsidRPr="001A5C3B">
                        <w:rPr>
                          <w:rFonts w:cs="Calibri"/>
                          <w:sz w:val="22"/>
                          <w:szCs w:val="22"/>
                        </w:rPr>
                        <w:t xml:space="preserve">AI for Good </w:t>
                      </w:r>
                      <w:r>
                        <w:rPr>
                          <w:rFonts w:cs="Calibri"/>
                          <w:sz w:val="22"/>
                          <w:szCs w:val="22"/>
                        </w:rPr>
                        <w:t>s</w:t>
                      </w:r>
                      <w:r w:rsidRPr="001A5C3B">
                        <w:rPr>
                          <w:rFonts w:cs="Calibri"/>
                          <w:sz w:val="22"/>
                          <w:szCs w:val="22"/>
                        </w:rPr>
                        <w:t xml:space="preserve">ummit </w:t>
                      </w:r>
                      <w:r>
                        <w:rPr>
                          <w:rFonts w:cs="Calibri"/>
                          <w:sz w:val="22"/>
                          <w:szCs w:val="22"/>
                        </w:rPr>
                        <w:t xml:space="preserve">brought 47 United Nations partners together with global tech innovators to </w:t>
                      </w:r>
                      <w:r w:rsidRPr="001A5C3B">
                        <w:rPr>
                          <w:rFonts w:cs="Calibri"/>
                          <w:sz w:val="22"/>
                          <w:szCs w:val="22"/>
                        </w:rPr>
                        <w:t>showcase</w:t>
                      </w:r>
                      <w:r>
                        <w:rPr>
                          <w:rFonts w:cs="Calibri"/>
                          <w:sz w:val="22"/>
                          <w:szCs w:val="22"/>
                        </w:rPr>
                        <w:t xml:space="preserve"> the power of artificial intelligence (AI) for </w:t>
                      </w:r>
                      <w:r w:rsidR="008C4AFF">
                        <w:rPr>
                          <w:rFonts w:cs="Calibri"/>
                          <w:sz w:val="22"/>
                          <w:szCs w:val="22"/>
                        </w:rPr>
                        <w:t>people, planet and prosperity</w:t>
                      </w:r>
                      <w:r>
                        <w:rPr>
                          <w:rFonts w:cs="Calibri"/>
                          <w:sz w:val="22"/>
                          <w:szCs w:val="22"/>
                        </w:rPr>
                        <w:t>. Live demonstrations of state-of-the-art</w:t>
                      </w:r>
                      <w:r w:rsidRPr="001A5C3B">
                        <w:rPr>
                          <w:rFonts w:cs="Calibri"/>
                          <w:sz w:val="22"/>
                          <w:szCs w:val="22"/>
                        </w:rPr>
                        <w:t xml:space="preserve"> brain-machine interfaces </w:t>
                      </w:r>
                      <w:r>
                        <w:rPr>
                          <w:rFonts w:cs="Calibri"/>
                          <w:sz w:val="22"/>
                          <w:szCs w:val="22"/>
                        </w:rPr>
                        <w:t>(BMIs) for advanced neurology and healthcare, as well as robotics improving accessibility for persons with disabilities, took centre stage over the three-day event.</w:t>
                      </w:r>
                    </w:p>
                    <w:p w14:paraId="7490565B" w14:textId="77777777" w:rsidR="000B4CC8" w:rsidRDefault="000B4CC8" w:rsidP="00095EF2">
                      <w:pPr>
                        <w:spacing w:before="0"/>
                        <w:jc w:val="both"/>
                        <w:rPr>
                          <w:rFonts w:cs="Calibri"/>
                          <w:sz w:val="22"/>
                          <w:szCs w:val="22"/>
                        </w:rPr>
                      </w:pPr>
                      <w:hyperlink r:id="rId157" w:history="1">
                        <w:r w:rsidRPr="00AF7DE7">
                          <w:rPr>
                            <w:rStyle w:val="Hyperlink"/>
                            <w:rFonts w:cs="Calibri"/>
                            <w:sz w:val="22"/>
                            <w:szCs w:val="22"/>
                          </w:rPr>
                          <w:t>Learn more about BMI</w:t>
                        </w:r>
                        <w:r>
                          <w:rPr>
                            <w:rStyle w:val="Hyperlink"/>
                            <w:rFonts w:cs="Calibri"/>
                            <w:sz w:val="22"/>
                            <w:szCs w:val="22"/>
                          </w:rPr>
                          <w:t xml:space="preserve"> innovation</w:t>
                        </w:r>
                      </w:hyperlink>
                    </w:p>
                    <w:p w14:paraId="2291A983" w14:textId="2C988654" w:rsidR="000B4CC8" w:rsidRDefault="000B4CC8" w:rsidP="00095EF2">
                      <w:pPr>
                        <w:spacing w:before="0"/>
                        <w:jc w:val="both"/>
                      </w:pPr>
                      <w:hyperlink r:id="rId158" w:history="1">
                        <w:r>
                          <w:rPr>
                            <w:rStyle w:val="Hyperlink"/>
                            <w:rFonts w:cs="Calibri"/>
                            <w:sz w:val="22"/>
                            <w:szCs w:val="22"/>
                          </w:rPr>
                          <w:t>Summit closing p</w:t>
                        </w:r>
                        <w:r w:rsidRPr="00654861">
                          <w:rPr>
                            <w:rStyle w:val="Hyperlink"/>
                            <w:rFonts w:cs="Calibri"/>
                            <w:sz w:val="22"/>
                            <w:szCs w:val="22"/>
                          </w:rPr>
                          <w:t>ress release</w:t>
                        </w:r>
                      </w:hyperlink>
                    </w:p>
                    <w:p w14:paraId="7CD0773A" w14:textId="77777777" w:rsidR="006F1855" w:rsidRDefault="006F1855" w:rsidP="00095EF2">
                      <w:pPr>
                        <w:spacing w:before="0"/>
                        <w:jc w:val="both"/>
                      </w:pPr>
                    </w:p>
                    <w:p w14:paraId="502A4325" w14:textId="66EAC55E" w:rsidR="000B4CC8" w:rsidRPr="006F1855" w:rsidRDefault="006F1855" w:rsidP="00095EF2">
                      <w:pPr>
                        <w:shd w:val="clear" w:color="auto" w:fill="C6D9F1" w:themeFill="text2" w:themeFillTint="33"/>
                        <w:spacing w:before="0"/>
                        <w:jc w:val="both"/>
                        <w:rPr>
                          <w:b/>
                          <w:bCs/>
                        </w:rPr>
                      </w:pPr>
                      <w:r w:rsidRPr="006F1855">
                        <w:rPr>
                          <w:b/>
                          <w:bCs/>
                        </w:rPr>
                        <w:t>Innovation Factory</w:t>
                      </w:r>
                    </w:p>
                    <w:p w14:paraId="2115F2F8" w14:textId="77777777" w:rsidR="000B4CC8" w:rsidRDefault="000B4CC8" w:rsidP="00095EF2">
                      <w:pPr>
                        <w:jc w:val="both"/>
                        <w:rPr>
                          <w:rFonts w:cs="Calibri"/>
                          <w:sz w:val="22"/>
                          <w:szCs w:val="22"/>
                        </w:rPr>
                      </w:pPr>
                      <w:r>
                        <w:rPr>
                          <w:rFonts w:cs="Calibri"/>
                          <w:sz w:val="22"/>
                          <w:szCs w:val="22"/>
                        </w:rPr>
                        <w:t xml:space="preserve">This global competition has grown to become the leading UN </w:t>
                      </w:r>
                      <w:r w:rsidRPr="008B2E0F">
                        <w:rPr>
                          <w:rFonts w:cs="Calibri"/>
                          <w:sz w:val="22"/>
                          <w:szCs w:val="22"/>
                        </w:rPr>
                        <w:t>pitching and acceleration platform for AI startups from all corners of the worl</w:t>
                      </w:r>
                      <w:r>
                        <w:rPr>
                          <w:rFonts w:cs="Calibri"/>
                          <w:sz w:val="22"/>
                          <w:szCs w:val="22"/>
                        </w:rPr>
                        <w:t xml:space="preserve">d. At the </w:t>
                      </w:r>
                      <w:r w:rsidRPr="008136CC">
                        <w:rPr>
                          <w:rFonts w:cs="Calibri"/>
                          <w:sz w:val="22"/>
                          <w:szCs w:val="22"/>
                        </w:rPr>
                        <w:t>Innovation Factory Grand Finale</w:t>
                      </w:r>
                      <w:r w:rsidDel="00B71296">
                        <w:rPr>
                          <w:rFonts w:cs="Calibri"/>
                          <w:sz w:val="22"/>
                          <w:szCs w:val="22"/>
                        </w:rPr>
                        <w:t xml:space="preserve"> </w:t>
                      </w:r>
                      <w:r>
                        <w:rPr>
                          <w:rFonts w:cs="Calibri"/>
                          <w:sz w:val="22"/>
                          <w:szCs w:val="22"/>
                        </w:rPr>
                        <w:t xml:space="preserve">in 2024, the top AI solution award went to Stemuli, a US-based AI developer </w:t>
                      </w:r>
                      <w:r w:rsidRPr="008136CC">
                        <w:rPr>
                          <w:rFonts w:cs="Calibri"/>
                          <w:sz w:val="22"/>
                          <w:szCs w:val="22"/>
                        </w:rPr>
                        <w:t xml:space="preserve">with </w:t>
                      </w:r>
                      <w:r>
                        <w:rPr>
                          <w:rFonts w:cs="Calibri"/>
                          <w:sz w:val="22"/>
                          <w:szCs w:val="22"/>
                        </w:rPr>
                        <w:t>a</w:t>
                      </w:r>
                      <w:r w:rsidRPr="008136CC">
                        <w:rPr>
                          <w:rFonts w:cs="Calibri"/>
                          <w:sz w:val="22"/>
                          <w:szCs w:val="22"/>
                        </w:rPr>
                        <w:t xml:space="preserve"> generative metaverse gaming platform</w:t>
                      </w:r>
                      <w:r>
                        <w:rPr>
                          <w:rFonts w:cs="Calibri"/>
                          <w:sz w:val="22"/>
                          <w:szCs w:val="22"/>
                        </w:rPr>
                        <w:t xml:space="preserve"> for</w:t>
                      </w:r>
                      <w:r w:rsidRPr="008136CC">
                        <w:rPr>
                          <w:rFonts w:cs="Calibri"/>
                          <w:sz w:val="22"/>
                          <w:szCs w:val="22"/>
                        </w:rPr>
                        <w:t xml:space="preserve"> education and continuous learning.</w:t>
                      </w:r>
                    </w:p>
                    <w:p w14:paraId="0055B564" w14:textId="292BE3F1" w:rsidR="000B4CC8" w:rsidRDefault="000B4CC8" w:rsidP="00095EF2">
                      <w:pPr>
                        <w:spacing w:before="0"/>
                        <w:jc w:val="both"/>
                        <w:rPr>
                          <w:rFonts w:cs="Calibri"/>
                          <w:b/>
                          <w:bCs/>
                          <w:sz w:val="22"/>
                          <w:szCs w:val="22"/>
                        </w:rPr>
                      </w:pPr>
                      <w:hyperlink r:id="rId159" w:history="1">
                        <w:r w:rsidRPr="00805AE8">
                          <w:rPr>
                            <w:rStyle w:val="Hyperlink"/>
                            <w:rFonts w:cs="Calibri"/>
                            <w:sz w:val="22"/>
                            <w:szCs w:val="22"/>
                          </w:rPr>
                          <w:t>Learn more about the startups</w:t>
                        </w:r>
                      </w:hyperlink>
                    </w:p>
                    <w:p w14:paraId="38D140C0" w14:textId="77777777" w:rsidR="007F262E" w:rsidRDefault="007F262E" w:rsidP="00095EF2">
                      <w:pPr>
                        <w:spacing w:before="0"/>
                        <w:jc w:val="both"/>
                        <w:rPr>
                          <w:rFonts w:cs="Calibri"/>
                          <w:b/>
                          <w:bCs/>
                          <w:sz w:val="22"/>
                          <w:szCs w:val="22"/>
                        </w:rPr>
                      </w:pPr>
                    </w:p>
                    <w:p w14:paraId="0D5A2D07" w14:textId="44E83BF5" w:rsidR="007F262E" w:rsidRPr="007F262E" w:rsidRDefault="007F262E" w:rsidP="00095EF2">
                      <w:pPr>
                        <w:shd w:val="clear" w:color="auto" w:fill="C6D9F1" w:themeFill="text2" w:themeFillTint="33"/>
                        <w:spacing w:before="0"/>
                        <w:jc w:val="both"/>
                        <w:rPr>
                          <w:rFonts w:cs="Calibri"/>
                          <w:b/>
                          <w:bCs/>
                          <w:szCs w:val="24"/>
                        </w:rPr>
                      </w:pPr>
                      <w:r w:rsidRPr="007F262E">
                        <w:rPr>
                          <w:rFonts w:cs="Calibri"/>
                          <w:b/>
                          <w:bCs/>
                          <w:szCs w:val="24"/>
                        </w:rPr>
                        <w:t>Young AI Leaders Community</w:t>
                      </w:r>
                    </w:p>
                    <w:p w14:paraId="3BEAD87D" w14:textId="77777777" w:rsidR="007F262E" w:rsidRPr="007F262E" w:rsidRDefault="007F262E" w:rsidP="00095EF2">
                      <w:pPr>
                        <w:jc w:val="both"/>
                        <w:rPr>
                          <w:rFonts w:eastAsia="Times New Roman" w:cs="Calibri"/>
                          <w:sz w:val="22"/>
                          <w:szCs w:val="22"/>
                          <w:lang w:eastAsia="en-GB"/>
                        </w:rPr>
                      </w:pPr>
                      <w:r w:rsidRPr="007F262E">
                        <w:rPr>
                          <w:rFonts w:eastAsia="Times New Roman" w:cs="Calibri"/>
                          <w:sz w:val="22"/>
                          <w:szCs w:val="22"/>
                          <w:shd w:val="clear" w:color="auto" w:fill="FAFAFA"/>
                          <w:lang w:eastAsia="en-GB"/>
                        </w:rPr>
                        <w:t>A new community of young AI leaders launched at the AI for Good summit in 2024 highlights diverse perspectives, promotes gender equality in tech, and aims to equip youth around the world with crucial skills and tools to shape the future of AI.</w:t>
                      </w:r>
                    </w:p>
                    <w:p w14:paraId="51553A67" w14:textId="55B5F9DB" w:rsidR="007F262E" w:rsidRPr="00055A94" w:rsidRDefault="007F262E" w:rsidP="00095EF2">
                      <w:pPr>
                        <w:jc w:val="both"/>
                        <w:rPr>
                          <w:rFonts w:cs="Calibri"/>
                          <w:sz w:val="22"/>
                          <w:szCs w:val="22"/>
                        </w:rPr>
                      </w:pPr>
                      <w:hyperlink r:id="rId160" w:history="1">
                        <w:r w:rsidRPr="006A30CB">
                          <w:rPr>
                            <w:rStyle w:val="Hyperlink"/>
                            <w:rFonts w:eastAsia="Times New Roman" w:cs="Calibri"/>
                            <w:b/>
                            <w:bCs/>
                            <w:sz w:val="22"/>
                            <w:szCs w:val="22"/>
                            <w:lang w:eastAsia="en-GB"/>
                          </w:rPr>
                          <w:t>Learn more</w:t>
                        </w:r>
                      </w:hyperlink>
                    </w:p>
                  </w:txbxContent>
                </v:textbox>
                <w10:anchorlock/>
              </v:shape>
            </w:pict>
          </mc:Fallback>
        </mc:AlternateContent>
      </w:r>
    </w:p>
    <w:p w14:paraId="17185D71" w14:textId="74D354BB" w:rsidR="000D6B9B" w:rsidRDefault="000D6B9B" w:rsidP="00A25266">
      <w:pPr>
        <w:spacing w:before="360" w:after="360"/>
        <w:jc w:val="both"/>
        <w:rPr>
          <w:sz w:val="22"/>
          <w:szCs w:val="22"/>
        </w:rPr>
      </w:pPr>
      <w:hyperlink r:id="rId161" w:history="1">
        <w:r w:rsidRPr="00DA76FF">
          <w:rPr>
            <w:rStyle w:val="Hyperlink"/>
            <w:sz w:val="22"/>
            <w:szCs w:val="22"/>
          </w:rPr>
          <w:t>AI for Good</w:t>
        </w:r>
      </w:hyperlink>
      <w:r w:rsidRPr="00DA76FF">
        <w:rPr>
          <w:sz w:val="22"/>
          <w:szCs w:val="22"/>
        </w:rPr>
        <w:t xml:space="preserve"> </w:t>
      </w:r>
      <w:r w:rsidR="00366725">
        <w:rPr>
          <w:sz w:val="22"/>
          <w:szCs w:val="22"/>
        </w:rPr>
        <w:t>has become</w:t>
      </w:r>
      <w:r w:rsidR="00366725" w:rsidRPr="00DA76FF">
        <w:rPr>
          <w:sz w:val="22"/>
          <w:szCs w:val="22"/>
        </w:rPr>
        <w:t xml:space="preserve"> </w:t>
      </w:r>
      <w:r w:rsidRPr="00DA76FF">
        <w:rPr>
          <w:sz w:val="22"/>
          <w:szCs w:val="22"/>
        </w:rPr>
        <w:t xml:space="preserve">the leading action-oriented </w:t>
      </w:r>
      <w:r w:rsidR="006A7FC5">
        <w:rPr>
          <w:sz w:val="22"/>
          <w:szCs w:val="22"/>
        </w:rPr>
        <w:t>UN</w:t>
      </w:r>
      <w:r w:rsidRPr="00DA76FF">
        <w:rPr>
          <w:sz w:val="22"/>
          <w:szCs w:val="22"/>
        </w:rPr>
        <w:t xml:space="preserve"> platform promoting AI to advance global development priorities</w:t>
      </w:r>
      <w:r w:rsidR="0023492E">
        <w:rPr>
          <w:sz w:val="22"/>
          <w:szCs w:val="22"/>
        </w:rPr>
        <w:t xml:space="preserve"> for the benefit of everyone, everywhere</w:t>
      </w:r>
      <w:r w:rsidRPr="00DA76FF">
        <w:rPr>
          <w:sz w:val="22"/>
          <w:szCs w:val="22"/>
        </w:rPr>
        <w:t>. AI for Good is organized in partnership with over 40 UN sister agencies and co-convened with the government of Switzerland.</w:t>
      </w:r>
      <w:r w:rsidR="003A07EF">
        <w:rPr>
          <w:sz w:val="22"/>
          <w:szCs w:val="22"/>
        </w:rPr>
        <w:t xml:space="preserve"> </w:t>
      </w:r>
      <w:r w:rsidRPr="00DA76FF">
        <w:rPr>
          <w:sz w:val="22"/>
          <w:szCs w:val="22"/>
        </w:rPr>
        <w:t>The</w:t>
      </w:r>
      <w:r w:rsidR="003A07EF">
        <w:rPr>
          <w:sz w:val="22"/>
          <w:szCs w:val="22"/>
        </w:rPr>
        <w:t xml:space="preserve"> new</w:t>
      </w:r>
      <w:r w:rsidRPr="00DA76FF">
        <w:rPr>
          <w:sz w:val="22"/>
          <w:szCs w:val="22"/>
        </w:rPr>
        <w:t xml:space="preserve"> </w:t>
      </w:r>
      <w:hyperlink r:id="rId162" w:history="1">
        <w:r w:rsidRPr="00DA76FF">
          <w:rPr>
            <w:rStyle w:val="Hyperlink"/>
            <w:sz w:val="22"/>
            <w:szCs w:val="22"/>
          </w:rPr>
          <w:t>AI Skills Coalition</w:t>
        </w:r>
      </w:hyperlink>
      <w:r w:rsidRPr="00DA76FF">
        <w:rPr>
          <w:sz w:val="22"/>
          <w:szCs w:val="22"/>
        </w:rPr>
        <w:t xml:space="preserve"> </w:t>
      </w:r>
      <w:r w:rsidR="003A07EF">
        <w:rPr>
          <w:sz w:val="22"/>
          <w:szCs w:val="22"/>
        </w:rPr>
        <w:t xml:space="preserve">(formed </w:t>
      </w:r>
      <w:r w:rsidRPr="00DA76FF">
        <w:rPr>
          <w:sz w:val="22"/>
          <w:szCs w:val="22"/>
        </w:rPr>
        <w:t>under the AI for Good Impact Initiative</w:t>
      </w:r>
      <w:r w:rsidR="003A07EF">
        <w:rPr>
          <w:sz w:val="22"/>
          <w:szCs w:val="22"/>
        </w:rPr>
        <w:t>)</w:t>
      </w:r>
      <w:r w:rsidRPr="00DA76FF">
        <w:rPr>
          <w:sz w:val="22"/>
          <w:szCs w:val="22"/>
        </w:rPr>
        <w:t xml:space="preserve"> </w:t>
      </w:r>
      <w:r w:rsidR="006A5406">
        <w:rPr>
          <w:sz w:val="22"/>
          <w:szCs w:val="22"/>
        </w:rPr>
        <w:t xml:space="preserve">aims to </w:t>
      </w:r>
      <w:r w:rsidR="00F47002">
        <w:rPr>
          <w:sz w:val="22"/>
          <w:szCs w:val="22"/>
        </w:rPr>
        <w:t>provide a</w:t>
      </w:r>
      <w:r w:rsidR="006A5406">
        <w:rPr>
          <w:sz w:val="22"/>
          <w:szCs w:val="22"/>
        </w:rPr>
        <w:t xml:space="preserve">n </w:t>
      </w:r>
      <w:r w:rsidRPr="00DA76FF">
        <w:rPr>
          <w:sz w:val="22"/>
          <w:szCs w:val="22"/>
        </w:rPr>
        <w:t>open, trusted platform for AI education and capacity building.</w:t>
      </w:r>
    </w:p>
    <w:p w14:paraId="0F329CFA" w14:textId="2E0B74BC" w:rsidR="00E055B9" w:rsidRPr="00DA76FF" w:rsidRDefault="00E055B9" w:rsidP="00B96F88">
      <w:pPr>
        <w:spacing w:before="0"/>
        <w:jc w:val="both"/>
        <w:rPr>
          <w:sz w:val="22"/>
          <w:szCs w:val="22"/>
        </w:rPr>
      </w:pPr>
      <w:r w:rsidRPr="004F041F">
        <w:rPr>
          <w:rFonts w:cs="Calibri"/>
          <w:noProof/>
          <w:sz w:val="22"/>
          <w:szCs w:val="22"/>
        </w:rPr>
        <mc:AlternateContent>
          <mc:Choice Requires="wps">
            <w:drawing>
              <wp:inline distT="0" distB="0" distL="0" distR="0" wp14:anchorId="088A1F0D" wp14:editId="3D02241D">
                <wp:extent cx="5626100" cy="1404620"/>
                <wp:effectExtent l="0" t="0" r="12700" b="22860"/>
                <wp:docPr id="544510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656377AC" w14:textId="4B5672E4" w:rsidR="00122C61" w:rsidRPr="00095EF2" w:rsidRDefault="00122C61" w:rsidP="00122C61">
                            <w:pPr>
                              <w:shd w:val="clear" w:color="auto" w:fill="C6D9F1" w:themeFill="text2" w:themeFillTint="33"/>
                              <w:rPr>
                                <w:rFonts w:cs="Calibri"/>
                                <w:b/>
                                <w:bCs/>
                                <w:szCs w:val="24"/>
                              </w:rPr>
                            </w:pPr>
                            <w:r w:rsidRPr="004A3701">
                              <w:rPr>
                                <w:rFonts w:cs="Calibri"/>
                                <w:b/>
                                <w:bCs/>
                                <w:szCs w:val="24"/>
                              </w:rPr>
                              <w:t>AI Skills Coalition</w:t>
                            </w:r>
                          </w:p>
                          <w:p w14:paraId="33F2ECB5" w14:textId="4E826899" w:rsidR="00122C61" w:rsidRDefault="00122C61" w:rsidP="00122C61">
                            <w:pPr>
                              <w:rPr>
                                <w:rFonts w:cs="Calibri"/>
                                <w:sz w:val="22"/>
                                <w:szCs w:val="22"/>
                              </w:rPr>
                            </w:pPr>
                            <w:r>
                              <w:rPr>
                                <w:rFonts w:cs="Calibri"/>
                                <w:sz w:val="22"/>
                                <w:szCs w:val="22"/>
                              </w:rPr>
                              <w:t xml:space="preserve">Rapid changes in the job market mean individuals and organizations need to focus and upskilling and continuous learning for the age of artificial intelligence (AI). ITU, with the United Nations Development Programme (UNDP) as a key partner, put together the new </w:t>
                            </w:r>
                            <w:r w:rsidRPr="00FD2109">
                              <w:rPr>
                                <w:rFonts w:cs="Calibri"/>
                                <w:sz w:val="22"/>
                                <w:szCs w:val="22"/>
                              </w:rPr>
                              <w:t>AI Skills Coalition</w:t>
                            </w:r>
                            <w:r>
                              <w:rPr>
                                <w:rFonts w:cs="Calibri"/>
                                <w:sz w:val="22"/>
                                <w:szCs w:val="22"/>
                              </w:rPr>
                              <w:t xml:space="preserve"> launched in January 2025 to deliver high-quality AI training worldwide.</w:t>
                            </w:r>
                          </w:p>
                          <w:p w14:paraId="0AC34538" w14:textId="7BF39244" w:rsidR="00E055B9" w:rsidRPr="00084CCF" w:rsidRDefault="00122C61" w:rsidP="00122C61">
                            <w:pPr>
                              <w:rPr>
                                <w:rFonts w:cs="Calibri"/>
                                <w:sz w:val="22"/>
                                <w:szCs w:val="22"/>
                              </w:rPr>
                            </w:pPr>
                            <w:hyperlink r:id="rId163" w:history="1">
                              <w:r w:rsidRPr="00F83512">
                                <w:rPr>
                                  <w:rStyle w:val="Hyperlink"/>
                                  <w:rFonts w:cs="Calibri"/>
                                  <w:b/>
                                  <w:bCs/>
                                  <w:sz w:val="22"/>
                                  <w:szCs w:val="22"/>
                                </w:rPr>
                                <w:t>Learn more</w:t>
                              </w:r>
                            </w:hyperlink>
                          </w:p>
                        </w:txbxContent>
                      </wps:txbx>
                      <wps:bodyPr rot="0" vert="horz" wrap="square" lIns="91440" tIns="45720" rIns="91440" bIns="45720" anchor="t" anchorCtr="0">
                        <a:spAutoFit/>
                      </wps:bodyPr>
                    </wps:wsp>
                  </a:graphicData>
                </a:graphic>
              </wp:inline>
            </w:drawing>
          </mc:Choice>
          <mc:Fallback>
            <w:pict>
              <v:shape w14:anchorId="088A1F0D" id="_x0000_s1031"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">
                <v:textbox style="mso-fit-shape-to-text:t">
                  <w:txbxContent>
                    <w:p w14:paraId="656377AC" w14:textId="4B5672E4" w:rsidR="00122C61" w:rsidRPr="00095EF2" w:rsidRDefault="00122C61" w:rsidP="00122C61">
                      <w:pPr>
                        <w:shd w:val="clear" w:color="auto" w:fill="C6D9F1" w:themeFill="text2" w:themeFillTint="33"/>
                        <w:rPr>
                          <w:rFonts w:cs="Calibri"/>
                          <w:b/>
                          <w:bCs/>
                          <w:szCs w:val="24"/>
                        </w:rPr>
                      </w:pPr>
                      <w:r w:rsidRPr="004A3701">
                        <w:rPr>
                          <w:rFonts w:cs="Calibri"/>
                          <w:b/>
                          <w:bCs/>
                          <w:szCs w:val="24"/>
                        </w:rPr>
                        <w:t>AI Skills Coalition</w:t>
                      </w:r>
                    </w:p>
                    <w:p w14:paraId="33F2ECB5" w14:textId="4E826899" w:rsidR="00122C61" w:rsidRDefault="00122C61" w:rsidP="00122C61">
                      <w:pPr>
                        <w:rPr>
                          <w:rFonts w:cs="Calibri"/>
                          <w:sz w:val="22"/>
                          <w:szCs w:val="22"/>
                        </w:rPr>
                      </w:pPr>
                      <w:r>
                        <w:rPr>
                          <w:rFonts w:cs="Calibri"/>
                          <w:sz w:val="22"/>
                          <w:szCs w:val="22"/>
                        </w:rPr>
                        <w:t xml:space="preserve">Rapid changes in the job market mean individuals and organizations need to focus and upskilling and continuous learning for the age of artificial intelligence (AI). ITU, with the United Nations Development Programme (UNDP) as a key partner, put together the new </w:t>
                      </w:r>
                      <w:r w:rsidRPr="00FD2109">
                        <w:rPr>
                          <w:rFonts w:cs="Calibri"/>
                          <w:sz w:val="22"/>
                          <w:szCs w:val="22"/>
                        </w:rPr>
                        <w:t>AI Skills Coalition</w:t>
                      </w:r>
                      <w:r>
                        <w:rPr>
                          <w:rFonts w:cs="Calibri"/>
                          <w:sz w:val="22"/>
                          <w:szCs w:val="22"/>
                        </w:rPr>
                        <w:t xml:space="preserve"> launched in January 2025 to deliver high-quality AI training worldwide.</w:t>
                      </w:r>
                    </w:p>
                    <w:p w14:paraId="0AC34538" w14:textId="7BF39244" w:rsidR="00E055B9" w:rsidRPr="00084CCF" w:rsidRDefault="00122C61" w:rsidP="00122C61">
                      <w:pPr>
                        <w:rPr>
                          <w:rFonts w:cs="Calibri"/>
                          <w:sz w:val="22"/>
                          <w:szCs w:val="22"/>
                        </w:rPr>
                      </w:pPr>
                      <w:hyperlink r:id="rId164" w:history="1">
                        <w:r w:rsidRPr="00F83512">
                          <w:rPr>
                            <w:rStyle w:val="Hyperlink"/>
                            <w:rFonts w:cs="Calibri"/>
                            <w:b/>
                            <w:bCs/>
                            <w:sz w:val="22"/>
                            <w:szCs w:val="22"/>
                          </w:rPr>
                          <w:t>Learn more</w:t>
                        </w:r>
                      </w:hyperlink>
                    </w:p>
                  </w:txbxContent>
                </v:textbox>
                <w10:anchorlock/>
              </v:shape>
            </w:pict>
          </mc:Fallback>
        </mc:AlternateContent>
      </w:r>
    </w:p>
    <w:p w14:paraId="7D194A3D" w14:textId="74FA9C83" w:rsidR="007A6373" w:rsidRPr="00841098" w:rsidRDefault="000D6B9B" w:rsidP="00A25266">
      <w:pPr>
        <w:spacing w:before="360" w:after="120"/>
        <w:jc w:val="both"/>
        <w:rPr>
          <w:sz w:val="22"/>
          <w:szCs w:val="22"/>
        </w:rPr>
      </w:pPr>
      <w:r w:rsidRPr="00DA76FF">
        <w:rPr>
          <w:sz w:val="22"/>
          <w:szCs w:val="22"/>
        </w:rPr>
        <w:t>ITU</w:t>
      </w:r>
      <w:r w:rsidR="009D23C8">
        <w:rPr>
          <w:sz w:val="22"/>
          <w:szCs w:val="22"/>
        </w:rPr>
        <w:t xml:space="preserve">’s </w:t>
      </w:r>
      <w:hyperlink r:id="rId165" w:history="1">
        <w:r w:rsidRPr="00DA76FF">
          <w:rPr>
            <w:rStyle w:val="Hyperlink"/>
            <w:sz w:val="22"/>
            <w:szCs w:val="22"/>
          </w:rPr>
          <w:t>AI for Good Impact India</w:t>
        </w:r>
      </w:hyperlink>
      <w:r w:rsidRPr="00DA76FF">
        <w:rPr>
          <w:sz w:val="22"/>
          <w:szCs w:val="22"/>
        </w:rPr>
        <w:t xml:space="preserve"> in 2024 </w:t>
      </w:r>
      <w:r w:rsidR="00DC34C8">
        <w:rPr>
          <w:sz w:val="22"/>
          <w:szCs w:val="22"/>
        </w:rPr>
        <w:t>signalled</w:t>
      </w:r>
      <w:r w:rsidR="009D23C8">
        <w:rPr>
          <w:sz w:val="22"/>
          <w:szCs w:val="22"/>
        </w:rPr>
        <w:t xml:space="preserve"> </w:t>
      </w:r>
      <w:r w:rsidR="00DC34C8">
        <w:rPr>
          <w:sz w:val="22"/>
          <w:szCs w:val="22"/>
        </w:rPr>
        <w:t>growing regional-level engagement, with</w:t>
      </w:r>
      <w:r w:rsidRPr="00DA76FF">
        <w:rPr>
          <w:sz w:val="22"/>
          <w:szCs w:val="22"/>
        </w:rPr>
        <w:t xml:space="preserve"> AI for Good Impact Africa set to </w:t>
      </w:r>
      <w:r w:rsidR="00DC34C8">
        <w:rPr>
          <w:sz w:val="22"/>
          <w:szCs w:val="22"/>
        </w:rPr>
        <w:t>follow</w:t>
      </w:r>
      <w:r w:rsidRPr="00DA76FF">
        <w:rPr>
          <w:sz w:val="22"/>
          <w:szCs w:val="22"/>
        </w:rPr>
        <w:t xml:space="preserve"> in South Africa in 2025, in partnership with the G20 </w:t>
      </w:r>
      <w:r w:rsidR="00095EF2">
        <w:rPr>
          <w:sz w:val="22"/>
          <w:szCs w:val="22"/>
        </w:rPr>
        <w:t>s</w:t>
      </w:r>
      <w:r w:rsidRPr="00DA76FF">
        <w:rPr>
          <w:sz w:val="22"/>
          <w:szCs w:val="22"/>
        </w:rPr>
        <w:t>ecretariat.</w:t>
      </w:r>
    </w:p>
    <w:p w14:paraId="4E41F414" w14:textId="29F6FC9F" w:rsidR="007A6373" w:rsidRPr="00DA76FF" w:rsidRDefault="001B47F9" w:rsidP="00B96F88">
      <w:pPr>
        <w:pStyle w:val="Heading3"/>
        <w:tabs>
          <w:tab w:val="clear" w:pos="567"/>
        </w:tabs>
        <w:spacing w:before="120" w:after="120"/>
        <w:rPr>
          <w:lang w:eastAsia="en-GB"/>
        </w:rPr>
      </w:pPr>
      <w:bookmarkStart w:id="47" w:name="_Toc198569370"/>
      <w:r w:rsidRPr="00DA76FF">
        <w:rPr>
          <w:lang w:eastAsia="en-GB"/>
        </w:rPr>
        <w:lastRenderedPageBreak/>
        <w:t>4</w:t>
      </w:r>
      <w:r w:rsidR="001E5A51" w:rsidRPr="00DA76FF">
        <w:rPr>
          <w:lang w:eastAsia="en-GB"/>
        </w:rPr>
        <w:t>.8.3</w:t>
      </w:r>
      <w:r w:rsidR="001E5A51" w:rsidRPr="00DA76FF">
        <w:rPr>
          <w:lang w:eastAsia="en-GB"/>
        </w:rPr>
        <w:tab/>
      </w:r>
      <w:r w:rsidR="007A6373" w:rsidRPr="00DA76FF">
        <w:rPr>
          <w:lang w:eastAsia="en-GB"/>
        </w:rPr>
        <w:t>Global Standards Symposium (GSS-24)</w:t>
      </w:r>
      <w:bookmarkEnd w:id="47"/>
    </w:p>
    <w:p w14:paraId="533D8F16" w14:textId="1040D20B" w:rsidR="007A6373" w:rsidRPr="00DA76FF" w:rsidRDefault="007A6373" w:rsidP="00B96F88">
      <w:pPr>
        <w:keepNext/>
        <w:keepLines/>
        <w:spacing w:after="120"/>
        <w:jc w:val="both"/>
        <w:rPr>
          <w:rFonts w:eastAsia="Calibri"/>
          <w:sz w:val="22"/>
          <w:szCs w:val="22"/>
          <w:lang w:eastAsia="en-GB"/>
        </w:rPr>
      </w:pPr>
      <w:r w:rsidRPr="00DA76FF">
        <w:rPr>
          <w:rFonts w:eastAsia="Calibri"/>
          <w:sz w:val="22"/>
          <w:szCs w:val="22"/>
          <w:lang w:eastAsia="en-GB"/>
        </w:rPr>
        <w:t xml:space="preserve">The </w:t>
      </w:r>
      <w:hyperlink r:id="rId166" w:history="1">
        <w:r w:rsidRPr="00DA76FF">
          <w:rPr>
            <w:rStyle w:val="Hyperlink"/>
            <w:rFonts w:eastAsia="Calibri"/>
            <w:sz w:val="22"/>
            <w:szCs w:val="22"/>
            <w:lang w:eastAsia="en-GB"/>
          </w:rPr>
          <w:t>Fifth Global Standards Symposium (GSS-24)</w:t>
        </w:r>
      </w:hyperlink>
      <w:r w:rsidRPr="00DA76FF">
        <w:rPr>
          <w:rFonts w:eastAsia="Calibri"/>
          <w:sz w:val="22"/>
          <w:szCs w:val="22"/>
          <w:lang w:eastAsia="en-GB"/>
        </w:rPr>
        <w:t xml:space="preserve"> took place on 14 October 2024 in New Delhi, under the theme “Charting the Next Digital Wave: Emerging Technologies, Innovation, and International Standards.” GSS-24 explored how cutting-edge technologies and international standards are reshaping the digital future. The event featured a High-Level Segment with over 20 ministers and industry leaders, shaping the future of innovation and driving global change. It was attended by 1</w:t>
      </w:r>
      <w:r w:rsidR="00095EF2">
        <w:rPr>
          <w:rFonts w:eastAsia="Calibri"/>
          <w:sz w:val="22"/>
          <w:szCs w:val="22"/>
          <w:lang w:eastAsia="en-GB"/>
        </w:rPr>
        <w:t> </w:t>
      </w:r>
      <w:r w:rsidRPr="00DA76FF">
        <w:rPr>
          <w:rFonts w:eastAsia="Calibri"/>
          <w:sz w:val="22"/>
          <w:szCs w:val="22"/>
          <w:lang w:eastAsia="en-GB"/>
        </w:rPr>
        <w:t xml:space="preserve">800+ on-site participants and 800+ remote participants. </w:t>
      </w:r>
      <w:r w:rsidR="005E05A0">
        <w:rPr>
          <w:rFonts w:eastAsia="Calibri"/>
          <w:sz w:val="22"/>
          <w:szCs w:val="22"/>
          <w:lang w:eastAsia="en-GB"/>
        </w:rPr>
        <w:t xml:space="preserve">See </w:t>
      </w:r>
      <w:hyperlink r:id="rId167" w:history="1">
        <w:r w:rsidRPr="005E05A0">
          <w:rPr>
            <w:rStyle w:val="Hyperlink"/>
            <w:rFonts w:eastAsia="Calibri"/>
            <w:sz w:val="22"/>
            <w:szCs w:val="22"/>
            <w:lang w:eastAsia="en-GB"/>
          </w:rPr>
          <w:t xml:space="preserve">GSS-24 </w:t>
        </w:r>
        <w:r w:rsidR="005E05A0" w:rsidRPr="005E05A0">
          <w:rPr>
            <w:rStyle w:val="Hyperlink"/>
            <w:rFonts w:eastAsia="Calibri"/>
            <w:sz w:val="22"/>
            <w:szCs w:val="22"/>
            <w:lang w:eastAsia="en-GB"/>
          </w:rPr>
          <w:t>c</w:t>
        </w:r>
        <w:r w:rsidRPr="005E05A0">
          <w:rPr>
            <w:rStyle w:val="Hyperlink"/>
            <w:rFonts w:eastAsia="Calibri"/>
            <w:sz w:val="22"/>
            <w:szCs w:val="22"/>
            <w:lang w:eastAsia="en-GB"/>
          </w:rPr>
          <w:t>onclusions</w:t>
        </w:r>
      </w:hyperlink>
      <w:r w:rsidRPr="00DA76FF">
        <w:rPr>
          <w:rFonts w:eastAsia="Calibri"/>
          <w:sz w:val="22"/>
          <w:szCs w:val="22"/>
          <w:lang w:eastAsia="en-GB"/>
        </w:rPr>
        <w:t>.</w:t>
      </w:r>
    </w:p>
    <w:p w14:paraId="56A0FBD5" w14:textId="06EE4230" w:rsidR="007A6373" w:rsidRPr="00DA76FF" w:rsidRDefault="001B47F9" w:rsidP="00B96F88">
      <w:pPr>
        <w:pStyle w:val="Heading3"/>
        <w:keepNext w:val="0"/>
        <w:keepLines w:val="0"/>
        <w:tabs>
          <w:tab w:val="clear" w:pos="567"/>
        </w:tabs>
        <w:spacing w:before="120" w:after="120"/>
      </w:pPr>
      <w:bookmarkStart w:id="48" w:name="_Toc198569371"/>
      <w:r w:rsidRPr="00DA76FF">
        <w:t>4</w:t>
      </w:r>
      <w:r w:rsidR="001E5A51" w:rsidRPr="00DA76FF">
        <w:t>.8.4</w:t>
      </w:r>
      <w:r w:rsidR="001E5A51" w:rsidRPr="00DA76FF">
        <w:tab/>
      </w:r>
      <w:r w:rsidR="007A6373" w:rsidRPr="00DA76FF">
        <w:t>Global Symposium for Regulators</w:t>
      </w:r>
      <w:bookmarkEnd w:id="48"/>
    </w:p>
    <w:p w14:paraId="78E9F5DD" w14:textId="5053E882" w:rsidR="007A6373" w:rsidRPr="00DA76FF" w:rsidRDefault="007A6373" w:rsidP="00B96F88">
      <w:pPr>
        <w:spacing w:after="120"/>
        <w:jc w:val="both"/>
        <w:rPr>
          <w:rFonts w:asciiTheme="minorHAnsi" w:eastAsia="Calibri" w:hAnsiTheme="minorHAnsi" w:cstheme="minorHAnsi"/>
          <w:bCs/>
          <w:sz w:val="22"/>
          <w:szCs w:val="22"/>
          <w:lang w:eastAsia="en-GB"/>
        </w:rPr>
      </w:pPr>
      <w:r w:rsidRPr="00DA76FF">
        <w:rPr>
          <w:rFonts w:asciiTheme="minorHAnsi" w:eastAsia="Calibri" w:hAnsiTheme="minorHAnsi" w:cstheme="minorHAnsi"/>
          <w:bCs/>
          <w:sz w:val="22"/>
          <w:szCs w:val="22"/>
          <w:lang w:eastAsia="en-GB"/>
        </w:rPr>
        <w:t>The 23rd edition of the Global Symposium for Regulators (GSR-24) was held in Kampala, Uganda, from 1</w:t>
      </w:r>
      <w:r w:rsidR="00095EF2">
        <w:rPr>
          <w:rFonts w:asciiTheme="minorHAnsi" w:eastAsia="Calibri" w:hAnsiTheme="minorHAnsi" w:cstheme="minorHAnsi"/>
          <w:bCs/>
          <w:sz w:val="22"/>
          <w:szCs w:val="22"/>
          <w:lang w:eastAsia="en-GB"/>
        </w:rPr>
        <w:t> </w:t>
      </w:r>
      <w:r w:rsidRPr="00DA76FF">
        <w:rPr>
          <w:rFonts w:asciiTheme="minorHAnsi" w:eastAsia="Calibri" w:hAnsiTheme="minorHAnsi" w:cstheme="minorHAnsi"/>
          <w:bCs/>
          <w:sz w:val="22"/>
          <w:szCs w:val="22"/>
          <w:lang w:eastAsia="en-GB"/>
        </w:rPr>
        <w:t xml:space="preserve">to 4 July 2024 under the theme </w:t>
      </w:r>
      <w:r w:rsidR="00095EF2">
        <w:rPr>
          <w:rFonts w:asciiTheme="minorHAnsi" w:eastAsia="Calibri" w:hAnsiTheme="minorHAnsi" w:cstheme="minorHAnsi"/>
          <w:bCs/>
          <w:sz w:val="22"/>
          <w:szCs w:val="22"/>
          <w:lang w:eastAsia="en-GB"/>
        </w:rPr>
        <w:t>“</w:t>
      </w:r>
      <w:r w:rsidRPr="00DA76FF">
        <w:rPr>
          <w:rFonts w:asciiTheme="minorHAnsi" w:eastAsia="Calibri" w:hAnsiTheme="minorHAnsi" w:cstheme="minorHAnsi"/>
          <w:bCs/>
          <w:sz w:val="22"/>
          <w:szCs w:val="22"/>
          <w:lang w:eastAsia="en-GB"/>
        </w:rPr>
        <w:t>Regulation for impact</w:t>
      </w:r>
      <w:r w:rsidR="00095EF2">
        <w:rPr>
          <w:rFonts w:asciiTheme="minorHAnsi" w:eastAsia="Calibri" w:hAnsiTheme="minorHAnsi" w:cstheme="minorHAnsi"/>
          <w:bCs/>
          <w:sz w:val="22"/>
          <w:szCs w:val="22"/>
          <w:lang w:eastAsia="en-GB"/>
        </w:rPr>
        <w:t>”</w:t>
      </w:r>
      <w:r w:rsidRPr="00DA76FF">
        <w:rPr>
          <w:rFonts w:asciiTheme="minorHAnsi" w:eastAsia="Calibri" w:hAnsiTheme="minorHAnsi" w:cstheme="minorHAnsi"/>
          <w:bCs/>
          <w:sz w:val="22"/>
          <w:szCs w:val="22"/>
          <w:lang w:eastAsia="en-GB"/>
        </w:rPr>
        <w:t>. The event attracted over 600 participants including Ministers and Deputy Ministers (10), Heads of Regulatory Authorities and C-level industry executives (50+) from over 77 countries.</w:t>
      </w:r>
    </w:p>
    <w:p w14:paraId="6F661073" w14:textId="43BD4495" w:rsidR="083C7681" w:rsidRDefault="007A6373" w:rsidP="00AD3A45">
      <w:pPr>
        <w:spacing w:after="120"/>
        <w:jc w:val="both"/>
        <w:rPr>
          <w:rFonts w:asciiTheme="minorHAnsi" w:eastAsia="Calibri" w:hAnsiTheme="minorHAnsi" w:cstheme="minorBidi"/>
          <w:sz w:val="22"/>
          <w:szCs w:val="22"/>
          <w:lang w:eastAsia="en-GB"/>
        </w:rPr>
      </w:pPr>
      <w:r w:rsidRPr="2C0EAE0F">
        <w:rPr>
          <w:rFonts w:asciiTheme="minorHAnsi" w:eastAsia="Calibri" w:hAnsiTheme="minorHAnsi" w:cstheme="minorBidi"/>
          <w:sz w:val="22"/>
          <w:szCs w:val="22"/>
          <w:lang w:eastAsia="en-GB"/>
        </w:rPr>
        <w:t>Regulators from around the world identified and endorsed the GSR-24</w:t>
      </w:r>
      <w:r w:rsidR="00095EF2" w:rsidRPr="2C0EAE0F">
        <w:rPr>
          <w:rFonts w:asciiTheme="minorHAnsi" w:eastAsia="Calibri" w:hAnsiTheme="minorHAnsi" w:cstheme="minorBidi"/>
          <w:sz w:val="22"/>
          <w:szCs w:val="22"/>
          <w:lang w:eastAsia="en-GB"/>
        </w:rPr>
        <w:t xml:space="preserve"> </w:t>
      </w:r>
      <w:r w:rsidRPr="2C0EAE0F">
        <w:rPr>
          <w:rFonts w:asciiTheme="minorHAnsi" w:eastAsia="Calibri" w:hAnsiTheme="minorHAnsi" w:cstheme="minorBidi"/>
          <w:sz w:val="22"/>
          <w:szCs w:val="22"/>
          <w:lang w:eastAsia="en-GB"/>
        </w:rPr>
        <w:t>Best Practice Guidelines on "Helping chart the course of transformative technologies for impact</w:t>
      </w:r>
      <w:r w:rsidR="00282F71" w:rsidRPr="2C0EAE0F">
        <w:rPr>
          <w:rFonts w:asciiTheme="minorHAnsi" w:eastAsia="Calibri" w:hAnsiTheme="minorHAnsi" w:cstheme="minorBidi"/>
          <w:sz w:val="22"/>
          <w:szCs w:val="22"/>
          <w:lang w:eastAsia="en-GB"/>
        </w:rPr>
        <w:t>.</w:t>
      </w:r>
      <w:r w:rsidRPr="2C0EAE0F">
        <w:rPr>
          <w:rFonts w:asciiTheme="minorHAnsi" w:eastAsia="Calibri" w:hAnsiTheme="minorHAnsi" w:cstheme="minorBidi"/>
          <w:sz w:val="22"/>
          <w:szCs w:val="22"/>
          <w:lang w:eastAsia="en-GB"/>
        </w:rPr>
        <w:t xml:space="preserve">" The </w:t>
      </w:r>
      <w:r w:rsidR="006A5406" w:rsidRPr="2C0EAE0F">
        <w:rPr>
          <w:rFonts w:asciiTheme="minorHAnsi" w:eastAsia="Calibri" w:hAnsiTheme="minorHAnsi" w:cstheme="minorBidi"/>
          <w:sz w:val="22"/>
          <w:szCs w:val="22"/>
          <w:lang w:eastAsia="en-GB"/>
        </w:rPr>
        <w:t>g</w:t>
      </w:r>
      <w:r w:rsidRPr="2C0EAE0F">
        <w:rPr>
          <w:rFonts w:asciiTheme="minorHAnsi" w:eastAsia="Calibri" w:hAnsiTheme="minorHAnsi" w:cstheme="minorBidi"/>
          <w:sz w:val="22"/>
          <w:szCs w:val="22"/>
          <w:lang w:eastAsia="en-GB"/>
        </w:rPr>
        <w:t xml:space="preserve">uidelines can help ICT regulators shape a regulatory environment that enables the rollout of cutting-edge infrastructure to support digital societies and digital economies of the future. The </w:t>
      </w:r>
      <w:r w:rsidR="006A5406" w:rsidRPr="2C0EAE0F">
        <w:rPr>
          <w:rFonts w:asciiTheme="minorHAnsi" w:eastAsia="Calibri" w:hAnsiTheme="minorHAnsi" w:cstheme="minorBidi"/>
          <w:sz w:val="22"/>
          <w:szCs w:val="22"/>
          <w:lang w:eastAsia="en-GB"/>
        </w:rPr>
        <w:t>g</w:t>
      </w:r>
      <w:r w:rsidRPr="2C0EAE0F">
        <w:rPr>
          <w:rFonts w:asciiTheme="minorHAnsi" w:eastAsia="Calibri" w:hAnsiTheme="minorHAnsi" w:cstheme="minorBidi"/>
          <w:sz w:val="22"/>
          <w:szCs w:val="22"/>
          <w:lang w:eastAsia="en-GB"/>
        </w:rPr>
        <w:t xml:space="preserve">uidelines also identify measures to minimize risk and maximize </w:t>
      </w:r>
      <w:r w:rsidR="006A5406" w:rsidRPr="2C0EAE0F">
        <w:rPr>
          <w:rFonts w:asciiTheme="minorHAnsi" w:eastAsia="Calibri" w:hAnsiTheme="minorHAnsi" w:cstheme="minorBidi"/>
          <w:sz w:val="22"/>
          <w:szCs w:val="22"/>
          <w:lang w:eastAsia="en-GB"/>
        </w:rPr>
        <w:t xml:space="preserve">the </w:t>
      </w:r>
      <w:r w:rsidRPr="2C0EAE0F">
        <w:rPr>
          <w:rFonts w:asciiTheme="minorHAnsi" w:eastAsia="Calibri" w:hAnsiTheme="minorHAnsi" w:cstheme="minorBidi"/>
          <w:sz w:val="22"/>
          <w:szCs w:val="22"/>
          <w:lang w:eastAsia="en-GB"/>
        </w:rPr>
        <w:t xml:space="preserve">social and economic benefits of transformative technologies. The guidelines are included in annex to this report and on the </w:t>
      </w:r>
      <w:hyperlink r:id="rId168">
        <w:r w:rsidRPr="2C0EAE0F">
          <w:rPr>
            <w:rStyle w:val="Hyperlink"/>
            <w:rFonts w:asciiTheme="minorHAnsi" w:eastAsia="Calibri" w:hAnsiTheme="minorHAnsi" w:cstheme="minorBidi"/>
            <w:sz w:val="22"/>
            <w:szCs w:val="22"/>
            <w:lang w:eastAsia="en-GB"/>
          </w:rPr>
          <w:t>GSR-24 website</w:t>
        </w:r>
      </w:hyperlink>
      <w:r w:rsidRPr="2C0EAE0F">
        <w:rPr>
          <w:rFonts w:asciiTheme="minorHAnsi" w:eastAsia="Calibri" w:hAnsiTheme="minorHAnsi" w:cstheme="minorBidi"/>
          <w:sz w:val="22"/>
          <w:szCs w:val="22"/>
          <w:lang w:eastAsia="en-GB"/>
        </w:rPr>
        <w:t>.</w:t>
      </w:r>
    </w:p>
    <w:p w14:paraId="275279E4" w14:textId="21DAF285" w:rsidR="001E5A51" w:rsidRPr="00DA76FF" w:rsidRDefault="001B47F9" w:rsidP="00B96F88">
      <w:pPr>
        <w:pStyle w:val="Heading3"/>
        <w:keepNext w:val="0"/>
        <w:keepLines w:val="0"/>
        <w:tabs>
          <w:tab w:val="clear" w:pos="567"/>
        </w:tabs>
        <w:spacing w:before="120" w:after="120"/>
        <w:rPr>
          <w:lang w:eastAsia="en-GB"/>
        </w:rPr>
      </w:pPr>
      <w:bookmarkStart w:id="49" w:name="_Toc198569372"/>
      <w:r w:rsidRPr="00DA76FF">
        <w:rPr>
          <w:lang w:eastAsia="en-GB"/>
        </w:rPr>
        <w:t>4</w:t>
      </w:r>
      <w:r w:rsidR="001E5A51" w:rsidRPr="00DA76FF">
        <w:rPr>
          <w:lang w:eastAsia="en-GB"/>
        </w:rPr>
        <w:t>.8.5</w:t>
      </w:r>
      <w:r w:rsidR="001E5A51" w:rsidRPr="00DA76FF">
        <w:rPr>
          <w:lang w:eastAsia="en-GB"/>
        </w:rPr>
        <w:tab/>
        <w:t xml:space="preserve">Engaging </w:t>
      </w:r>
      <w:r w:rsidR="008D604F">
        <w:rPr>
          <w:lang w:eastAsia="en-GB"/>
        </w:rPr>
        <w:t>a</w:t>
      </w:r>
      <w:r w:rsidR="001E5A51" w:rsidRPr="00DA76FF">
        <w:rPr>
          <w:lang w:eastAsia="en-GB"/>
        </w:rPr>
        <w:t>cademia in ITU’s work</w:t>
      </w:r>
      <w:bookmarkEnd w:id="49"/>
    </w:p>
    <w:bookmarkStart w:id="50" w:name="_Hlk92298430"/>
    <w:p w14:paraId="221AF82C" w14:textId="53E78BF3" w:rsidR="001E5A51" w:rsidRPr="00DA76FF" w:rsidRDefault="001E5A51" w:rsidP="00B96F88">
      <w:pPr>
        <w:spacing w:after="120"/>
        <w:jc w:val="both"/>
        <w:rPr>
          <w:sz w:val="22"/>
          <w:szCs w:val="22"/>
        </w:rPr>
      </w:pPr>
      <w:r w:rsidRPr="00DA76FF">
        <w:fldChar w:fldCharType="begin"/>
      </w:r>
      <w:r w:rsidRPr="00DA76FF">
        <w:instrText>HYPERLINK "https://www.itu.int/hub/membership/"</w:instrText>
      </w:r>
      <w:r w:rsidRPr="00DA76FF">
        <w:fldChar w:fldCharType="separate"/>
      </w:r>
      <w:r w:rsidRPr="00DA76FF">
        <w:rPr>
          <w:rStyle w:val="Hyperlink"/>
          <w:sz w:val="22"/>
          <w:szCs w:val="22"/>
        </w:rPr>
        <w:t>ITU Academia membership</w:t>
      </w:r>
      <w:r w:rsidRPr="00DA76FF">
        <w:fldChar w:fldCharType="end"/>
      </w:r>
      <w:r w:rsidRPr="00DA76FF">
        <w:rPr>
          <w:sz w:val="22"/>
          <w:szCs w:val="22"/>
        </w:rPr>
        <w:t xml:space="preserve">, the </w:t>
      </w:r>
      <w:hyperlink r:id="rId169" w:history="1">
        <w:r w:rsidRPr="00DA76FF">
          <w:rPr>
            <w:rStyle w:val="Hyperlink"/>
            <w:sz w:val="22"/>
            <w:szCs w:val="22"/>
          </w:rPr>
          <w:t>ITU Journal</w:t>
        </w:r>
      </w:hyperlink>
      <w:r w:rsidRPr="00DA76FF">
        <w:rPr>
          <w:sz w:val="22"/>
          <w:szCs w:val="22"/>
        </w:rPr>
        <w:t xml:space="preserve">, and </w:t>
      </w:r>
      <w:hyperlink r:id="rId170" w:history="1">
        <w:r w:rsidRPr="00DA76FF">
          <w:rPr>
            <w:rStyle w:val="Hyperlink"/>
            <w:sz w:val="22"/>
            <w:szCs w:val="22"/>
          </w:rPr>
          <w:t>ITU Kaleidoscope conferences</w:t>
        </w:r>
      </w:hyperlink>
      <w:r w:rsidRPr="00DA76FF">
        <w:rPr>
          <w:sz w:val="22"/>
          <w:szCs w:val="22"/>
        </w:rPr>
        <w:t xml:space="preserve"> serve as key platforms for academic engagement in ITU’s work. These initiatives foster collaboration between academia and industry, driving research and development while accelerating the transition of cutting-edge innovations from the lab to the market.</w:t>
      </w:r>
    </w:p>
    <w:p w14:paraId="7FAF6960" w14:textId="5F337FBC" w:rsidR="001E5A51" w:rsidRPr="00DA76FF" w:rsidRDefault="001B47F9" w:rsidP="00B96F88">
      <w:pPr>
        <w:pStyle w:val="Heading3"/>
        <w:keepNext w:val="0"/>
        <w:keepLines w:val="0"/>
        <w:tabs>
          <w:tab w:val="clear" w:pos="567"/>
        </w:tabs>
        <w:spacing w:before="120" w:after="120"/>
      </w:pPr>
      <w:bookmarkStart w:id="51" w:name="_Toc198569373"/>
      <w:r w:rsidRPr="00DA76FF">
        <w:t>4</w:t>
      </w:r>
      <w:r w:rsidR="001E5A51" w:rsidRPr="00DA76FF">
        <w:t>.8.6</w:t>
      </w:r>
      <w:r w:rsidR="001E5A51" w:rsidRPr="00DA76FF">
        <w:tab/>
        <w:t>ITU Journal</w:t>
      </w:r>
      <w:bookmarkEnd w:id="51"/>
    </w:p>
    <w:p w14:paraId="076A8D53" w14:textId="14DABA9B" w:rsidR="001E5A51" w:rsidRPr="00095EF2" w:rsidRDefault="001E5A51" w:rsidP="00B96F88">
      <w:pPr>
        <w:tabs>
          <w:tab w:val="left" w:pos="720"/>
        </w:tabs>
        <w:spacing w:after="120"/>
        <w:jc w:val="both"/>
        <w:rPr>
          <w:rFonts w:eastAsia="Calibri" w:cs="Calibri"/>
          <w:sz w:val="22"/>
          <w:szCs w:val="22"/>
        </w:rPr>
      </w:pPr>
      <w:r w:rsidRPr="00095EF2">
        <w:rPr>
          <w:rFonts w:eastAsia="Calibri" w:cs="Calibri"/>
          <w:sz w:val="22"/>
          <w:szCs w:val="22"/>
        </w:rPr>
        <w:t xml:space="preserve">The </w:t>
      </w:r>
      <w:hyperlink r:id="rId171" w:history="1">
        <w:r w:rsidRPr="00095EF2">
          <w:rPr>
            <w:rStyle w:val="Hyperlink"/>
            <w:sz w:val="22"/>
            <w:szCs w:val="22"/>
          </w:rPr>
          <w:t>ITU Journal on Future and Evolving Technologies (ITU J-FET)</w:t>
        </w:r>
      </w:hyperlink>
      <w:r w:rsidRPr="00095EF2">
        <w:rPr>
          <w:rFonts w:eastAsia="Calibri" w:cs="Calibri"/>
          <w:sz w:val="22"/>
          <w:szCs w:val="22"/>
        </w:rPr>
        <w:t xml:space="preserve"> – free of charge to both readers and authors – offers comprehensive coverage of communications and networking. The quarterly, online journal welcomes research submissions all year long, on all topics relevant to the work of </w:t>
      </w:r>
      <w:r w:rsidR="00440A04" w:rsidRPr="00095EF2">
        <w:rPr>
          <w:rFonts w:eastAsia="Calibri" w:cs="Calibri"/>
          <w:sz w:val="22"/>
          <w:szCs w:val="22"/>
        </w:rPr>
        <w:t>ITU</w:t>
      </w:r>
      <w:r w:rsidRPr="00095EF2">
        <w:rPr>
          <w:rFonts w:eastAsia="Calibri" w:cs="Calibri"/>
          <w:sz w:val="22"/>
          <w:szCs w:val="22"/>
        </w:rPr>
        <w:t>. Volume</w:t>
      </w:r>
      <w:r w:rsidR="00095EF2">
        <w:rPr>
          <w:rFonts w:eastAsia="Calibri" w:cs="Calibri"/>
          <w:sz w:val="22"/>
          <w:szCs w:val="22"/>
        </w:rPr>
        <w:t> </w:t>
      </w:r>
      <w:r w:rsidRPr="00095EF2">
        <w:rPr>
          <w:rFonts w:eastAsia="Calibri" w:cs="Calibri"/>
          <w:sz w:val="22"/>
          <w:szCs w:val="22"/>
        </w:rPr>
        <w:t xml:space="preserve">5 (2024) focused on </w:t>
      </w:r>
      <w:hyperlink r:id="rId172" w:history="1">
        <w:r w:rsidRPr="00095EF2">
          <w:rPr>
            <w:rStyle w:val="Hyperlink"/>
            <w:sz w:val="22"/>
            <w:szCs w:val="22"/>
          </w:rPr>
          <w:t>Next generation computer communications and networks</w:t>
        </w:r>
      </w:hyperlink>
      <w:r w:rsidRPr="00095EF2">
        <w:rPr>
          <w:rStyle w:val="Hyperlink"/>
          <w:sz w:val="22"/>
          <w:szCs w:val="22"/>
        </w:rPr>
        <w:t xml:space="preserve">, </w:t>
      </w:r>
      <w:hyperlink r:id="rId173" w:history="1">
        <w:r w:rsidRPr="00095EF2">
          <w:rPr>
            <w:rStyle w:val="Hyperlink"/>
            <w:sz w:val="22"/>
            <w:szCs w:val="22"/>
          </w:rPr>
          <w:t xml:space="preserve">Satellite constellations and connectivity from space </w:t>
        </w:r>
      </w:hyperlink>
      <w:r w:rsidRPr="00095EF2">
        <w:rPr>
          <w:rStyle w:val="Hyperlink"/>
          <w:sz w:val="22"/>
          <w:szCs w:val="22"/>
        </w:rPr>
        <w:t xml:space="preserve">, </w:t>
      </w:r>
      <w:hyperlink r:id="rId174" w:history="1">
        <w:r w:rsidRPr="00095EF2">
          <w:rPr>
            <w:rStyle w:val="Hyperlink"/>
            <w:sz w:val="22"/>
            <w:szCs w:val="22"/>
          </w:rPr>
          <w:t>Intelligent technologies for future networking and distributed systems</w:t>
        </w:r>
      </w:hyperlink>
      <w:r w:rsidRPr="00095EF2">
        <w:rPr>
          <w:rFonts w:eastAsia="Calibri" w:cs="Calibri"/>
          <w:sz w:val="22"/>
          <w:szCs w:val="22"/>
        </w:rPr>
        <w:t xml:space="preserve">, and </w:t>
      </w:r>
      <w:hyperlink r:id="rId175" w:history="1">
        <w:r w:rsidRPr="00095EF2">
          <w:rPr>
            <w:rStyle w:val="Hyperlink"/>
            <w:sz w:val="22"/>
            <w:szCs w:val="22"/>
          </w:rPr>
          <w:t>AI and machine learning solutions in 5G and future networks</w:t>
        </w:r>
      </w:hyperlink>
      <w:r w:rsidRPr="00095EF2">
        <w:rPr>
          <w:rFonts w:eastAsia="Calibri" w:cs="Calibri"/>
          <w:sz w:val="22"/>
          <w:szCs w:val="22"/>
        </w:rPr>
        <w:t>.</w:t>
      </w:r>
    </w:p>
    <w:p w14:paraId="1DBC6FF6" w14:textId="77777777" w:rsidR="001E5A51" w:rsidRPr="00DA76FF" w:rsidRDefault="001E5A51" w:rsidP="00B96F88">
      <w:pPr>
        <w:spacing w:after="120"/>
        <w:jc w:val="both"/>
        <w:rPr>
          <w:rFonts w:eastAsia="Calibri" w:cs="Calibri"/>
          <w:sz w:val="22"/>
          <w:szCs w:val="22"/>
        </w:rPr>
      </w:pPr>
      <w:r w:rsidRPr="00095EF2">
        <w:rPr>
          <w:rFonts w:eastAsia="Calibri" w:cs="Calibri"/>
          <w:sz w:val="22"/>
          <w:szCs w:val="22"/>
        </w:rPr>
        <w:t xml:space="preserve">Along with research articles, the journal includes </w:t>
      </w:r>
      <w:hyperlink r:id="rId176" w:history="1">
        <w:r w:rsidRPr="00095EF2">
          <w:rPr>
            <w:rStyle w:val="Hyperlink"/>
            <w:sz w:val="22"/>
            <w:szCs w:val="22"/>
          </w:rPr>
          <w:t>recorded webinar discussions</w:t>
        </w:r>
      </w:hyperlink>
      <w:r w:rsidRPr="00095EF2">
        <w:rPr>
          <w:rFonts w:eastAsia="Calibri" w:cs="Calibri"/>
          <w:sz w:val="22"/>
          <w:szCs w:val="22"/>
        </w:rPr>
        <w:t xml:space="preserve"> with top-level researchers and industry leaders.</w:t>
      </w:r>
    </w:p>
    <w:p w14:paraId="611FFCCB" w14:textId="26358661" w:rsidR="001E5A51" w:rsidRPr="00DA76FF" w:rsidRDefault="001B47F9" w:rsidP="00B96F88">
      <w:pPr>
        <w:pStyle w:val="Heading3"/>
        <w:keepNext w:val="0"/>
        <w:keepLines w:val="0"/>
        <w:tabs>
          <w:tab w:val="clear" w:pos="567"/>
        </w:tabs>
        <w:spacing w:before="120" w:after="120"/>
      </w:pPr>
      <w:bookmarkStart w:id="52" w:name="_Toc198569374"/>
      <w:r w:rsidRPr="00DA76FF">
        <w:t>4</w:t>
      </w:r>
      <w:r w:rsidR="001E5A51" w:rsidRPr="00DA76FF">
        <w:t>.8.7</w:t>
      </w:r>
      <w:r w:rsidR="001E5A51" w:rsidRPr="00DA76FF">
        <w:tab/>
        <w:t>Kaleidoscope academic conference</w:t>
      </w:r>
      <w:bookmarkEnd w:id="52"/>
    </w:p>
    <w:p w14:paraId="3F9DA74F" w14:textId="6AFDF0E7" w:rsidR="001E5A51" w:rsidRPr="00DA76FF" w:rsidRDefault="001E5A51" w:rsidP="00B96F88">
      <w:pPr>
        <w:spacing w:after="120"/>
        <w:jc w:val="both"/>
        <w:rPr>
          <w:sz w:val="22"/>
          <w:szCs w:val="22"/>
        </w:rPr>
      </w:pPr>
      <w:r w:rsidRPr="00095EF2">
        <w:rPr>
          <w:spacing w:val="-2"/>
          <w:sz w:val="22"/>
          <w:szCs w:val="22"/>
        </w:rPr>
        <w:t>The 15</w:t>
      </w:r>
      <w:r w:rsidRPr="00095EF2">
        <w:rPr>
          <w:spacing w:val="-2"/>
          <w:sz w:val="22"/>
          <w:szCs w:val="22"/>
          <w:vertAlign w:val="superscript"/>
        </w:rPr>
        <w:t>th</w:t>
      </w:r>
      <w:r w:rsidRPr="00095EF2">
        <w:rPr>
          <w:spacing w:val="-2"/>
          <w:sz w:val="22"/>
          <w:szCs w:val="22"/>
        </w:rPr>
        <w:t xml:space="preserve"> edition of the </w:t>
      </w:r>
      <w:hyperlink r:id="rId177" w:history="1">
        <w:r w:rsidRPr="00095EF2">
          <w:rPr>
            <w:rStyle w:val="Hyperlink"/>
            <w:spacing w:val="-2"/>
            <w:sz w:val="22"/>
            <w:szCs w:val="22"/>
          </w:rPr>
          <w:t>Kaleidoscope academic conference</w:t>
        </w:r>
      </w:hyperlink>
      <w:r w:rsidRPr="00095EF2">
        <w:rPr>
          <w:spacing w:val="-2"/>
          <w:sz w:val="22"/>
          <w:szCs w:val="22"/>
        </w:rPr>
        <w:t>, held in New Delhi, India, alongside</w:t>
      </w:r>
      <w:r w:rsidRPr="00DA76FF">
        <w:rPr>
          <w:sz w:val="22"/>
          <w:szCs w:val="22"/>
        </w:rPr>
        <w:t xml:space="preserve"> WTSA-24, focused on advancing digital technologies to address unprecedented global challenges. Kaleidoscope 2024 also highlighted the role of youth in global standards development and the urgency of connecting the last one-third of the world’s population who are not yet online.</w:t>
      </w:r>
    </w:p>
    <w:p w14:paraId="2385033B" w14:textId="6E71084F" w:rsidR="001E5A51" w:rsidRPr="00DA76FF" w:rsidRDefault="001B47F9" w:rsidP="00B96F88">
      <w:pPr>
        <w:pStyle w:val="Heading3"/>
        <w:keepNext w:val="0"/>
        <w:keepLines w:val="0"/>
        <w:tabs>
          <w:tab w:val="clear" w:pos="567"/>
        </w:tabs>
        <w:spacing w:before="120" w:after="120"/>
        <w:rPr>
          <w:lang w:eastAsia="en-GB"/>
        </w:rPr>
      </w:pPr>
      <w:bookmarkStart w:id="53" w:name="_Toc37860464"/>
      <w:bookmarkStart w:id="54" w:name="_Toc37861225"/>
      <w:bookmarkStart w:id="55" w:name="_Toc37943348"/>
      <w:bookmarkStart w:id="56" w:name="_Toc1628990078"/>
      <w:bookmarkStart w:id="57" w:name="Section_1_10"/>
      <w:bookmarkStart w:id="58" w:name="_Toc198569375"/>
      <w:r w:rsidRPr="00DA76FF">
        <w:rPr>
          <w:lang w:eastAsia="en-GB"/>
        </w:rPr>
        <w:t>4</w:t>
      </w:r>
      <w:r w:rsidR="001E5A51" w:rsidRPr="00DA76FF">
        <w:rPr>
          <w:lang w:eastAsia="en-GB"/>
        </w:rPr>
        <w:t>.8.8</w:t>
      </w:r>
      <w:r w:rsidR="001E5A51" w:rsidRPr="00DA76FF">
        <w:rPr>
          <w:lang w:eastAsia="en-GB"/>
        </w:rPr>
        <w:tab/>
        <w:t>Seminars and workshops</w:t>
      </w:r>
      <w:bookmarkEnd w:id="53"/>
      <w:bookmarkEnd w:id="54"/>
      <w:bookmarkEnd w:id="55"/>
      <w:bookmarkEnd w:id="56"/>
      <w:r w:rsidR="001E5A51" w:rsidRPr="00DA76FF">
        <w:rPr>
          <w:lang w:eastAsia="en-GB"/>
        </w:rPr>
        <w:t>: Diving deeper</w:t>
      </w:r>
      <w:bookmarkEnd w:id="57"/>
      <w:bookmarkEnd w:id="58"/>
    </w:p>
    <w:p w14:paraId="40D9B803" w14:textId="77777777" w:rsidR="001E5A51" w:rsidRPr="00DA76FF" w:rsidRDefault="001E5A51" w:rsidP="00B96F88">
      <w:pPr>
        <w:spacing w:after="120"/>
        <w:jc w:val="both"/>
        <w:rPr>
          <w:sz w:val="22"/>
          <w:szCs w:val="18"/>
        </w:rPr>
      </w:pPr>
      <w:r w:rsidRPr="00DA76FF">
        <w:rPr>
          <w:sz w:val="22"/>
          <w:szCs w:val="18"/>
        </w:rPr>
        <w:t>In-depth seminars and workshops are vital to ITU’s engagement across the radiocommunication, standardization and development sectors.</w:t>
      </w:r>
    </w:p>
    <w:p w14:paraId="5A38B78F" w14:textId="0C2AE06F" w:rsidR="001E5A51" w:rsidRPr="00DA76FF" w:rsidRDefault="001E5A51" w:rsidP="00B96F88">
      <w:pPr>
        <w:keepNext/>
        <w:keepLines/>
        <w:spacing w:after="120"/>
        <w:jc w:val="both"/>
        <w:rPr>
          <w:rFonts w:eastAsia="Calibri" w:cs="Calibri"/>
          <w:color w:val="000000" w:themeColor="text1"/>
          <w:sz w:val="22"/>
          <w:szCs w:val="22"/>
        </w:rPr>
      </w:pPr>
      <w:r w:rsidRPr="00DA76FF">
        <w:rPr>
          <w:rFonts w:eastAsia="Calibri" w:cs="Calibri"/>
          <w:b/>
          <w:bCs/>
          <w:color w:val="000000" w:themeColor="text1"/>
          <w:sz w:val="22"/>
          <w:szCs w:val="22"/>
        </w:rPr>
        <w:lastRenderedPageBreak/>
        <w:t>Seminars</w:t>
      </w:r>
    </w:p>
    <w:p w14:paraId="7CA99FF5" w14:textId="77777777" w:rsidR="00A25266" w:rsidRDefault="001E5A51" w:rsidP="00A25266">
      <w:pPr>
        <w:keepNext/>
        <w:keepLines/>
        <w:spacing w:after="360"/>
        <w:jc w:val="both"/>
        <w:rPr>
          <w:rFonts w:cs="Calibri"/>
          <w:sz w:val="22"/>
          <w:szCs w:val="22"/>
        </w:rPr>
      </w:pPr>
      <w:r w:rsidRPr="00DA76FF">
        <w:rPr>
          <w:rFonts w:cs="Calibri"/>
          <w:sz w:val="22"/>
          <w:szCs w:val="22"/>
        </w:rPr>
        <w:t>The World Radiocommunication Seminar (WRS-24) was held from 2 to 6 December 2024 in Geneva, Switzerland.</w:t>
      </w:r>
    </w:p>
    <w:p w14:paraId="6F080255" w14:textId="64ED3F7E" w:rsidR="0037767C" w:rsidRDefault="00A25266" w:rsidP="00A25266">
      <w:pPr>
        <w:keepNext/>
        <w:keepLines/>
        <w:spacing w:after="240"/>
        <w:jc w:val="both"/>
        <w:rPr>
          <w:rFonts w:cs="Calibri"/>
          <w:sz w:val="22"/>
          <w:szCs w:val="22"/>
        </w:rPr>
      </w:pPr>
      <w:r w:rsidRPr="004F041F">
        <w:rPr>
          <w:rFonts w:cs="Calibri"/>
          <w:noProof/>
          <w:sz w:val="22"/>
          <w:szCs w:val="22"/>
        </w:rPr>
        <mc:AlternateContent>
          <mc:Choice Requires="wps">
            <w:drawing>
              <wp:inline distT="0" distB="0" distL="0" distR="0" wp14:anchorId="04157DB1" wp14:editId="47839118">
                <wp:extent cx="5626100" cy="1404620"/>
                <wp:effectExtent l="0" t="0" r="1270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6CCD8A08" w14:textId="77777777" w:rsidR="00A25266" w:rsidRPr="004A3701" w:rsidRDefault="00A25266" w:rsidP="00A25266">
                            <w:pPr>
                              <w:shd w:val="clear" w:color="auto" w:fill="C6D9F1" w:themeFill="text2" w:themeFillTint="33"/>
                              <w:rPr>
                                <w:rFonts w:cs="Calibri"/>
                                <w:b/>
                                <w:bCs/>
                                <w:szCs w:val="24"/>
                              </w:rPr>
                            </w:pPr>
                            <w:r>
                              <w:rPr>
                                <w:rFonts w:cs="Calibri"/>
                                <w:b/>
                                <w:bCs/>
                                <w:szCs w:val="24"/>
                              </w:rPr>
                              <w:t>Keeping radio regulators up to date</w:t>
                            </w:r>
                          </w:p>
                          <w:p w14:paraId="243536D7" w14:textId="77777777" w:rsidR="00A25266" w:rsidRDefault="00A25266" w:rsidP="00A25266">
                            <w:pPr>
                              <w:jc w:val="both"/>
                              <w:rPr>
                                <w:rFonts w:cs="Calibri"/>
                                <w:sz w:val="22"/>
                                <w:szCs w:val="22"/>
                              </w:rPr>
                            </w:pPr>
                            <w:r>
                              <w:rPr>
                                <w:rFonts w:cs="Calibri"/>
                                <w:sz w:val="22"/>
                                <w:szCs w:val="22"/>
                              </w:rPr>
                              <w:t xml:space="preserve">ITU published a new edition of the Radio Regulations treaty in 2024, following updates determined at WRC-23 for harmonized global and regional radio-frequency spectrum usage. ITU’s subsequent global seminar, WRS-24, </w:t>
                            </w:r>
                            <w:r w:rsidRPr="002F6E4A">
                              <w:rPr>
                                <w:rFonts w:cs="Calibri"/>
                                <w:sz w:val="22"/>
                                <w:szCs w:val="22"/>
                              </w:rPr>
                              <w:t xml:space="preserve">provided hands-on training </w:t>
                            </w:r>
                            <w:r>
                              <w:rPr>
                                <w:rFonts w:cs="Calibri"/>
                                <w:sz w:val="22"/>
                                <w:szCs w:val="22"/>
                              </w:rPr>
                              <w:t>based on the latest frequency allocations</w:t>
                            </w:r>
                            <w:r w:rsidRPr="002F6E4A">
                              <w:rPr>
                                <w:rFonts w:cs="Calibri"/>
                                <w:sz w:val="22"/>
                                <w:szCs w:val="22"/>
                              </w:rPr>
                              <w:t>, emphasizing the importance of effective spectrum management for digital connectivity.</w:t>
                            </w:r>
                          </w:p>
                          <w:p w14:paraId="2885992B" w14:textId="77777777" w:rsidR="00A25266" w:rsidRDefault="00A25266" w:rsidP="00A25266">
                            <w:pPr>
                              <w:jc w:val="both"/>
                              <w:rPr>
                                <w:rFonts w:cs="Calibri"/>
                                <w:sz w:val="22"/>
                                <w:szCs w:val="22"/>
                              </w:rPr>
                            </w:pPr>
                            <w:hyperlink r:id="rId178" w:history="1">
                              <w:r w:rsidRPr="00DD3F5A">
                                <w:rPr>
                                  <w:rStyle w:val="Hyperlink"/>
                                  <w:rFonts w:cs="Calibri"/>
                                  <w:b/>
                                  <w:bCs/>
                                  <w:sz w:val="22"/>
                                  <w:szCs w:val="22"/>
                                </w:rPr>
                                <w:t>Learn mor</w:t>
                              </w:r>
                              <w:r>
                                <w:rPr>
                                  <w:rStyle w:val="Hyperlink"/>
                                  <w:rFonts w:cs="Calibri"/>
                                  <w:b/>
                                  <w:bCs/>
                                  <w:sz w:val="22"/>
                                  <w:szCs w:val="22"/>
                                </w:rPr>
                                <w:t>e about the seminar</w:t>
                              </w:r>
                            </w:hyperlink>
                          </w:p>
                          <w:p w14:paraId="2851CFE7" w14:textId="77777777" w:rsidR="00A25266" w:rsidRPr="00084CCF" w:rsidRDefault="00A25266" w:rsidP="00A25266">
                            <w:pPr>
                              <w:jc w:val="both"/>
                              <w:rPr>
                                <w:rFonts w:cs="Calibri"/>
                                <w:sz w:val="22"/>
                                <w:szCs w:val="22"/>
                              </w:rPr>
                            </w:pPr>
                            <w:hyperlink r:id="rId179" w:history="1">
                              <w:r w:rsidRPr="00447FA2">
                                <w:rPr>
                                  <w:rStyle w:val="Hyperlink"/>
                                  <w:rFonts w:cs="Calibri"/>
                                  <w:b/>
                                  <w:bCs/>
                                  <w:sz w:val="22"/>
                                  <w:szCs w:val="22"/>
                                </w:rPr>
                                <w:t>Radio Regulations</w:t>
                              </w:r>
                              <w:r w:rsidRPr="00447FA2">
                                <w:rPr>
                                  <w:rStyle w:val="Hyperlink"/>
                                  <w:rFonts w:cs="Calibri"/>
                                  <w:sz w:val="22"/>
                                  <w:szCs w:val="22"/>
                                </w:rPr>
                                <w:t xml:space="preserve"> (2024 edition)</w:t>
                              </w:r>
                            </w:hyperlink>
                          </w:p>
                        </w:txbxContent>
                      </wps:txbx>
                      <wps:bodyPr rot="0" vert="horz" wrap="square" lIns="91440" tIns="45720" rIns="91440" bIns="45720" anchor="t" anchorCtr="0">
                        <a:spAutoFit/>
                      </wps:bodyPr>
                    </wps:wsp>
                  </a:graphicData>
                </a:graphic>
              </wp:inline>
            </w:drawing>
          </mc:Choice>
          <mc:Fallback>
            <w:pict>
              <v:shape w14:anchorId="04157DB1" id="_x0000_s1032"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">
                <v:textbox style="mso-fit-shape-to-text:t">
                  <w:txbxContent>
                    <w:p w14:paraId="6CCD8A08" w14:textId="77777777" w:rsidR="00A25266" w:rsidRPr="004A3701" w:rsidRDefault="00A25266" w:rsidP="00A25266">
                      <w:pPr>
                        <w:shd w:val="clear" w:color="auto" w:fill="C6D9F1" w:themeFill="text2" w:themeFillTint="33"/>
                        <w:rPr>
                          <w:rFonts w:cs="Calibri"/>
                          <w:b/>
                          <w:bCs/>
                          <w:szCs w:val="24"/>
                        </w:rPr>
                      </w:pPr>
                      <w:r>
                        <w:rPr>
                          <w:rFonts w:cs="Calibri"/>
                          <w:b/>
                          <w:bCs/>
                          <w:szCs w:val="24"/>
                        </w:rPr>
                        <w:t>Keeping radio regulators up to date</w:t>
                      </w:r>
                    </w:p>
                    <w:p w14:paraId="243536D7" w14:textId="77777777" w:rsidR="00A25266" w:rsidRDefault="00A25266" w:rsidP="00A25266">
                      <w:pPr>
                        <w:jc w:val="both"/>
                        <w:rPr>
                          <w:rFonts w:cs="Calibri"/>
                          <w:sz w:val="22"/>
                          <w:szCs w:val="22"/>
                        </w:rPr>
                      </w:pPr>
                      <w:r>
                        <w:rPr>
                          <w:rFonts w:cs="Calibri"/>
                          <w:sz w:val="22"/>
                          <w:szCs w:val="22"/>
                        </w:rPr>
                        <w:t xml:space="preserve">ITU published a new edition of the Radio Regulations treaty in 2024, following updates determined at WRC-23 for harmonized global and regional radio-frequency spectrum usage. ITU’s subsequent global seminar, WRS-24, </w:t>
                      </w:r>
                      <w:r w:rsidRPr="002F6E4A">
                        <w:rPr>
                          <w:rFonts w:cs="Calibri"/>
                          <w:sz w:val="22"/>
                          <w:szCs w:val="22"/>
                        </w:rPr>
                        <w:t xml:space="preserve">provided hands-on training </w:t>
                      </w:r>
                      <w:r>
                        <w:rPr>
                          <w:rFonts w:cs="Calibri"/>
                          <w:sz w:val="22"/>
                          <w:szCs w:val="22"/>
                        </w:rPr>
                        <w:t>based on the latest frequency allocations</w:t>
                      </w:r>
                      <w:r w:rsidRPr="002F6E4A">
                        <w:rPr>
                          <w:rFonts w:cs="Calibri"/>
                          <w:sz w:val="22"/>
                          <w:szCs w:val="22"/>
                        </w:rPr>
                        <w:t>, emphasizing the importance of effective spectrum management for digital connectivity.</w:t>
                      </w:r>
                    </w:p>
                    <w:p w14:paraId="2885992B" w14:textId="77777777" w:rsidR="00A25266" w:rsidRDefault="00A25266" w:rsidP="00A25266">
                      <w:pPr>
                        <w:jc w:val="both"/>
                        <w:rPr>
                          <w:rFonts w:cs="Calibri"/>
                          <w:sz w:val="22"/>
                          <w:szCs w:val="22"/>
                        </w:rPr>
                      </w:pPr>
                      <w:hyperlink r:id="rId180" w:history="1">
                        <w:r w:rsidRPr="00DD3F5A">
                          <w:rPr>
                            <w:rStyle w:val="Hyperlink"/>
                            <w:rFonts w:cs="Calibri"/>
                            <w:b/>
                            <w:bCs/>
                            <w:sz w:val="22"/>
                            <w:szCs w:val="22"/>
                          </w:rPr>
                          <w:t>Learn mor</w:t>
                        </w:r>
                        <w:r>
                          <w:rPr>
                            <w:rStyle w:val="Hyperlink"/>
                            <w:rFonts w:cs="Calibri"/>
                            <w:b/>
                            <w:bCs/>
                            <w:sz w:val="22"/>
                            <w:szCs w:val="22"/>
                          </w:rPr>
                          <w:t>e about the seminar</w:t>
                        </w:r>
                      </w:hyperlink>
                    </w:p>
                    <w:p w14:paraId="2851CFE7" w14:textId="77777777" w:rsidR="00A25266" w:rsidRPr="00084CCF" w:rsidRDefault="00A25266" w:rsidP="00A25266">
                      <w:pPr>
                        <w:jc w:val="both"/>
                        <w:rPr>
                          <w:rFonts w:cs="Calibri"/>
                          <w:sz w:val="22"/>
                          <w:szCs w:val="22"/>
                        </w:rPr>
                      </w:pPr>
                      <w:hyperlink r:id="rId181" w:history="1">
                        <w:r w:rsidRPr="00447FA2">
                          <w:rPr>
                            <w:rStyle w:val="Hyperlink"/>
                            <w:rFonts w:cs="Calibri"/>
                            <w:b/>
                            <w:bCs/>
                            <w:sz w:val="22"/>
                            <w:szCs w:val="22"/>
                          </w:rPr>
                          <w:t>Radio Regulations</w:t>
                        </w:r>
                        <w:r w:rsidRPr="00447FA2">
                          <w:rPr>
                            <w:rStyle w:val="Hyperlink"/>
                            <w:rFonts w:cs="Calibri"/>
                            <w:sz w:val="22"/>
                            <w:szCs w:val="22"/>
                          </w:rPr>
                          <w:t xml:space="preserve"> (2024 edition)</w:t>
                        </w:r>
                      </w:hyperlink>
                    </w:p>
                  </w:txbxContent>
                </v:textbox>
                <w10:anchorlock/>
              </v:shape>
            </w:pict>
          </mc:Fallback>
        </mc:AlternateContent>
      </w:r>
    </w:p>
    <w:p w14:paraId="1B4E4436" w14:textId="01AFB972" w:rsidR="0037767C" w:rsidRDefault="001E5A51" w:rsidP="00B96F88">
      <w:pPr>
        <w:spacing w:before="360" w:after="120"/>
        <w:jc w:val="both"/>
        <w:rPr>
          <w:rFonts w:cs="Calibri"/>
          <w:sz w:val="22"/>
          <w:szCs w:val="22"/>
        </w:rPr>
      </w:pPr>
      <w:r w:rsidRPr="00DA76FF">
        <w:rPr>
          <w:rFonts w:cs="Calibri"/>
          <w:sz w:val="22"/>
          <w:szCs w:val="22"/>
        </w:rPr>
        <w:t>In complement to the WRS held every other year, ITU-R achieved regional outreach through Regional Radiocommunication Seminars.</w:t>
      </w:r>
    </w:p>
    <w:p w14:paraId="4CE6D8F7" w14:textId="4D69F20D" w:rsidR="001E5A51" w:rsidRPr="00DA76FF" w:rsidRDefault="001E5A51" w:rsidP="00B96F88">
      <w:pPr>
        <w:spacing w:after="120"/>
        <w:jc w:val="both"/>
        <w:rPr>
          <w:rFonts w:cs="Calibri"/>
          <w:sz w:val="22"/>
          <w:szCs w:val="22"/>
        </w:rPr>
      </w:pPr>
      <w:r w:rsidRPr="00DA76FF">
        <w:rPr>
          <w:rFonts w:cs="Calibri"/>
          <w:sz w:val="22"/>
          <w:szCs w:val="22"/>
        </w:rPr>
        <w:t>In 2024, ITU-R held three regional seminars:</w:t>
      </w:r>
    </w:p>
    <w:p w14:paraId="4F1E6AC6" w14:textId="7477B9EF" w:rsidR="001E5A51" w:rsidRPr="00DA76FF" w:rsidRDefault="001E5A51" w:rsidP="001E5A51">
      <w:pPr>
        <w:pStyle w:val="ListParagraph"/>
        <w:numPr>
          <w:ilvl w:val="0"/>
          <w:numId w:val="14"/>
        </w:numPr>
        <w:tabs>
          <w:tab w:val="left" w:pos="1134"/>
          <w:tab w:val="left" w:pos="1701"/>
          <w:tab w:val="left" w:pos="2268"/>
          <w:tab w:val="left" w:pos="2835"/>
        </w:tabs>
        <w:overflowPunct w:val="0"/>
        <w:autoSpaceDE w:val="0"/>
        <w:autoSpaceDN w:val="0"/>
        <w:adjustRightInd w:val="0"/>
        <w:contextualSpacing/>
        <w:jc w:val="both"/>
        <w:textAlignment w:val="baseline"/>
        <w:rPr>
          <w:rFonts w:cs="Calibri"/>
          <w:lang w:val="en-GB"/>
        </w:rPr>
      </w:pPr>
      <w:hyperlink r:id="rId182" w:history="1">
        <w:r w:rsidRPr="00DA76FF">
          <w:rPr>
            <w:rStyle w:val="Hyperlink"/>
            <w:rFonts w:cs="Calibri"/>
            <w:lang w:val="en-GB"/>
          </w:rPr>
          <w:t>RRS-24-CIS</w:t>
        </w:r>
      </w:hyperlink>
      <w:r w:rsidRPr="00DA76FF">
        <w:rPr>
          <w:rFonts w:cs="Calibri"/>
          <w:lang w:val="en-GB"/>
        </w:rPr>
        <w:t xml:space="preserve"> in Astana, Kazakhstan</w:t>
      </w:r>
    </w:p>
    <w:p w14:paraId="5CF30F1C" w14:textId="77777777" w:rsidR="001E5A51" w:rsidRPr="00DA76FF" w:rsidRDefault="001E5A51" w:rsidP="001E5A51">
      <w:pPr>
        <w:pStyle w:val="ListParagraph"/>
        <w:numPr>
          <w:ilvl w:val="0"/>
          <w:numId w:val="14"/>
        </w:numPr>
        <w:tabs>
          <w:tab w:val="left" w:pos="1134"/>
          <w:tab w:val="left" w:pos="1701"/>
          <w:tab w:val="left" w:pos="2268"/>
          <w:tab w:val="left" w:pos="2835"/>
        </w:tabs>
        <w:overflowPunct w:val="0"/>
        <w:autoSpaceDE w:val="0"/>
        <w:autoSpaceDN w:val="0"/>
        <w:adjustRightInd w:val="0"/>
        <w:contextualSpacing/>
        <w:jc w:val="both"/>
        <w:textAlignment w:val="baseline"/>
        <w:rPr>
          <w:rFonts w:cs="Calibri"/>
          <w:lang w:val="en-GB"/>
        </w:rPr>
      </w:pPr>
      <w:hyperlink r:id="rId183" w:history="1">
        <w:r w:rsidRPr="00DA76FF">
          <w:rPr>
            <w:rStyle w:val="Hyperlink"/>
            <w:rFonts w:cs="Calibri"/>
            <w:lang w:val="en-GB"/>
          </w:rPr>
          <w:t>RRS-24-Americas</w:t>
        </w:r>
      </w:hyperlink>
      <w:r w:rsidRPr="00DA76FF">
        <w:rPr>
          <w:rFonts w:cs="Calibri"/>
          <w:lang w:val="en-GB"/>
        </w:rPr>
        <w:t xml:space="preserve"> in St Georges, Grenada</w:t>
      </w:r>
    </w:p>
    <w:p w14:paraId="73979590" w14:textId="77777777" w:rsidR="001E5A51" w:rsidRPr="00095EF2" w:rsidRDefault="001E5A51" w:rsidP="001E5A51">
      <w:pPr>
        <w:pStyle w:val="ListParagraph"/>
        <w:numPr>
          <w:ilvl w:val="0"/>
          <w:numId w:val="14"/>
        </w:numPr>
        <w:overflowPunct w:val="0"/>
        <w:autoSpaceDE w:val="0"/>
        <w:autoSpaceDN w:val="0"/>
        <w:adjustRightInd w:val="0"/>
        <w:contextualSpacing/>
        <w:jc w:val="both"/>
        <w:textAlignment w:val="baseline"/>
        <w:rPr>
          <w:rStyle w:val="Hyperlink"/>
          <w:color w:val="auto"/>
          <w:lang w:val="en-GB"/>
        </w:rPr>
      </w:pPr>
      <w:hyperlink r:id="rId184">
        <w:r w:rsidRPr="00DA76FF">
          <w:rPr>
            <w:rStyle w:val="Hyperlink"/>
            <w:rFonts w:cs="Calibri"/>
            <w:lang w:val="en-GB"/>
          </w:rPr>
          <w:t>RRS-24-Asia&amp;Pacific</w:t>
        </w:r>
      </w:hyperlink>
      <w:r w:rsidRPr="00DA76FF">
        <w:rPr>
          <w:rFonts w:cs="Calibri"/>
          <w:lang w:val="en-GB"/>
        </w:rPr>
        <w:t xml:space="preserve"> in Apia, Samoa</w:t>
      </w:r>
    </w:p>
    <w:p w14:paraId="6B93FE64" w14:textId="77777777" w:rsidR="001E5A51" w:rsidRPr="00DA76FF" w:rsidRDefault="001E5A51" w:rsidP="00B96F88">
      <w:pPr>
        <w:spacing w:before="240"/>
        <w:jc w:val="both"/>
        <w:rPr>
          <w:rFonts w:cs="Calibri"/>
          <w:b/>
          <w:sz w:val="22"/>
          <w:szCs w:val="22"/>
        </w:rPr>
      </w:pPr>
      <w:r w:rsidRPr="00DA76FF">
        <w:rPr>
          <w:rFonts w:cs="Calibri"/>
          <w:b/>
          <w:sz w:val="22"/>
          <w:szCs w:val="22"/>
        </w:rPr>
        <w:t>Workshops</w:t>
      </w:r>
    </w:p>
    <w:p w14:paraId="27933B90" w14:textId="4DEB3430" w:rsidR="001E5A51" w:rsidRPr="00DA76FF" w:rsidRDefault="001E5A51" w:rsidP="001E5A51">
      <w:pPr>
        <w:jc w:val="both"/>
        <w:rPr>
          <w:rFonts w:cs="Calibri"/>
          <w:sz w:val="22"/>
          <w:szCs w:val="22"/>
        </w:rPr>
      </w:pPr>
      <w:r w:rsidRPr="00DA76FF">
        <w:rPr>
          <w:rFonts w:cs="Calibri"/>
          <w:sz w:val="22"/>
          <w:szCs w:val="22"/>
        </w:rPr>
        <w:t xml:space="preserve">ITU-R held three </w:t>
      </w:r>
      <w:hyperlink r:id="rId185" w:history="1">
        <w:r w:rsidRPr="00DA76FF">
          <w:rPr>
            <w:rStyle w:val="Hyperlink"/>
            <w:rFonts w:cs="Calibri"/>
            <w:sz w:val="22"/>
            <w:szCs w:val="22"/>
          </w:rPr>
          <w:t>Workshops on National Tables of Frequency Allocation (NTFA)</w:t>
        </w:r>
      </w:hyperlink>
      <w:r w:rsidRPr="00DA76FF">
        <w:rPr>
          <w:rFonts w:cs="Calibri"/>
          <w:sz w:val="22"/>
          <w:szCs w:val="22"/>
        </w:rPr>
        <w:t xml:space="preserve"> in 2024, that is, one per Radio Regulation region: Addis Abba (Region 1), Mexico City (Region 2) and Shanghai (Region 3).</w:t>
      </w:r>
    </w:p>
    <w:p w14:paraId="5660D941" w14:textId="533DF01A" w:rsidR="001E5A51" w:rsidRPr="00DA76FF" w:rsidRDefault="001E5A51" w:rsidP="001E5A51">
      <w:pPr>
        <w:jc w:val="both"/>
        <w:rPr>
          <w:rFonts w:cs="Calibri"/>
          <w:sz w:val="22"/>
          <w:szCs w:val="22"/>
        </w:rPr>
      </w:pPr>
      <w:r w:rsidRPr="00DA76FF">
        <w:rPr>
          <w:rFonts w:cs="Calibri"/>
          <w:sz w:val="22"/>
          <w:szCs w:val="22"/>
        </w:rPr>
        <w:t xml:space="preserve">Upon </w:t>
      </w:r>
      <w:r w:rsidR="00063F9C">
        <w:rPr>
          <w:rFonts w:cs="Calibri"/>
          <w:sz w:val="22"/>
          <w:szCs w:val="22"/>
        </w:rPr>
        <w:t xml:space="preserve">the </w:t>
      </w:r>
      <w:r w:rsidRPr="00DA76FF">
        <w:rPr>
          <w:rFonts w:cs="Calibri"/>
          <w:sz w:val="22"/>
          <w:szCs w:val="22"/>
        </w:rPr>
        <w:t>request</w:t>
      </w:r>
      <w:r w:rsidR="00063F9C">
        <w:rPr>
          <w:rFonts w:cs="Calibri"/>
          <w:sz w:val="22"/>
          <w:szCs w:val="22"/>
        </w:rPr>
        <w:t xml:space="preserve"> of</w:t>
      </w:r>
      <w:r w:rsidRPr="00DA76FF">
        <w:rPr>
          <w:rFonts w:cs="Calibri"/>
          <w:sz w:val="22"/>
          <w:szCs w:val="22"/>
        </w:rPr>
        <w:t xml:space="preserve"> 16 Southern African Development Community (SADC) administrations in August 2024, the </w:t>
      </w:r>
      <w:r w:rsidR="005D5888">
        <w:rPr>
          <w:rFonts w:cs="Calibri"/>
          <w:sz w:val="22"/>
          <w:szCs w:val="22"/>
        </w:rPr>
        <w:t xml:space="preserve">ITU </w:t>
      </w:r>
      <w:r w:rsidRPr="00DA76FF">
        <w:rPr>
          <w:rFonts w:cs="Calibri"/>
          <w:sz w:val="22"/>
          <w:szCs w:val="22"/>
        </w:rPr>
        <w:t xml:space="preserve">Radiocommunication Bureau provided technical assistance in identifying a suitable orbital slot for the SADC Shared Satellite Network. This request aimed to take advantage of the special procedure outlined in Resolution 170 (Rev. WRC-23). To further evaluate the results of the review of technical characteristics and compatibility analysis, the </w:t>
      </w:r>
      <w:r w:rsidR="005D5888">
        <w:rPr>
          <w:rFonts w:cs="Calibri"/>
          <w:sz w:val="22"/>
          <w:szCs w:val="22"/>
        </w:rPr>
        <w:t>b</w:t>
      </w:r>
      <w:r w:rsidRPr="00DA76FF">
        <w:rPr>
          <w:rFonts w:cs="Calibri"/>
          <w:sz w:val="22"/>
          <w:szCs w:val="22"/>
        </w:rPr>
        <w:t>ureau and the SADC administrations also held a series of virtual meetings and a workshop between October 2024 and February 2025.</w:t>
      </w:r>
    </w:p>
    <w:p w14:paraId="5C7B7990" w14:textId="0A30E70C" w:rsidR="001E5A51" w:rsidRPr="00DA76FF" w:rsidRDefault="001E5A51" w:rsidP="001E5A51">
      <w:pPr>
        <w:jc w:val="both"/>
        <w:rPr>
          <w:rFonts w:cs="Calibri"/>
          <w:sz w:val="22"/>
          <w:szCs w:val="22"/>
        </w:rPr>
      </w:pPr>
      <w:r w:rsidRPr="00DA76FF">
        <w:rPr>
          <w:rFonts w:cs="Calibri"/>
          <w:sz w:val="22"/>
          <w:szCs w:val="22"/>
        </w:rPr>
        <w:t>In addition, the following events were held in Almaty, Kazakhstan in September 2024:</w:t>
      </w:r>
    </w:p>
    <w:p w14:paraId="07F3792F" w14:textId="111C636C" w:rsidR="001E5A51" w:rsidRPr="00DA76FF" w:rsidRDefault="001E5A51" w:rsidP="001E5A51">
      <w:pPr>
        <w:pStyle w:val="ListParagraph"/>
        <w:numPr>
          <w:ilvl w:val="0"/>
          <w:numId w:val="22"/>
        </w:numPr>
        <w:tabs>
          <w:tab w:val="left" w:pos="1134"/>
          <w:tab w:val="left" w:pos="1701"/>
          <w:tab w:val="left" w:pos="2268"/>
          <w:tab w:val="left" w:pos="2835"/>
        </w:tabs>
        <w:overflowPunct w:val="0"/>
        <w:autoSpaceDE w:val="0"/>
        <w:autoSpaceDN w:val="0"/>
        <w:adjustRightInd w:val="0"/>
        <w:contextualSpacing/>
        <w:jc w:val="both"/>
        <w:textAlignment w:val="baseline"/>
        <w:rPr>
          <w:rFonts w:cs="Calibri"/>
          <w:lang w:val="en-GB"/>
        </w:rPr>
      </w:pPr>
      <w:r w:rsidRPr="00DA76FF">
        <w:rPr>
          <w:rFonts w:cs="Calibri"/>
          <w:lang w:val="en-GB"/>
        </w:rPr>
        <w:t>WMO-ITU Seminar</w:t>
      </w:r>
      <w:r w:rsidR="00BF0B2A">
        <w:rPr>
          <w:rFonts w:cs="Calibri"/>
          <w:lang w:val="en-GB"/>
        </w:rPr>
        <w:t>:</w:t>
      </w:r>
      <w:r w:rsidRPr="00DA76FF">
        <w:rPr>
          <w:rFonts w:cs="Calibri"/>
          <w:lang w:val="en-GB"/>
        </w:rPr>
        <w:t xml:space="preserve"> “Earth observation for Sustainable Development Goals: technologies, spectrum, applications, impacts”</w:t>
      </w:r>
      <w:r w:rsidR="00BF0B2A">
        <w:rPr>
          <w:rFonts w:cs="Calibri"/>
          <w:lang w:val="en-GB"/>
        </w:rPr>
        <w:t xml:space="preserve"> and</w:t>
      </w:r>
    </w:p>
    <w:p w14:paraId="227CBAD2" w14:textId="77777777" w:rsidR="001E5A51" w:rsidRPr="00DA76FF" w:rsidRDefault="001E5A51" w:rsidP="001E5A51">
      <w:pPr>
        <w:pStyle w:val="ListParagraph"/>
        <w:numPr>
          <w:ilvl w:val="0"/>
          <w:numId w:val="22"/>
        </w:numPr>
        <w:tabs>
          <w:tab w:val="left" w:pos="1134"/>
          <w:tab w:val="left" w:pos="1701"/>
          <w:tab w:val="left" w:pos="2268"/>
          <w:tab w:val="left" w:pos="2835"/>
        </w:tabs>
        <w:overflowPunct w:val="0"/>
        <w:autoSpaceDE w:val="0"/>
        <w:autoSpaceDN w:val="0"/>
        <w:adjustRightInd w:val="0"/>
        <w:contextualSpacing/>
        <w:jc w:val="both"/>
        <w:textAlignment w:val="baseline"/>
        <w:rPr>
          <w:rFonts w:cs="Calibri"/>
          <w:lang w:val="en-GB"/>
        </w:rPr>
      </w:pPr>
      <w:r w:rsidRPr="00DA76FF">
        <w:rPr>
          <w:rFonts w:cs="Calibri"/>
          <w:lang w:val="en-GB"/>
        </w:rPr>
        <w:t>ITU Workshop on Radioastronomy.</w:t>
      </w:r>
    </w:p>
    <w:p w14:paraId="48044906" w14:textId="182DD656" w:rsidR="001E5A51" w:rsidRPr="00DA76FF" w:rsidRDefault="001E5A51" w:rsidP="00B96F88">
      <w:pPr>
        <w:spacing w:after="120"/>
        <w:jc w:val="both"/>
        <w:rPr>
          <w:rFonts w:asciiTheme="minorHAnsi" w:eastAsiaTheme="minorEastAsia" w:hAnsiTheme="minorHAnsi" w:cstheme="minorHAnsi"/>
          <w:sz w:val="22"/>
          <w:szCs w:val="22"/>
          <w:lang w:eastAsia="en-GB"/>
        </w:rPr>
      </w:pPr>
      <w:bookmarkStart w:id="59" w:name="_Hlk72319163"/>
      <w:r w:rsidRPr="00DA76FF">
        <w:rPr>
          <w:rFonts w:asciiTheme="minorHAnsi" w:hAnsiTheme="minorHAnsi" w:cstheme="minorHAnsi"/>
          <w:sz w:val="22"/>
          <w:szCs w:val="22"/>
        </w:rPr>
        <w:t xml:space="preserve">In 2024, 98 ITU-T workshops, symposia and webinars were organized in addition to the weekly programming of the year-round </w:t>
      </w:r>
      <w:hyperlink r:id="rId186" w:tgtFrame="_blank" w:history="1">
        <w:r w:rsidRPr="00DA76FF">
          <w:rPr>
            <w:rStyle w:val="Hyperlink"/>
            <w:rFonts w:asciiTheme="minorHAnsi" w:hAnsiTheme="minorHAnsi" w:cstheme="minorHAnsi"/>
            <w:sz w:val="22"/>
            <w:szCs w:val="22"/>
          </w:rPr>
          <w:t>AI for Good</w:t>
        </w:r>
      </w:hyperlink>
      <w:r w:rsidRPr="00DA76FF">
        <w:rPr>
          <w:rFonts w:asciiTheme="minorHAnsi" w:hAnsiTheme="minorHAnsi" w:cstheme="minorHAnsi"/>
          <w:sz w:val="22"/>
          <w:szCs w:val="22"/>
        </w:rPr>
        <w:t xml:space="preserve"> digital platform. A listing of all past and planned events can be found on the </w:t>
      </w:r>
      <w:hyperlink r:id="rId187" w:tgtFrame="_blank" w:history="1">
        <w:r w:rsidRPr="00DA76FF">
          <w:rPr>
            <w:rStyle w:val="Hyperlink"/>
            <w:rFonts w:asciiTheme="minorHAnsi" w:hAnsiTheme="minorHAnsi" w:cstheme="minorHAnsi"/>
            <w:sz w:val="22"/>
            <w:szCs w:val="22"/>
          </w:rPr>
          <w:t>ITU-T workshops homepage</w:t>
        </w:r>
      </w:hyperlink>
      <w:r w:rsidRPr="00DA76FF">
        <w:rPr>
          <w:rFonts w:asciiTheme="minorHAnsi" w:hAnsiTheme="minorHAnsi" w:cstheme="minorHAnsi"/>
          <w:sz w:val="22"/>
          <w:szCs w:val="22"/>
        </w:rPr>
        <w:t xml:space="preserve">. </w:t>
      </w:r>
      <w:r w:rsidR="007D5A9F">
        <w:rPr>
          <w:rFonts w:asciiTheme="minorHAnsi" w:hAnsiTheme="minorHAnsi" w:cstheme="minorHAnsi"/>
          <w:sz w:val="22"/>
          <w:szCs w:val="22"/>
        </w:rPr>
        <w:t xml:space="preserve">See </w:t>
      </w:r>
      <w:hyperlink r:id="rId188" w:history="1">
        <w:r w:rsidRPr="00DA76FF">
          <w:rPr>
            <w:rStyle w:val="Hyperlink"/>
            <w:rFonts w:asciiTheme="minorHAnsi" w:hAnsiTheme="minorHAnsi" w:cstheme="minorHAnsi"/>
            <w:color w:val="0070C0"/>
            <w:sz w:val="22"/>
            <w:szCs w:val="22"/>
          </w:rPr>
          <w:t>Related Events - WTSA-24</w:t>
        </w:r>
      </w:hyperlink>
      <w:r w:rsidRPr="00DA76FF">
        <w:rPr>
          <w:rFonts w:asciiTheme="minorHAnsi" w:hAnsiTheme="minorHAnsi" w:cstheme="minorHAnsi"/>
          <w:color w:val="0070C0"/>
          <w:sz w:val="22"/>
          <w:szCs w:val="22"/>
        </w:rPr>
        <w:t>.</w:t>
      </w:r>
    </w:p>
    <w:p w14:paraId="67723AAD" w14:textId="77777777" w:rsidR="001E5A51" w:rsidRPr="00DA76FF" w:rsidRDefault="001E5A51" w:rsidP="00B96F88">
      <w:pPr>
        <w:spacing w:after="120"/>
        <w:jc w:val="both"/>
        <w:rPr>
          <w:rFonts w:cs="Calibri"/>
          <w:sz w:val="22"/>
          <w:szCs w:val="22"/>
        </w:rPr>
      </w:pPr>
      <w:r w:rsidRPr="00DA76FF">
        <w:rPr>
          <w:rFonts w:asciiTheme="minorHAnsi" w:hAnsiTheme="minorHAnsi" w:cstheme="minorHAnsi"/>
          <w:sz w:val="22"/>
          <w:szCs w:val="22"/>
        </w:rPr>
        <w:t>ITU-T workshops, symposia and webinars discuss emerging trends in standardization, increase the visibility of ITU-T work, enhance ITU-T collaboration with other bodies, attract and recruit new ITU-T members, and encourage peer-learning relevant to the development and implementation of international standards.</w:t>
      </w:r>
    </w:p>
    <w:bookmarkEnd w:id="59"/>
    <w:bookmarkEnd w:id="50"/>
    <w:p w14:paraId="0420AD08" w14:textId="2EE7D0E1" w:rsidR="7CA5E833" w:rsidRPr="00DA76FF" w:rsidRDefault="7CA5E833" w:rsidP="00B96F88">
      <w:pPr>
        <w:keepNext/>
        <w:keepLines/>
        <w:spacing w:after="120"/>
        <w:jc w:val="both"/>
        <w:rPr>
          <w:sz w:val="22"/>
          <w:szCs w:val="22"/>
        </w:rPr>
      </w:pPr>
      <w:r w:rsidRPr="00DA76FF">
        <w:rPr>
          <w:sz w:val="22"/>
          <w:szCs w:val="22"/>
        </w:rPr>
        <w:lastRenderedPageBreak/>
        <w:t>In 2024, the Telecommunication Development Bureau (BDT) organized 173 events, comprising seminars, workshops, webinars, and forums</w:t>
      </w:r>
      <w:r w:rsidR="00DD5D37">
        <w:rPr>
          <w:sz w:val="22"/>
          <w:szCs w:val="22"/>
        </w:rPr>
        <w:t xml:space="preserve"> in the Telecommunication Development Sector (ITU-D), focused on</w:t>
      </w:r>
      <w:r w:rsidRPr="00DA76FF">
        <w:rPr>
          <w:sz w:val="22"/>
          <w:szCs w:val="22"/>
        </w:rPr>
        <w:t xml:space="preserve"> advanc</w:t>
      </w:r>
      <w:r w:rsidR="00DD5D37">
        <w:rPr>
          <w:sz w:val="22"/>
          <w:szCs w:val="22"/>
        </w:rPr>
        <w:t>ing sustainable</w:t>
      </w:r>
      <w:r w:rsidRPr="00DA76FF">
        <w:rPr>
          <w:sz w:val="22"/>
          <w:szCs w:val="22"/>
        </w:rPr>
        <w:t xml:space="preserve"> digital transformation</w:t>
      </w:r>
      <w:r w:rsidR="00DD5D37">
        <w:rPr>
          <w:sz w:val="22"/>
          <w:szCs w:val="22"/>
        </w:rPr>
        <w:t xml:space="preserve"> globally</w:t>
      </w:r>
      <w:r w:rsidRPr="00DA76FF">
        <w:rPr>
          <w:sz w:val="22"/>
          <w:szCs w:val="22"/>
        </w:rPr>
        <w:t>. Over 70</w:t>
      </w:r>
      <w:r w:rsidR="004611AB">
        <w:rPr>
          <w:sz w:val="22"/>
          <w:szCs w:val="22"/>
        </w:rPr>
        <w:t xml:space="preserve"> per cent</w:t>
      </w:r>
      <w:r w:rsidR="004611AB" w:rsidRPr="00DA76FF">
        <w:rPr>
          <w:sz w:val="22"/>
          <w:szCs w:val="22"/>
        </w:rPr>
        <w:t xml:space="preserve"> </w:t>
      </w:r>
      <w:r w:rsidRPr="00DA76FF">
        <w:rPr>
          <w:sz w:val="22"/>
          <w:szCs w:val="22"/>
        </w:rPr>
        <w:t xml:space="preserve">of these were structured as seminars and workshops, reflecting a strong emphasis on capacity building, knowledge sharing, and collaborative problem-solving. These gatherings addressed critical challenges in cybersecurity, digital </w:t>
      </w:r>
      <w:r w:rsidR="00C83585">
        <w:rPr>
          <w:sz w:val="22"/>
          <w:szCs w:val="22"/>
        </w:rPr>
        <w:t>access</w:t>
      </w:r>
      <w:r w:rsidRPr="00DA76FF">
        <w:rPr>
          <w:sz w:val="22"/>
          <w:szCs w:val="22"/>
        </w:rPr>
        <w:t xml:space="preserve">, </w:t>
      </w:r>
      <w:r w:rsidR="001C6EC6">
        <w:rPr>
          <w:sz w:val="22"/>
          <w:szCs w:val="22"/>
        </w:rPr>
        <w:t xml:space="preserve">and </w:t>
      </w:r>
      <w:r w:rsidRPr="00DA76FF">
        <w:rPr>
          <w:sz w:val="22"/>
          <w:szCs w:val="22"/>
        </w:rPr>
        <w:t xml:space="preserve">policy development, </w:t>
      </w:r>
      <w:r w:rsidR="00243799">
        <w:rPr>
          <w:sz w:val="22"/>
          <w:szCs w:val="22"/>
        </w:rPr>
        <w:t>addressing</w:t>
      </w:r>
      <w:r w:rsidRPr="00DA76FF">
        <w:rPr>
          <w:sz w:val="22"/>
          <w:szCs w:val="22"/>
        </w:rPr>
        <w:t xml:space="preserve"> </w:t>
      </w:r>
      <w:r w:rsidR="001C6EC6">
        <w:rPr>
          <w:sz w:val="22"/>
          <w:szCs w:val="22"/>
        </w:rPr>
        <w:t>technology impact</w:t>
      </w:r>
      <w:r w:rsidR="00243799">
        <w:rPr>
          <w:sz w:val="22"/>
          <w:szCs w:val="22"/>
        </w:rPr>
        <w:t xml:space="preserve"> and</w:t>
      </w:r>
      <w:r w:rsidRPr="00DA76FF">
        <w:rPr>
          <w:sz w:val="22"/>
          <w:szCs w:val="22"/>
        </w:rPr>
        <w:t xml:space="preserve"> aligning with ITU’s strategic goals to bridge digital divides and foster innovation.</w:t>
      </w:r>
    </w:p>
    <w:p w14:paraId="4E834C2C" w14:textId="6B4E1E28" w:rsidR="00A17EBF" w:rsidRDefault="7CA5E833" w:rsidP="00B96F88">
      <w:pPr>
        <w:spacing w:after="120"/>
        <w:jc w:val="both"/>
        <w:rPr>
          <w:sz w:val="22"/>
          <w:szCs w:val="22"/>
        </w:rPr>
      </w:pPr>
      <w:r w:rsidRPr="00DA76FF">
        <w:rPr>
          <w:sz w:val="22"/>
          <w:szCs w:val="22"/>
        </w:rPr>
        <w:t xml:space="preserve">The thematic focus areas reveal a targeted approach to sectoral priorities. </w:t>
      </w:r>
      <w:r w:rsidR="00F561C9">
        <w:rPr>
          <w:sz w:val="22"/>
          <w:szCs w:val="22"/>
        </w:rPr>
        <w:t>The</w:t>
      </w:r>
      <w:r w:rsidR="00043AF6">
        <w:rPr>
          <w:sz w:val="22"/>
          <w:szCs w:val="22"/>
        </w:rPr>
        <w:t xml:space="preserve">re were </w:t>
      </w:r>
      <w:r w:rsidRPr="00DA76FF">
        <w:rPr>
          <w:sz w:val="22"/>
          <w:szCs w:val="22"/>
        </w:rPr>
        <w:t>18 dedicated workshops</w:t>
      </w:r>
      <w:r w:rsidR="00043AF6">
        <w:rPr>
          <w:sz w:val="22"/>
          <w:szCs w:val="22"/>
        </w:rPr>
        <w:t xml:space="preserve"> on the theme of Cybersecurity</w:t>
      </w:r>
      <w:r w:rsidRPr="00DA76FF">
        <w:rPr>
          <w:sz w:val="22"/>
          <w:szCs w:val="22"/>
        </w:rPr>
        <w:t xml:space="preserve">, including hands-on cyber drills such as the ITU Regional CyberDrill for CIS and the CyberDrill for Europe &amp; Mediterranean. Digital </w:t>
      </w:r>
      <w:r w:rsidR="00423610">
        <w:rPr>
          <w:sz w:val="22"/>
          <w:szCs w:val="22"/>
        </w:rPr>
        <w:t>access</w:t>
      </w:r>
      <w:r w:rsidR="00423610" w:rsidRPr="00DA76FF">
        <w:rPr>
          <w:sz w:val="22"/>
          <w:szCs w:val="22"/>
        </w:rPr>
        <w:t xml:space="preserve"> </w:t>
      </w:r>
      <w:r w:rsidRPr="00DA76FF">
        <w:rPr>
          <w:sz w:val="22"/>
          <w:szCs w:val="22"/>
        </w:rPr>
        <w:t>initiatives featured prominently, with 22 seminars and workshops like the Mainstreaming Gender in ICTs series in Senegal, Nigeria, and Rwanda, alongside regional Girls in ICT Day events targeting youth empowerment.</w:t>
      </w:r>
    </w:p>
    <w:p w14:paraId="77AFB7A8" w14:textId="0E451465" w:rsidR="7CA5E833" w:rsidRPr="00DA76FF" w:rsidRDefault="7CA5E833" w:rsidP="00B96F88">
      <w:pPr>
        <w:spacing w:after="120"/>
        <w:jc w:val="both"/>
        <w:rPr>
          <w:sz w:val="22"/>
          <w:szCs w:val="22"/>
        </w:rPr>
      </w:pPr>
      <w:r w:rsidRPr="00DA76FF">
        <w:rPr>
          <w:sz w:val="22"/>
          <w:szCs w:val="22"/>
        </w:rPr>
        <w:t xml:space="preserve">Policy and regulation formed another cornerstone, with </w:t>
      </w:r>
      <w:r w:rsidR="48967882" w:rsidRPr="00DA76FF">
        <w:rPr>
          <w:sz w:val="22"/>
          <w:szCs w:val="22"/>
        </w:rPr>
        <w:t>more than 15</w:t>
      </w:r>
      <w:r w:rsidRPr="00DA76FF">
        <w:rPr>
          <w:sz w:val="22"/>
          <w:szCs w:val="22"/>
        </w:rPr>
        <w:t xml:space="preserve"> workshops such as the Digital Regulation Training for Africa and Stakeholder Engagement Workshops on 5G and broadband in Uganda and Gambia. Additionally, environmental </w:t>
      </w:r>
      <w:r w:rsidR="00243799">
        <w:rPr>
          <w:sz w:val="22"/>
          <w:szCs w:val="22"/>
        </w:rPr>
        <w:t>impact</w:t>
      </w:r>
      <w:r w:rsidR="00243799" w:rsidRPr="00DA76FF">
        <w:rPr>
          <w:sz w:val="22"/>
          <w:szCs w:val="22"/>
        </w:rPr>
        <w:t xml:space="preserve"> </w:t>
      </w:r>
      <w:r w:rsidRPr="00DA76FF">
        <w:rPr>
          <w:sz w:val="22"/>
          <w:szCs w:val="22"/>
        </w:rPr>
        <w:t>was addressed through seminars like Greening Digital Companies 2024 and e-waste management workshops in Thailand and Paraguay. Notably, capacity-building workshops such as the GovStack Architects Training and ITU Academy Training Centres (ATCs) Annual Meeting underscored efforts to strengthen technical and institutional capabilities globally.</w:t>
      </w:r>
    </w:p>
    <w:p w14:paraId="1E3F5850" w14:textId="1854F685" w:rsidR="7CA5E833" w:rsidRPr="00DA76FF" w:rsidRDefault="7CA5E833" w:rsidP="00B96F88">
      <w:pPr>
        <w:spacing w:after="120"/>
        <w:jc w:val="both"/>
        <w:rPr>
          <w:sz w:val="22"/>
          <w:szCs w:val="22"/>
        </w:rPr>
      </w:pPr>
      <w:r w:rsidRPr="00DA76FF">
        <w:rPr>
          <w:sz w:val="22"/>
          <w:szCs w:val="22"/>
        </w:rPr>
        <w:t xml:space="preserve">Seminars and workshops also highlighted cross-cutting collaboration, with virtual platforms ensuring </w:t>
      </w:r>
      <w:r w:rsidR="00423610">
        <w:rPr>
          <w:sz w:val="22"/>
          <w:szCs w:val="22"/>
        </w:rPr>
        <w:t>broad</w:t>
      </w:r>
      <w:r w:rsidR="00423610" w:rsidRPr="00DA76FF">
        <w:rPr>
          <w:sz w:val="22"/>
          <w:szCs w:val="22"/>
        </w:rPr>
        <w:t xml:space="preserve"> </w:t>
      </w:r>
      <w:r w:rsidRPr="00DA76FF">
        <w:rPr>
          <w:sz w:val="22"/>
          <w:szCs w:val="22"/>
        </w:rPr>
        <w:t xml:space="preserve">participation. By prioritizing interactive formats, </w:t>
      </w:r>
      <w:r w:rsidR="00A12867">
        <w:rPr>
          <w:sz w:val="22"/>
          <w:szCs w:val="22"/>
        </w:rPr>
        <w:t>ITU</w:t>
      </w:r>
      <w:r w:rsidRPr="00DA76FF">
        <w:rPr>
          <w:sz w:val="22"/>
          <w:szCs w:val="22"/>
        </w:rPr>
        <w:t xml:space="preserve"> ensured that seminars and workshops served as hubs for innovation, policy dialogue, and actionable outcomes, driving progress toward resilient digital ecosystems</w:t>
      </w:r>
      <w:r w:rsidR="00E0695A">
        <w:rPr>
          <w:sz w:val="22"/>
          <w:szCs w:val="22"/>
        </w:rPr>
        <w:t xml:space="preserve"> for the good of everyone</w:t>
      </w:r>
      <w:r w:rsidRPr="00DA76FF">
        <w:rPr>
          <w:sz w:val="22"/>
          <w:szCs w:val="22"/>
        </w:rPr>
        <w:t>.</w:t>
      </w:r>
    </w:p>
    <w:p w14:paraId="18CFEB56" w14:textId="266E862D" w:rsidR="00E841E7" w:rsidRPr="00DA76FF" w:rsidRDefault="00E841E7">
      <w:pPr>
        <w:tabs>
          <w:tab w:val="clear" w:pos="567"/>
          <w:tab w:val="clear" w:pos="1134"/>
          <w:tab w:val="clear" w:pos="1701"/>
          <w:tab w:val="clear" w:pos="2268"/>
          <w:tab w:val="clear" w:pos="2835"/>
        </w:tabs>
        <w:overflowPunct/>
        <w:autoSpaceDE/>
        <w:autoSpaceDN/>
        <w:adjustRightInd/>
        <w:spacing w:before="0"/>
        <w:textAlignment w:val="auto"/>
      </w:pPr>
      <w:r w:rsidRPr="00DA76FF">
        <w:br w:type="page"/>
      </w:r>
    </w:p>
    <w:p w14:paraId="10685E8D" w14:textId="1111D37C" w:rsidR="008A5C1B" w:rsidRPr="00DA76FF" w:rsidRDefault="001B47F9" w:rsidP="001B47F9">
      <w:pPr>
        <w:pStyle w:val="Heading1"/>
        <w:rPr>
          <w:color w:val="365F91" w:themeColor="accent1" w:themeShade="BF"/>
          <w:sz w:val="32"/>
          <w:szCs w:val="32"/>
        </w:rPr>
      </w:pPr>
      <w:bookmarkStart w:id="60" w:name="_Toc198569376"/>
      <w:r w:rsidRPr="00DA76FF">
        <w:rPr>
          <w:color w:val="365F91" w:themeColor="accent1" w:themeShade="BF"/>
          <w:sz w:val="32"/>
          <w:szCs w:val="32"/>
        </w:rPr>
        <w:lastRenderedPageBreak/>
        <w:t>5.</w:t>
      </w:r>
      <w:r w:rsidRPr="00DA76FF">
        <w:rPr>
          <w:color w:val="365F91" w:themeColor="accent1" w:themeShade="BF"/>
          <w:sz w:val="32"/>
          <w:szCs w:val="32"/>
        </w:rPr>
        <w:tab/>
      </w:r>
      <w:r w:rsidR="00772933" w:rsidRPr="00DA76FF">
        <w:rPr>
          <w:color w:val="365F91" w:themeColor="accent1" w:themeShade="BF"/>
          <w:sz w:val="32"/>
          <w:szCs w:val="32"/>
        </w:rPr>
        <w:t>E</w:t>
      </w:r>
      <w:r w:rsidR="008A5C1B" w:rsidRPr="00DA76FF">
        <w:rPr>
          <w:color w:val="365F91" w:themeColor="accent1" w:themeShade="BF"/>
          <w:sz w:val="32"/>
          <w:szCs w:val="32"/>
        </w:rPr>
        <w:t>nablers</w:t>
      </w:r>
      <w:bookmarkEnd w:id="60"/>
    </w:p>
    <w:p w14:paraId="1015D61D" w14:textId="61C20D3E" w:rsidR="008A5C1B" w:rsidRPr="00DA76FF" w:rsidRDefault="001B47F9" w:rsidP="00B96F88">
      <w:pPr>
        <w:pStyle w:val="Heading2"/>
        <w:spacing w:before="360" w:after="120"/>
      </w:pPr>
      <w:bookmarkStart w:id="61" w:name="_Toc198569377"/>
      <w:r w:rsidRPr="00DA76FF">
        <w:t>5</w:t>
      </w:r>
      <w:r w:rsidR="00F713F5" w:rsidRPr="00DA76FF">
        <w:t>.1</w:t>
      </w:r>
      <w:r w:rsidR="00772933" w:rsidRPr="00DA76FF">
        <w:tab/>
      </w:r>
      <w:r w:rsidR="00F713F5" w:rsidRPr="00DA76FF">
        <w:t>Membership-driven</w:t>
      </w:r>
      <w:r w:rsidR="008D604F">
        <w:t xml:space="preserve"> approach</w:t>
      </w:r>
      <w:bookmarkEnd w:id="61"/>
    </w:p>
    <w:p w14:paraId="70404983" w14:textId="02EC4DCB" w:rsidR="00741294" w:rsidRPr="00DA76FF" w:rsidRDefault="00741294" w:rsidP="00B96F88">
      <w:pPr>
        <w:spacing w:before="240" w:after="120"/>
        <w:rPr>
          <w:rStyle w:val="normaltextrun"/>
          <w:b/>
          <w:bCs/>
          <w:sz w:val="22"/>
          <w:szCs w:val="22"/>
        </w:rPr>
      </w:pPr>
      <w:r w:rsidRPr="00DA76FF">
        <w:rPr>
          <w:b/>
          <w:bCs/>
          <w:sz w:val="22"/>
          <w:szCs w:val="18"/>
        </w:rPr>
        <w:t xml:space="preserve">ITU’s Growing and </w:t>
      </w:r>
      <w:r w:rsidR="008D604F">
        <w:rPr>
          <w:b/>
          <w:bCs/>
          <w:sz w:val="22"/>
          <w:szCs w:val="18"/>
        </w:rPr>
        <w:t>d</w:t>
      </w:r>
      <w:r w:rsidRPr="00DA76FF">
        <w:rPr>
          <w:b/>
          <w:bCs/>
          <w:sz w:val="22"/>
          <w:szCs w:val="18"/>
        </w:rPr>
        <w:t xml:space="preserve">iverse </w:t>
      </w:r>
      <w:r w:rsidR="008D604F">
        <w:rPr>
          <w:b/>
          <w:bCs/>
          <w:sz w:val="22"/>
          <w:szCs w:val="18"/>
        </w:rPr>
        <w:t>m</w:t>
      </w:r>
      <w:r w:rsidRPr="00DA76FF">
        <w:rPr>
          <w:b/>
          <w:bCs/>
          <w:sz w:val="22"/>
          <w:szCs w:val="18"/>
        </w:rPr>
        <w:t xml:space="preserve">embership: Reflecting the </w:t>
      </w:r>
      <w:r w:rsidR="008D604F">
        <w:rPr>
          <w:b/>
          <w:bCs/>
          <w:sz w:val="22"/>
          <w:szCs w:val="18"/>
        </w:rPr>
        <w:t>c</w:t>
      </w:r>
      <w:r w:rsidRPr="00DA76FF">
        <w:rPr>
          <w:b/>
          <w:bCs/>
          <w:sz w:val="22"/>
          <w:szCs w:val="18"/>
        </w:rPr>
        <w:t xml:space="preserve">hanging </w:t>
      </w:r>
      <w:r w:rsidR="008D604F">
        <w:rPr>
          <w:b/>
          <w:bCs/>
          <w:sz w:val="22"/>
          <w:szCs w:val="18"/>
        </w:rPr>
        <w:t>d</w:t>
      </w:r>
      <w:r w:rsidRPr="00DA76FF">
        <w:rPr>
          <w:b/>
          <w:bCs/>
          <w:sz w:val="22"/>
          <w:szCs w:val="18"/>
        </w:rPr>
        <w:t xml:space="preserve">igital </w:t>
      </w:r>
      <w:r w:rsidR="008D604F">
        <w:rPr>
          <w:b/>
          <w:bCs/>
          <w:sz w:val="22"/>
          <w:szCs w:val="18"/>
        </w:rPr>
        <w:t>e</w:t>
      </w:r>
      <w:r w:rsidRPr="00DA76FF">
        <w:rPr>
          <w:b/>
          <w:bCs/>
          <w:sz w:val="22"/>
          <w:szCs w:val="18"/>
        </w:rPr>
        <w:t>cosystem</w:t>
      </w:r>
      <w:r w:rsidRPr="00DA76FF">
        <w:rPr>
          <w:b/>
          <w:bCs/>
          <w:sz w:val="22"/>
          <w:szCs w:val="22"/>
        </w:rPr>
        <w:t>.</w:t>
      </w:r>
    </w:p>
    <w:p w14:paraId="6D510CDD" w14:textId="4EFCD9A6" w:rsidR="00741294" w:rsidRPr="00DA76FF" w:rsidRDefault="00741294" w:rsidP="00B96F88">
      <w:pPr>
        <w:spacing w:after="120"/>
        <w:jc w:val="both"/>
        <w:rPr>
          <w:rFonts w:eastAsia="Calibri" w:cs="Calibri"/>
          <w:color w:val="000000" w:themeColor="text1"/>
          <w:sz w:val="22"/>
          <w:szCs w:val="22"/>
        </w:rPr>
      </w:pPr>
      <w:r w:rsidRPr="00DA76FF">
        <w:rPr>
          <w:rStyle w:val="normaltextrun"/>
          <w:rFonts w:eastAsia="Calibri" w:cs="Calibri"/>
          <w:color w:val="000000" w:themeColor="text1"/>
          <w:sz w:val="22"/>
          <w:szCs w:val="22"/>
        </w:rPr>
        <w:t>In 2024, ITU welcomed a new Member State, Palau, bringing the total to 194</w:t>
      </w:r>
      <w:r w:rsidR="7878C2C7" w:rsidRPr="2C0EAE0F">
        <w:rPr>
          <w:rStyle w:val="normaltextrun"/>
          <w:rFonts w:eastAsia="Calibri" w:cs="Calibri"/>
          <w:color w:val="000000" w:themeColor="text1"/>
          <w:sz w:val="22"/>
          <w:szCs w:val="22"/>
        </w:rPr>
        <w:t>,</w:t>
      </w:r>
      <w:r w:rsidRPr="00DA76FF">
        <w:rPr>
          <w:rStyle w:val="normaltextrun"/>
          <w:rFonts w:eastAsia="Calibri" w:cs="Calibri"/>
          <w:color w:val="000000" w:themeColor="text1"/>
          <w:sz w:val="22"/>
          <w:szCs w:val="22"/>
        </w:rPr>
        <w:t xml:space="preserve"> as well as </w:t>
      </w:r>
      <w:r w:rsidRPr="2C0EAE0F">
        <w:rPr>
          <w:rStyle w:val="normaltextrun"/>
          <w:rFonts w:eastAsia="Calibri" w:cs="Calibri"/>
          <w:color w:val="000000" w:themeColor="text1"/>
          <w:sz w:val="22"/>
          <w:szCs w:val="22"/>
        </w:rPr>
        <w:t>surpass</w:t>
      </w:r>
      <w:r w:rsidR="7F7FA395" w:rsidRPr="2C0EAE0F">
        <w:rPr>
          <w:rStyle w:val="normaltextrun"/>
          <w:rFonts w:eastAsia="Calibri" w:cs="Calibri"/>
          <w:color w:val="000000" w:themeColor="text1"/>
          <w:sz w:val="22"/>
          <w:szCs w:val="22"/>
        </w:rPr>
        <w:t>ed</w:t>
      </w:r>
      <w:r w:rsidRPr="00DA76FF">
        <w:rPr>
          <w:rStyle w:val="normaltextrun"/>
          <w:rFonts w:eastAsia="Calibri" w:cs="Calibri"/>
          <w:color w:val="000000" w:themeColor="text1"/>
          <w:sz w:val="22"/>
          <w:szCs w:val="22"/>
        </w:rPr>
        <w:t xml:space="preserve"> 1</w:t>
      </w:r>
      <w:r w:rsidR="00095EF2">
        <w:rPr>
          <w:rStyle w:val="normaltextrun"/>
          <w:rFonts w:eastAsia="Calibri" w:cs="Calibri"/>
          <w:color w:val="000000" w:themeColor="text1"/>
          <w:sz w:val="22"/>
          <w:szCs w:val="22"/>
        </w:rPr>
        <w:t> </w:t>
      </w:r>
      <w:r w:rsidRPr="00DA76FF">
        <w:rPr>
          <w:rStyle w:val="normaltextrun"/>
          <w:rFonts w:eastAsia="Calibri" w:cs="Calibri"/>
          <w:color w:val="000000" w:themeColor="text1"/>
          <w:sz w:val="22"/>
          <w:szCs w:val="22"/>
        </w:rPr>
        <w:t>000 Sector Members, Associates and Academia, the highest level of membership ever.</w:t>
      </w:r>
    </w:p>
    <w:p w14:paraId="717CA309" w14:textId="78475FCD" w:rsidR="00741294" w:rsidRPr="00DA76FF" w:rsidRDefault="00741294" w:rsidP="00B96F88">
      <w:pPr>
        <w:spacing w:after="360"/>
        <w:jc w:val="both"/>
        <w:rPr>
          <w:rStyle w:val="normaltextrun"/>
          <w:rFonts w:eastAsia="Calibri" w:cs="Calibri"/>
          <w:color w:val="000000" w:themeColor="text1"/>
          <w:sz w:val="22"/>
          <w:szCs w:val="22"/>
        </w:rPr>
      </w:pPr>
      <w:r w:rsidRPr="00DA76FF">
        <w:rPr>
          <w:rStyle w:val="normaltextrun"/>
          <w:rFonts w:eastAsia="Calibri" w:cs="Calibri"/>
          <w:color w:val="000000" w:themeColor="text1"/>
          <w:sz w:val="22"/>
          <w:szCs w:val="22"/>
        </w:rPr>
        <w:t>ITU’s membership has evolved and grown over time to reflect the global, changing digital ecosystem. With this evolution, ITU is continuously adapting its topics and working methods to remain a relevant global, neutral platform for its members.</w:t>
      </w:r>
    </w:p>
    <w:p w14:paraId="49404BD9" w14:textId="77777777" w:rsidR="00741294" w:rsidRPr="00DA76FF" w:rsidRDefault="00741294" w:rsidP="00741294">
      <w:pPr>
        <w:spacing w:before="0"/>
        <w:jc w:val="both"/>
        <w:rPr>
          <w:rFonts w:eastAsia="Calibri" w:cs="Calibri"/>
          <w:color w:val="000000" w:themeColor="text1"/>
          <w:sz w:val="22"/>
          <w:szCs w:val="22"/>
        </w:rPr>
      </w:pPr>
      <w:r w:rsidRPr="00DA76FF">
        <w:rPr>
          <w:noProof/>
        </w:rPr>
        <w:drawing>
          <wp:inline distT="0" distB="0" distL="0" distR="0" wp14:anchorId="501FCEA1" wp14:editId="2F32B89C">
            <wp:extent cx="5715000" cy="1171575"/>
            <wp:effectExtent l="0" t="0" r="0" b="9525"/>
            <wp:docPr id="902765809" name="Picture 90276580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65809" name="Picture 902765809" descr="A screenshot of a computer&#10;&#10;AI-generated content may be incorrect."/>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717376" cy="1172062"/>
                    </a:xfrm>
                    <a:prstGeom prst="rect">
                      <a:avLst/>
                    </a:prstGeom>
                  </pic:spPr>
                </pic:pic>
              </a:graphicData>
            </a:graphic>
          </wp:inline>
        </w:drawing>
      </w:r>
      <w:r w:rsidRPr="00DA76FF">
        <w:rPr>
          <w:rStyle w:val="eop"/>
          <w:rFonts w:eastAsia="Calibri" w:cs="Calibri"/>
          <w:color w:val="000000" w:themeColor="text1"/>
          <w:sz w:val="22"/>
          <w:szCs w:val="22"/>
        </w:rPr>
        <w:t> </w:t>
      </w:r>
    </w:p>
    <w:p w14:paraId="28B726E8" w14:textId="4795C574" w:rsidR="00741294" w:rsidRPr="00DA76FF" w:rsidRDefault="00741294" w:rsidP="00B96F88">
      <w:pPr>
        <w:spacing w:before="360" w:after="120"/>
        <w:jc w:val="both"/>
        <w:rPr>
          <w:rFonts w:eastAsia="Calibri" w:cs="Calibri"/>
          <w:color w:val="000000" w:themeColor="text1"/>
          <w:sz w:val="22"/>
          <w:szCs w:val="22"/>
        </w:rPr>
      </w:pPr>
      <w:r w:rsidRPr="00DA76FF">
        <w:rPr>
          <w:rStyle w:val="normaltextrun"/>
          <w:rFonts w:eastAsia="Calibri" w:cs="Calibri"/>
          <w:color w:val="000000" w:themeColor="text1"/>
          <w:sz w:val="22"/>
          <w:szCs w:val="22"/>
        </w:rPr>
        <w:t>ITU has reached 1</w:t>
      </w:r>
      <w:r w:rsidR="00095EF2">
        <w:rPr>
          <w:rStyle w:val="normaltextrun"/>
          <w:rFonts w:eastAsia="Calibri" w:cs="Calibri"/>
          <w:color w:val="000000" w:themeColor="text1"/>
          <w:sz w:val="22"/>
          <w:szCs w:val="22"/>
        </w:rPr>
        <w:t> </w:t>
      </w:r>
      <w:r w:rsidRPr="00DA76FF">
        <w:rPr>
          <w:rStyle w:val="normaltextrun"/>
          <w:rFonts w:eastAsia="Calibri" w:cs="Calibri"/>
          <w:color w:val="000000" w:themeColor="text1"/>
          <w:sz w:val="22"/>
          <w:szCs w:val="22"/>
        </w:rPr>
        <w:t>004 distinct member entities (+80 new/+35 net new entities in a year) including Sector Members, Associates and Academia. Almost all new memberships were from new entities: 80</w:t>
      </w:r>
      <w:r w:rsidR="00095EF2">
        <w:rPr>
          <w:rStyle w:val="normaltextrun"/>
          <w:rFonts w:eastAsia="Calibri" w:cs="Calibri"/>
          <w:color w:val="000000" w:themeColor="text1"/>
          <w:sz w:val="22"/>
          <w:szCs w:val="22"/>
        </w:rPr>
        <w:t> </w:t>
      </w:r>
      <w:r w:rsidRPr="00DA76FF">
        <w:rPr>
          <w:rStyle w:val="normaltextrun"/>
          <w:rFonts w:eastAsia="Calibri" w:cs="Calibri"/>
          <w:color w:val="000000" w:themeColor="text1"/>
          <w:sz w:val="22"/>
          <w:szCs w:val="22"/>
        </w:rPr>
        <w:t>new entities joined in 2024 while 10 members expanded or upgraded their membership.</w:t>
      </w:r>
    </w:p>
    <w:p w14:paraId="155C4CBA" w14:textId="444C8BA3" w:rsidR="00741294" w:rsidRPr="00DA76FF" w:rsidRDefault="00741294" w:rsidP="00B96F88">
      <w:pPr>
        <w:pStyle w:val="ListParagraph"/>
        <w:numPr>
          <w:ilvl w:val="0"/>
          <w:numId w:val="6"/>
        </w:numPr>
        <w:spacing w:after="120"/>
        <w:ind w:left="568" w:hanging="284"/>
        <w:jc w:val="both"/>
        <w:rPr>
          <w:rFonts w:eastAsia="Calibri" w:cs="Calibri"/>
          <w:color w:val="000000" w:themeColor="text1"/>
          <w:lang w:val="en-GB"/>
        </w:rPr>
      </w:pPr>
      <w:r w:rsidRPr="00DA76FF">
        <w:rPr>
          <w:rStyle w:val="normaltextrun"/>
          <w:rFonts w:eastAsia="Calibri" w:cs="Calibri"/>
          <w:color w:val="000000" w:themeColor="text1"/>
          <w:lang w:val="en-GB"/>
        </w:rPr>
        <w:t>1</w:t>
      </w:r>
      <w:r w:rsidR="00B802AF">
        <w:rPr>
          <w:rStyle w:val="normaltextrun"/>
          <w:rFonts w:eastAsia="Calibri" w:cs="Calibri"/>
          <w:color w:val="000000" w:themeColor="text1"/>
          <w:lang w:val="en-GB"/>
        </w:rPr>
        <w:t> </w:t>
      </w:r>
      <w:r w:rsidRPr="00DA76FF">
        <w:rPr>
          <w:rStyle w:val="normaltextrun"/>
          <w:rFonts w:eastAsia="Calibri" w:cs="Calibri"/>
          <w:color w:val="000000" w:themeColor="text1"/>
          <w:lang w:val="en-GB"/>
        </w:rPr>
        <w:t>343 memberships across all Sectors: +91 new and -62 either denounced or excluded.</w:t>
      </w:r>
    </w:p>
    <w:p w14:paraId="10F84920" w14:textId="09FC8841" w:rsidR="00741294" w:rsidRPr="00DA76FF" w:rsidRDefault="00741294" w:rsidP="00B96F88">
      <w:pPr>
        <w:pStyle w:val="ListParagraph"/>
        <w:numPr>
          <w:ilvl w:val="0"/>
          <w:numId w:val="5"/>
        </w:numPr>
        <w:spacing w:after="120"/>
        <w:ind w:left="568" w:hanging="284"/>
        <w:jc w:val="both"/>
        <w:rPr>
          <w:rFonts w:eastAsia="Calibri" w:cs="Calibri"/>
          <w:color w:val="000000" w:themeColor="text1"/>
          <w:lang w:val="en-GB"/>
        </w:rPr>
      </w:pPr>
      <w:r w:rsidRPr="00DA76FF">
        <w:rPr>
          <w:rStyle w:val="normaltextrun"/>
          <w:rFonts w:eastAsia="Calibri" w:cs="Calibri"/>
          <w:color w:val="000000" w:themeColor="text1"/>
          <w:lang w:val="en-GB"/>
        </w:rPr>
        <w:t>Sector Members accounted for 46 per cent of all new memberships (48 per cent in 2023), Associates for 37 per cent (36 per cent in 2023) and Academia for 16 per cent (16</w:t>
      </w:r>
      <w:r w:rsidR="00B802AF">
        <w:rPr>
          <w:rStyle w:val="normaltextrun"/>
          <w:rFonts w:eastAsia="Calibri" w:cs="Calibri"/>
          <w:color w:val="000000" w:themeColor="text1"/>
          <w:lang w:val="en-GB"/>
        </w:rPr>
        <w:t> </w:t>
      </w:r>
      <w:r w:rsidRPr="00DA76FF">
        <w:rPr>
          <w:rStyle w:val="normaltextrun"/>
          <w:rFonts w:eastAsia="Calibri" w:cs="Calibri"/>
          <w:color w:val="000000" w:themeColor="text1"/>
          <w:lang w:val="en-GB"/>
        </w:rPr>
        <w:t>per cent in 2023).</w:t>
      </w:r>
    </w:p>
    <w:p w14:paraId="201A0407" w14:textId="0EFEBE61" w:rsidR="00741294" w:rsidRPr="00DA76FF" w:rsidRDefault="00741294" w:rsidP="00B96F88">
      <w:pPr>
        <w:pStyle w:val="ListParagraph"/>
        <w:numPr>
          <w:ilvl w:val="0"/>
          <w:numId w:val="4"/>
        </w:numPr>
        <w:spacing w:after="120"/>
        <w:ind w:left="568" w:hanging="284"/>
        <w:jc w:val="both"/>
        <w:rPr>
          <w:rFonts w:eastAsia="Calibri" w:cs="Calibri"/>
          <w:color w:val="000000" w:themeColor="text1"/>
          <w:lang w:val="en-GB"/>
        </w:rPr>
      </w:pPr>
      <w:r w:rsidRPr="00DA76FF">
        <w:rPr>
          <w:rStyle w:val="normaltextrun"/>
          <w:rFonts w:eastAsia="Calibri" w:cs="Calibri"/>
          <w:color w:val="000000" w:themeColor="text1"/>
          <w:lang w:val="en-GB"/>
        </w:rPr>
        <w:t xml:space="preserve">Positive/stable trend across all </w:t>
      </w:r>
      <w:r w:rsidR="00B802AF" w:rsidRPr="00DA76FF">
        <w:rPr>
          <w:rStyle w:val="normaltextrun"/>
          <w:rFonts w:eastAsia="Calibri" w:cs="Calibri"/>
          <w:color w:val="000000" w:themeColor="text1"/>
          <w:lang w:val="en-GB"/>
        </w:rPr>
        <w:t>Sectors</w:t>
      </w:r>
      <w:r w:rsidR="006A72C4">
        <w:rPr>
          <w:rStyle w:val="normaltextrun"/>
          <w:rFonts w:eastAsia="Calibri" w:cs="Calibri"/>
          <w:color w:val="000000" w:themeColor="text1"/>
          <w:lang w:val="en-GB"/>
        </w:rPr>
        <w:t>, with net new memberships of +1 in</w:t>
      </w:r>
      <w:r w:rsidR="006A72C4" w:rsidRPr="00DA76FF">
        <w:rPr>
          <w:rStyle w:val="normaltextrun"/>
          <w:rFonts w:eastAsia="Calibri" w:cs="Calibri"/>
          <w:color w:val="000000" w:themeColor="text1"/>
          <w:lang w:val="en-GB"/>
        </w:rPr>
        <w:t xml:space="preserve"> </w:t>
      </w:r>
      <w:r w:rsidRPr="00DA76FF">
        <w:rPr>
          <w:rStyle w:val="normaltextrun"/>
          <w:rFonts w:eastAsia="Calibri" w:cs="Calibri"/>
          <w:color w:val="000000" w:themeColor="text1"/>
          <w:lang w:val="en-GB"/>
        </w:rPr>
        <w:t xml:space="preserve">ITU-R, </w:t>
      </w:r>
      <w:r w:rsidR="006A72C4">
        <w:rPr>
          <w:rStyle w:val="normaltextrun"/>
          <w:rFonts w:eastAsia="Calibri" w:cs="Calibri"/>
          <w:color w:val="000000" w:themeColor="text1"/>
          <w:lang w:val="en-GB"/>
        </w:rPr>
        <w:t xml:space="preserve">+6 in </w:t>
      </w:r>
      <w:r w:rsidRPr="00DA76FF">
        <w:rPr>
          <w:rStyle w:val="normaltextrun"/>
          <w:rFonts w:eastAsia="Calibri" w:cs="Calibri"/>
          <w:color w:val="000000" w:themeColor="text1"/>
          <w:lang w:val="en-GB"/>
        </w:rPr>
        <w:t>ITU-T)</w:t>
      </w:r>
      <w:r w:rsidR="00496AB1">
        <w:rPr>
          <w:rStyle w:val="normaltextrun"/>
          <w:rFonts w:eastAsia="Calibri" w:cs="Calibri"/>
          <w:color w:val="000000" w:themeColor="text1"/>
          <w:lang w:val="en-GB"/>
        </w:rPr>
        <w:t xml:space="preserve">, +20 in </w:t>
      </w:r>
      <w:r w:rsidRPr="00DA76FF">
        <w:rPr>
          <w:rStyle w:val="normaltextrun"/>
          <w:rFonts w:eastAsia="Calibri" w:cs="Calibri"/>
          <w:color w:val="000000" w:themeColor="text1"/>
          <w:lang w:val="en-GB"/>
        </w:rPr>
        <w:t xml:space="preserve">ITU-D, </w:t>
      </w:r>
      <w:r w:rsidR="00496AB1">
        <w:rPr>
          <w:rStyle w:val="normaltextrun"/>
          <w:rFonts w:eastAsia="Calibri" w:cs="Calibri"/>
          <w:color w:val="000000" w:themeColor="text1"/>
          <w:lang w:val="en-GB"/>
        </w:rPr>
        <w:t xml:space="preserve">and +2 for </w:t>
      </w:r>
      <w:r w:rsidRPr="00DA76FF">
        <w:rPr>
          <w:rStyle w:val="normaltextrun"/>
          <w:rFonts w:eastAsia="Calibri" w:cs="Calibri"/>
          <w:color w:val="000000" w:themeColor="text1"/>
          <w:lang w:val="en-GB"/>
        </w:rPr>
        <w:t>Academia.</w:t>
      </w:r>
    </w:p>
    <w:p w14:paraId="21194B40" w14:textId="77777777" w:rsidR="00741294" w:rsidRPr="00DA76FF" w:rsidRDefault="00741294" w:rsidP="00B96F88">
      <w:pPr>
        <w:pStyle w:val="ListParagraph"/>
        <w:numPr>
          <w:ilvl w:val="0"/>
          <w:numId w:val="3"/>
        </w:numPr>
        <w:spacing w:after="120"/>
        <w:ind w:left="568" w:hanging="284"/>
        <w:jc w:val="both"/>
        <w:rPr>
          <w:rFonts w:eastAsia="Calibri" w:cs="Calibri"/>
          <w:color w:val="000000" w:themeColor="text1"/>
          <w:lang w:val="en-GB"/>
        </w:rPr>
      </w:pPr>
      <w:r w:rsidRPr="00DA76FF">
        <w:rPr>
          <w:rStyle w:val="normaltextrun"/>
          <w:rFonts w:eastAsia="Calibri" w:cs="Calibri"/>
          <w:color w:val="000000" w:themeColor="text1"/>
          <w:lang w:val="en-GB"/>
        </w:rPr>
        <w:t>As opposed to 2023, where membership growth was spread across almost all regions, but driven primarily by Americas (+12 net new memberships), International (+12), and Asia &amp; the Pacific (+10), 2024 saw growth mainly coming from Asia &amp; the Pacific (+19 net new memberships).</w:t>
      </w:r>
    </w:p>
    <w:p w14:paraId="62688D65" w14:textId="608F9A36" w:rsidR="00741294" w:rsidRPr="00DA76FF" w:rsidRDefault="00741294" w:rsidP="00B96F88">
      <w:pPr>
        <w:pStyle w:val="paragraph"/>
        <w:spacing w:before="120" w:beforeAutospacing="0" w:after="120" w:afterAutospacing="0"/>
        <w:ind w:left="568" w:hanging="1"/>
        <w:jc w:val="both"/>
        <w:rPr>
          <w:rFonts w:eastAsia="Calibri" w:cs="Calibri"/>
          <w:color w:val="000000" w:themeColor="text1"/>
          <w:sz w:val="22"/>
          <w:szCs w:val="22"/>
        </w:rPr>
      </w:pPr>
      <w:r w:rsidRPr="00DA76FF">
        <w:rPr>
          <w:rFonts w:ascii="Calibri" w:eastAsia="Calibri" w:hAnsi="Calibri" w:cs="Calibri"/>
          <w:color w:val="000000" w:themeColor="text1"/>
          <w:sz w:val="22"/>
          <w:szCs w:val="22"/>
        </w:rPr>
        <w:t xml:space="preserve">Forecasted contributions grew slightly but remain just under </w:t>
      </w:r>
      <w:r w:rsidR="00B802AF">
        <w:rPr>
          <w:rFonts w:ascii="Calibri" w:eastAsia="Calibri" w:hAnsi="Calibri" w:cs="Calibri"/>
          <w:color w:val="000000" w:themeColor="text1"/>
          <w:sz w:val="22"/>
          <w:szCs w:val="22"/>
        </w:rPr>
        <w:t>CHF </w:t>
      </w:r>
      <w:r w:rsidRPr="00DA76FF">
        <w:rPr>
          <w:rFonts w:ascii="Calibri" w:eastAsia="Calibri" w:hAnsi="Calibri" w:cs="Calibri"/>
          <w:color w:val="000000" w:themeColor="text1"/>
          <w:sz w:val="22"/>
          <w:szCs w:val="22"/>
        </w:rPr>
        <w:t>17</w:t>
      </w:r>
      <w:r w:rsidR="00B802AF">
        <w:rPr>
          <w:rFonts w:ascii="Calibri" w:eastAsia="Calibri" w:hAnsi="Calibri" w:cs="Calibri"/>
          <w:color w:val="000000" w:themeColor="text1"/>
          <w:sz w:val="22"/>
          <w:szCs w:val="22"/>
        </w:rPr>
        <w:t> </w:t>
      </w:r>
      <w:r w:rsidRPr="00DA76FF">
        <w:rPr>
          <w:rFonts w:ascii="Calibri" w:eastAsia="Calibri" w:hAnsi="Calibri" w:cs="Calibri"/>
          <w:color w:val="000000" w:themeColor="text1"/>
          <w:sz w:val="22"/>
          <w:szCs w:val="22"/>
        </w:rPr>
        <w:t>million, despite net growth in membership. This is due to the continued growth in low fee categories and exempted entities.</w:t>
      </w:r>
    </w:p>
    <w:p w14:paraId="60054FE7" w14:textId="4A871EF1" w:rsidR="00741294" w:rsidRPr="00DA76FF" w:rsidRDefault="00741294" w:rsidP="00B96F88">
      <w:pPr>
        <w:pStyle w:val="ListParagraph"/>
        <w:numPr>
          <w:ilvl w:val="0"/>
          <w:numId w:val="2"/>
        </w:numPr>
        <w:spacing w:after="120"/>
        <w:ind w:left="568" w:hanging="284"/>
        <w:jc w:val="both"/>
        <w:rPr>
          <w:rFonts w:eastAsia="Calibri" w:cs="Calibri"/>
          <w:color w:val="000000" w:themeColor="text1"/>
          <w:lang w:val="en-GB"/>
        </w:rPr>
      </w:pPr>
      <w:r w:rsidRPr="00DA76FF">
        <w:rPr>
          <w:rStyle w:val="normaltextrun"/>
          <w:rFonts w:eastAsia="Calibri" w:cs="Calibri"/>
          <w:color w:val="000000" w:themeColor="text1"/>
          <w:lang w:val="en-GB"/>
        </w:rPr>
        <w:t>The community of SMEs is growing, though the pace of growth has slowed down since 2023 and 2022. Associates with SME reduced fees option (available from January 2020): 94 memberships (74</w:t>
      </w:r>
      <w:r w:rsidR="00B802AF">
        <w:rPr>
          <w:rStyle w:val="normaltextrun"/>
          <w:rFonts w:eastAsia="Calibri" w:cs="Calibri"/>
          <w:color w:val="000000" w:themeColor="text1"/>
          <w:lang w:val="en-GB"/>
        </w:rPr>
        <w:t xml:space="preserve"> </w:t>
      </w:r>
      <w:r w:rsidRPr="00DA76FF">
        <w:rPr>
          <w:rStyle w:val="normaltextrun"/>
          <w:rFonts w:eastAsia="Calibri" w:cs="Calibri"/>
          <w:color w:val="000000" w:themeColor="text1"/>
          <w:lang w:val="en-GB"/>
        </w:rPr>
        <w:t>from ITU-T and 20 from ITU-R) have benefited from the reduced fees. +8 net new entities in 2024 (+15 net new entities in 2023)</w:t>
      </w:r>
      <w:r w:rsidR="003D28EE">
        <w:rPr>
          <w:rStyle w:val="normaltextrun"/>
          <w:rFonts w:eastAsia="Calibri" w:cs="Calibri"/>
          <w:color w:val="000000" w:themeColor="text1"/>
          <w:lang w:val="en-GB"/>
        </w:rPr>
        <w:t>.</w:t>
      </w:r>
    </w:p>
    <w:p w14:paraId="61B0EC31" w14:textId="3CBAD753" w:rsidR="008A5C1B" w:rsidRPr="00DA76FF" w:rsidRDefault="00741294" w:rsidP="00B96F88">
      <w:pPr>
        <w:pStyle w:val="ListParagraph"/>
        <w:spacing w:before="0"/>
        <w:ind w:left="142"/>
        <w:jc w:val="both"/>
        <w:rPr>
          <w:rFonts w:eastAsia="Calibri" w:cs="Calibri"/>
          <w:color w:val="000000" w:themeColor="text1"/>
          <w:szCs w:val="24"/>
          <w:lang w:val="en-GB"/>
        </w:rPr>
      </w:pPr>
      <w:r w:rsidRPr="00DA76FF">
        <w:rPr>
          <w:noProof/>
          <w:lang w:val="en-GB"/>
        </w:rPr>
        <w:lastRenderedPageBreak/>
        <w:drawing>
          <wp:inline distT="0" distB="0" distL="0" distR="0" wp14:anchorId="0C8A62FB" wp14:editId="6CD47FAB">
            <wp:extent cx="5715000" cy="3219450"/>
            <wp:effectExtent l="0" t="0" r="0" b="0"/>
            <wp:docPr id="1162687586" name="Picture 116268758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87586" name="Picture 1162687586" descr="A screenshot of a computer&#10;&#10;AI-generated content may be incorrect."/>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14:paraId="59C65D24" w14:textId="3F3BF8C1" w:rsidR="008A5C1B" w:rsidRPr="00DA76FF" w:rsidRDefault="001B47F9" w:rsidP="00A25266">
      <w:pPr>
        <w:pStyle w:val="Heading2"/>
        <w:tabs>
          <w:tab w:val="clear" w:pos="567"/>
        </w:tabs>
        <w:spacing w:before="480" w:after="120"/>
      </w:pPr>
      <w:bookmarkStart w:id="62" w:name="_Toc198569378"/>
      <w:r w:rsidRPr="00DA76FF">
        <w:t>5</w:t>
      </w:r>
      <w:r w:rsidR="00F713F5" w:rsidRPr="00DA76FF">
        <w:t>.2</w:t>
      </w:r>
      <w:r w:rsidR="00F713F5" w:rsidRPr="00DA76FF">
        <w:tab/>
      </w:r>
      <w:r w:rsidR="00B57571" w:rsidRPr="00DA76FF">
        <w:t>Regional presence</w:t>
      </w:r>
      <w:bookmarkEnd w:id="62"/>
    </w:p>
    <w:p w14:paraId="777E1037" w14:textId="3BA71759" w:rsidR="007E78C4" w:rsidRPr="00DA76FF" w:rsidRDefault="007E78C4" w:rsidP="00B96F88">
      <w:pPr>
        <w:spacing w:after="120"/>
        <w:jc w:val="both"/>
        <w:rPr>
          <w:sz w:val="22"/>
          <w:szCs w:val="18"/>
        </w:rPr>
      </w:pPr>
      <w:r w:rsidRPr="00DA76FF">
        <w:rPr>
          <w:sz w:val="22"/>
          <w:szCs w:val="18"/>
        </w:rPr>
        <w:t xml:space="preserve">As an extension of ITU as a whole, the </w:t>
      </w:r>
      <w:hyperlink r:id="rId191" w:history="1">
        <w:r w:rsidRPr="00DA76FF">
          <w:rPr>
            <w:rStyle w:val="Hyperlink"/>
            <w:sz w:val="22"/>
            <w:szCs w:val="18"/>
          </w:rPr>
          <w:t>regional presence</w:t>
        </w:r>
      </w:hyperlink>
      <w:r w:rsidRPr="00DA76FF">
        <w:rPr>
          <w:sz w:val="22"/>
          <w:szCs w:val="18"/>
        </w:rPr>
        <w:t xml:space="preserve"> plays a vital role in the achievement of ITU’s mission, enhancing </w:t>
      </w:r>
      <w:r w:rsidR="00440A04">
        <w:rPr>
          <w:sz w:val="22"/>
          <w:szCs w:val="18"/>
        </w:rPr>
        <w:t>ITU</w:t>
      </w:r>
      <w:r w:rsidRPr="00DA76FF">
        <w:rPr>
          <w:sz w:val="22"/>
          <w:szCs w:val="18"/>
        </w:rPr>
        <w:t xml:space="preserve">’s understanding of local contexts and its ability to respond to countries’ needs effectively. The regional presence consolidates strategic planning at the level of each regional/area office, implementing programmes and initiatives that are consistent with and based on </w:t>
      </w:r>
      <w:r w:rsidR="00440A04">
        <w:rPr>
          <w:sz w:val="22"/>
          <w:szCs w:val="18"/>
        </w:rPr>
        <w:t>ITU</w:t>
      </w:r>
      <w:r w:rsidRPr="00DA76FF">
        <w:rPr>
          <w:sz w:val="22"/>
          <w:szCs w:val="18"/>
        </w:rPr>
        <w:t>’s strategic goals and thematic priorities. By applying the global targets and clarifying programme priorities at the regional level, ITU also seeks to enhance its overall global effectiveness and impact.</w:t>
      </w:r>
    </w:p>
    <w:p w14:paraId="1AEA65E2" w14:textId="14378960" w:rsidR="007E78C4" w:rsidRPr="00DA76FF" w:rsidRDefault="007E78C4" w:rsidP="00B96F88">
      <w:pPr>
        <w:spacing w:after="120"/>
        <w:jc w:val="both"/>
        <w:rPr>
          <w:sz w:val="22"/>
          <w:szCs w:val="18"/>
        </w:rPr>
      </w:pPr>
      <w:r w:rsidRPr="00DA76FF">
        <w:rPr>
          <w:sz w:val="22"/>
          <w:szCs w:val="18"/>
        </w:rPr>
        <w:t xml:space="preserve">The regional presence strengthens ITU’s position as a shaper/doer and enhance United Nations cooperation, to build enhanced regional opportunities and thereby reach more countries and define clearer, more impactful priorities for country-level engagements. Efforts are also be made to strengthen capacity at the regional level to ensure the ability of the regional and area offices to implement the programmes and engagements determined based on </w:t>
      </w:r>
      <w:r w:rsidR="00440A04">
        <w:rPr>
          <w:sz w:val="22"/>
          <w:szCs w:val="18"/>
        </w:rPr>
        <w:t>ITU</w:t>
      </w:r>
      <w:r w:rsidRPr="00DA76FF">
        <w:rPr>
          <w:sz w:val="22"/>
          <w:szCs w:val="18"/>
        </w:rPr>
        <w:t>’s strategic goals and thematic priorities</w:t>
      </w:r>
      <w:r w:rsidR="000F5D2E" w:rsidRPr="00DA76FF">
        <w:rPr>
          <w:sz w:val="22"/>
          <w:szCs w:val="18"/>
        </w:rPr>
        <w:t>.</w:t>
      </w:r>
    </w:p>
    <w:p w14:paraId="65FECE28" w14:textId="74369988" w:rsidR="000F5D2E" w:rsidRPr="00DA76FF" w:rsidRDefault="000F5D2E" w:rsidP="00B96F88">
      <w:pPr>
        <w:spacing w:after="120"/>
        <w:jc w:val="both"/>
        <w:rPr>
          <w:sz w:val="22"/>
          <w:szCs w:val="18"/>
        </w:rPr>
      </w:pPr>
      <w:r w:rsidRPr="00DA76FF">
        <w:rPr>
          <w:sz w:val="22"/>
          <w:szCs w:val="18"/>
        </w:rPr>
        <w:t xml:space="preserve">See section 4.7 for more details on the distribution and funding of </w:t>
      </w:r>
      <w:r w:rsidR="00F150E5" w:rsidRPr="00DA76FF">
        <w:rPr>
          <w:sz w:val="22"/>
          <w:szCs w:val="18"/>
        </w:rPr>
        <w:t xml:space="preserve">ITU </w:t>
      </w:r>
      <w:r w:rsidRPr="00DA76FF">
        <w:rPr>
          <w:sz w:val="22"/>
          <w:szCs w:val="18"/>
        </w:rPr>
        <w:t>Projects by Region.</w:t>
      </w:r>
    </w:p>
    <w:p w14:paraId="03471602" w14:textId="16C83D75" w:rsidR="009010EE" w:rsidRPr="00DA76FF" w:rsidRDefault="009010EE" w:rsidP="00B96F88">
      <w:pPr>
        <w:spacing w:after="120"/>
        <w:rPr>
          <w:b/>
          <w:bCs/>
        </w:rPr>
      </w:pPr>
      <w:r w:rsidRPr="00DA76FF">
        <w:rPr>
          <w:b/>
          <w:bCs/>
        </w:rPr>
        <w:t>Regional Initiatives 2023-2025</w:t>
      </w:r>
    </w:p>
    <w:p w14:paraId="49F8D511" w14:textId="6A12CD15" w:rsidR="00A25266" w:rsidRPr="00B802AF" w:rsidRDefault="00867B81" w:rsidP="00A25266">
      <w:pPr>
        <w:spacing w:after="120"/>
        <w:jc w:val="both"/>
        <w:rPr>
          <w:sz w:val="22"/>
          <w:szCs w:val="22"/>
        </w:rPr>
      </w:pPr>
      <w:r w:rsidRPr="00B802AF">
        <w:rPr>
          <w:sz w:val="22"/>
          <w:szCs w:val="22"/>
        </w:rPr>
        <w:t>ITU’s latest World</w:t>
      </w:r>
      <w:r w:rsidR="009010EE" w:rsidRPr="00B802AF">
        <w:rPr>
          <w:sz w:val="22"/>
          <w:szCs w:val="22"/>
        </w:rPr>
        <w:t xml:space="preserve"> Telecommunication Development Conference (WTDC)</w:t>
      </w:r>
      <w:r w:rsidRPr="00B802AF">
        <w:rPr>
          <w:sz w:val="22"/>
          <w:szCs w:val="22"/>
        </w:rPr>
        <w:t>,</w:t>
      </w:r>
      <w:r w:rsidR="009010EE" w:rsidRPr="00B802AF">
        <w:rPr>
          <w:sz w:val="22"/>
          <w:szCs w:val="22"/>
        </w:rPr>
        <w:t xml:space="preserve"> held in Kigali </w:t>
      </w:r>
      <w:r w:rsidRPr="00B802AF">
        <w:rPr>
          <w:sz w:val="22"/>
          <w:szCs w:val="22"/>
        </w:rPr>
        <w:t>in</w:t>
      </w:r>
      <w:r w:rsidR="009010EE" w:rsidRPr="00B802AF">
        <w:rPr>
          <w:sz w:val="22"/>
          <w:szCs w:val="22"/>
        </w:rPr>
        <w:t xml:space="preserve"> June </w:t>
      </w:r>
      <w:r w:rsidRPr="00B802AF">
        <w:rPr>
          <w:sz w:val="22"/>
          <w:szCs w:val="22"/>
        </w:rPr>
        <w:t xml:space="preserve">2022, </w:t>
      </w:r>
      <w:r w:rsidR="009010EE" w:rsidRPr="00B802AF">
        <w:rPr>
          <w:sz w:val="22"/>
          <w:szCs w:val="22"/>
        </w:rPr>
        <w:t xml:space="preserve">approved a new set of </w:t>
      </w:r>
      <w:r w:rsidR="00C41E4D" w:rsidRPr="00B802AF">
        <w:rPr>
          <w:sz w:val="22"/>
          <w:szCs w:val="22"/>
        </w:rPr>
        <w:t>r</w:t>
      </w:r>
      <w:r w:rsidR="009010EE" w:rsidRPr="00B802AF">
        <w:rPr>
          <w:sz w:val="22"/>
          <w:szCs w:val="22"/>
        </w:rPr>
        <w:t xml:space="preserve">egional </w:t>
      </w:r>
      <w:r w:rsidR="00C41E4D" w:rsidRPr="00B802AF">
        <w:rPr>
          <w:sz w:val="22"/>
          <w:szCs w:val="22"/>
        </w:rPr>
        <w:t>i</w:t>
      </w:r>
      <w:r w:rsidR="009010EE" w:rsidRPr="00B802AF">
        <w:rPr>
          <w:sz w:val="22"/>
          <w:szCs w:val="22"/>
        </w:rPr>
        <w:t>nitiatives for the period 2023-2025. Th</w:t>
      </w:r>
      <w:r w:rsidR="00C41E4D" w:rsidRPr="00B802AF">
        <w:rPr>
          <w:sz w:val="22"/>
          <w:szCs w:val="22"/>
        </w:rPr>
        <w:t>os</w:t>
      </w:r>
      <w:r w:rsidR="009010EE" w:rsidRPr="00B802AF">
        <w:rPr>
          <w:sz w:val="22"/>
          <w:szCs w:val="22"/>
        </w:rPr>
        <w:t xml:space="preserve">e </w:t>
      </w:r>
      <w:r w:rsidR="00C41E4D" w:rsidRPr="00B802AF">
        <w:rPr>
          <w:sz w:val="22"/>
          <w:szCs w:val="22"/>
        </w:rPr>
        <w:t>i</w:t>
      </w:r>
      <w:r w:rsidR="009010EE" w:rsidRPr="00B802AF">
        <w:rPr>
          <w:sz w:val="22"/>
          <w:szCs w:val="22"/>
        </w:rPr>
        <w:t>nitiatives</w:t>
      </w:r>
      <w:r w:rsidR="00C41E4D" w:rsidRPr="00B802AF">
        <w:rPr>
          <w:sz w:val="22"/>
          <w:szCs w:val="22"/>
        </w:rPr>
        <w:t>,</w:t>
      </w:r>
      <w:r w:rsidR="009010EE" w:rsidRPr="00B802AF">
        <w:rPr>
          <w:sz w:val="22"/>
          <w:szCs w:val="22"/>
        </w:rPr>
        <w:t xml:space="preserve"> outlined in the Kigali Action Plan</w:t>
      </w:r>
      <w:r w:rsidR="00C41E4D" w:rsidRPr="00B802AF">
        <w:rPr>
          <w:sz w:val="22"/>
          <w:szCs w:val="22"/>
        </w:rPr>
        <w:t>,</w:t>
      </w:r>
      <w:r w:rsidR="009010EE" w:rsidRPr="00B802AF">
        <w:rPr>
          <w:sz w:val="22"/>
          <w:szCs w:val="22"/>
        </w:rPr>
        <w:t xml:space="preserve"> address specific needs for each major region of the world to advance and accelerate digital transformation.</w:t>
      </w:r>
      <w:r w:rsidR="004203F8" w:rsidRPr="00B802AF">
        <w:rPr>
          <w:sz w:val="22"/>
          <w:szCs w:val="22"/>
        </w:rPr>
        <w:t xml:space="preserve"> </w:t>
      </w:r>
      <w:r w:rsidR="00B66C12" w:rsidRPr="00B802AF">
        <w:rPr>
          <w:sz w:val="22"/>
          <w:szCs w:val="22"/>
        </w:rPr>
        <w:t xml:space="preserve">See </w:t>
      </w:r>
      <w:r w:rsidR="000D1BA2" w:rsidRPr="00B802AF">
        <w:rPr>
          <w:sz w:val="22"/>
          <w:szCs w:val="22"/>
        </w:rPr>
        <w:t xml:space="preserve">the </w:t>
      </w:r>
      <w:r w:rsidR="00B66C12" w:rsidRPr="00B802AF">
        <w:rPr>
          <w:sz w:val="22"/>
          <w:szCs w:val="22"/>
        </w:rPr>
        <w:t>ITU-D webpage for further</w:t>
      </w:r>
      <w:r w:rsidR="004203F8" w:rsidRPr="00B802AF">
        <w:rPr>
          <w:sz w:val="22"/>
          <w:szCs w:val="22"/>
        </w:rPr>
        <w:t xml:space="preserve"> details on</w:t>
      </w:r>
      <w:r w:rsidR="000D1BA2" w:rsidRPr="00B802AF">
        <w:rPr>
          <w:sz w:val="22"/>
          <w:szCs w:val="22"/>
        </w:rPr>
        <w:t xml:space="preserve"> ITU’s</w:t>
      </w:r>
      <w:r w:rsidR="004203F8" w:rsidRPr="00B802AF">
        <w:rPr>
          <w:sz w:val="22"/>
          <w:szCs w:val="22"/>
        </w:rPr>
        <w:t xml:space="preserve"> </w:t>
      </w:r>
      <w:hyperlink r:id="rId192" w:history="1">
        <w:r w:rsidR="00F150E5" w:rsidRPr="00B802AF">
          <w:rPr>
            <w:rStyle w:val="Hyperlink"/>
            <w:sz w:val="22"/>
            <w:szCs w:val="22"/>
          </w:rPr>
          <w:t>regional</w:t>
        </w:r>
        <w:r w:rsidR="004203F8" w:rsidRPr="00B802AF">
          <w:rPr>
            <w:rStyle w:val="Hyperlink"/>
            <w:sz w:val="22"/>
            <w:szCs w:val="22"/>
          </w:rPr>
          <w:t xml:space="preserve"> initiatives</w:t>
        </w:r>
      </w:hyperlink>
      <w:r w:rsidR="004203F8" w:rsidRPr="00B802AF">
        <w:rPr>
          <w:sz w:val="22"/>
          <w:szCs w:val="22"/>
        </w:rPr>
        <w:t>.</w:t>
      </w:r>
    </w:p>
    <w:p w14:paraId="7025A814" w14:textId="124E8D98" w:rsidR="005E77D5" w:rsidRPr="00DA76FF" w:rsidRDefault="005E77D5" w:rsidP="00E841E7">
      <w:pPr>
        <w:jc w:val="both"/>
      </w:pPr>
      <w:r w:rsidRPr="004F041F">
        <w:rPr>
          <w:rFonts w:cs="Calibri"/>
          <w:noProof/>
          <w:sz w:val="22"/>
          <w:szCs w:val="22"/>
        </w:rPr>
        <w:lastRenderedPageBreak/>
        <mc:AlternateContent>
          <mc:Choice Requires="wps">
            <w:drawing>
              <wp:inline distT="0" distB="0" distL="0" distR="0" wp14:anchorId="6A9AB005" wp14:editId="3F73B429">
                <wp:extent cx="5626100" cy="1404620"/>
                <wp:effectExtent l="0" t="0" r="12700" b="12700"/>
                <wp:docPr id="1339806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7B219D73" w14:textId="4D9DDAAB" w:rsidR="005E77D5" w:rsidRPr="00D806A6" w:rsidRDefault="00CD6FA8" w:rsidP="005E77D5">
                            <w:pPr>
                              <w:shd w:val="clear" w:color="auto" w:fill="C6D9F1" w:themeFill="text2" w:themeFillTint="33"/>
                              <w:rPr>
                                <w:b/>
                                <w:bCs/>
                                <w:i/>
                                <w:iCs/>
                              </w:rPr>
                            </w:pPr>
                            <w:r>
                              <w:rPr>
                                <w:b/>
                                <w:bCs/>
                                <w:i/>
                                <w:iCs/>
                              </w:rPr>
                              <w:t>Driving</w:t>
                            </w:r>
                            <w:r w:rsidR="00D6645D" w:rsidRPr="00D806A6">
                              <w:rPr>
                                <w:b/>
                                <w:bCs/>
                                <w:i/>
                                <w:iCs/>
                              </w:rPr>
                              <w:t xml:space="preserve"> </w:t>
                            </w:r>
                            <w:r>
                              <w:rPr>
                                <w:b/>
                                <w:bCs/>
                                <w:i/>
                                <w:iCs/>
                              </w:rPr>
                              <w:t>transformation</w:t>
                            </w:r>
                            <w:r w:rsidR="008D5C77">
                              <w:rPr>
                                <w:b/>
                                <w:bCs/>
                                <w:i/>
                                <w:iCs/>
                              </w:rPr>
                              <w:t xml:space="preserve"> </w:t>
                            </w:r>
                            <w:r w:rsidR="00D6645D" w:rsidRPr="00D806A6">
                              <w:rPr>
                                <w:b/>
                                <w:bCs/>
                                <w:i/>
                                <w:iCs/>
                              </w:rPr>
                              <w:t>on</w:t>
                            </w:r>
                            <w:r w:rsidR="00870F22" w:rsidRPr="00D806A6">
                              <w:rPr>
                                <w:b/>
                                <w:bCs/>
                                <w:i/>
                                <w:iCs/>
                              </w:rPr>
                              <w:t xml:space="preserve"> the ground</w:t>
                            </w:r>
                          </w:p>
                          <w:p w14:paraId="28960F78" w14:textId="7BCB9EF3" w:rsidR="00464283" w:rsidRPr="004A3701" w:rsidRDefault="00464283" w:rsidP="00464283">
                            <w:pPr>
                              <w:rPr>
                                <w:rFonts w:cs="Calibri"/>
                                <w:b/>
                                <w:bCs/>
                                <w:szCs w:val="24"/>
                              </w:rPr>
                            </w:pPr>
                            <w:r w:rsidRPr="004A3701">
                              <w:rPr>
                                <w:rFonts w:cs="Calibri"/>
                                <w:b/>
                                <w:bCs/>
                                <w:szCs w:val="24"/>
                              </w:rPr>
                              <w:t>Impact in Africa: Malawi tackles e-waste</w:t>
                            </w:r>
                          </w:p>
                          <w:p w14:paraId="5ED11325" w14:textId="38792144" w:rsidR="00464283" w:rsidRPr="00BD497F" w:rsidRDefault="00464283" w:rsidP="00464283">
                            <w:pPr>
                              <w:rPr>
                                <w:rFonts w:cs="Calibri"/>
                                <w:b/>
                                <w:bCs/>
                                <w:sz w:val="22"/>
                                <w:szCs w:val="22"/>
                              </w:rPr>
                            </w:pPr>
                            <w:r w:rsidRPr="00DC5B81">
                              <w:rPr>
                                <w:rFonts w:cs="Calibri"/>
                                <w:sz w:val="22"/>
                                <w:szCs w:val="22"/>
                              </w:rPr>
                              <w:t xml:space="preserve">Malawi launched a </w:t>
                            </w:r>
                            <w:r w:rsidRPr="00BD497F">
                              <w:rPr>
                                <w:rFonts w:cs="Calibri"/>
                                <w:sz w:val="22"/>
                                <w:szCs w:val="22"/>
                              </w:rPr>
                              <w:t xml:space="preserve">new policy in October 2024 </w:t>
                            </w:r>
                            <w:r w:rsidRPr="00DC5B81">
                              <w:rPr>
                                <w:rFonts w:cs="Calibri"/>
                                <w:sz w:val="22"/>
                                <w:szCs w:val="22"/>
                              </w:rPr>
                              <w:t>to address the growing challenge of electronic waste.</w:t>
                            </w:r>
                            <w:r w:rsidRPr="00BD497F">
                              <w:rPr>
                                <w:rFonts w:cs="Calibri"/>
                                <w:sz w:val="22"/>
                                <w:szCs w:val="22"/>
                              </w:rPr>
                              <w:t xml:space="preserve"> The N</w:t>
                            </w:r>
                            <w:r w:rsidRPr="00DC5B81">
                              <w:rPr>
                                <w:rFonts w:cs="Calibri"/>
                                <w:sz w:val="22"/>
                                <w:szCs w:val="22"/>
                              </w:rPr>
                              <w:t xml:space="preserve">ational </w:t>
                            </w:r>
                            <w:r w:rsidRPr="00BD497F">
                              <w:rPr>
                                <w:rFonts w:cs="Calibri"/>
                                <w:sz w:val="22"/>
                                <w:szCs w:val="22"/>
                              </w:rPr>
                              <w:t>E</w:t>
                            </w:r>
                            <w:r w:rsidRPr="00DC5B81">
                              <w:rPr>
                                <w:rFonts w:cs="Calibri"/>
                                <w:sz w:val="22"/>
                                <w:szCs w:val="22"/>
                              </w:rPr>
                              <w:t xml:space="preserve">-waste </w:t>
                            </w:r>
                            <w:r w:rsidRPr="00BD497F">
                              <w:rPr>
                                <w:rFonts w:cs="Calibri"/>
                                <w:sz w:val="22"/>
                                <w:szCs w:val="22"/>
                              </w:rPr>
                              <w:t>M</w:t>
                            </w:r>
                            <w:r w:rsidRPr="00DC5B81">
                              <w:rPr>
                                <w:rFonts w:cs="Calibri"/>
                                <w:sz w:val="22"/>
                                <w:szCs w:val="22"/>
                              </w:rPr>
                              <w:t xml:space="preserve">anagement </w:t>
                            </w:r>
                            <w:r w:rsidRPr="00BD497F">
                              <w:rPr>
                                <w:rFonts w:cs="Calibri"/>
                                <w:sz w:val="22"/>
                                <w:szCs w:val="22"/>
                              </w:rPr>
                              <w:t>P</w:t>
                            </w:r>
                            <w:r w:rsidRPr="00DC5B81">
                              <w:rPr>
                                <w:rFonts w:cs="Calibri"/>
                                <w:sz w:val="22"/>
                                <w:szCs w:val="22"/>
                              </w:rPr>
                              <w:t>olicy</w:t>
                            </w:r>
                            <w:r w:rsidRPr="00BD497F">
                              <w:rPr>
                                <w:rFonts w:cs="Calibri"/>
                                <w:sz w:val="22"/>
                                <w:szCs w:val="22"/>
                              </w:rPr>
                              <w:t>, prepared with ITU support,</w:t>
                            </w:r>
                            <w:r w:rsidRPr="00DC5B81">
                              <w:rPr>
                                <w:rFonts w:cs="Calibri"/>
                                <w:sz w:val="22"/>
                                <w:szCs w:val="22"/>
                              </w:rPr>
                              <w:t xml:space="preserve"> aims to promote safe collection, recycling, and disposal of e-waste, protecting the environment and public health</w:t>
                            </w:r>
                            <w:r w:rsidRPr="00BD497F">
                              <w:rPr>
                                <w:rFonts w:cs="Calibri"/>
                                <w:b/>
                                <w:bCs/>
                                <w:sz w:val="22"/>
                                <w:szCs w:val="22"/>
                              </w:rPr>
                              <w:t xml:space="preserve">. </w:t>
                            </w:r>
                            <w:hyperlink r:id="rId193" w:history="1">
                              <w:r w:rsidRPr="00BD497F">
                                <w:rPr>
                                  <w:rStyle w:val="Hyperlink"/>
                                  <w:rFonts w:cs="Calibri"/>
                                  <w:b/>
                                  <w:bCs/>
                                  <w:sz w:val="22"/>
                                  <w:szCs w:val="22"/>
                                </w:rPr>
                                <w:t>Learn more</w:t>
                              </w:r>
                            </w:hyperlink>
                          </w:p>
                          <w:p w14:paraId="15D8549A" w14:textId="77777777" w:rsidR="00464283" w:rsidRPr="004A3701" w:rsidRDefault="00464283" w:rsidP="00464283">
                            <w:pPr>
                              <w:rPr>
                                <w:rFonts w:cs="Calibri"/>
                                <w:b/>
                                <w:bCs/>
                                <w:szCs w:val="24"/>
                              </w:rPr>
                            </w:pPr>
                            <w:r w:rsidRPr="004A3701">
                              <w:rPr>
                                <w:rFonts w:cs="Calibri"/>
                                <w:b/>
                                <w:bCs/>
                                <w:szCs w:val="24"/>
                              </w:rPr>
                              <w:t>Impact in the Americas: Life-saving response to Hurricane Beryl</w:t>
                            </w:r>
                          </w:p>
                          <w:p w14:paraId="4F398345" w14:textId="4A475861" w:rsidR="00464283" w:rsidRPr="00BD497F" w:rsidRDefault="00464283" w:rsidP="00464283">
                            <w:pPr>
                              <w:rPr>
                                <w:rFonts w:cs="Calibri"/>
                                <w:b/>
                                <w:bCs/>
                                <w:sz w:val="22"/>
                                <w:szCs w:val="22"/>
                              </w:rPr>
                            </w:pPr>
                            <w:r w:rsidRPr="00BD497F">
                              <w:rPr>
                                <w:rFonts w:cs="Calibri"/>
                                <w:sz w:val="22"/>
                                <w:szCs w:val="22"/>
                              </w:rPr>
                              <w:t xml:space="preserve">When the Category 4 hurricane hit Grenada, Jamaica, and Saint Vincent and the Grenadines in July 2024, ITU provided vital support with emergency telecommunications, helping restore connectivity to affected communities and coordinate life-saving disaster management and relief operations. </w:t>
                            </w:r>
                            <w:hyperlink r:id="rId194" w:history="1">
                              <w:r w:rsidRPr="00BD497F">
                                <w:rPr>
                                  <w:rStyle w:val="Hyperlink"/>
                                  <w:rFonts w:cs="Calibri"/>
                                  <w:b/>
                                  <w:bCs/>
                                  <w:sz w:val="22"/>
                                  <w:szCs w:val="22"/>
                                </w:rPr>
                                <w:t>Learn more</w:t>
                              </w:r>
                            </w:hyperlink>
                          </w:p>
                          <w:p w14:paraId="6C6DBF83" w14:textId="77777777" w:rsidR="00464283" w:rsidRPr="004A3701" w:rsidRDefault="00464283" w:rsidP="00464283">
                            <w:pPr>
                              <w:rPr>
                                <w:rFonts w:cs="Calibri"/>
                                <w:b/>
                                <w:bCs/>
                                <w:szCs w:val="24"/>
                              </w:rPr>
                            </w:pPr>
                            <w:r w:rsidRPr="004A3701">
                              <w:rPr>
                                <w:rFonts w:cs="Calibri"/>
                                <w:b/>
                                <w:bCs/>
                                <w:szCs w:val="24"/>
                              </w:rPr>
                              <w:t>Impact in the Arab States: Robust cybersecurity cooperation</w:t>
                            </w:r>
                          </w:p>
                          <w:p w14:paraId="73E6766C" w14:textId="68CB8098" w:rsidR="00464283" w:rsidRPr="00B802AF" w:rsidRDefault="00464283" w:rsidP="00464283">
                            <w:pPr>
                              <w:rPr>
                                <w:rFonts w:cs="Calibri"/>
                                <w:sz w:val="22"/>
                                <w:szCs w:val="22"/>
                              </w:rPr>
                            </w:pPr>
                            <w:r w:rsidRPr="00BD497F">
                              <w:rPr>
                                <w:rFonts w:cs="Calibri"/>
                                <w:sz w:val="22"/>
                                <w:szCs w:val="22"/>
                              </w:rPr>
                              <w:t>The Arab region achieved record participation in cyber response training in 2024, with over 400 experts from 20 countries taking part in ITU-led exercises to enhance national capabilities. The sessions, organized jointly with the UAE Cyber Security Council, fostered regional cooperation and helped boost resilience against escalating cyber threats.</w:t>
                            </w:r>
                            <w:r w:rsidRPr="00BD497F">
                              <w:rPr>
                                <w:rFonts w:cs="Calibri"/>
                                <w:b/>
                                <w:bCs/>
                                <w:i/>
                                <w:iCs/>
                                <w:sz w:val="22"/>
                                <w:szCs w:val="22"/>
                              </w:rPr>
                              <w:t xml:space="preserve"> </w:t>
                            </w:r>
                            <w:hyperlink r:id="rId195" w:history="1">
                              <w:r w:rsidRPr="00BD497F">
                                <w:rPr>
                                  <w:rStyle w:val="Hyperlink"/>
                                  <w:rFonts w:cs="Calibri"/>
                                  <w:b/>
                                  <w:bCs/>
                                  <w:sz w:val="22"/>
                                  <w:szCs w:val="22"/>
                                </w:rPr>
                                <w:t>Learn more</w:t>
                              </w:r>
                            </w:hyperlink>
                          </w:p>
                          <w:p w14:paraId="6B5A0C29" w14:textId="77777777" w:rsidR="00464283" w:rsidRPr="004A3701" w:rsidRDefault="00464283" w:rsidP="00464283">
                            <w:pPr>
                              <w:rPr>
                                <w:rFonts w:cs="Calibri"/>
                                <w:b/>
                                <w:bCs/>
                                <w:szCs w:val="24"/>
                              </w:rPr>
                            </w:pPr>
                            <w:r w:rsidRPr="004A3701">
                              <w:rPr>
                                <w:rFonts w:cs="Calibri"/>
                                <w:b/>
                                <w:bCs/>
                                <w:szCs w:val="24"/>
                              </w:rPr>
                              <w:t>Impact in Asia-Pacific: Digital hub for PNG vanilla farmers</w:t>
                            </w:r>
                          </w:p>
                          <w:p w14:paraId="7F5D817C" w14:textId="133845A0" w:rsidR="00464283" w:rsidRPr="00870F22" w:rsidRDefault="00464283" w:rsidP="00464283">
                            <w:pPr>
                              <w:rPr>
                                <w:rFonts w:cs="Calibri"/>
                                <w:sz w:val="22"/>
                                <w:szCs w:val="22"/>
                              </w:rPr>
                            </w:pPr>
                            <w:r w:rsidRPr="00BD497F">
                              <w:rPr>
                                <w:rFonts w:cs="Calibri"/>
                                <w:sz w:val="22"/>
                                <w:szCs w:val="22"/>
                              </w:rPr>
                              <w:t>The European Union’s Support to Rural Entrepreneurship, Investment and Trade (STREIT) programme, with ITU as a key partner,</w:t>
                            </w:r>
                            <w:r w:rsidRPr="00BD497F">
                              <w:rPr>
                                <w:rFonts w:cs="Calibri"/>
                                <w:i/>
                                <w:iCs/>
                                <w:sz w:val="22"/>
                                <w:szCs w:val="22"/>
                              </w:rPr>
                              <w:t xml:space="preserve"> </w:t>
                            </w:r>
                            <w:r w:rsidRPr="00BD497F">
                              <w:rPr>
                                <w:rFonts w:cs="Calibri"/>
                                <w:sz w:val="22"/>
                                <w:szCs w:val="22"/>
                              </w:rPr>
                              <w:t xml:space="preserve">opened a new digital hub to provide weather advisories, facilitate spice crop management, and promote climate-smart agriculture and </w:t>
                            </w:r>
                            <w:r w:rsidR="00C42884">
                              <w:rPr>
                                <w:rFonts w:cs="Calibri"/>
                                <w:sz w:val="22"/>
                                <w:szCs w:val="22"/>
                              </w:rPr>
                              <w:t>prosperous</w:t>
                            </w:r>
                            <w:r w:rsidR="00C42884" w:rsidRPr="00BD497F">
                              <w:rPr>
                                <w:rFonts w:cs="Calibri"/>
                                <w:sz w:val="22"/>
                                <w:szCs w:val="22"/>
                              </w:rPr>
                              <w:t xml:space="preserve"> </w:t>
                            </w:r>
                            <w:r w:rsidRPr="00BD497F">
                              <w:rPr>
                                <w:rFonts w:cs="Calibri"/>
                                <w:sz w:val="22"/>
                                <w:szCs w:val="22"/>
                              </w:rPr>
                              <w:t xml:space="preserve">livelihoods in rural Papua New Guinea. </w:t>
                            </w:r>
                            <w:hyperlink r:id="rId196" w:history="1">
                              <w:r w:rsidRPr="00BD497F">
                                <w:rPr>
                                  <w:rStyle w:val="Hyperlink"/>
                                  <w:rFonts w:cs="Calibri"/>
                                  <w:b/>
                                  <w:bCs/>
                                  <w:sz w:val="22"/>
                                  <w:szCs w:val="22"/>
                                </w:rPr>
                                <w:t>Learn more</w:t>
                              </w:r>
                            </w:hyperlink>
                          </w:p>
                          <w:p w14:paraId="413D5F11" w14:textId="77777777" w:rsidR="00464283" w:rsidRPr="004A3701" w:rsidRDefault="00464283" w:rsidP="00464283">
                            <w:pPr>
                              <w:rPr>
                                <w:rFonts w:cs="Calibri"/>
                                <w:b/>
                                <w:bCs/>
                                <w:szCs w:val="24"/>
                              </w:rPr>
                            </w:pPr>
                            <w:r w:rsidRPr="004A3701">
                              <w:rPr>
                                <w:rFonts w:cs="Calibri"/>
                                <w:b/>
                                <w:bCs/>
                                <w:szCs w:val="24"/>
                              </w:rPr>
                              <w:t>Impact in the CIS region: Enhancing Azerbaijan’s digital data systems</w:t>
                            </w:r>
                          </w:p>
                          <w:p w14:paraId="23C57CFD" w14:textId="70D3CBB6" w:rsidR="00464283" w:rsidRPr="00B802AF" w:rsidRDefault="00464283" w:rsidP="00464283">
                            <w:pPr>
                              <w:rPr>
                                <w:rFonts w:cs="Calibri"/>
                                <w:sz w:val="22"/>
                                <w:szCs w:val="22"/>
                              </w:rPr>
                            </w:pPr>
                            <w:r w:rsidRPr="00BD497F">
                              <w:rPr>
                                <w:rFonts w:cs="Calibri"/>
                                <w:sz w:val="22"/>
                                <w:szCs w:val="22"/>
                              </w:rPr>
                              <w:t>Azerbaijan</w:t>
                            </w:r>
                            <w:r w:rsidR="00F25497">
                              <w:rPr>
                                <w:rFonts w:cs="Calibri"/>
                                <w:sz w:val="22"/>
                                <w:szCs w:val="22"/>
                              </w:rPr>
                              <w:t>’s</w:t>
                            </w:r>
                            <w:r w:rsidRPr="00BD497F">
                              <w:rPr>
                                <w:rFonts w:cs="Calibri"/>
                                <w:sz w:val="22"/>
                                <w:szCs w:val="22"/>
                              </w:rPr>
                              <w:t xml:space="preserve"> latest digital skills</w:t>
                            </w:r>
                            <w:r>
                              <w:rPr>
                                <w:rFonts w:cs="Calibri"/>
                                <w:sz w:val="22"/>
                                <w:szCs w:val="22"/>
                              </w:rPr>
                              <w:t xml:space="preserve"> data</w:t>
                            </w:r>
                            <w:r w:rsidRPr="00BD497F">
                              <w:rPr>
                                <w:rFonts w:cs="Calibri"/>
                                <w:sz w:val="22"/>
                                <w:szCs w:val="22"/>
                              </w:rPr>
                              <w:t xml:space="preserve">, compiled in partnership with ITU, </w:t>
                            </w:r>
                            <w:r>
                              <w:rPr>
                                <w:rFonts w:cs="Calibri"/>
                                <w:sz w:val="22"/>
                                <w:szCs w:val="22"/>
                              </w:rPr>
                              <w:t>show</w:t>
                            </w:r>
                            <w:r w:rsidRPr="00BD497F">
                              <w:rPr>
                                <w:rFonts w:cs="Calibri"/>
                                <w:sz w:val="22"/>
                                <w:szCs w:val="22"/>
                              </w:rPr>
                              <w:t xml:space="preserve"> the country’s rapid progress in digital literacy and infrastructure development. Reliable tech statistics support evidence-based policy making and </w:t>
                            </w:r>
                            <w:r w:rsidR="00C42884">
                              <w:rPr>
                                <w:rFonts w:cs="Calibri"/>
                                <w:sz w:val="22"/>
                                <w:szCs w:val="22"/>
                              </w:rPr>
                              <w:t xml:space="preserve">ensure </w:t>
                            </w:r>
                            <w:r w:rsidRPr="00BD497F">
                              <w:rPr>
                                <w:rFonts w:cs="Calibri"/>
                                <w:sz w:val="22"/>
                                <w:szCs w:val="22"/>
                              </w:rPr>
                              <w:t>digital transformation</w:t>
                            </w:r>
                            <w:r w:rsidR="00C42884">
                              <w:rPr>
                                <w:rFonts w:cs="Calibri"/>
                                <w:sz w:val="22"/>
                                <w:szCs w:val="22"/>
                              </w:rPr>
                              <w:t xml:space="preserve"> benefits everyone</w:t>
                            </w:r>
                            <w:r w:rsidRPr="00BD497F">
                              <w:rPr>
                                <w:rFonts w:cs="Calibri"/>
                                <w:sz w:val="22"/>
                                <w:szCs w:val="22"/>
                              </w:rPr>
                              <w:t>.</w:t>
                            </w:r>
                            <w:r w:rsidRPr="00BD497F">
                              <w:rPr>
                                <w:rFonts w:cs="Calibri"/>
                                <w:i/>
                                <w:iCs/>
                                <w:sz w:val="22"/>
                                <w:szCs w:val="22"/>
                              </w:rPr>
                              <w:t xml:space="preserve"> </w:t>
                            </w:r>
                            <w:hyperlink r:id="rId197" w:history="1">
                              <w:r w:rsidRPr="00BD497F">
                                <w:rPr>
                                  <w:rStyle w:val="Hyperlink"/>
                                  <w:rFonts w:cs="Calibri"/>
                                  <w:b/>
                                  <w:bCs/>
                                  <w:sz w:val="22"/>
                                  <w:szCs w:val="22"/>
                                </w:rPr>
                                <w:t>Learn more</w:t>
                              </w:r>
                            </w:hyperlink>
                          </w:p>
                          <w:p w14:paraId="6A58ACD5" w14:textId="77777777" w:rsidR="00464283" w:rsidRPr="004A3701" w:rsidRDefault="00464283" w:rsidP="00464283">
                            <w:pPr>
                              <w:rPr>
                                <w:rFonts w:cs="Calibri"/>
                                <w:b/>
                                <w:bCs/>
                                <w:szCs w:val="24"/>
                              </w:rPr>
                            </w:pPr>
                            <w:r w:rsidRPr="004A3701">
                              <w:rPr>
                                <w:rFonts w:cs="Calibri"/>
                                <w:b/>
                                <w:bCs/>
                                <w:szCs w:val="24"/>
                              </w:rPr>
                              <w:t>Europe: Co-creation advancing innovation in Albania</w:t>
                            </w:r>
                          </w:p>
                          <w:p w14:paraId="6B03A993" w14:textId="56F8D39C" w:rsidR="00464283" w:rsidRPr="00B802AF" w:rsidRDefault="00464283" w:rsidP="00464283">
                            <w:pPr>
                              <w:rPr>
                                <w:rFonts w:cs="Calibri"/>
                                <w:sz w:val="22"/>
                                <w:szCs w:val="22"/>
                              </w:rPr>
                            </w:pPr>
                            <w:r w:rsidRPr="00BD497F">
                              <w:rPr>
                                <w:rFonts w:cs="Calibri"/>
                                <w:sz w:val="22"/>
                                <w:szCs w:val="22"/>
                              </w:rPr>
                              <w:t xml:space="preserve">Albania’s Ministry of Infrastructure and Energy, working closely with ITU, consulted experts and service users in government, industry and academia to produce the country’s ground-breaking new </w:t>
                            </w:r>
                            <w:r w:rsidRPr="00BD497F">
                              <w:rPr>
                                <w:rFonts w:cs="Calibri"/>
                                <w:i/>
                                <w:iCs/>
                                <w:sz w:val="22"/>
                                <w:szCs w:val="22"/>
                              </w:rPr>
                              <w:t>Digital Innovation Profile</w:t>
                            </w:r>
                            <w:r w:rsidRPr="00BD497F">
                              <w:rPr>
                                <w:rFonts w:cs="Calibri"/>
                                <w:sz w:val="22"/>
                                <w:szCs w:val="22"/>
                              </w:rPr>
                              <w:t xml:space="preserve">, </w:t>
                            </w:r>
                            <w:r w:rsidRPr="00BC0EE7">
                              <w:rPr>
                                <w:rFonts w:cs="Calibri"/>
                                <w:sz w:val="22"/>
                                <w:szCs w:val="22"/>
                              </w:rPr>
                              <w:t xml:space="preserve">identifying </w:t>
                            </w:r>
                            <w:r w:rsidRPr="00BD497F">
                              <w:rPr>
                                <w:rFonts w:cs="Calibri"/>
                                <w:sz w:val="22"/>
                                <w:szCs w:val="22"/>
                              </w:rPr>
                              <w:t>priorities to drive growth</w:t>
                            </w:r>
                            <w:r w:rsidRPr="00BC0EE7">
                              <w:rPr>
                                <w:rFonts w:cs="Calibri"/>
                                <w:sz w:val="22"/>
                                <w:szCs w:val="22"/>
                              </w:rPr>
                              <w:t>.</w:t>
                            </w:r>
                            <w:r w:rsidRPr="00BC0EE7">
                              <w:rPr>
                                <w:rFonts w:cs="Calibri"/>
                                <w:i/>
                                <w:iCs/>
                                <w:sz w:val="22"/>
                                <w:szCs w:val="22"/>
                              </w:rPr>
                              <w:t xml:space="preserve"> </w:t>
                            </w:r>
                            <w:hyperlink r:id="rId198" w:history="1">
                              <w:r w:rsidRPr="00BD497F">
                                <w:rPr>
                                  <w:rStyle w:val="Hyperlink"/>
                                  <w:rFonts w:cs="Calibri"/>
                                  <w:b/>
                                  <w:bCs/>
                                  <w:sz w:val="22"/>
                                  <w:szCs w:val="22"/>
                                </w:rPr>
                                <w:t>Learn more</w:t>
                              </w:r>
                            </w:hyperlink>
                          </w:p>
                          <w:p w14:paraId="1DE4B81D" w14:textId="77777777" w:rsidR="00464283" w:rsidRPr="00593058" w:rsidRDefault="00464283" w:rsidP="005E77D5">
                            <w:pPr>
                              <w:shd w:val="clear" w:color="auto" w:fill="C6D9F1" w:themeFill="text2" w:themeFillTint="33"/>
                              <w:rPr>
                                <w:i/>
                                <w:iCs/>
                              </w:rPr>
                            </w:pPr>
                          </w:p>
                        </w:txbxContent>
                      </wps:txbx>
                      <wps:bodyPr rot="0" vert="horz" wrap="square" lIns="91440" tIns="45720" rIns="91440" bIns="45720" anchor="t" anchorCtr="0">
                        <a:spAutoFit/>
                      </wps:bodyPr>
                    </wps:wsp>
                  </a:graphicData>
                </a:graphic>
              </wp:inline>
            </w:drawing>
          </mc:Choice>
          <mc:Fallback>
            <w:pict>
              <v:shape w14:anchorId="6A9AB005" id="_x0000_s1033"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">
                <v:textbox style="mso-fit-shape-to-text:t">
                  <w:txbxContent>
                    <w:p w14:paraId="7B219D73" w14:textId="4D9DDAAB" w:rsidR="005E77D5" w:rsidRPr="00D806A6" w:rsidRDefault="00CD6FA8" w:rsidP="005E77D5">
                      <w:pPr>
                        <w:shd w:val="clear" w:color="auto" w:fill="C6D9F1" w:themeFill="text2" w:themeFillTint="33"/>
                        <w:rPr>
                          <w:b/>
                          <w:bCs/>
                          <w:i/>
                          <w:iCs/>
                        </w:rPr>
                      </w:pPr>
                      <w:r>
                        <w:rPr>
                          <w:b/>
                          <w:bCs/>
                          <w:i/>
                          <w:iCs/>
                        </w:rPr>
                        <w:t>Driving</w:t>
                      </w:r>
                      <w:r w:rsidR="00D6645D" w:rsidRPr="00D806A6">
                        <w:rPr>
                          <w:b/>
                          <w:bCs/>
                          <w:i/>
                          <w:iCs/>
                        </w:rPr>
                        <w:t xml:space="preserve"> </w:t>
                      </w:r>
                      <w:r>
                        <w:rPr>
                          <w:b/>
                          <w:bCs/>
                          <w:i/>
                          <w:iCs/>
                        </w:rPr>
                        <w:t>transformation</w:t>
                      </w:r>
                      <w:r w:rsidR="008D5C77">
                        <w:rPr>
                          <w:b/>
                          <w:bCs/>
                          <w:i/>
                          <w:iCs/>
                        </w:rPr>
                        <w:t xml:space="preserve"> </w:t>
                      </w:r>
                      <w:r w:rsidR="00D6645D" w:rsidRPr="00D806A6">
                        <w:rPr>
                          <w:b/>
                          <w:bCs/>
                          <w:i/>
                          <w:iCs/>
                        </w:rPr>
                        <w:t>on</w:t>
                      </w:r>
                      <w:r w:rsidR="00870F22" w:rsidRPr="00D806A6">
                        <w:rPr>
                          <w:b/>
                          <w:bCs/>
                          <w:i/>
                          <w:iCs/>
                        </w:rPr>
                        <w:t xml:space="preserve"> the ground</w:t>
                      </w:r>
                    </w:p>
                    <w:p w14:paraId="28960F78" w14:textId="7BCB9EF3" w:rsidR="00464283" w:rsidRPr="004A3701" w:rsidRDefault="00464283" w:rsidP="00464283">
                      <w:pPr>
                        <w:rPr>
                          <w:rFonts w:cs="Calibri"/>
                          <w:b/>
                          <w:bCs/>
                          <w:szCs w:val="24"/>
                        </w:rPr>
                      </w:pPr>
                      <w:r w:rsidRPr="004A3701">
                        <w:rPr>
                          <w:rFonts w:cs="Calibri"/>
                          <w:b/>
                          <w:bCs/>
                          <w:szCs w:val="24"/>
                        </w:rPr>
                        <w:t>Impact in Africa: Malawi tackles e-waste</w:t>
                      </w:r>
                    </w:p>
                    <w:p w14:paraId="5ED11325" w14:textId="38792144" w:rsidR="00464283" w:rsidRPr="00BD497F" w:rsidRDefault="00464283" w:rsidP="00464283">
                      <w:pPr>
                        <w:rPr>
                          <w:rFonts w:cs="Calibri"/>
                          <w:b/>
                          <w:bCs/>
                          <w:sz w:val="22"/>
                          <w:szCs w:val="22"/>
                        </w:rPr>
                      </w:pPr>
                      <w:r w:rsidRPr="00DC5B81">
                        <w:rPr>
                          <w:rFonts w:cs="Calibri"/>
                          <w:sz w:val="22"/>
                          <w:szCs w:val="22"/>
                        </w:rPr>
                        <w:t xml:space="preserve">Malawi launched a </w:t>
                      </w:r>
                      <w:r w:rsidRPr="00BD497F">
                        <w:rPr>
                          <w:rFonts w:cs="Calibri"/>
                          <w:sz w:val="22"/>
                          <w:szCs w:val="22"/>
                        </w:rPr>
                        <w:t xml:space="preserve">new policy in October 2024 </w:t>
                      </w:r>
                      <w:r w:rsidRPr="00DC5B81">
                        <w:rPr>
                          <w:rFonts w:cs="Calibri"/>
                          <w:sz w:val="22"/>
                          <w:szCs w:val="22"/>
                        </w:rPr>
                        <w:t>to address the growing challenge of electronic waste.</w:t>
                      </w:r>
                      <w:r w:rsidRPr="00BD497F">
                        <w:rPr>
                          <w:rFonts w:cs="Calibri"/>
                          <w:sz w:val="22"/>
                          <w:szCs w:val="22"/>
                        </w:rPr>
                        <w:t xml:space="preserve"> The N</w:t>
                      </w:r>
                      <w:r w:rsidRPr="00DC5B81">
                        <w:rPr>
                          <w:rFonts w:cs="Calibri"/>
                          <w:sz w:val="22"/>
                          <w:szCs w:val="22"/>
                        </w:rPr>
                        <w:t xml:space="preserve">ational </w:t>
                      </w:r>
                      <w:r w:rsidRPr="00BD497F">
                        <w:rPr>
                          <w:rFonts w:cs="Calibri"/>
                          <w:sz w:val="22"/>
                          <w:szCs w:val="22"/>
                        </w:rPr>
                        <w:t>E</w:t>
                      </w:r>
                      <w:r w:rsidRPr="00DC5B81">
                        <w:rPr>
                          <w:rFonts w:cs="Calibri"/>
                          <w:sz w:val="22"/>
                          <w:szCs w:val="22"/>
                        </w:rPr>
                        <w:t xml:space="preserve">-waste </w:t>
                      </w:r>
                      <w:r w:rsidRPr="00BD497F">
                        <w:rPr>
                          <w:rFonts w:cs="Calibri"/>
                          <w:sz w:val="22"/>
                          <w:szCs w:val="22"/>
                        </w:rPr>
                        <w:t>M</w:t>
                      </w:r>
                      <w:r w:rsidRPr="00DC5B81">
                        <w:rPr>
                          <w:rFonts w:cs="Calibri"/>
                          <w:sz w:val="22"/>
                          <w:szCs w:val="22"/>
                        </w:rPr>
                        <w:t xml:space="preserve">anagement </w:t>
                      </w:r>
                      <w:r w:rsidRPr="00BD497F">
                        <w:rPr>
                          <w:rFonts w:cs="Calibri"/>
                          <w:sz w:val="22"/>
                          <w:szCs w:val="22"/>
                        </w:rPr>
                        <w:t>P</w:t>
                      </w:r>
                      <w:r w:rsidRPr="00DC5B81">
                        <w:rPr>
                          <w:rFonts w:cs="Calibri"/>
                          <w:sz w:val="22"/>
                          <w:szCs w:val="22"/>
                        </w:rPr>
                        <w:t>olicy</w:t>
                      </w:r>
                      <w:r w:rsidRPr="00BD497F">
                        <w:rPr>
                          <w:rFonts w:cs="Calibri"/>
                          <w:sz w:val="22"/>
                          <w:szCs w:val="22"/>
                        </w:rPr>
                        <w:t>, prepared with ITU support,</w:t>
                      </w:r>
                      <w:r w:rsidRPr="00DC5B81">
                        <w:rPr>
                          <w:rFonts w:cs="Calibri"/>
                          <w:sz w:val="22"/>
                          <w:szCs w:val="22"/>
                        </w:rPr>
                        <w:t xml:space="preserve"> aims to promote safe collection, recycling, and disposal of e-waste, protecting the environment and public health</w:t>
                      </w:r>
                      <w:r w:rsidRPr="00BD497F">
                        <w:rPr>
                          <w:rFonts w:cs="Calibri"/>
                          <w:b/>
                          <w:bCs/>
                          <w:sz w:val="22"/>
                          <w:szCs w:val="22"/>
                        </w:rPr>
                        <w:t xml:space="preserve">. </w:t>
                      </w:r>
                      <w:hyperlink r:id="rId199" w:history="1">
                        <w:r w:rsidRPr="00BD497F">
                          <w:rPr>
                            <w:rStyle w:val="Hyperlink"/>
                            <w:rFonts w:cs="Calibri"/>
                            <w:b/>
                            <w:bCs/>
                            <w:sz w:val="22"/>
                            <w:szCs w:val="22"/>
                          </w:rPr>
                          <w:t>Learn more</w:t>
                        </w:r>
                      </w:hyperlink>
                    </w:p>
                    <w:p w14:paraId="15D8549A" w14:textId="77777777" w:rsidR="00464283" w:rsidRPr="004A3701" w:rsidRDefault="00464283" w:rsidP="00464283">
                      <w:pPr>
                        <w:rPr>
                          <w:rFonts w:cs="Calibri"/>
                          <w:b/>
                          <w:bCs/>
                          <w:szCs w:val="24"/>
                        </w:rPr>
                      </w:pPr>
                      <w:r w:rsidRPr="004A3701">
                        <w:rPr>
                          <w:rFonts w:cs="Calibri"/>
                          <w:b/>
                          <w:bCs/>
                          <w:szCs w:val="24"/>
                        </w:rPr>
                        <w:t>Impact in the Americas: Life-saving response to Hurricane Beryl</w:t>
                      </w:r>
                    </w:p>
                    <w:p w14:paraId="4F398345" w14:textId="4A475861" w:rsidR="00464283" w:rsidRPr="00BD497F" w:rsidRDefault="00464283" w:rsidP="00464283">
                      <w:pPr>
                        <w:rPr>
                          <w:rFonts w:cs="Calibri"/>
                          <w:b/>
                          <w:bCs/>
                          <w:sz w:val="22"/>
                          <w:szCs w:val="22"/>
                        </w:rPr>
                      </w:pPr>
                      <w:r w:rsidRPr="00BD497F">
                        <w:rPr>
                          <w:rFonts w:cs="Calibri"/>
                          <w:sz w:val="22"/>
                          <w:szCs w:val="22"/>
                        </w:rPr>
                        <w:t xml:space="preserve">When the Category 4 hurricane hit Grenada, Jamaica, and Saint Vincent and the Grenadines in July 2024, ITU provided vital support with emergency telecommunications, helping restore connectivity to affected communities and coordinate life-saving disaster management and relief operations. </w:t>
                      </w:r>
                      <w:hyperlink r:id="rId200" w:history="1">
                        <w:r w:rsidRPr="00BD497F">
                          <w:rPr>
                            <w:rStyle w:val="Hyperlink"/>
                            <w:rFonts w:cs="Calibri"/>
                            <w:b/>
                            <w:bCs/>
                            <w:sz w:val="22"/>
                            <w:szCs w:val="22"/>
                          </w:rPr>
                          <w:t>Learn more</w:t>
                        </w:r>
                      </w:hyperlink>
                    </w:p>
                    <w:p w14:paraId="6C6DBF83" w14:textId="77777777" w:rsidR="00464283" w:rsidRPr="004A3701" w:rsidRDefault="00464283" w:rsidP="00464283">
                      <w:pPr>
                        <w:rPr>
                          <w:rFonts w:cs="Calibri"/>
                          <w:b/>
                          <w:bCs/>
                          <w:szCs w:val="24"/>
                        </w:rPr>
                      </w:pPr>
                      <w:r w:rsidRPr="004A3701">
                        <w:rPr>
                          <w:rFonts w:cs="Calibri"/>
                          <w:b/>
                          <w:bCs/>
                          <w:szCs w:val="24"/>
                        </w:rPr>
                        <w:t>Impact in the Arab States: Robust cybersecurity cooperation</w:t>
                      </w:r>
                    </w:p>
                    <w:p w14:paraId="73E6766C" w14:textId="68CB8098" w:rsidR="00464283" w:rsidRPr="00B802AF" w:rsidRDefault="00464283" w:rsidP="00464283">
                      <w:pPr>
                        <w:rPr>
                          <w:rFonts w:cs="Calibri"/>
                          <w:sz w:val="22"/>
                          <w:szCs w:val="22"/>
                        </w:rPr>
                      </w:pPr>
                      <w:r w:rsidRPr="00BD497F">
                        <w:rPr>
                          <w:rFonts w:cs="Calibri"/>
                          <w:sz w:val="22"/>
                          <w:szCs w:val="22"/>
                        </w:rPr>
                        <w:t>The Arab region achieved record participation in cyber response training in 2024, with over 400 experts from 20 countries taking part in ITU-led exercises to enhance national capabilities. The sessions, organized jointly with the UAE Cyber Security Council, fostered regional cooperation and helped boost resilience against escalating cyber threats.</w:t>
                      </w:r>
                      <w:r w:rsidRPr="00BD497F">
                        <w:rPr>
                          <w:rFonts w:cs="Calibri"/>
                          <w:b/>
                          <w:bCs/>
                          <w:i/>
                          <w:iCs/>
                          <w:sz w:val="22"/>
                          <w:szCs w:val="22"/>
                        </w:rPr>
                        <w:t xml:space="preserve"> </w:t>
                      </w:r>
                      <w:hyperlink r:id="rId201" w:history="1">
                        <w:r w:rsidRPr="00BD497F">
                          <w:rPr>
                            <w:rStyle w:val="Hyperlink"/>
                            <w:rFonts w:cs="Calibri"/>
                            <w:b/>
                            <w:bCs/>
                            <w:sz w:val="22"/>
                            <w:szCs w:val="22"/>
                          </w:rPr>
                          <w:t>Learn more</w:t>
                        </w:r>
                      </w:hyperlink>
                    </w:p>
                    <w:p w14:paraId="6B5A0C29" w14:textId="77777777" w:rsidR="00464283" w:rsidRPr="004A3701" w:rsidRDefault="00464283" w:rsidP="00464283">
                      <w:pPr>
                        <w:rPr>
                          <w:rFonts w:cs="Calibri"/>
                          <w:b/>
                          <w:bCs/>
                          <w:szCs w:val="24"/>
                        </w:rPr>
                      </w:pPr>
                      <w:r w:rsidRPr="004A3701">
                        <w:rPr>
                          <w:rFonts w:cs="Calibri"/>
                          <w:b/>
                          <w:bCs/>
                          <w:szCs w:val="24"/>
                        </w:rPr>
                        <w:t>Impact in Asia-Pacific: Digital hub for PNG vanilla farmers</w:t>
                      </w:r>
                    </w:p>
                    <w:p w14:paraId="7F5D817C" w14:textId="133845A0" w:rsidR="00464283" w:rsidRPr="00870F22" w:rsidRDefault="00464283" w:rsidP="00464283">
                      <w:pPr>
                        <w:rPr>
                          <w:rFonts w:cs="Calibri"/>
                          <w:sz w:val="22"/>
                          <w:szCs w:val="22"/>
                        </w:rPr>
                      </w:pPr>
                      <w:r w:rsidRPr="00BD497F">
                        <w:rPr>
                          <w:rFonts w:cs="Calibri"/>
                          <w:sz w:val="22"/>
                          <w:szCs w:val="22"/>
                        </w:rPr>
                        <w:t>The European Union’s Support to Rural Entrepreneurship, Investment and Trade (STREIT) programme, with ITU as a key partner,</w:t>
                      </w:r>
                      <w:r w:rsidRPr="00BD497F">
                        <w:rPr>
                          <w:rFonts w:cs="Calibri"/>
                          <w:i/>
                          <w:iCs/>
                          <w:sz w:val="22"/>
                          <w:szCs w:val="22"/>
                        </w:rPr>
                        <w:t xml:space="preserve"> </w:t>
                      </w:r>
                      <w:r w:rsidRPr="00BD497F">
                        <w:rPr>
                          <w:rFonts w:cs="Calibri"/>
                          <w:sz w:val="22"/>
                          <w:szCs w:val="22"/>
                        </w:rPr>
                        <w:t xml:space="preserve">opened a new digital hub to provide weather advisories, facilitate spice crop management, and promote climate-smart agriculture and </w:t>
                      </w:r>
                      <w:r w:rsidR="00C42884">
                        <w:rPr>
                          <w:rFonts w:cs="Calibri"/>
                          <w:sz w:val="22"/>
                          <w:szCs w:val="22"/>
                        </w:rPr>
                        <w:t>prosperous</w:t>
                      </w:r>
                      <w:r w:rsidR="00C42884" w:rsidRPr="00BD497F">
                        <w:rPr>
                          <w:rFonts w:cs="Calibri"/>
                          <w:sz w:val="22"/>
                          <w:szCs w:val="22"/>
                        </w:rPr>
                        <w:t xml:space="preserve"> </w:t>
                      </w:r>
                      <w:r w:rsidRPr="00BD497F">
                        <w:rPr>
                          <w:rFonts w:cs="Calibri"/>
                          <w:sz w:val="22"/>
                          <w:szCs w:val="22"/>
                        </w:rPr>
                        <w:t xml:space="preserve">livelihoods in rural Papua New Guinea. </w:t>
                      </w:r>
                      <w:hyperlink r:id="rId202" w:history="1">
                        <w:r w:rsidRPr="00BD497F">
                          <w:rPr>
                            <w:rStyle w:val="Hyperlink"/>
                            <w:rFonts w:cs="Calibri"/>
                            <w:b/>
                            <w:bCs/>
                            <w:sz w:val="22"/>
                            <w:szCs w:val="22"/>
                          </w:rPr>
                          <w:t>Learn more</w:t>
                        </w:r>
                      </w:hyperlink>
                    </w:p>
                    <w:p w14:paraId="413D5F11" w14:textId="77777777" w:rsidR="00464283" w:rsidRPr="004A3701" w:rsidRDefault="00464283" w:rsidP="00464283">
                      <w:pPr>
                        <w:rPr>
                          <w:rFonts w:cs="Calibri"/>
                          <w:b/>
                          <w:bCs/>
                          <w:szCs w:val="24"/>
                        </w:rPr>
                      </w:pPr>
                      <w:r w:rsidRPr="004A3701">
                        <w:rPr>
                          <w:rFonts w:cs="Calibri"/>
                          <w:b/>
                          <w:bCs/>
                          <w:szCs w:val="24"/>
                        </w:rPr>
                        <w:t>Impact in the CIS region: Enhancing Azerbaijan’s digital data systems</w:t>
                      </w:r>
                    </w:p>
                    <w:p w14:paraId="23C57CFD" w14:textId="70D3CBB6" w:rsidR="00464283" w:rsidRPr="00B802AF" w:rsidRDefault="00464283" w:rsidP="00464283">
                      <w:pPr>
                        <w:rPr>
                          <w:rFonts w:cs="Calibri"/>
                          <w:sz w:val="22"/>
                          <w:szCs w:val="22"/>
                        </w:rPr>
                      </w:pPr>
                      <w:r w:rsidRPr="00BD497F">
                        <w:rPr>
                          <w:rFonts w:cs="Calibri"/>
                          <w:sz w:val="22"/>
                          <w:szCs w:val="22"/>
                        </w:rPr>
                        <w:t>Azerbaijan</w:t>
                      </w:r>
                      <w:r w:rsidR="00F25497">
                        <w:rPr>
                          <w:rFonts w:cs="Calibri"/>
                          <w:sz w:val="22"/>
                          <w:szCs w:val="22"/>
                        </w:rPr>
                        <w:t>’s</w:t>
                      </w:r>
                      <w:r w:rsidRPr="00BD497F">
                        <w:rPr>
                          <w:rFonts w:cs="Calibri"/>
                          <w:sz w:val="22"/>
                          <w:szCs w:val="22"/>
                        </w:rPr>
                        <w:t xml:space="preserve"> latest digital skills</w:t>
                      </w:r>
                      <w:r>
                        <w:rPr>
                          <w:rFonts w:cs="Calibri"/>
                          <w:sz w:val="22"/>
                          <w:szCs w:val="22"/>
                        </w:rPr>
                        <w:t xml:space="preserve"> data</w:t>
                      </w:r>
                      <w:r w:rsidRPr="00BD497F">
                        <w:rPr>
                          <w:rFonts w:cs="Calibri"/>
                          <w:sz w:val="22"/>
                          <w:szCs w:val="22"/>
                        </w:rPr>
                        <w:t xml:space="preserve">, compiled in partnership with ITU, </w:t>
                      </w:r>
                      <w:r>
                        <w:rPr>
                          <w:rFonts w:cs="Calibri"/>
                          <w:sz w:val="22"/>
                          <w:szCs w:val="22"/>
                        </w:rPr>
                        <w:t>show</w:t>
                      </w:r>
                      <w:r w:rsidRPr="00BD497F">
                        <w:rPr>
                          <w:rFonts w:cs="Calibri"/>
                          <w:sz w:val="22"/>
                          <w:szCs w:val="22"/>
                        </w:rPr>
                        <w:t xml:space="preserve"> the country’s rapid progress in digital literacy and infrastructure development. Reliable tech statistics support evidence-based policy making and </w:t>
                      </w:r>
                      <w:r w:rsidR="00C42884">
                        <w:rPr>
                          <w:rFonts w:cs="Calibri"/>
                          <w:sz w:val="22"/>
                          <w:szCs w:val="22"/>
                        </w:rPr>
                        <w:t xml:space="preserve">ensure </w:t>
                      </w:r>
                      <w:r w:rsidRPr="00BD497F">
                        <w:rPr>
                          <w:rFonts w:cs="Calibri"/>
                          <w:sz w:val="22"/>
                          <w:szCs w:val="22"/>
                        </w:rPr>
                        <w:t>digital transformation</w:t>
                      </w:r>
                      <w:r w:rsidR="00C42884">
                        <w:rPr>
                          <w:rFonts w:cs="Calibri"/>
                          <w:sz w:val="22"/>
                          <w:szCs w:val="22"/>
                        </w:rPr>
                        <w:t xml:space="preserve"> benefits everyone</w:t>
                      </w:r>
                      <w:r w:rsidRPr="00BD497F">
                        <w:rPr>
                          <w:rFonts w:cs="Calibri"/>
                          <w:sz w:val="22"/>
                          <w:szCs w:val="22"/>
                        </w:rPr>
                        <w:t>.</w:t>
                      </w:r>
                      <w:r w:rsidRPr="00BD497F">
                        <w:rPr>
                          <w:rFonts w:cs="Calibri"/>
                          <w:i/>
                          <w:iCs/>
                          <w:sz w:val="22"/>
                          <w:szCs w:val="22"/>
                        </w:rPr>
                        <w:t xml:space="preserve"> </w:t>
                      </w:r>
                      <w:hyperlink r:id="rId203" w:history="1">
                        <w:r w:rsidRPr="00BD497F">
                          <w:rPr>
                            <w:rStyle w:val="Hyperlink"/>
                            <w:rFonts w:cs="Calibri"/>
                            <w:b/>
                            <w:bCs/>
                            <w:sz w:val="22"/>
                            <w:szCs w:val="22"/>
                          </w:rPr>
                          <w:t>Learn more</w:t>
                        </w:r>
                      </w:hyperlink>
                    </w:p>
                    <w:p w14:paraId="6A58ACD5" w14:textId="77777777" w:rsidR="00464283" w:rsidRPr="004A3701" w:rsidRDefault="00464283" w:rsidP="00464283">
                      <w:pPr>
                        <w:rPr>
                          <w:rFonts w:cs="Calibri"/>
                          <w:b/>
                          <w:bCs/>
                          <w:szCs w:val="24"/>
                        </w:rPr>
                      </w:pPr>
                      <w:r w:rsidRPr="004A3701">
                        <w:rPr>
                          <w:rFonts w:cs="Calibri"/>
                          <w:b/>
                          <w:bCs/>
                          <w:szCs w:val="24"/>
                        </w:rPr>
                        <w:t>Europe: Co-creation advancing innovation in Albania</w:t>
                      </w:r>
                    </w:p>
                    <w:p w14:paraId="6B03A993" w14:textId="56F8D39C" w:rsidR="00464283" w:rsidRPr="00B802AF" w:rsidRDefault="00464283" w:rsidP="00464283">
                      <w:pPr>
                        <w:rPr>
                          <w:rFonts w:cs="Calibri"/>
                          <w:sz w:val="22"/>
                          <w:szCs w:val="22"/>
                        </w:rPr>
                      </w:pPr>
                      <w:r w:rsidRPr="00BD497F">
                        <w:rPr>
                          <w:rFonts w:cs="Calibri"/>
                          <w:sz w:val="22"/>
                          <w:szCs w:val="22"/>
                        </w:rPr>
                        <w:t xml:space="preserve">Albania’s Ministry of Infrastructure and Energy, working closely with ITU, consulted experts and service users in government, industry and academia to produce the country’s ground-breaking new </w:t>
                      </w:r>
                      <w:r w:rsidRPr="00BD497F">
                        <w:rPr>
                          <w:rFonts w:cs="Calibri"/>
                          <w:i/>
                          <w:iCs/>
                          <w:sz w:val="22"/>
                          <w:szCs w:val="22"/>
                        </w:rPr>
                        <w:t>Digital Innovation Profile</w:t>
                      </w:r>
                      <w:r w:rsidRPr="00BD497F">
                        <w:rPr>
                          <w:rFonts w:cs="Calibri"/>
                          <w:sz w:val="22"/>
                          <w:szCs w:val="22"/>
                        </w:rPr>
                        <w:t xml:space="preserve">, </w:t>
                      </w:r>
                      <w:r w:rsidRPr="00BC0EE7">
                        <w:rPr>
                          <w:rFonts w:cs="Calibri"/>
                          <w:sz w:val="22"/>
                          <w:szCs w:val="22"/>
                        </w:rPr>
                        <w:t xml:space="preserve">identifying </w:t>
                      </w:r>
                      <w:r w:rsidRPr="00BD497F">
                        <w:rPr>
                          <w:rFonts w:cs="Calibri"/>
                          <w:sz w:val="22"/>
                          <w:szCs w:val="22"/>
                        </w:rPr>
                        <w:t>priorities to drive growth</w:t>
                      </w:r>
                      <w:r w:rsidRPr="00BC0EE7">
                        <w:rPr>
                          <w:rFonts w:cs="Calibri"/>
                          <w:sz w:val="22"/>
                          <w:szCs w:val="22"/>
                        </w:rPr>
                        <w:t>.</w:t>
                      </w:r>
                      <w:r w:rsidRPr="00BC0EE7">
                        <w:rPr>
                          <w:rFonts w:cs="Calibri"/>
                          <w:i/>
                          <w:iCs/>
                          <w:sz w:val="22"/>
                          <w:szCs w:val="22"/>
                        </w:rPr>
                        <w:t xml:space="preserve"> </w:t>
                      </w:r>
                      <w:hyperlink r:id="rId204" w:history="1">
                        <w:r w:rsidRPr="00BD497F">
                          <w:rPr>
                            <w:rStyle w:val="Hyperlink"/>
                            <w:rFonts w:cs="Calibri"/>
                            <w:b/>
                            <w:bCs/>
                            <w:sz w:val="22"/>
                            <w:szCs w:val="22"/>
                          </w:rPr>
                          <w:t>Learn more</w:t>
                        </w:r>
                      </w:hyperlink>
                    </w:p>
                    <w:p w14:paraId="1DE4B81D" w14:textId="77777777" w:rsidR="00464283" w:rsidRPr="00593058" w:rsidRDefault="00464283" w:rsidP="005E77D5">
                      <w:pPr>
                        <w:shd w:val="clear" w:color="auto" w:fill="C6D9F1" w:themeFill="text2" w:themeFillTint="33"/>
                        <w:rPr>
                          <w:i/>
                          <w:iCs/>
                        </w:rPr>
                      </w:pPr>
                    </w:p>
                  </w:txbxContent>
                </v:textbox>
                <w10:anchorlock/>
              </v:shape>
            </w:pict>
          </mc:Fallback>
        </mc:AlternateContent>
      </w:r>
    </w:p>
    <w:p w14:paraId="3D90957C" w14:textId="72B8C6C0" w:rsidR="00F713F5" w:rsidRPr="00DA76FF" w:rsidRDefault="001B47F9" w:rsidP="00A25266">
      <w:pPr>
        <w:pStyle w:val="Heading2"/>
        <w:spacing w:before="480" w:after="120"/>
      </w:pPr>
      <w:bookmarkStart w:id="63" w:name="_Toc198569379"/>
      <w:r w:rsidRPr="00DA76FF">
        <w:t>5</w:t>
      </w:r>
      <w:r w:rsidR="00772933" w:rsidRPr="00DA76FF">
        <w:t>.3</w:t>
      </w:r>
      <w:r w:rsidR="00CF0467" w:rsidRPr="00DA76FF">
        <w:tab/>
      </w:r>
      <w:r w:rsidR="003D5229">
        <w:t>Bringing everyone to the table</w:t>
      </w:r>
      <w:bookmarkEnd w:id="63"/>
    </w:p>
    <w:p w14:paraId="410EEE9B" w14:textId="32A8F40E" w:rsidR="008C207F" w:rsidRPr="00DA76FF" w:rsidRDefault="008C207F" w:rsidP="00B96F88">
      <w:pPr>
        <w:spacing w:after="120"/>
        <w:rPr>
          <w:b/>
          <w:bCs/>
          <w:sz w:val="22"/>
          <w:szCs w:val="18"/>
          <w:lang w:eastAsia="en-GB"/>
        </w:rPr>
      </w:pPr>
      <w:bookmarkStart w:id="64" w:name="_Toc217486234"/>
      <w:r w:rsidRPr="00DA76FF">
        <w:rPr>
          <w:b/>
          <w:bCs/>
          <w:sz w:val="22"/>
          <w:szCs w:val="18"/>
          <w:lang w:eastAsia="en-GB"/>
        </w:rPr>
        <w:t>Ensuring equal access and use of technologies for all</w:t>
      </w:r>
    </w:p>
    <w:p w14:paraId="74E4776A" w14:textId="5EC42D28" w:rsidR="008C207F" w:rsidRPr="00DA76FF" w:rsidRDefault="008C207F" w:rsidP="00B96F88">
      <w:pPr>
        <w:spacing w:after="120"/>
        <w:rPr>
          <w:sz w:val="22"/>
          <w:szCs w:val="18"/>
          <w:lang w:eastAsia="en-GB"/>
        </w:rPr>
      </w:pPr>
      <w:r w:rsidRPr="00DA76FF">
        <w:rPr>
          <w:sz w:val="22"/>
          <w:szCs w:val="18"/>
          <w:lang w:eastAsia="en-GB"/>
        </w:rPr>
        <w:t>ITU actively promotes gender equality and strives to close gender divides in digital access worldwide. Dedicated initiatives incorporate youth perspectives into all areas of ITU’s work, as well as addressing the needs and perspectives on indigenous peoples, ageing populations, and other vulnerable groups. In accordance with UN principles, ITU also supports digital access for persons with disabilities through standards, policy guidance, awareness-raising, and education.</w:t>
      </w:r>
      <w:bookmarkEnd w:id="64"/>
    </w:p>
    <w:p w14:paraId="7BC605CE" w14:textId="64B7D43C" w:rsidR="008C207F" w:rsidRPr="00DA76FF" w:rsidRDefault="00DE6EB2" w:rsidP="00B96F88">
      <w:pPr>
        <w:pStyle w:val="Heading2"/>
        <w:tabs>
          <w:tab w:val="clear" w:pos="567"/>
        </w:tabs>
        <w:spacing w:before="120" w:after="120"/>
        <w:rPr>
          <w:lang w:eastAsia="en-GB"/>
        </w:rPr>
      </w:pPr>
      <w:bookmarkStart w:id="65" w:name="_Toc198569380"/>
      <w:r w:rsidRPr="00DA76FF">
        <w:rPr>
          <w:lang w:eastAsia="en-GB"/>
        </w:rPr>
        <w:t>5.3.1</w:t>
      </w:r>
      <w:r w:rsidRPr="00DA76FF">
        <w:rPr>
          <w:lang w:eastAsia="en-GB"/>
        </w:rPr>
        <w:tab/>
      </w:r>
      <w:r w:rsidR="008C207F" w:rsidRPr="00DA76FF">
        <w:rPr>
          <w:lang w:eastAsia="en-GB"/>
        </w:rPr>
        <w:t>Gender</w:t>
      </w:r>
      <w:r w:rsidR="008D604F">
        <w:rPr>
          <w:lang w:eastAsia="en-GB"/>
        </w:rPr>
        <w:t xml:space="preserve"> equality</w:t>
      </w:r>
      <w:bookmarkEnd w:id="65"/>
    </w:p>
    <w:p w14:paraId="427B4ACF" w14:textId="2301B676" w:rsidR="006C3910" w:rsidRPr="00DA76FF" w:rsidRDefault="006C3910" w:rsidP="00B96F88">
      <w:pPr>
        <w:spacing w:after="120"/>
        <w:jc w:val="both"/>
        <w:rPr>
          <w:rFonts w:eastAsia="Calibri"/>
          <w:sz w:val="22"/>
          <w:szCs w:val="22"/>
        </w:rPr>
      </w:pPr>
      <w:r w:rsidRPr="00DA76FF">
        <w:rPr>
          <w:rFonts w:eastAsia="Calibri"/>
          <w:sz w:val="22"/>
          <w:szCs w:val="22"/>
        </w:rPr>
        <w:t xml:space="preserve">Report </w:t>
      </w:r>
      <w:hyperlink r:id="rId205" w:history="1">
        <w:r w:rsidRPr="00B802AF">
          <w:rPr>
            <w:rStyle w:val="Hyperlink"/>
            <w:rFonts w:eastAsia="Calibri"/>
            <w:sz w:val="22"/>
            <w:szCs w:val="22"/>
          </w:rPr>
          <w:t>C25/6</w:t>
        </w:r>
      </w:hyperlink>
      <w:r w:rsidRPr="00B802AF">
        <w:rPr>
          <w:rFonts w:eastAsia="Calibri"/>
          <w:sz w:val="22"/>
          <w:szCs w:val="22"/>
        </w:rPr>
        <w:t xml:space="preserve"> </w:t>
      </w:r>
      <w:r w:rsidRPr="00DA76FF">
        <w:rPr>
          <w:rFonts w:eastAsia="Calibri"/>
          <w:sz w:val="22"/>
          <w:szCs w:val="22"/>
        </w:rPr>
        <w:t xml:space="preserve">provides greater detail on </w:t>
      </w:r>
      <w:r w:rsidR="0068260F">
        <w:rPr>
          <w:rFonts w:eastAsia="Calibri"/>
          <w:sz w:val="22"/>
          <w:szCs w:val="22"/>
        </w:rPr>
        <w:t xml:space="preserve">ITU </w:t>
      </w:r>
      <w:r w:rsidRPr="00DA76FF">
        <w:rPr>
          <w:rFonts w:eastAsia="Calibri"/>
          <w:sz w:val="22"/>
          <w:szCs w:val="22"/>
        </w:rPr>
        <w:t>activities</w:t>
      </w:r>
      <w:r w:rsidR="00DE086A">
        <w:rPr>
          <w:rFonts w:eastAsia="Calibri"/>
          <w:sz w:val="22"/>
          <w:szCs w:val="22"/>
        </w:rPr>
        <w:t xml:space="preserve"> to </w:t>
      </w:r>
      <w:r w:rsidR="0068260F">
        <w:rPr>
          <w:rFonts w:eastAsia="Calibri"/>
          <w:sz w:val="22"/>
          <w:szCs w:val="22"/>
        </w:rPr>
        <w:t>support women and encourage girls</w:t>
      </w:r>
      <w:r w:rsidR="00954B72">
        <w:rPr>
          <w:rFonts w:eastAsia="Calibri"/>
          <w:sz w:val="22"/>
          <w:szCs w:val="22"/>
        </w:rPr>
        <w:t xml:space="preserve"> across </w:t>
      </w:r>
      <w:r w:rsidR="001704BD">
        <w:rPr>
          <w:rFonts w:eastAsia="Calibri"/>
          <w:sz w:val="22"/>
          <w:szCs w:val="22"/>
        </w:rPr>
        <w:t>global tech and in all aspects of ITU’s work</w:t>
      </w:r>
      <w:r w:rsidRPr="00DA76FF">
        <w:rPr>
          <w:rFonts w:eastAsia="Calibri"/>
          <w:sz w:val="22"/>
          <w:szCs w:val="22"/>
        </w:rPr>
        <w:t>.</w:t>
      </w:r>
    </w:p>
    <w:p w14:paraId="0EF1C7DC" w14:textId="13C18B23" w:rsidR="006C3910" w:rsidRPr="00DA76FF" w:rsidRDefault="006C3910" w:rsidP="00462A0A">
      <w:pPr>
        <w:keepNext/>
        <w:keepLines/>
        <w:spacing w:after="120"/>
        <w:jc w:val="both"/>
        <w:rPr>
          <w:rFonts w:eastAsia="Calibri"/>
          <w:sz w:val="22"/>
          <w:szCs w:val="22"/>
        </w:rPr>
      </w:pPr>
      <w:r w:rsidRPr="00DA76FF">
        <w:rPr>
          <w:rFonts w:eastAsia="Calibri"/>
          <w:sz w:val="22"/>
          <w:szCs w:val="22"/>
        </w:rPr>
        <w:lastRenderedPageBreak/>
        <w:t xml:space="preserve">The digital </w:t>
      </w:r>
      <w:r w:rsidR="00442330">
        <w:rPr>
          <w:rFonts w:eastAsia="Calibri"/>
          <w:sz w:val="22"/>
          <w:szCs w:val="22"/>
        </w:rPr>
        <w:t xml:space="preserve">gender </w:t>
      </w:r>
      <w:r w:rsidRPr="00DA76FF">
        <w:rPr>
          <w:rFonts w:eastAsia="Calibri"/>
          <w:sz w:val="22"/>
          <w:szCs w:val="22"/>
        </w:rPr>
        <w:t xml:space="preserve">divide refers to the gap in access, skills, and use of digital technologies among men and women. As of </w:t>
      </w:r>
      <w:hyperlink r:id="rId206" w:history="1">
        <w:r w:rsidRPr="00DA76FF">
          <w:rPr>
            <w:rStyle w:val="Hyperlink"/>
            <w:rFonts w:eastAsia="Calibri"/>
            <w:sz w:val="22"/>
            <w:szCs w:val="22"/>
          </w:rPr>
          <w:t>2024</w:t>
        </w:r>
      </w:hyperlink>
      <w:r w:rsidRPr="00DA76FF">
        <w:rPr>
          <w:rFonts w:eastAsia="Calibri"/>
          <w:sz w:val="22"/>
          <w:szCs w:val="22"/>
        </w:rPr>
        <w:t>, 70</w:t>
      </w:r>
      <w:r w:rsidR="004611AB">
        <w:rPr>
          <w:rFonts w:eastAsia="Calibri"/>
          <w:sz w:val="22"/>
          <w:szCs w:val="22"/>
        </w:rPr>
        <w:t xml:space="preserve"> per cent</w:t>
      </w:r>
      <w:r w:rsidRPr="00DA76FF">
        <w:rPr>
          <w:rFonts w:eastAsia="Calibri"/>
          <w:sz w:val="22"/>
          <w:szCs w:val="22"/>
        </w:rPr>
        <w:t xml:space="preserve"> of men and 65</w:t>
      </w:r>
      <w:r w:rsidR="004611AB">
        <w:rPr>
          <w:rFonts w:eastAsia="Calibri"/>
          <w:sz w:val="22"/>
          <w:szCs w:val="22"/>
        </w:rPr>
        <w:t xml:space="preserve"> per cent</w:t>
      </w:r>
      <w:r w:rsidRPr="00DA76FF">
        <w:rPr>
          <w:rFonts w:eastAsia="Calibri"/>
          <w:sz w:val="22"/>
          <w:szCs w:val="22"/>
        </w:rPr>
        <w:t xml:space="preserve"> of women are using the Internet, narrowing the gap from 277 million more male users in 2021 to 189 million in 2024. While regions like the Americas, Europe, and the CIS have achieved gender parity, progress varies globally. Despite lower overall Internet usage, Small Island Developing States also achieved parity. The Asia-Pacific region has improved significantly, but th</w:t>
      </w:r>
      <w:r w:rsidR="009F0D01">
        <w:rPr>
          <w:rFonts w:eastAsia="Calibri"/>
          <w:sz w:val="22"/>
          <w:szCs w:val="22"/>
        </w:rPr>
        <w:t>is</w:t>
      </w:r>
      <w:r w:rsidRPr="00DA76FF">
        <w:rPr>
          <w:rFonts w:eastAsia="Calibri"/>
          <w:sz w:val="22"/>
          <w:szCs w:val="22"/>
        </w:rPr>
        <w:t xml:space="preserve"> </w:t>
      </w:r>
      <w:r w:rsidR="001C1993">
        <w:rPr>
          <w:rFonts w:eastAsia="Calibri"/>
          <w:sz w:val="22"/>
          <w:szCs w:val="22"/>
        </w:rPr>
        <w:t xml:space="preserve">is less so in the </w:t>
      </w:r>
      <w:r w:rsidRPr="00DA76FF">
        <w:rPr>
          <w:rFonts w:eastAsia="Calibri"/>
          <w:sz w:val="22"/>
          <w:szCs w:val="22"/>
        </w:rPr>
        <w:t>Arab States region. There is progress in Africa, but the region is still far behind the other regions. Globally, women are still about 7</w:t>
      </w:r>
      <w:r w:rsidR="004611AB">
        <w:rPr>
          <w:rFonts w:eastAsia="Calibri"/>
          <w:sz w:val="22"/>
          <w:szCs w:val="22"/>
        </w:rPr>
        <w:t xml:space="preserve"> per cent</w:t>
      </w:r>
      <w:r w:rsidRPr="00DA76FF">
        <w:rPr>
          <w:rFonts w:eastAsia="Calibri"/>
          <w:sz w:val="22"/>
          <w:szCs w:val="22"/>
        </w:rPr>
        <w:t xml:space="preserve"> less likely to own a mobile phone than men, outnumbering men among non-owners by 31</w:t>
      </w:r>
      <w:r w:rsidR="004611AB">
        <w:rPr>
          <w:rFonts w:eastAsia="Calibri"/>
          <w:sz w:val="22"/>
          <w:szCs w:val="22"/>
        </w:rPr>
        <w:t xml:space="preserve"> per cent</w:t>
      </w:r>
      <w:r w:rsidRPr="00DA76FF">
        <w:rPr>
          <w:rFonts w:eastAsia="Calibri"/>
          <w:sz w:val="22"/>
          <w:szCs w:val="22"/>
        </w:rPr>
        <w:t>.</w:t>
      </w:r>
    </w:p>
    <w:p w14:paraId="6C8D0289" w14:textId="11A0C3DF" w:rsidR="006C3910" w:rsidRPr="00DA76FF" w:rsidRDefault="006C3910" w:rsidP="00B96F88">
      <w:pPr>
        <w:spacing w:after="120"/>
        <w:jc w:val="both"/>
        <w:rPr>
          <w:rFonts w:eastAsia="Calibri"/>
          <w:sz w:val="22"/>
          <w:szCs w:val="22"/>
        </w:rPr>
      </w:pPr>
      <w:r w:rsidRPr="00DA76FF">
        <w:rPr>
          <w:rFonts w:eastAsia="Calibri"/>
          <w:sz w:val="22"/>
          <w:szCs w:val="22"/>
        </w:rPr>
        <w:t xml:space="preserve">The </w:t>
      </w:r>
      <w:r w:rsidR="00D6298D">
        <w:rPr>
          <w:rFonts w:eastAsia="Calibri"/>
          <w:sz w:val="22"/>
          <w:szCs w:val="22"/>
        </w:rPr>
        <w:t>digital gender divide</w:t>
      </w:r>
      <w:r w:rsidRPr="00DA76FF">
        <w:rPr>
          <w:rFonts w:eastAsia="Calibri"/>
          <w:sz w:val="22"/>
          <w:szCs w:val="22"/>
        </w:rPr>
        <w:t xml:space="preserve"> perpetuates inequalities and hinders women’s and girls’ opportunities for education, employment, and participation in the digital economy. Bridging this gap is essential </w:t>
      </w:r>
      <w:r w:rsidR="006D04B0">
        <w:rPr>
          <w:rFonts w:eastAsia="Calibri"/>
          <w:sz w:val="22"/>
          <w:szCs w:val="22"/>
        </w:rPr>
        <w:t>to create opportunities for women</w:t>
      </w:r>
      <w:r w:rsidRPr="00DA76FF">
        <w:rPr>
          <w:rFonts w:eastAsia="Calibri"/>
          <w:sz w:val="22"/>
          <w:szCs w:val="22"/>
        </w:rPr>
        <w:t xml:space="preserve">, foster economic empowerment, and </w:t>
      </w:r>
      <w:r w:rsidR="006D04B0">
        <w:rPr>
          <w:rFonts w:eastAsia="Calibri"/>
          <w:sz w:val="22"/>
          <w:szCs w:val="22"/>
        </w:rPr>
        <w:t>ensure</w:t>
      </w:r>
      <w:r w:rsidRPr="00DA76FF">
        <w:rPr>
          <w:rFonts w:eastAsia="Calibri"/>
          <w:sz w:val="22"/>
          <w:szCs w:val="22"/>
        </w:rPr>
        <w:t xml:space="preserve"> </w:t>
      </w:r>
      <w:r w:rsidR="006D04B0">
        <w:rPr>
          <w:rFonts w:eastAsia="Calibri"/>
          <w:sz w:val="22"/>
          <w:szCs w:val="22"/>
        </w:rPr>
        <w:t xml:space="preserve">digital </w:t>
      </w:r>
      <w:r w:rsidRPr="00DA76FF">
        <w:rPr>
          <w:rFonts w:eastAsia="Calibri"/>
          <w:sz w:val="22"/>
          <w:szCs w:val="22"/>
        </w:rPr>
        <w:t xml:space="preserve">development </w:t>
      </w:r>
      <w:r w:rsidR="00F23ECC">
        <w:rPr>
          <w:rFonts w:eastAsia="Calibri"/>
          <w:sz w:val="22"/>
          <w:szCs w:val="22"/>
        </w:rPr>
        <w:t>across the board</w:t>
      </w:r>
      <w:r w:rsidRPr="00DA76FF">
        <w:rPr>
          <w:rFonts w:eastAsia="Calibri"/>
          <w:sz w:val="22"/>
          <w:szCs w:val="22"/>
        </w:rPr>
        <w:t>.</w:t>
      </w:r>
    </w:p>
    <w:p w14:paraId="78A723C6" w14:textId="283BBF33" w:rsidR="006C3910" w:rsidRPr="00DA76FF" w:rsidRDefault="006C3910" w:rsidP="00B96F88">
      <w:pPr>
        <w:spacing w:after="120"/>
        <w:jc w:val="both"/>
        <w:rPr>
          <w:rFonts w:eastAsia="Calibri"/>
          <w:sz w:val="22"/>
          <w:szCs w:val="22"/>
        </w:rPr>
      </w:pPr>
      <w:r w:rsidRPr="00DA76FF">
        <w:rPr>
          <w:rFonts w:eastAsia="Calibri"/>
          <w:sz w:val="22"/>
          <w:szCs w:val="22"/>
        </w:rPr>
        <w:t xml:space="preserve">ITU </w:t>
      </w:r>
      <w:r w:rsidR="006E1ED0">
        <w:rPr>
          <w:rFonts w:eastAsia="Calibri"/>
          <w:sz w:val="22"/>
          <w:szCs w:val="22"/>
        </w:rPr>
        <w:t>aims to ensure digital and tech-related benefits reach everyone. P</w:t>
      </w:r>
      <w:r w:rsidRPr="00DA76FF">
        <w:rPr>
          <w:rFonts w:eastAsia="Calibri"/>
          <w:sz w:val="22"/>
          <w:szCs w:val="22"/>
        </w:rPr>
        <w:t xml:space="preserve">opular </w:t>
      </w:r>
      <w:hyperlink r:id="rId207" w:history="1">
        <w:r w:rsidRPr="00DA76FF">
          <w:rPr>
            <w:rStyle w:val="Hyperlink"/>
            <w:rFonts w:eastAsia="Calibri"/>
            <w:sz w:val="22"/>
            <w:szCs w:val="22"/>
          </w:rPr>
          <w:t>International Girls in ICT Day</w:t>
        </w:r>
      </w:hyperlink>
      <w:r w:rsidRPr="00DA76FF">
        <w:rPr>
          <w:rFonts w:eastAsia="Calibri"/>
          <w:sz w:val="22"/>
          <w:szCs w:val="22"/>
        </w:rPr>
        <w:t xml:space="preserve"> event</w:t>
      </w:r>
      <w:r w:rsidR="006E1ED0">
        <w:rPr>
          <w:rFonts w:eastAsia="Calibri"/>
          <w:sz w:val="22"/>
          <w:szCs w:val="22"/>
        </w:rPr>
        <w:t>s</w:t>
      </w:r>
      <w:r w:rsidRPr="00DA76FF">
        <w:rPr>
          <w:rFonts w:eastAsia="Calibri"/>
          <w:sz w:val="22"/>
          <w:szCs w:val="22"/>
        </w:rPr>
        <w:t xml:space="preserve"> </w:t>
      </w:r>
      <w:r w:rsidR="006E1ED0">
        <w:rPr>
          <w:rFonts w:eastAsia="Calibri"/>
          <w:sz w:val="22"/>
          <w:szCs w:val="22"/>
        </w:rPr>
        <w:t>encourage</w:t>
      </w:r>
      <w:r w:rsidRPr="00DA76FF">
        <w:rPr>
          <w:rFonts w:eastAsia="Calibri"/>
          <w:sz w:val="22"/>
          <w:szCs w:val="22"/>
        </w:rPr>
        <w:t xml:space="preserve"> girls and young women to pursue </w:t>
      </w:r>
      <w:r w:rsidR="00D81DA6">
        <w:rPr>
          <w:rFonts w:eastAsia="Calibri"/>
          <w:sz w:val="22"/>
          <w:szCs w:val="22"/>
        </w:rPr>
        <w:t>tech</w:t>
      </w:r>
      <w:r w:rsidR="00D81DA6" w:rsidRPr="00DA76FF">
        <w:rPr>
          <w:rFonts w:eastAsia="Calibri"/>
          <w:sz w:val="22"/>
          <w:szCs w:val="22"/>
        </w:rPr>
        <w:t xml:space="preserve"> </w:t>
      </w:r>
      <w:r w:rsidRPr="00DA76FF">
        <w:rPr>
          <w:rFonts w:eastAsia="Calibri"/>
          <w:sz w:val="22"/>
          <w:szCs w:val="22"/>
        </w:rPr>
        <w:t>careers. On 25 April 2024, global celebrations in the Philippines were followed by a high-level dialogue in Geneva.</w:t>
      </w:r>
    </w:p>
    <w:p w14:paraId="3F14533F" w14:textId="41DD961C" w:rsidR="006C3910" w:rsidRPr="00DA76FF" w:rsidRDefault="006C3910" w:rsidP="00B96F88">
      <w:pPr>
        <w:spacing w:after="120"/>
        <w:jc w:val="both"/>
        <w:rPr>
          <w:rFonts w:eastAsia="Calibri"/>
          <w:sz w:val="22"/>
          <w:szCs w:val="22"/>
        </w:rPr>
      </w:pPr>
      <w:r w:rsidRPr="00DA76FF">
        <w:rPr>
          <w:rFonts w:eastAsia="Calibri"/>
          <w:sz w:val="22"/>
          <w:szCs w:val="22"/>
        </w:rPr>
        <w:t>ITU-D and Ernst &amp; Young (EY)</w:t>
      </w:r>
      <w:r w:rsidR="00DD5D37">
        <w:rPr>
          <w:rFonts w:eastAsia="Calibri"/>
          <w:sz w:val="22"/>
          <w:szCs w:val="22"/>
        </w:rPr>
        <w:t xml:space="preserve">, </w:t>
      </w:r>
      <w:r w:rsidR="00D06BE1" w:rsidRPr="00DA76FF">
        <w:rPr>
          <w:rFonts w:eastAsia="Calibri"/>
          <w:sz w:val="22"/>
          <w:szCs w:val="22"/>
        </w:rPr>
        <w:t xml:space="preserve">together </w:t>
      </w:r>
      <w:r w:rsidR="00DD5D37" w:rsidRPr="00DA76FF">
        <w:rPr>
          <w:rFonts w:eastAsia="Calibri"/>
          <w:sz w:val="22"/>
          <w:szCs w:val="22"/>
        </w:rPr>
        <w:t xml:space="preserve">with </w:t>
      </w:r>
      <w:hyperlink r:id="rId208" w:history="1">
        <w:r w:rsidR="00DD5D37" w:rsidRPr="00DA76FF">
          <w:rPr>
            <w:rStyle w:val="Hyperlink"/>
            <w:rFonts w:eastAsia="Calibri"/>
            <w:sz w:val="22"/>
            <w:szCs w:val="22"/>
          </w:rPr>
          <w:t>EQUALS</w:t>
        </w:r>
      </w:hyperlink>
      <w:r w:rsidR="00DD5D37" w:rsidRPr="00DA76FF">
        <w:rPr>
          <w:rFonts w:eastAsia="Calibri"/>
          <w:sz w:val="22"/>
          <w:szCs w:val="22"/>
        </w:rPr>
        <w:t>,</w:t>
      </w:r>
      <w:r w:rsidRPr="00DA76FF">
        <w:rPr>
          <w:rFonts w:eastAsia="Calibri"/>
          <w:sz w:val="22"/>
          <w:szCs w:val="22"/>
        </w:rPr>
        <w:t xml:space="preserve"> launched a </w:t>
      </w:r>
      <w:r w:rsidR="00DD5D37">
        <w:rPr>
          <w:rFonts w:eastAsia="Calibri"/>
          <w:sz w:val="22"/>
          <w:szCs w:val="22"/>
        </w:rPr>
        <w:t>two</w:t>
      </w:r>
      <w:r w:rsidRPr="00DA76FF">
        <w:rPr>
          <w:rFonts w:eastAsia="Calibri"/>
          <w:sz w:val="22"/>
          <w:szCs w:val="22"/>
        </w:rPr>
        <w:t xml:space="preserve">-year </w:t>
      </w:r>
      <w:hyperlink r:id="rId209" w:history="1">
        <w:r w:rsidRPr="00DA76FF">
          <w:rPr>
            <w:rStyle w:val="Hyperlink"/>
            <w:rFonts w:eastAsia="Calibri"/>
            <w:sz w:val="22"/>
            <w:szCs w:val="22"/>
          </w:rPr>
          <w:t>AI skills accelerator for girls</w:t>
        </w:r>
      </w:hyperlink>
      <w:r w:rsidRPr="00DA76FF">
        <w:rPr>
          <w:rFonts w:eastAsia="Calibri"/>
          <w:sz w:val="22"/>
          <w:szCs w:val="22"/>
        </w:rPr>
        <w:t xml:space="preserve"> to train 1</w:t>
      </w:r>
      <w:r w:rsidR="00B802AF">
        <w:rPr>
          <w:rFonts w:eastAsia="Calibri"/>
          <w:sz w:val="22"/>
          <w:szCs w:val="22"/>
        </w:rPr>
        <w:t> </w:t>
      </w:r>
      <w:r w:rsidRPr="00DA76FF">
        <w:rPr>
          <w:rFonts w:eastAsia="Calibri"/>
          <w:sz w:val="22"/>
          <w:szCs w:val="22"/>
        </w:rPr>
        <w:t xml:space="preserve">000 participants from marginalized communities in 12 countries. Under the </w:t>
      </w:r>
      <w:hyperlink r:id="rId210" w:history="1">
        <w:r w:rsidRPr="00DA76FF">
          <w:rPr>
            <w:rStyle w:val="Hyperlink"/>
            <w:rFonts w:eastAsia="Calibri"/>
            <w:sz w:val="22"/>
            <w:szCs w:val="22"/>
          </w:rPr>
          <w:t>Her Digital Skills</w:t>
        </w:r>
      </w:hyperlink>
      <w:r w:rsidRPr="00DA76FF">
        <w:rPr>
          <w:rFonts w:eastAsia="Calibri"/>
          <w:sz w:val="22"/>
          <w:szCs w:val="22"/>
        </w:rPr>
        <w:t xml:space="preserve"> initiative, ITU, </w:t>
      </w:r>
      <w:r w:rsidR="00901B10">
        <w:rPr>
          <w:rFonts w:eastAsia="Calibri"/>
          <w:sz w:val="22"/>
          <w:szCs w:val="22"/>
        </w:rPr>
        <w:t xml:space="preserve">along with </w:t>
      </w:r>
      <w:r w:rsidRPr="00DA76FF">
        <w:rPr>
          <w:rFonts w:eastAsia="Calibri"/>
          <w:sz w:val="22"/>
          <w:szCs w:val="22"/>
        </w:rPr>
        <w:t>GSMA, EY, W4, Qualcomm, and Verizon</w:t>
      </w:r>
      <w:r w:rsidR="00901B10">
        <w:rPr>
          <w:rFonts w:eastAsia="Calibri"/>
          <w:sz w:val="22"/>
          <w:szCs w:val="22"/>
        </w:rPr>
        <w:t>,</w:t>
      </w:r>
      <w:r w:rsidRPr="00DA76FF">
        <w:rPr>
          <w:rFonts w:eastAsia="Calibri"/>
          <w:sz w:val="22"/>
          <w:szCs w:val="22"/>
        </w:rPr>
        <w:t xml:space="preserve"> delivered 21 workshops in 2024, benefiting around 1</w:t>
      </w:r>
      <w:r w:rsidR="00B802AF">
        <w:rPr>
          <w:rFonts w:eastAsia="Calibri"/>
          <w:sz w:val="22"/>
          <w:szCs w:val="22"/>
        </w:rPr>
        <w:t> </w:t>
      </w:r>
      <w:r w:rsidRPr="00DA76FF">
        <w:rPr>
          <w:rFonts w:eastAsia="Calibri"/>
          <w:sz w:val="22"/>
          <w:szCs w:val="22"/>
        </w:rPr>
        <w:t xml:space="preserve">758 participants. The </w:t>
      </w:r>
      <w:hyperlink r:id="rId211" w:history="1">
        <w:r w:rsidRPr="00DA76FF">
          <w:rPr>
            <w:rStyle w:val="Hyperlink"/>
            <w:rFonts w:eastAsia="Calibri"/>
            <w:sz w:val="22"/>
            <w:szCs w:val="22"/>
          </w:rPr>
          <w:t>Her</w:t>
        </w:r>
        <w:r w:rsidR="00B802AF">
          <w:rPr>
            <w:rStyle w:val="Hyperlink"/>
            <w:rFonts w:eastAsia="Calibri"/>
            <w:sz w:val="22"/>
            <w:szCs w:val="22"/>
          </w:rPr>
          <w:t> </w:t>
        </w:r>
        <w:r w:rsidRPr="00DA76FF">
          <w:rPr>
            <w:rStyle w:val="Hyperlink"/>
            <w:rFonts w:eastAsia="Calibri"/>
            <w:sz w:val="22"/>
            <w:szCs w:val="22"/>
          </w:rPr>
          <w:t>CyberTracks</w:t>
        </w:r>
      </w:hyperlink>
      <w:r w:rsidRPr="00DA76FF">
        <w:rPr>
          <w:rFonts w:eastAsia="Calibri"/>
          <w:sz w:val="22"/>
          <w:szCs w:val="22"/>
        </w:rPr>
        <w:t xml:space="preserve"> initiative</w:t>
      </w:r>
      <w:r w:rsidR="00F45C1D">
        <w:rPr>
          <w:rFonts w:eastAsia="Calibri"/>
          <w:sz w:val="22"/>
          <w:szCs w:val="22"/>
        </w:rPr>
        <w:t>,</w:t>
      </w:r>
      <w:r w:rsidRPr="00DA76FF">
        <w:rPr>
          <w:rFonts w:eastAsia="Calibri"/>
          <w:sz w:val="22"/>
          <w:szCs w:val="22"/>
        </w:rPr>
        <w:t xml:space="preserve"> address</w:t>
      </w:r>
      <w:r w:rsidR="00F45C1D">
        <w:rPr>
          <w:rFonts w:eastAsia="Calibri"/>
          <w:sz w:val="22"/>
          <w:szCs w:val="22"/>
        </w:rPr>
        <w:t>ing</w:t>
      </w:r>
      <w:r w:rsidRPr="00DA76FF">
        <w:rPr>
          <w:rFonts w:eastAsia="Calibri"/>
          <w:sz w:val="22"/>
          <w:szCs w:val="22"/>
        </w:rPr>
        <w:t xml:space="preserve"> the underrepresentation of women in cybersecurity, engag</w:t>
      </w:r>
      <w:r w:rsidR="00F45C1D">
        <w:rPr>
          <w:rFonts w:eastAsia="Calibri"/>
          <w:sz w:val="22"/>
          <w:szCs w:val="22"/>
        </w:rPr>
        <w:t>ed</w:t>
      </w:r>
      <w:r w:rsidRPr="00DA76FF">
        <w:rPr>
          <w:rFonts w:eastAsia="Calibri"/>
          <w:sz w:val="22"/>
          <w:szCs w:val="22"/>
        </w:rPr>
        <w:t xml:space="preserve"> around 300 participants and </w:t>
      </w:r>
      <w:r w:rsidR="0066074F">
        <w:rPr>
          <w:rFonts w:eastAsia="Calibri"/>
          <w:sz w:val="22"/>
          <w:szCs w:val="22"/>
        </w:rPr>
        <w:t>brought new perspectives on the</w:t>
      </w:r>
      <w:r w:rsidRPr="00DA76FF">
        <w:rPr>
          <w:rFonts w:eastAsia="Calibri"/>
          <w:sz w:val="22"/>
          <w:szCs w:val="22"/>
        </w:rPr>
        <w:t xml:space="preserve"> global cybersecurity landscape.</w:t>
      </w:r>
    </w:p>
    <w:p w14:paraId="09CA7C85" w14:textId="629B277A" w:rsidR="006C3910" w:rsidRPr="00DA76FF" w:rsidRDefault="006C3910" w:rsidP="00B96F88">
      <w:pPr>
        <w:spacing w:after="120"/>
        <w:jc w:val="both"/>
        <w:rPr>
          <w:rFonts w:eastAsia="Calibri"/>
          <w:sz w:val="22"/>
          <w:szCs w:val="22"/>
        </w:rPr>
      </w:pPr>
      <w:r w:rsidRPr="00B802AF">
        <w:rPr>
          <w:rFonts w:eastAsia="Calibri"/>
          <w:spacing w:val="-2"/>
          <w:sz w:val="22"/>
          <w:szCs w:val="22"/>
        </w:rPr>
        <w:t xml:space="preserve">Network of Women (NoW) initiatives are active in each of </w:t>
      </w:r>
      <w:r w:rsidR="00CC2C57" w:rsidRPr="00B802AF">
        <w:rPr>
          <w:rFonts w:eastAsia="Calibri"/>
          <w:spacing w:val="-2"/>
          <w:sz w:val="22"/>
          <w:szCs w:val="22"/>
        </w:rPr>
        <w:t>ITU’s</w:t>
      </w:r>
      <w:r w:rsidRPr="00B802AF">
        <w:rPr>
          <w:rFonts w:eastAsia="Calibri"/>
          <w:spacing w:val="-2"/>
          <w:sz w:val="22"/>
          <w:szCs w:val="22"/>
        </w:rPr>
        <w:t xml:space="preserve"> three sectors:</w:t>
      </w:r>
      <w:r w:rsidRPr="00DA76FF">
        <w:rPr>
          <w:rFonts w:eastAsia="Calibri"/>
          <w:sz w:val="22"/>
          <w:szCs w:val="22"/>
        </w:rPr>
        <w:t xml:space="preserve"> </w:t>
      </w:r>
      <w:hyperlink r:id="rId212">
        <w:r w:rsidRPr="00DA76FF">
          <w:rPr>
            <w:rFonts w:eastAsia="Times New Roman" w:cs="Calibri"/>
            <w:color w:val="4F81BD"/>
            <w:u w:val="single"/>
          </w:rPr>
          <w:t>ITU-R</w:t>
        </w:r>
      </w:hyperlink>
      <w:r w:rsidRPr="00DA76FF">
        <w:rPr>
          <w:rFonts w:eastAsia="Times New Roman" w:cs="Calibri"/>
        </w:rPr>
        <w:t xml:space="preserve">, </w:t>
      </w:r>
      <w:hyperlink r:id="rId213">
        <w:r w:rsidRPr="00DA76FF">
          <w:rPr>
            <w:rFonts w:eastAsia="Times New Roman" w:cs="Calibri"/>
            <w:color w:val="4F81BD"/>
            <w:u w:val="single"/>
          </w:rPr>
          <w:t>ITU-T</w:t>
        </w:r>
      </w:hyperlink>
      <w:r w:rsidR="000B1B37">
        <w:t xml:space="preserve"> and </w:t>
      </w:r>
      <w:hyperlink r:id="rId214">
        <w:r w:rsidR="000B1B37" w:rsidRPr="00DA76FF">
          <w:rPr>
            <w:rFonts w:eastAsia="Times New Roman" w:cs="Calibri"/>
            <w:color w:val="4F81BD"/>
            <w:u w:val="single"/>
          </w:rPr>
          <w:t>ITU-D</w:t>
        </w:r>
      </w:hyperlink>
      <w:r w:rsidRPr="00DA76FF">
        <w:rPr>
          <w:rFonts w:eastAsia="Calibri"/>
          <w:sz w:val="22"/>
          <w:szCs w:val="22"/>
        </w:rPr>
        <w:t xml:space="preserve">. The </w:t>
      </w:r>
      <w:r w:rsidR="00B87FCE">
        <w:rPr>
          <w:rFonts w:eastAsia="Calibri"/>
          <w:sz w:val="22"/>
          <w:szCs w:val="22"/>
        </w:rPr>
        <w:t>“</w:t>
      </w:r>
      <w:r w:rsidRPr="00DA76FF">
        <w:rPr>
          <w:rFonts w:eastAsia="Calibri"/>
          <w:sz w:val="22"/>
          <w:szCs w:val="22"/>
        </w:rPr>
        <w:t>NOW4WTSA24</w:t>
      </w:r>
      <w:r w:rsidR="00B87FCE">
        <w:rPr>
          <w:rFonts w:eastAsia="Calibri"/>
          <w:sz w:val="22"/>
          <w:szCs w:val="22"/>
        </w:rPr>
        <w:t>”</w:t>
      </w:r>
      <w:r w:rsidRPr="00DA76FF">
        <w:rPr>
          <w:rFonts w:eastAsia="Calibri"/>
          <w:sz w:val="22"/>
          <w:szCs w:val="22"/>
        </w:rPr>
        <w:t xml:space="preserve"> campaign </w:t>
      </w:r>
      <w:r w:rsidR="00B87FCE">
        <w:rPr>
          <w:rFonts w:eastAsia="Calibri"/>
          <w:sz w:val="22"/>
          <w:szCs w:val="22"/>
        </w:rPr>
        <w:t xml:space="preserve">ahead of ITU’s key standardization conference </w:t>
      </w:r>
      <w:r w:rsidRPr="00DA76FF">
        <w:rPr>
          <w:rFonts w:eastAsia="Calibri"/>
          <w:sz w:val="22"/>
          <w:szCs w:val="22"/>
        </w:rPr>
        <w:t>increased women's leadership appointments, and women’s representation at WTSA24 reached 26</w:t>
      </w:r>
      <w:r w:rsidR="00BB7617">
        <w:rPr>
          <w:rFonts w:eastAsia="Calibri"/>
          <w:sz w:val="22"/>
          <w:szCs w:val="22"/>
        </w:rPr>
        <w:t xml:space="preserve"> per cent</w:t>
      </w:r>
      <w:r w:rsidRPr="00DA76FF">
        <w:rPr>
          <w:rFonts w:eastAsia="Calibri"/>
          <w:sz w:val="22"/>
          <w:szCs w:val="22"/>
        </w:rPr>
        <w:t xml:space="preserve">. </w:t>
      </w:r>
      <w:r w:rsidR="00C4301B">
        <w:rPr>
          <w:rFonts w:eastAsia="Calibri"/>
          <w:sz w:val="22"/>
          <w:szCs w:val="22"/>
        </w:rPr>
        <w:t xml:space="preserve">The </w:t>
      </w:r>
      <w:r w:rsidR="00C4301B" w:rsidRPr="00DA76FF">
        <w:rPr>
          <w:rFonts w:eastAsia="Calibri"/>
          <w:sz w:val="22"/>
          <w:szCs w:val="22"/>
        </w:rPr>
        <w:t>NoW in ITU-D</w:t>
      </w:r>
      <w:r w:rsidR="00C4301B">
        <w:rPr>
          <w:rFonts w:eastAsia="Calibri"/>
          <w:sz w:val="22"/>
          <w:szCs w:val="22"/>
        </w:rPr>
        <w:t>, meanwhile,</w:t>
      </w:r>
      <w:r w:rsidR="00C4301B" w:rsidRPr="00DA76FF">
        <w:rPr>
          <w:rFonts w:eastAsia="Calibri"/>
          <w:sz w:val="22"/>
          <w:szCs w:val="22"/>
        </w:rPr>
        <w:t xml:space="preserve"> </w:t>
      </w:r>
      <w:r w:rsidR="00C4301B">
        <w:rPr>
          <w:rFonts w:eastAsia="Calibri"/>
          <w:sz w:val="22"/>
          <w:szCs w:val="22"/>
        </w:rPr>
        <w:t>launched the new</w:t>
      </w:r>
      <w:r w:rsidRPr="00DA76FF">
        <w:rPr>
          <w:rFonts w:eastAsia="Calibri"/>
          <w:sz w:val="22"/>
          <w:szCs w:val="22"/>
        </w:rPr>
        <w:t xml:space="preserve"> Empowering Women Leaders Mentorship Programme ahead of</w:t>
      </w:r>
      <w:r w:rsidR="00C77718">
        <w:rPr>
          <w:rFonts w:eastAsia="Calibri"/>
          <w:sz w:val="22"/>
          <w:szCs w:val="22"/>
        </w:rPr>
        <w:t xml:space="preserve"> th</w:t>
      </w:r>
      <w:r w:rsidR="008E0BB7">
        <w:rPr>
          <w:rFonts w:eastAsia="Calibri"/>
          <w:sz w:val="22"/>
          <w:szCs w:val="22"/>
        </w:rPr>
        <w:t>e</w:t>
      </w:r>
      <w:r w:rsidR="00C77718">
        <w:rPr>
          <w:rFonts w:eastAsia="Calibri"/>
          <w:sz w:val="22"/>
          <w:szCs w:val="22"/>
        </w:rPr>
        <w:t xml:space="preserve"> World Telecommunication Development Conference,</w:t>
      </w:r>
      <w:r w:rsidRPr="00DA76FF">
        <w:rPr>
          <w:rFonts w:eastAsia="Calibri"/>
          <w:sz w:val="22"/>
          <w:szCs w:val="22"/>
        </w:rPr>
        <w:t xml:space="preserve"> WTDC-25. A</w:t>
      </w:r>
      <w:r w:rsidR="00B04A22">
        <w:rPr>
          <w:rFonts w:eastAsia="Calibri"/>
          <w:sz w:val="22"/>
          <w:szCs w:val="22"/>
        </w:rPr>
        <w:t>dditionally, a</w:t>
      </w:r>
      <w:r w:rsidRPr="00DA76FF">
        <w:rPr>
          <w:rFonts w:eastAsia="Calibri"/>
          <w:sz w:val="22"/>
          <w:szCs w:val="22"/>
        </w:rPr>
        <w:t xml:space="preserve"> Network of Women Ministers and Leaders </w:t>
      </w:r>
      <w:r w:rsidR="00C77759">
        <w:rPr>
          <w:rFonts w:eastAsia="Calibri"/>
          <w:sz w:val="22"/>
          <w:szCs w:val="22"/>
        </w:rPr>
        <w:t xml:space="preserve">in ICT </w:t>
      </w:r>
      <w:r w:rsidRPr="00DA76FF">
        <w:rPr>
          <w:rFonts w:eastAsia="Calibri"/>
          <w:sz w:val="22"/>
          <w:szCs w:val="22"/>
        </w:rPr>
        <w:t xml:space="preserve">event took place alongside </w:t>
      </w:r>
      <w:r w:rsidR="001F4FB3">
        <w:rPr>
          <w:rFonts w:eastAsia="Calibri"/>
          <w:sz w:val="22"/>
          <w:szCs w:val="22"/>
        </w:rPr>
        <w:t xml:space="preserve">the </w:t>
      </w:r>
      <w:r w:rsidRPr="00DA76FF">
        <w:rPr>
          <w:rFonts w:eastAsia="Calibri"/>
          <w:sz w:val="22"/>
          <w:szCs w:val="22"/>
        </w:rPr>
        <w:t xml:space="preserve">WSIS+20 </w:t>
      </w:r>
      <w:r w:rsidR="001F4FB3">
        <w:rPr>
          <w:rFonts w:eastAsia="Calibri"/>
          <w:sz w:val="22"/>
          <w:szCs w:val="22"/>
        </w:rPr>
        <w:t xml:space="preserve">High-Level Event </w:t>
      </w:r>
      <w:r w:rsidRPr="00DA76FF">
        <w:rPr>
          <w:rFonts w:eastAsia="Calibri"/>
          <w:sz w:val="22"/>
          <w:szCs w:val="22"/>
        </w:rPr>
        <w:t>in July 2024.</w:t>
      </w:r>
    </w:p>
    <w:p w14:paraId="3DA410E3" w14:textId="53CE5459" w:rsidR="008C207F" w:rsidRPr="00DA76FF" w:rsidRDefault="006C3910" w:rsidP="00B96F88">
      <w:pPr>
        <w:spacing w:after="120"/>
        <w:jc w:val="both"/>
        <w:rPr>
          <w:rFonts w:eastAsia="Calibri" w:cs="Calibri"/>
          <w:sz w:val="22"/>
          <w:szCs w:val="22"/>
        </w:rPr>
      </w:pPr>
      <w:r w:rsidRPr="00DA76FF">
        <w:rPr>
          <w:rFonts w:eastAsia="Calibri" w:cs="Calibri"/>
          <w:sz w:val="22"/>
          <w:szCs w:val="22"/>
        </w:rPr>
        <w:t xml:space="preserve">For further information, visit </w:t>
      </w:r>
      <w:hyperlink r:id="rId215" w:history="1">
        <w:r w:rsidRPr="00DA76FF">
          <w:rPr>
            <w:rStyle w:val="Hyperlink"/>
            <w:rFonts w:eastAsia="Calibri" w:cs="Calibri"/>
            <w:sz w:val="22"/>
            <w:szCs w:val="22"/>
          </w:rPr>
          <w:t>www.itu.int/gender</w:t>
        </w:r>
      </w:hyperlink>
      <w:r w:rsidRPr="00DA76FF">
        <w:rPr>
          <w:rFonts w:eastAsia="Calibri" w:cs="Calibri"/>
          <w:sz w:val="22"/>
          <w:szCs w:val="22"/>
        </w:rPr>
        <w:t xml:space="preserve"> and </w:t>
      </w:r>
      <w:hyperlink r:id="rId216" w:history="1">
        <w:r w:rsidRPr="00DA76FF">
          <w:rPr>
            <w:rStyle w:val="Hyperlink"/>
            <w:rFonts w:eastAsia="Calibri" w:cs="Calibri"/>
            <w:sz w:val="22"/>
            <w:szCs w:val="22"/>
          </w:rPr>
          <w:t>www.itu.int/genderdashboard</w:t>
        </w:r>
      </w:hyperlink>
      <w:r w:rsidRPr="00DA76FF">
        <w:rPr>
          <w:rFonts w:eastAsia="Calibri" w:cs="Calibri"/>
          <w:sz w:val="22"/>
          <w:szCs w:val="22"/>
        </w:rPr>
        <w:t>.</w:t>
      </w:r>
    </w:p>
    <w:p w14:paraId="7604E10F" w14:textId="114BDEDF" w:rsidR="008C207F" w:rsidRPr="00DA76FF" w:rsidRDefault="00DE6EB2" w:rsidP="00B96F88">
      <w:pPr>
        <w:pStyle w:val="Heading2"/>
        <w:tabs>
          <w:tab w:val="clear" w:pos="567"/>
        </w:tabs>
        <w:spacing w:before="120" w:after="120"/>
        <w:rPr>
          <w:rFonts w:eastAsia="Calibri"/>
        </w:rPr>
      </w:pPr>
      <w:bookmarkStart w:id="66" w:name="_Toc198569381"/>
      <w:r w:rsidRPr="00DA76FF">
        <w:rPr>
          <w:lang w:eastAsia="en-GB"/>
        </w:rPr>
        <w:t>5.3.2</w:t>
      </w:r>
      <w:r w:rsidRPr="00DA76FF">
        <w:rPr>
          <w:lang w:eastAsia="en-GB"/>
        </w:rPr>
        <w:tab/>
      </w:r>
      <w:r w:rsidR="008C207F" w:rsidRPr="00DA76FF">
        <w:rPr>
          <w:lang w:eastAsia="en-GB"/>
        </w:rPr>
        <w:t>Youth</w:t>
      </w:r>
      <w:r w:rsidR="004D062D">
        <w:rPr>
          <w:lang w:eastAsia="en-GB"/>
        </w:rPr>
        <w:t xml:space="preserve"> empowerment</w:t>
      </w:r>
      <w:bookmarkEnd w:id="66"/>
    </w:p>
    <w:p w14:paraId="5C8E0CB2" w14:textId="3361619D" w:rsidR="00DE6EB2" w:rsidRPr="00DA76FF" w:rsidRDefault="00B802AF" w:rsidP="00B96F88">
      <w:pPr>
        <w:spacing w:after="120"/>
        <w:jc w:val="both"/>
        <w:rPr>
          <w:rFonts w:eastAsia="Times New Roman" w:cs="Calibri"/>
          <w:sz w:val="22"/>
          <w:szCs w:val="22"/>
          <w:lang w:eastAsia="en-GB"/>
        </w:rPr>
      </w:pPr>
      <w:r>
        <w:rPr>
          <w:rFonts w:eastAsia="Times New Roman" w:cs="Calibri"/>
          <w:sz w:val="22"/>
          <w:szCs w:val="22"/>
          <w:lang w:eastAsia="en-GB"/>
        </w:rPr>
        <w:t xml:space="preserve">The </w:t>
      </w:r>
      <w:r w:rsidR="00DE6EB2" w:rsidRPr="00DA76FF">
        <w:rPr>
          <w:rFonts w:eastAsia="Times New Roman" w:cs="Calibri"/>
          <w:sz w:val="22"/>
          <w:szCs w:val="22"/>
          <w:lang w:eastAsia="en-GB"/>
        </w:rPr>
        <w:t>ITU secretariat continued implementing Resolution 198 (Rev. Bucharest, 2022)</w:t>
      </w:r>
      <w:r>
        <w:rPr>
          <w:rFonts w:eastAsia="Times New Roman" w:cs="Calibri"/>
          <w:sz w:val="22"/>
          <w:szCs w:val="22"/>
          <w:lang w:eastAsia="en-GB"/>
        </w:rPr>
        <w:t xml:space="preserve"> of the Plenipotentiary Conference</w:t>
      </w:r>
      <w:r w:rsidR="00DE6EB2" w:rsidRPr="00DA76FF">
        <w:rPr>
          <w:rFonts w:eastAsia="Times New Roman" w:cs="Calibri"/>
          <w:sz w:val="22"/>
          <w:szCs w:val="22"/>
          <w:lang w:eastAsia="en-GB"/>
        </w:rPr>
        <w:t xml:space="preserve">, advancing youth empowerment through </w:t>
      </w:r>
      <w:r w:rsidR="00D81DA6">
        <w:rPr>
          <w:rFonts w:eastAsia="Times New Roman" w:cs="Calibri"/>
          <w:sz w:val="22"/>
          <w:szCs w:val="22"/>
          <w:lang w:eastAsia="en-GB"/>
        </w:rPr>
        <w:t>digital technologies</w:t>
      </w:r>
      <w:r w:rsidR="00D81DA6" w:rsidRPr="00DA76FF">
        <w:rPr>
          <w:rFonts w:eastAsia="Times New Roman" w:cs="Calibri"/>
          <w:sz w:val="22"/>
          <w:szCs w:val="22"/>
          <w:lang w:eastAsia="en-GB"/>
        </w:rPr>
        <w:t xml:space="preserve"> </w:t>
      </w:r>
      <w:r w:rsidR="00DE6EB2" w:rsidRPr="00DA76FF">
        <w:rPr>
          <w:rFonts w:eastAsia="Times New Roman" w:cs="Calibri"/>
          <w:sz w:val="22"/>
          <w:szCs w:val="22"/>
          <w:lang w:eastAsia="en-GB"/>
        </w:rPr>
        <w:t xml:space="preserve">and integrating youth perspectives into work programmes, management, and human resources development. In 2024, the Youth Task Force strengthened its advisory role, contributing to reviews such as Service Orders, and established an Internal Youth Network to engage young professionals across the organization. It also advocated for </w:t>
      </w:r>
      <w:r w:rsidR="006A66A3">
        <w:rPr>
          <w:rFonts w:eastAsia="Times New Roman" w:cs="Calibri"/>
          <w:sz w:val="22"/>
          <w:szCs w:val="22"/>
          <w:lang w:eastAsia="en-GB"/>
        </w:rPr>
        <w:t xml:space="preserve">engaging </w:t>
      </w:r>
      <w:r w:rsidR="00DE6EB2" w:rsidRPr="00DA76FF">
        <w:rPr>
          <w:rFonts w:eastAsia="Times New Roman" w:cs="Calibri"/>
          <w:sz w:val="22"/>
          <w:szCs w:val="22"/>
          <w:lang w:eastAsia="en-GB"/>
        </w:rPr>
        <w:t>youth in ITU activities, enhancing its visibility and advocated for</w:t>
      </w:r>
      <w:r w:rsidR="00DE6EB2" w:rsidRPr="00DA76FF" w:rsidDel="003D695E">
        <w:rPr>
          <w:rFonts w:eastAsia="Times New Roman" w:cs="Calibri"/>
          <w:sz w:val="22"/>
          <w:szCs w:val="22"/>
          <w:lang w:eastAsia="en-GB"/>
        </w:rPr>
        <w:t xml:space="preserve"> </w:t>
      </w:r>
      <w:r w:rsidR="00DE6EB2" w:rsidRPr="00DA76FF">
        <w:rPr>
          <w:rFonts w:eastAsia="Times New Roman" w:cs="Calibri"/>
          <w:sz w:val="22"/>
          <w:szCs w:val="22"/>
          <w:lang w:eastAsia="en-GB"/>
        </w:rPr>
        <w:t xml:space="preserve">intergenerational dialogue. Key outcomes included </w:t>
      </w:r>
      <w:r w:rsidR="00DE6EB2" w:rsidRPr="00DA76FF" w:rsidDel="003D695E">
        <w:rPr>
          <w:rFonts w:eastAsia="Times New Roman" w:cs="Calibri"/>
          <w:sz w:val="22"/>
          <w:szCs w:val="22"/>
          <w:lang w:eastAsia="en-GB"/>
        </w:rPr>
        <w:t>work</w:t>
      </w:r>
      <w:r w:rsidR="00DE6EB2" w:rsidRPr="00DA76FF">
        <w:rPr>
          <w:rFonts w:eastAsia="Times New Roman" w:cs="Calibri"/>
          <w:sz w:val="22"/>
          <w:szCs w:val="22"/>
          <w:lang w:eastAsia="en-GB"/>
        </w:rPr>
        <w:t xml:space="preserve"> on mobility and succession planning, collaboration with the ITU Transformation Office/Change makers programme, and two deliverables: contributions to ITU’s s</w:t>
      </w:r>
      <w:r w:rsidR="00DE6EB2" w:rsidRPr="00DA76FF" w:rsidDel="003D695E">
        <w:rPr>
          <w:rFonts w:eastAsia="Times New Roman" w:cs="Calibri"/>
          <w:sz w:val="22"/>
          <w:szCs w:val="22"/>
          <w:lang w:eastAsia="en-GB"/>
        </w:rPr>
        <w:t xml:space="preserve">uccession </w:t>
      </w:r>
      <w:r w:rsidR="00DE6EB2" w:rsidRPr="00DA76FF">
        <w:rPr>
          <w:rFonts w:eastAsia="Times New Roman" w:cs="Calibri"/>
          <w:sz w:val="22"/>
          <w:szCs w:val="22"/>
          <w:lang w:eastAsia="en-GB"/>
        </w:rPr>
        <w:t xml:space="preserve">plan and </w:t>
      </w:r>
      <w:r w:rsidR="00D54AE6">
        <w:rPr>
          <w:rFonts w:eastAsia="Times New Roman" w:cs="Calibri"/>
          <w:sz w:val="22"/>
          <w:szCs w:val="22"/>
          <w:lang w:eastAsia="en-GB"/>
        </w:rPr>
        <w:t xml:space="preserve">the role of </w:t>
      </w:r>
      <w:r w:rsidR="00DE6EB2" w:rsidRPr="00DA76FF">
        <w:rPr>
          <w:rFonts w:eastAsia="Times New Roman" w:cs="Calibri"/>
          <w:sz w:val="22"/>
          <w:szCs w:val="22"/>
          <w:lang w:eastAsia="en-GB"/>
        </w:rPr>
        <w:t>young staff in shaping ITU’s future, and the integration of young professionals into staffing tables at major ITU conferences to enhance career development opportunities.</w:t>
      </w:r>
    </w:p>
    <w:p w14:paraId="5089F695" w14:textId="39EAA332" w:rsidR="00DE6EB2" w:rsidRPr="00DA76FF" w:rsidRDefault="00DE6EB2" w:rsidP="00B96F88">
      <w:pPr>
        <w:spacing w:after="120"/>
        <w:jc w:val="both"/>
        <w:rPr>
          <w:rFonts w:eastAsia="Times New Roman" w:cs="Calibri"/>
          <w:sz w:val="22"/>
          <w:szCs w:val="22"/>
          <w:lang w:eastAsia="en-GB"/>
        </w:rPr>
      </w:pPr>
      <w:r w:rsidRPr="00DA76FF">
        <w:rPr>
          <w:rFonts w:eastAsia="Times New Roman" w:cs="Calibri"/>
          <w:sz w:val="22"/>
          <w:szCs w:val="22"/>
          <w:lang w:eastAsia="en-GB"/>
        </w:rPr>
        <w:t>Following the launch of the first ITU Young Professional</w:t>
      </w:r>
      <w:r w:rsidR="009131D2">
        <w:rPr>
          <w:rFonts w:eastAsia="Times New Roman" w:cs="Calibri"/>
          <w:sz w:val="22"/>
          <w:szCs w:val="22"/>
          <w:lang w:eastAsia="en-GB"/>
        </w:rPr>
        <w:t>s</w:t>
      </w:r>
      <w:r w:rsidRPr="00DA76FF">
        <w:rPr>
          <w:rFonts w:eastAsia="Times New Roman" w:cs="Calibri"/>
          <w:sz w:val="22"/>
          <w:szCs w:val="22"/>
          <w:lang w:eastAsia="en-GB"/>
        </w:rPr>
        <w:t xml:space="preserve"> Program</w:t>
      </w:r>
      <w:r w:rsidR="00276E34">
        <w:rPr>
          <w:rFonts w:eastAsia="Times New Roman" w:cs="Calibri"/>
          <w:sz w:val="22"/>
          <w:szCs w:val="22"/>
          <w:lang w:eastAsia="en-GB"/>
        </w:rPr>
        <w:t>me</w:t>
      </w:r>
      <w:r w:rsidRPr="00DA76FF">
        <w:rPr>
          <w:rFonts w:eastAsia="Times New Roman" w:cs="Calibri"/>
          <w:sz w:val="22"/>
          <w:szCs w:val="22"/>
          <w:lang w:eastAsia="en-GB"/>
        </w:rPr>
        <w:t>, more than 3</w:t>
      </w:r>
      <w:r w:rsidR="0098029F">
        <w:rPr>
          <w:rFonts w:eastAsia="Times New Roman" w:cs="Calibri"/>
          <w:sz w:val="22"/>
          <w:szCs w:val="22"/>
          <w:lang w:eastAsia="en-GB"/>
        </w:rPr>
        <w:t> </w:t>
      </w:r>
      <w:r w:rsidRPr="00DA76FF">
        <w:rPr>
          <w:rFonts w:eastAsia="Times New Roman" w:cs="Calibri"/>
          <w:sz w:val="22"/>
          <w:szCs w:val="22"/>
          <w:lang w:eastAsia="en-GB"/>
        </w:rPr>
        <w:t xml:space="preserve">500 applications were received and reviewed. Six </w:t>
      </w:r>
      <w:r w:rsidR="007A6A8E">
        <w:rPr>
          <w:rFonts w:eastAsia="Times New Roman" w:cs="Calibri"/>
          <w:sz w:val="22"/>
          <w:szCs w:val="22"/>
          <w:lang w:eastAsia="en-GB"/>
        </w:rPr>
        <w:t>entry-level professional (</w:t>
      </w:r>
      <w:r w:rsidRPr="00DA76FF">
        <w:rPr>
          <w:rFonts w:eastAsia="Times New Roman" w:cs="Calibri"/>
          <w:sz w:val="22"/>
          <w:szCs w:val="22"/>
          <w:lang w:eastAsia="en-GB"/>
        </w:rPr>
        <w:t>P1</w:t>
      </w:r>
      <w:r w:rsidR="007A6A8E">
        <w:rPr>
          <w:rFonts w:eastAsia="Times New Roman" w:cs="Calibri"/>
          <w:sz w:val="22"/>
          <w:szCs w:val="22"/>
          <w:lang w:eastAsia="en-GB"/>
        </w:rPr>
        <w:t>)</w:t>
      </w:r>
      <w:r w:rsidRPr="00DA76FF">
        <w:rPr>
          <w:rFonts w:eastAsia="Times New Roman" w:cs="Calibri"/>
          <w:sz w:val="22"/>
          <w:szCs w:val="22"/>
          <w:lang w:eastAsia="en-GB"/>
        </w:rPr>
        <w:t xml:space="preserve"> positions were offered in </w:t>
      </w:r>
      <w:r w:rsidR="000F7B4E">
        <w:rPr>
          <w:rFonts w:eastAsia="Times New Roman" w:cs="Calibri"/>
          <w:sz w:val="22"/>
          <w:szCs w:val="22"/>
          <w:lang w:eastAsia="en-GB"/>
        </w:rPr>
        <w:t>ITU’s</w:t>
      </w:r>
      <w:r w:rsidR="000F7B4E" w:rsidRPr="00DA76FF">
        <w:rPr>
          <w:rFonts w:eastAsia="Times New Roman" w:cs="Calibri"/>
          <w:sz w:val="22"/>
          <w:szCs w:val="22"/>
          <w:lang w:eastAsia="en-GB"/>
        </w:rPr>
        <w:t xml:space="preserve"> </w:t>
      </w:r>
      <w:r w:rsidRPr="00DA76FF">
        <w:rPr>
          <w:rFonts w:eastAsia="Times New Roman" w:cs="Calibri"/>
          <w:sz w:val="22"/>
          <w:szCs w:val="22"/>
          <w:lang w:eastAsia="en-GB"/>
        </w:rPr>
        <w:t>General Secretariat</w:t>
      </w:r>
      <w:r w:rsidR="000F7B4E">
        <w:rPr>
          <w:rFonts w:eastAsia="Times New Roman" w:cs="Calibri"/>
          <w:sz w:val="22"/>
          <w:szCs w:val="22"/>
          <w:lang w:eastAsia="en-GB"/>
        </w:rPr>
        <w:t xml:space="preserve"> and Radiocommunication, Standardization and Development bureaux</w:t>
      </w:r>
      <w:r w:rsidRPr="00DA76FF">
        <w:rPr>
          <w:rFonts w:eastAsia="Times New Roman" w:cs="Calibri"/>
          <w:sz w:val="22"/>
          <w:szCs w:val="22"/>
          <w:lang w:eastAsia="en-GB"/>
        </w:rPr>
        <w:t>.</w:t>
      </w:r>
    </w:p>
    <w:p w14:paraId="57C59DE0" w14:textId="798399DD" w:rsidR="00DE6EB2" w:rsidRPr="00DA76FF" w:rsidRDefault="00DE6EB2" w:rsidP="00B96F88">
      <w:pPr>
        <w:spacing w:after="120"/>
        <w:jc w:val="both"/>
        <w:rPr>
          <w:rFonts w:eastAsia="Times New Roman" w:cs="Calibri"/>
          <w:sz w:val="22"/>
          <w:szCs w:val="22"/>
          <w:lang w:eastAsia="en-GB"/>
        </w:rPr>
      </w:pPr>
      <w:r w:rsidRPr="00DA76FF">
        <w:rPr>
          <w:rFonts w:eastAsia="Times New Roman" w:cs="Calibri"/>
          <w:sz w:val="22"/>
          <w:szCs w:val="22"/>
          <w:lang w:eastAsia="en-GB"/>
        </w:rPr>
        <w:t xml:space="preserve">To promote and mainstream youth engagement, ITU launched several key initiatives. </w:t>
      </w:r>
      <w:hyperlink r:id="rId217" w:history="1">
        <w:r w:rsidRPr="00DA76FF">
          <w:rPr>
            <w:rFonts w:eastAsia="Times New Roman" w:cs="Calibri"/>
            <w:color w:val="0563C1"/>
            <w:sz w:val="22"/>
            <w:szCs w:val="22"/>
            <w:u w:val="single"/>
            <w:lang w:eastAsia="en-GB"/>
          </w:rPr>
          <w:t>The ITU Secretary-General’s Youth Advisory Board</w:t>
        </w:r>
      </w:hyperlink>
      <w:r w:rsidRPr="00DA76FF">
        <w:rPr>
          <w:rFonts w:eastAsia="Times New Roman" w:cs="Calibri"/>
          <w:sz w:val="22"/>
          <w:szCs w:val="22"/>
          <w:lang w:eastAsia="en-GB"/>
        </w:rPr>
        <w:t xml:space="preserve"> was established to empower young people to contribute to shaping global digital policies. The board provided recommendations from the youth perspectives to the ITU Secretary-General on how to narrow the digital divide and harness technology for societal benefits on topics such as AI, space, submarine cables, </w:t>
      </w:r>
      <w:r w:rsidR="00F905F1">
        <w:rPr>
          <w:rFonts w:eastAsia="Times New Roman" w:cs="Calibri"/>
          <w:sz w:val="22"/>
          <w:szCs w:val="22"/>
          <w:lang w:eastAsia="en-GB"/>
        </w:rPr>
        <w:t xml:space="preserve">and environmental </w:t>
      </w:r>
      <w:r w:rsidRPr="00DA76FF">
        <w:rPr>
          <w:rFonts w:eastAsia="Times New Roman" w:cs="Calibri"/>
          <w:sz w:val="22"/>
          <w:szCs w:val="22"/>
          <w:lang w:eastAsia="en-GB"/>
        </w:rPr>
        <w:t xml:space="preserve">issues. The </w:t>
      </w:r>
      <w:hyperlink r:id="rId218" w:history="1">
        <w:r w:rsidRPr="00DA76FF">
          <w:rPr>
            <w:rFonts w:eastAsia="Times New Roman" w:cs="Calibri"/>
            <w:color w:val="0563C1"/>
            <w:sz w:val="22"/>
            <w:szCs w:val="22"/>
            <w:u w:val="single"/>
            <w:lang w:eastAsia="en-GB"/>
          </w:rPr>
          <w:t xml:space="preserve">Generation </w:t>
        </w:r>
        <w:r w:rsidRPr="00DA76FF">
          <w:rPr>
            <w:rFonts w:eastAsia="Times New Roman" w:cs="Calibri"/>
            <w:color w:val="0563C1"/>
            <w:sz w:val="22"/>
            <w:szCs w:val="22"/>
            <w:u w:val="single"/>
            <w:lang w:eastAsia="en-GB"/>
          </w:rPr>
          <w:lastRenderedPageBreak/>
          <w:t>Connect Young Leadership Programme (GCYLP)</w:t>
        </w:r>
      </w:hyperlink>
      <w:r w:rsidRPr="00DA76FF">
        <w:rPr>
          <w:rFonts w:eastAsia="Times New Roman" w:cs="Calibri"/>
          <w:sz w:val="22"/>
          <w:szCs w:val="22"/>
          <w:u w:val="single"/>
          <w:lang w:eastAsia="en-GB"/>
        </w:rPr>
        <w:t xml:space="preserve"> </w:t>
      </w:r>
      <w:r w:rsidRPr="00DA76FF">
        <w:rPr>
          <w:rFonts w:eastAsia="Times New Roman" w:cs="Calibri"/>
          <w:sz w:val="22"/>
          <w:szCs w:val="22"/>
          <w:lang w:eastAsia="en-GB"/>
        </w:rPr>
        <w:t>was designed to empower and inspire young digital changemakers. Through the GCYLP, 30 young fellows annually receive guidance, training, and financial support to implement digital development projects in their communities worldwide. In 2024, the first cohort was selected by a global jury from over 5</w:t>
      </w:r>
      <w:r w:rsidR="0098029F">
        <w:rPr>
          <w:rFonts w:eastAsia="Times New Roman" w:cs="Calibri"/>
          <w:sz w:val="22"/>
          <w:szCs w:val="22"/>
          <w:lang w:eastAsia="en-GB"/>
        </w:rPr>
        <w:t> </w:t>
      </w:r>
      <w:r w:rsidRPr="00DA76FF">
        <w:rPr>
          <w:rFonts w:eastAsia="Times New Roman" w:cs="Calibri"/>
          <w:sz w:val="22"/>
          <w:szCs w:val="22"/>
          <w:lang w:eastAsia="en-GB"/>
        </w:rPr>
        <w:t xml:space="preserve">000 applicants across 200+ countries. Following a successful first year, selection is now underway for </w:t>
      </w:r>
      <w:r w:rsidR="000C6C68">
        <w:rPr>
          <w:rFonts w:eastAsia="Times New Roman" w:cs="Calibri"/>
          <w:sz w:val="22"/>
          <w:szCs w:val="22"/>
          <w:lang w:eastAsia="en-GB"/>
        </w:rPr>
        <w:t xml:space="preserve">the </w:t>
      </w:r>
      <w:r w:rsidRPr="00DA76FF">
        <w:rPr>
          <w:rFonts w:eastAsia="Times New Roman" w:cs="Calibri"/>
          <w:sz w:val="22"/>
          <w:szCs w:val="22"/>
          <w:lang w:eastAsia="en-GB"/>
        </w:rPr>
        <w:t xml:space="preserve">second cohort. </w:t>
      </w:r>
      <w:r w:rsidR="00A12867">
        <w:rPr>
          <w:rFonts w:eastAsia="Times New Roman" w:cs="Calibri"/>
          <w:sz w:val="22"/>
          <w:szCs w:val="22"/>
          <w:lang w:eastAsia="en-GB"/>
        </w:rPr>
        <w:t>ITU</w:t>
      </w:r>
      <w:r w:rsidRPr="00DA76FF">
        <w:rPr>
          <w:rFonts w:eastAsia="Times New Roman" w:cs="Calibri"/>
          <w:sz w:val="22"/>
          <w:szCs w:val="22"/>
          <w:lang w:eastAsia="en-GB"/>
        </w:rPr>
        <w:t xml:space="preserve"> advanced youth </w:t>
      </w:r>
      <w:r w:rsidR="006A66A3">
        <w:rPr>
          <w:rFonts w:eastAsia="Times New Roman" w:cs="Calibri"/>
          <w:sz w:val="22"/>
          <w:szCs w:val="22"/>
          <w:lang w:eastAsia="en-GB"/>
        </w:rPr>
        <w:t>involvement</w:t>
      </w:r>
      <w:r w:rsidR="006A66A3" w:rsidRPr="00DA76FF">
        <w:rPr>
          <w:rFonts w:eastAsia="Times New Roman" w:cs="Calibri"/>
          <w:sz w:val="22"/>
          <w:szCs w:val="22"/>
          <w:lang w:eastAsia="en-GB"/>
        </w:rPr>
        <w:t xml:space="preserve"> </w:t>
      </w:r>
      <w:r w:rsidRPr="00DA76FF">
        <w:rPr>
          <w:rFonts w:eastAsia="Times New Roman" w:cs="Calibri"/>
          <w:sz w:val="22"/>
          <w:szCs w:val="22"/>
          <w:lang w:eastAsia="en-GB"/>
        </w:rPr>
        <w:t>in digital development by empowering 184 Generation Connect Youth Envoys (GCYE) from 64 countries, amplifying their voices through global platforms.</w:t>
      </w:r>
    </w:p>
    <w:p w14:paraId="53467BDB" w14:textId="2379B17E" w:rsidR="00DE6EB2" w:rsidRPr="00DA76FF" w:rsidRDefault="00DE6EB2" w:rsidP="00B96F88">
      <w:pPr>
        <w:spacing w:after="120"/>
        <w:jc w:val="both"/>
        <w:rPr>
          <w:rFonts w:eastAsia="Times New Roman" w:cs="Arial"/>
          <w:sz w:val="22"/>
          <w:szCs w:val="22"/>
        </w:rPr>
      </w:pPr>
      <w:r w:rsidRPr="00DA76FF">
        <w:rPr>
          <w:rFonts w:eastAsia="Times New Roman" w:cs="Arial"/>
          <w:sz w:val="22"/>
          <w:szCs w:val="22"/>
        </w:rPr>
        <w:t xml:space="preserve">In 2024, ITU increased youth participation in ITU events and initiatives such as </w:t>
      </w:r>
      <w:r w:rsidR="001B4BFF">
        <w:rPr>
          <w:rFonts w:eastAsia="Times New Roman" w:cs="Arial"/>
          <w:sz w:val="22"/>
          <w:szCs w:val="22"/>
        </w:rPr>
        <w:t xml:space="preserve">the </w:t>
      </w:r>
      <w:r w:rsidRPr="00DA76FF">
        <w:rPr>
          <w:rFonts w:eastAsia="Times New Roman" w:cs="Arial"/>
          <w:sz w:val="22"/>
          <w:szCs w:val="22"/>
        </w:rPr>
        <w:t xml:space="preserve">AI for Good </w:t>
      </w:r>
      <w:r w:rsidR="001B4BFF">
        <w:rPr>
          <w:rFonts w:eastAsia="Times New Roman" w:cs="Arial"/>
          <w:sz w:val="22"/>
          <w:szCs w:val="22"/>
        </w:rPr>
        <w:t>Global S</w:t>
      </w:r>
      <w:r w:rsidRPr="00DA76FF">
        <w:rPr>
          <w:rFonts w:eastAsia="Times New Roman" w:cs="Arial"/>
          <w:sz w:val="22"/>
          <w:szCs w:val="22"/>
        </w:rPr>
        <w:t>ummit, Regional Development Forums, ITU-D Study Group sessions, the EQUALS in Tech Awards, Girls in ICT Day, and more.</w:t>
      </w:r>
    </w:p>
    <w:p w14:paraId="520A6676" w14:textId="76F63034" w:rsidR="00DE6EB2" w:rsidRPr="00DA76FF" w:rsidRDefault="00DE6EB2" w:rsidP="00B96F88">
      <w:pPr>
        <w:spacing w:after="120"/>
        <w:jc w:val="both"/>
        <w:rPr>
          <w:rFonts w:eastAsia="Times New Roman" w:cs="Arial"/>
          <w:sz w:val="22"/>
          <w:szCs w:val="22"/>
        </w:rPr>
      </w:pPr>
      <w:r w:rsidRPr="00DA76FF">
        <w:rPr>
          <w:rFonts w:eastAsia="Times New Roman" w:cs="Arial"/>
          <w:sz w:val="22"/>
          <w:szCs w:val="22"/>
        </w:rPr>
        <w:t>ITU</w:t>
      </w:r>
      <w:r w:rsidR="007A6A8E">
        <w:rPr>
          <w:rFonts w:eastAsia="Times New Roman" w:cs="Arial"/>
          <w:sz w:val="22"/>
          <w:szCs w:val="22"/>
        </w:rPr>
        <w:t>’s</w:t>
      </w:r>
      <w:r w:rsidRPr="00DA76FF">
        <w:rPr>
          <w:rFonts w:eastAsia="Times New Roman" w:cs="Arial"/>
          <w:sz w:val="22"/>
          <w:szCs w:val="22"/>
        </w:rPr>
        <w:t xml:space="preserve"> </w:t>
      </w:r>
      <w:r w:rsidR="007A6A8E">
        <w:rPr>
          <w:rFonts w:eastAsia="Times New Roman" w:cs="Arial"/>
          <w:sz w:val="22"/>
          <w:szCs w:val="22"/>
        </w:rPr>
        <w:t xml:space="preserve">Telecommunication </w:t>
      </w:r>
      <w:r w:rsidRPr="00DA76FF">
        <w:rPr>
          <w:rFonts w:eastAsia="Times New Roman" w:cs="Arial"/>
          <w:sz w:val="22"/>
          <w:szCs w:val="22"/>
        </w:rPr>
        <w:t>Standardization Bureau (TSB) champion</w:t>
      </w:r>
      <w:r w:rsidR="00642858">
        <w:rPr>
          <w:rFonts w:eastAsia="Times New Roman" w:cs="Arial"/>
          <w:sz w:val="22"/>
          <w:szCs w:val="22"/>
        </w:rPr>
        <w:t>s</w:t>
      </w:r>
      <w:r w:rsidRPr="00DA76FF">
        <w:rPr>
          <w:rFonts w:eastAsia="Times New Roman" w:cs="Arial"/>
          <w:sz w:val="22"/>
          <w:szCs w:val="22"/>
        </w:rPr>
        <w:t xml:space="preserve"> meaningful youth engagement on AI. In 2024, </w:t>
      </w:r>
      <w:r w:rsidR="00066A35" w:rsidRPr="00DA76FF">
        <w:rPr>
          <w:rFonts w:eastAsia="Times New Roman" w:cs="Arial"/>
          <w:sz w:val="22"/>
          <w:szCs w:val="22"/>
        </w:rPr>
        <w:t xml:space="preserve">ITU’s </w:t>
      </w:r>
      <w:hyperlink r:id="rId219">
        <w:r w:rsidRPr="2C0EAE0F">
          <w:rPr>
            <w:rStyle w:val="Hyperlink"/>
            <w:rFonts w:eastAsia="Times New Roman" w:cs="Arial"/>
            <w:sz w:val="22"/>
            <w:szCs w:val="22"/>
          </w:rPr>
          <w:t>AI/ML in 5G Challenge</w:t>
        </w:r>
      </w:hyperlink>
      <w:r w:rsidRPr="00DA76FF">
        <w:rPr>
          <w:rFonts w:eastAsia="Times New Roman" w:cs="Arial"/>
          <w:sz w:val="22"/>
          <w:szCs w:val="22"/>
        </w:rPr>
        <w:t xml:space="preserve"> hosted 13 youth-focused challenges, providing a global platform for young innovators to develop AI/ML-driven solutions for real-world applications. The competition attracted over 4</w:t>
      </w:r>
      <w:r w:rsidR="0098029F">
        <w:rPr>
          <w:rFonts w:eastAsia="Times New Roman" w:cs="Arial"/>
          <w:sz w:val="22"/>
          <w:szCs w:val="22"/>
        </w:rPr>
        <w:t> </w:t>
      </w:r>
      <w:r w:rsidRPr="00DA76FF">
        <w:rPr>
          <w:rFonts w:eastAsia="Times New Roman" w:cs="Arial"/>
          <w:sz w:val="22"/>
          <w:szCs w:val="22"/>
        </w:rPr>
        <w:t>000 young participants, who contributed more than 30</w:t>
      </w:r>
      <w:r w:rsidR="0098029F">
        <w:rPr>
          <w:rFonts w:eastAsia="Times New Roman" w:cs="Arial"/>
          <w:sz w:val="22"/>
          <w:szCs w:val="22"/>
        </w:rPr>
        <w:t> </w:t>
      </w:r>
      <w:r w:rsidRPr="00DA76FF">
        <w:rPr>
          <w:rFonts w:eastAsia="Times New Roman" w:cs="Arial"/>
          <w:sz w:val="22"/>
          <w:szCs w:val="22"/>
        </w:rPr>
        <w:t xml:space="preserve">000 submissions. </w:t>
      </w:r>
      <w:r w:rsidRPr="2C0EAE0F">
        <w:rPr>
          <w:rFonts w:eastAsia="Times New Roman" w:cs="Arial"/>
          <w:sz w:val="22"/>
          <w:szCs w:val="22"/>
        </w:rPr>
        <w:t xml:space="preserve">The </w:t>
      </w:r>
      <w:hyperlink r:id="rId220">
        <w:r w:rsidRPr="2C0EAE0F">
          <w:rPr>
            <w:rStyle w:val="Hyperlink"/>
            <w:rFonts w:eastAsia="Times New Roman" w:cs="Arial"/>
            <w:sz w:val="22"/>
            <w:szCs w:val="22"/>
          </w:rPr>
          <w:t>Robotics for Good Youth Challenge</w:t>
        </w:r>
      </w:hyperlink>
      <w:r w:rsidRPr="00DA76FF">
        <w:rPr>
          <w:rFonts w:eastAsia="Times New Roman" w:cs="Arial"/>
          <w:sz w:val="22"/>
          <w:szCs w:val="22"/>
        </w:rPr>
        <w:t xml:space="preserve"> – the 2024-2025 edition centred on disaster response </w:t>
      </w:r>
      <w:r w:rsidR="0098029F">
        <w:rPr>
          <w:rFonts w:eastAsia="Times New Roman" w:cs="Arial"/>
          <w:sz w:val="22"/>
          <w:szCs w:val="22"/>
        </w:rPr>
        <w:t>—</w:t>
      </w:r>
      <w:r w:rsidR="00BD0237">
        <w:rPr>
          <w:rFonts w:eastAsia="Times New Roman" w:cs="Arial"/>
          <w:sz w:val="22"/>
          <w:szCs w:val="22"/>
        </w:rPr>
        <w:t xml:space="preserve">is in its </w:t>
      </w:r>
      <w:r w:rsidR="00674FAE">
        <w:rPr>
          <w:rFonts w:eastAsia="Times New Roman" w:cs="Arial"/>
          <w:sz w:val="22"/>
          <w:szCs w:val="22"/>
        </w:rPr>
        <w:t>Curation and Preparation Phases</w:t>
      </w:r>
      <w:r w:rsidR="00EE7B1D">
        <w:rPr>
          <w:rFonts w:eastAsia="Times New Roman" w:cs="Arial"/>
          <w:sz w:val="22"/>
          <w:szCs w:val="22"/>
        </w:rPr>
        <w:t xml:space="preserve"> and the Qualifying should start in April 202</w:t>
      </w:r>
      <w:r w:rsidR="004B5EAA">
        <w:rPr>
          <w:rFonts w:eastAsia="Times New Roman" w:cs="Arial"/>
          <w:sz w:val="22"/>
          <w:szCs w:val="22"/>
        </w:rPr>
        <w:t>5</w:t>
      </w:r>
      <w:r w:rsidRPr="00DA76FF">
        <w:rPr>
          <w:rFonts w:eastAsia="Times New Roman" w:cs="Arial"/>
          <w:sz w:val="22"/>
          <w:szCs w:val="22"/>
        </w:rPr>
        <w:t xml:space="preserve">. </w:t>
      </w:r>
      <w:r w:rsidR="001B4BFF">
        <w:rPr>
          <w:rFonts w:eastAsia="Times New Roman" w:cs="Arial"/>
          <w:sz w:val="22"/>
          <w:szCs w:val="22"/>
        </w:rPr>
        <w:t>A</w:t>
      </w:r>
      <w:r w:rsidR="001B4BFF" w:rsidRPr="00DA76FF">
        <w:rPr>
          <w:rFonts w:eastAsia="Times New Roman" w:cs="Arial"/>
          <w:sz w:val="22"/>
          <w:szCs w:val="22"/>
        </w:rPr>
        <w:t xml:space="preserve"> youth zone </w:t>
      </w:r>
      <w:r w:rsidR="001B4BFF">
        <w:rPr>
          <w:rFonts w:eastAsia="Times New Roman" w:cs="Arial"/>
          <w:sz w:val="22"/>
          <w:szCs w:val="22"/>
        </w:rPr>
        <w:t>at t</w:t>
      </w:r>
      <w:r w:rsidRPr="00DA76FF">
        <w:rPr>
          <w:rFonts w:eastAsia="Times New Roman" w:cs="Arial"/>
          <w:sz w:val="22"/>
          <w:szCs w:val="22"/>
        </w:rPr>
        <w:t xml:space="preserve">he AI for Good </w:t>
      </w:r>
      <w:r w:rsidR="001B4BFF">
        <w:rPr>
          <w:rFonts w:eastAsia="Times New Roman" w:cs="Arial"/>
          <w:sz w:val="22"/>
          <w:szCs w:val="22"/>
        </w:rPr>
        <w:t xml:space="preserve">Global </w:t>
      </w:r>
      <w:r w:rsidRPr="00DA76FF">
        <w:rPr>
          <w:rFonts w:eastAsia="Times New Roman" w:cs="Arial"/>
          <w:sz w:val="22"/>
          <w:szCs w:val="22"/>
        </w:rPr>
        <w:t>Summit 2024 provided a dynamic and engaging platform for young participants to learn, collaborate, and explore the exciting world of AI and robotics.</w:t>
      </w:r>
    </w:p>
    <w:p w14:paraId="740997E7" w14:textId="4E537A47" w:rsidR="00DE6EB2" w:rsidRPr="00DA76FF" w:rsidRDefault="00DE6EB2" w:rsidP="00B96F88">
      <w:pPr>
        <w:spacing w:after="120"/>
        <w:jc w:val="both"/>
        <w:rPr>
          <w:rFonts w:eastAsia="Times New Roman" w:cs="Arial"/>
          <w:sz w:val="22"/>
          <w:szCs w:val="22"/>
        </w:rPr>
      </w:pPr>
      <w:r w:rsidRPr="00DA76FF">
        <w:rPr>
          <w:rFonts w:eastAsia="Times New Roman" w:cs="Calibri"/>
          <w:sz w:val="22"/>
          <w:szCs w:val="22"/>
        </w:rPr>
        <w:t xml:space="preserve">More </w:t>
      </w:r>
      <w:r w:rsidR="0098029F">
        <w:rPr>
          <w:rFonts w:eastAsia="Times New Roman" w:cs="Calibri"/>
          <w:sz w:val="22"/>
          <w:szCs w:val="22"/>
        </w:rPr>
        <w:t>i</w:t>
      </w:r>
      <w:r w:rsidRPr="00DA76FF">
        <w:rPr>
          <w:rFonts w:eastAsia="Times New Roman" w:cs="Calibri"/>
          <w:sz w:val="22"/>
          <w:szCs w:val="22"/>
        </w:rPr>
        <w:t xml:space="preserve">nformation about youth related activities is provided in ITU Council </w:t>
      </w:r>
      <w:r w:rsidR="0098029F">
        <w:rPr>
          <w:rFonts w:eastAsia="Times New Roman" w:cs="Calibri"/>
          <w:sz w:val="22"/>
          <w:szCs w:val="22"/>
        </w:rPr>
        <w:t>D</w:t>
      </w:r>
      <w:r w:rsidRPr="00DA76FF">
        <w:rPr>
          <w:rFonts w:eastAsia="Times New Roman" w:cs="Calibri"/>
          <w:sz w:val="22"/>
          <w:szCs w:val="22"/>
        </w:rPr>
        <w:t xml:space="preserve">ocument </w:t>
      </w:r>
      <w:hyperlink r:id="rId221" w:history="1">
        <w:r w:rsidRPr="0098029F">
          <w:rPr>
            <w:rStyle w:val="Hyperlink"/>
            <w:rFonts w:cs="Calibri"/>
            <w:sz w:val="22"/>
            <w:szCs w:val="22"/>
          </w:rPr>
          <w:t>C25/31</w:t>
        </w:r>
      </w:hyperlink>
      <w:r w:rsidRPr="00DA76FF">
        <w:t>.</w:t>
      </w:r>
    </w:p>
    <w:p w14:paraId="2622F897" w14:textId="4D5D4825" w:rsidR="008C207F" w:rsidRPr="00DA76FF" w:rsidRDefault="00DE6EB2" w:rsidP="00B96F88">
      <w:pPr>
        <w:spacing w:after="120"/>
        <w:jc w:val="both"/>
        <w:rPr>
          <w:rFonts w:eastAsia="Calibri" w:cs="Calibri"/>
          <w:sz w:val="22"/>
          <w:szCs w:val="22"/>
        </w:rPr>
      </w:pPr>
      <w:r w:rsidRPr="00DA76FF">
        <w:rPr>
          <w:rFonts w:eastAsia="Calibri" w:cs="Calibri"/>
          <w:color w:val="242424"/>
          <w:sz w:val="22"/>
          <w:szCs w:val="22"/>
        </w:rPr>
        <w:t xml:space="preserve">Moreover, youth engagement was a focus at </w:t>
      </w:r>
      <w:hyperlink r:id="rId222" w:history="1">
        <w:r w:rsidRPr="00DA76FF">
          <w:rPr>
            <w:rStyle w:val="Hyperlink"/>
            <w:rFonts w:eastAsia="Calibri" w:cs="Calibri"/>
            <w:sz w:val="22"/>
            <w:szCs w:val="22"/>
          </w:rPr>
          <w:t>WTSA-24</w:t>
        </w:r>
      </w:hyperlink>
      <w:r w:rsidRPr="00DA76FF">
        <w:rPr>
          <w:rFonts w:eastAsia="Calibri" w:cs="Calibri"/>
          <w:color w:val="242424"/>
          <w:sz w:val="22"/>
          <w:szCs w:val="22"/>
        </w:rPr>
        <w:t xml:space="preserve"> </w:t>
      </w:r>
      <w:r w:rsidR="00A0343C">
        <w:rPr>
          <w:rFonts w:eastAsia="Calibri" w:cs="Calibri"/>
          <w:color w:val="242424"/>
          <w:sz w:val="22"/>
          <w:szCs w:val="22"/>
        </w:rPr>
        <w:t xml:space="preserve">in New Delhi, India, </w:t>
      </w:r>
      <w:r w:rsidRPr="00DA76FF">
        <w:rPr>
          <w:rFonts w:eastAsia="Calibri" w:cs="Calibri"/>
          <w:color w:val="242424"/>
          <w:sz w:val="22"/>
          <w:szCs w:val="22"/>
        </w:rPr>
        <w:t xml:space="preserve">with targeted initiatives introduced to the side-event programme to attract young participants. Member States also approved the adoption of a new youth-focused </w:t>
      </w:r>
      <w:hyperlink r:id="rId223" w:history="1">
        <w:r w:rsidRPr="00DA76FF">
          <w:rPr>
            <w:rStyle w:val="Hyperlink"/>
            <w:rFonts w:eastAsia="Calibri" w:cs="Calibri"/>
            <w:sz w:val="22"/>
            <w:szCs w:val="22"/>
          </w:rPr>
          <w:t>WTSA-24 Resolution 107</w:t>
        </w:r>
      </w:hyperlink>
      <w:r w:rsidR="00E64CDB">
        <w:t>:</w:t>
      </w:r>
      <w:r w:rsidRPr="00DA76FF">
        <w:rPr>
          <w:rFonts w:eastAsia="Calibri" w:cs="Calibri"/>
          <w:color w:val="242424"/>
          <w:sz w:val="22"/>
          <w:szCs w:val="22"/>
        </w:rPr>
        <w:t xml:space="preserve"> </w:t>
      </w:r>
      <w:r w:rsidR="0098029F">
        <w:rPr>
          <w:rFonts w:eastAsia="Calibri" w:cs="Calibri"/>
          <w:color w:val="242424"/>
          <w:sz w:val="22"/>
          <w:szCs w:val="22"/>
        </w:rPr>
        <w:t>“</w:t>
      </w:r>
      <w:r w:rsidRPr="00DA76FF">
        <w:rPr>
          <w:rFonts w:eastAsia="Calibri" w:cs="Calibri"/>
          <w:color w:val="242424"/>
          <w:sz w:val="22"/>
          <w:szCs w:val="22"/>
        </w:rPr>
        <w:t>Enhancing the engagement of the next-generation experts in</w:t>
      </w:r>
      <w:r w:rsidR="0098029F">
        <w:rPr>
          <w:rFonts w:eastAsia="Calibri" w:cs="Calibri"/>
          <w:color w:val="242424"/>
          <w:sz w:val="22"/>
          <w:szCs w:val="22"/>
        </w:rPr>
        <w:t xml:space="preserve"> the standardization activities of the </w:t>
      </w:r>
      <w:r w:rsidR="00E64CDB">
        <w:rPr>
          <w:rFonts w:eastAsia="Calibri" w:cs="Calibri"/>
          <w:color w:val="242424"/>
          <w:sz w:val="22"/>
          <w:szCs w:val="22"/>
        </w:rPr>
        <w:t>ITU</w:t>
      </w:r>
      <w:r w:rsidR="0098029F">
        <w:rPr>
          <w:rFonts w:eastAsia="Calibri" w:cs="Calibri"/>
          <w:color w:val="242424"/>
          <w:sz w:val="22"/>
          <w:szCs w:val="22"/>
        </w:rPr>
        <w:t xml:space="preserve"> Telecommunication</w:t>
      </w:r>
      <w:r w:rsidRPr="00DA76FF">
        <w:rPr>
          <w:rFonts w:eastAsia="Calibri" w:cs="Calibri"/>
          <w:color w:val="242424"/>
          <w:sz w:val="22"/>
          <w:szCs w:val="22"/>
        </w:rPr>
        <w:t xml:space="preserve"> </w:t>
      </w:r>
      <w:r w:rsidR="0098029F">
        <w:rPr>
          <w:rFonts w:eastAsia="Calibri" w:cs="Calibri"/>
          <w:color w:val="242424"/>
          <w:sz w:val="22"/>
          <w:szCs w:val="22"/>
        </w:rPr>
        <w:t>S</w:t>
      </w:r>
      <w:r w:rsidRPr="00DA76FF">
        <w:rPr>
          <w:rFonts w:eastAsia="Calibri" w:cs="Calibri"/>
          <w:color w:val="242424"/>
          <w:sz w:val="22"/>
          <w:szCs w:val="22"/>
        </w:rPr>
        <w:t xml:space="preserve">tandardization </w:t>
      </w:r>
      <w:r w:rsidR="0098029F">
        <w:rPr>
          <w:rFonts w:eastAsia="Calibri" w:cs="Calibri"/>
          <w:color w:val="242424"/>
          <w:sz w:val="22"/>
          <w:szCs w:val="22"/>
        </w:rPr>
        <w:t>Sector”</w:t>
      </w:r>
      <w:r w:rsidR="003E015F" w:rsidRPr="00DA76FF">
        <w:rPr>
          <w:rFonts w:eastAsia="Calibri" w:cs="Calibri"/>
          <w:color w:val="242424"/>
          <w:sz w:val="22"/>
          <w:szCs w:val="22"/>
        </w:rPr>
        <w:t>.</w:t>
      </w:r>
      <w:r w:rsidRPr="00DA76FF">
        <w:rPr>
          <w:rFonts w:eastAsia="Calibri" w:cs="Calibri"/>
          <w:color w:val="242424"/>
          <w:sz w:val="22"/>
          <w:szCs w:val="22"/>
        </w:rPr>
        <w:t xml:space="preserve"> Key activities included a special session on youth participation in standards development during </w:t>
      </w:r>
      <w:hyperlink r:id="rId224" w:history="1">
        <w:r w:rsidRPr="001F5216">
          <w:rPr>
            <w:rFonts w:eastAsia="Calibri" w:cs="Calibri"/>
            <w:color w:val="0563C1"/>
            <w:sz w:val="22"/>
            <w:szCs w:val="22"/>
            <w:u w:val="single"/>
          </w:rPr>
          <w:t>ITU Kaleidoscope 2024: Innovation and digital transformation for a sustainable world</w:t>
        </w:r>
      </w:hyperlink>
      <w:r w:rsidRPr="00DA76FF">
        <w:rPr>
          <w:rFonts w:eastAsia="Calibri" w:cs="Calibri"/>
          <w:color w:val="242424"/>
          <w:sz w:val="22"/>
          <w:szCs w:val="22"/>
        </w:rPr>
        <w:t xml:space="preserve">, </w:t>
      </w:r>
      <w:r w:rsidRPr="00DA76FF">
        <w:rPr>
          <w:rFonts w:eastAsia="Calibri" w:cs="Calibri"/>
          <w:color w:val="242424"/>
          <w:spacing w:val="-2"/>
          <w:sz w:val="22"/>
          <w:szCs w:val="22"/>
        </w:rPr>
        <w:t>held from 21 to 23 October 2024</w:t>
      </w:r>
      <w:r w:rsidR="002C728D">
        <w:rPr>
          <w:rFonts w:eastAsia="Calibri" w:cs="Calibri"/>
          <w:color w:val="242424"/>
          <w:spacing w:val="-2"/>
          <w:sz w:val="22"/>
          <w:szCs w:val="22"/>
        </w:rPr>
        <w:t xml:space="preserve">, as well as </w:t>
      </w:r>
      <w:r w:rsidR="002C728D" w:rsidRPr="00DA76FF">
        <w:rPr>
          <w:rFonts w:eastAsia="Calibri" w:cs="Calibri"/>
          <w:color w:val="242424"/>
          <w:sz w:val="22"/>
          <w:szCs w:val="22"/>
        </w:rPr>
        <w:t xml:space="preserve">the </w:t>
      </w:r>
      <w:hyperlink r:id="rId225" w:anchor=":~:text=The%20Robotics%20for%20Good%20Youth%20Challenge%20is%20an%20UN%2Dbased,Sustainable%20Development%20Goals%20(SDGs)." w:history="1">
        <w:r w:rsidR="002C728D" w:rsidRPr="00DA76FF">
          <w:rPr>
            <w:rStyle w:val="Hyperlink"/>
            <w:rFonts w:eastAsia="Calibri" w:cs="Calibri"/>
            <w:sz w:val="22"/>
            <w:szCs w:val="22"/>
          </w:rPr>
          <w:t>Robotics for Youth Challenge India</w:t>
        </w:r>
      </w:hyperlink>
      <w:r w:rsidR="002C728D" w:rsidRPr="00DA76FF">
        <w:rPr>
          <w:rFonts w:eastAsia="Calibri" w:cs="Calibri"/>
          <w:color w:val="242424"/>
          <w:sz w:val="22"/>
          <w:szCs w:val="22"/>
        </w:rPr>
        <w:t>,</w:t>
      </w:r>
      <w:r w:rsidR="00A0343C">
        <w:rPr>
          <w:rFonts w:eastAsia="Calibri" w:cs="Calibri"/>
          <w:color w:val="242424"/>
          <w:sz w:val="22"/>
          <w:szCs w:val="22"/>
        </w:rPr>
        <w:t xml:space="preserve"> the</w:t>
      </w:r>
      <w:r w:rsidR="002C728D" w:rsidRPr="00DA76FF">
        <w:rPr>
          <w:rFonts w:eastAsia="Calibri" w:cs="Calibri"/>
          <w:color w:val="242424"/>
          <w:sz w:val="22"/>
          <w:szCs w:val="22"/>
        </w:rPr>
        <w:t xml:space="preserve"> </w:t>
      </w:r>
      <w:hyperlink r:id="rId226" w:history="1">
        <w:r w:rsidR="002C728D" w:rsidRPr="00DA76FF">
          <w:rPr>
            <w:rStyle w:val="Hyperlink"/>
            <w:rFonts w:eastAsia="Calibri" w:cs="Calibri"/>
            <w:sz w:val="22"/>
            <w:szCs w:val="22"/>
          </w:rPr>
          <w:t>two-day AI Bharat 5G/6G Sandbox Hackathon</w:t>
        </w:r>
      </w:hyperlink>
      <w:r w:rsidR="002C728D" w:rsidRPr="00DA76FF">
        <w:rPr>
          <w:rFonts w:eastAsia="Calibri" w:cs="Calibri"/>
          <w:color w:val="242424"/>
          <w:sz w:val="22"/>
          <w:szCs w:val="22"/>
        </w:rPr>
        <w:t xml:space="preserve"> that brought together students and young experts worldwide, </w:t>
      </w:r>
      <w:r w:rsidR="002C728D">
        <w:rPr>
          <w:rFonts w:eastAsia="Calibri" w:cs="Calibri"/>
          <w:color w:val="242424"/>
          <w:sz w:val="22"/>
          <w:szCs w:val="22"/>
        </w:rPr>
        <w:t xml:space="preserve">and the launch of </w:t>
      </w:r>
      <w:r w:rsidRPr="00DA76FF">
        <w:rPr>
          <w:rFonts w:eastAsia="Calibri" w:cs="Calibri"/>
          <w:color w:val="242424"/>
          <w:spacing w:val="-2"/>
          <w:sz w:val="22"/>
          <w:szCs w:val="22"/>
        </w:rPr>
        <w:t xml:space="preserve">the </w:t>
      </w:r>
      <w:hyperlink r:id="rId227" w:history="1">
        <w:r w:rsidRPr="00DA76FF">
          <w:rPr>
            <w:rStyle w:val="Hyperlink"/>
            <w:rFonts w:eastAsia="Calibri" w:cs="Calibri"/>
            <w:spacing w:val="-2"/>
            <w:sz w:val="22"/>
            <w:szCs w:val="22"/>
          </w:rPr>
          <w:t>Young AI Leaders Community</w:t>
        </w:r>
      </w:hyperlink>
      <w:r w:rsidRPr="00DA76FF">
        <w:rPr>
          <w:rFonts w:eastAsia="Calibri" w:cs="Calibri"/>
          <w:color w:val="242424"/>
          <w:spacing w:val="-2"/>
          <w:sz w:val="22"/>
          <w:szCs w:val="22"/>
        </w:rPr>
        <w:t xml:space="preserve"> platform to</w:t>
      </w:r>
      <w:r w:rsidRPr="00DA76FF">
        <w:rPr>
          <w:rFonts w:ascii="Times New Roman" w:eastAsia="Times New Roman" w:hAnsi="Times New Roman"/>
        </w:rPr>
        <w:t xml:space="preserve"> </w:t>
      </w:r>
      <w:r w:rsidRPr="00DA76FF">
        <w:rPr>
          <w:rFonts w:eastAsia="Calibri" w:cs="Calibri"/>
          <w:color w:val="242424"/>
          <w:spacing w:val="-2"/>
          <w:sz w:val="22"/>
          <w:szCs w:val="22"/>
        </w:rPr>
        <w:t>foster youth participation, collaboration, creativity, and leadership in driving the AI revolution.</w:t>
      </w:r>
    </w:p>
    <w:p w14:paraId="5D581EC4" w14:textId="601891F0" w:rsidR="00814173" w:rsidRPr="00DA76FF" w:rsidRDefault="00DE6EB2" w:rsidP="00462A0A">
      <w:pPr>
        <w:pStyle w:val="Heading2"/>
        <w:tabs>
          <w:tab w:val="clear" w:pos="567"/>
        </w:tabs>
        <w:spacing w:before="120" w:after="240"/>
        <w:rPr>
          <w:sz w:val="22"/>
          <w:szCs w:val="22"/>
        </w:rPr>
      </w:pPr>
      <w:bookmarkStart w:id="67" w:name="_Toc198569382"/>
      <w:r w:rsidRPr="00DA76FF">
        <w:t>5.3.3</w:t>
      </w:r>
      <w:r w:rsidRPr="00DA76FF">
        <w:tab/>
      </w:r>
      <w:r w:rsidR="008C207F" w:rsidRPr="00DA76FF">
        <w:t>ICT</w:t>
      </w:r>
      <w:r w:rsidR="004D062D">
        <w:t xml:space="preserve"> a</w:t>
      </w:r>
      <w:r w:rsidR="008C207F" w:rsidRPr="00DA76FF">
        <w:t>ccessibility</w:t>
      </w:r>
      <w:bookmarkEnd w:id="67"/>
    </w:p>
    <w:p w14:paraId="7C414BD9" w14:textId="1795A1E1" w:rsidR="00814173" w:rsidRPr="00DA76FF" w:rsidRDefault="00814173" w:rsidP="00814173">
      <w:pPr>
        <w:spacing w:after="120"/>
        <w:jc w:val="center"/>
        <w:rPr>
          <w:sz w:val="22"/>
          <w:szCs w:val="22"/>
        </w:rPr>
      </w:pPr>
      <w:r w:rsidRPr="00DA76FF">
        <w:rPr>
          <w:noProof/>
          <w:sz w:val="22"/>
          <w:szCs w:val="22"/>
        </w:rPr>
        <w:drawing>
          <wp:inline distT="0" distB="0" distL="0" distR="0" wp14:anchorId="6520AF8A" wp14:editId="3B059457">
            <wp:extent cx="4001414" cy="2408616"/>
            <wp:effectExtent l="0" t="0" r="0" b="0"/>
            <wp:docPr id="63183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001414" cy="2408616"/>
                    </a:xfrm>
                    <a:prstGeom prst="rect">
                      <a:avLst/>
                    </a:prstGeom>
                    <a:noFill/>
                  </pic:spPr>
                </pic:pic>
              </a:graphicData>
            </a:graphic>
          </wp:inline>
        </w:drawing>
      </w:r>
    </w:p>
    <w:p w14:paraId="0A5A4A10" w14:textId="67E0C287" w:rsidR="004D048E" w:rsidRPr="00DA76FF" w:rsidRDefault="007313B9" w:rsidP="007313B9">
      <w:pPr>
        <w:spacing w:after="120"/>
        <w:jc w:val="center"/>
        <w:rPr>
          <w:sz w:val="18"/>
          <w:szCs w:val="18"/>
        </w:rPr>
      </w:pPr>
      <w:r w:rsidRPr="00DA76FF">
        <w:rPr>
          <w:sz w:val="18"/>
          <w:szCs w:val="18"/>
        </w:rPr>
        <w:t>Source ITU</w:t>
      </w:r>
    </w:p>
    <w:p w14:paraId="2BF0EF8F" w14:textId="3CCE899C" w:rsidR="00CF0675" w:rsidRPr="00DA76FF" w:rsidRDefault="00CF0675" w:rsidP="00462A0A">
      <w:pPr>
        <w:spacing w:after="120"/>
        <w:jc w:val="both"/>
        <w:rPr>
          <w:sz w:val="22"/>
          <w:szCs w:val="22"/>
        </w:rPr>
      </w:pPr>
      <w:r w:rsidRPr="00DA76FF">
        <w:rPr>
          <w:sz w:val="22"/>
          <w:szCs w:val="22"/>
        </w:rPr>
        <w:t xml:space="preserve">In 2024, the number of countries with a regulatory framework to ensure </w:t>
      </w:r>
      <w:r w:rsidR="00D81DA6">
        <w:rPr>
          <w:sz w:val="22"/>
          <w:szCs w:val="22"/>
        </w:rPr>
        <w:t>tech</w:t>
      </w:r>
      <w:r w:rsidRPr="00DA76FF">
        <w:rPr>
          <w:sz w:val="22"/>
          <w:szCs w:val="22"/>
        </w:rPr>
        <w:t xml:space="preserve"> accessibility for </w:t>
      </w:r>
      <w:r w:rsidR="005B72E3">
        <w:rPr>
          <w:sz w:val="22"/>
          <w:szCs w:val="22"/>
        </w:rPr>
        <w:t>persons with disabilities</w:t>
      </w:r>
      <w:r w:rsidR="005B72E3" w:rsidRPr="00DA76FF">
        <w:rPr>
          <w:sz w:val="22"/>
          <w:szCs w:val="22"/>
        </w:rPr>
        <w:t xml:space="preserve"> </w:t>
      </w:r>
      <w:r w:rsidRPr="00DA76FF">
        <w:rPr>
          <w:sz w:val="22"/>
          <w:szCs w:val="22"/>
        </w:rPr>
        <w:t>increased by 8.5</w:t>
      </w:r>
      <w:r w:rsidR="00AB77FE">
        <w:rPr>
          <w:sz w:val="22"/>
          <w:szCs w:val="22"/>
        </w:rPr>
        <w:t xml:space="preserve"> per cent</w:t>
      </w:r>
      <w:r w:rsidRPr="00DA76FF">
        <w:rPr>
          <w:sz w:val="22"/>
          <w:szCs w:val="22"/>
        </w:rPr>
        <w:t>, reaching a total of 127 countries. This marks a significant development after three years of stagnation at 117 countries.</w:t>
      </w:r>
    </w:p>
    <w:p w14:paraId="4631E82F" w14:textId="05D89D63" w:rsidR="008C207F" w:rsidRPr="00DA76FF" w:rsidRDefault="00D81DA6" w:rsidP="00B96F88">
      <w:pPr>
        <w:spacing w:after="120"/>
        <w:jc w:val="both"/>
        <w:rPr>
          <w:sz w:val="22"/>
          <w:szCs w:val="22"/>
        </w:rPr>
      </w:pPr>
      <w:r>
        <w:rPr>
          <w:sz w:val="22"/>
          <w:szCs w:val="22"/>
        </w:rPr>
        <w:lastRenderedPageBreak/>
        <w:t>Digital</w:t>
      </w:r>
      <w:r w:rsidR="008C207F" w:rsidRPr="00DA76FF">
        <w:rPr>
          <w:sz w:val="22"/>
          <w:szCs w:val="22"/>
        </w:rPr>
        <w:t xml:space="preserve"> </w:t>
      </w:r>
      <w:r>
        <w:rPr>
          <w:sz w:val="22"/>
          <w:szCs w:val="22"/>
        </w:rPr>
        <w:t>technologies</w:t>
      </w:r>
      <w:r w:rsidRPr="00DA76FF">
        <w:rPr>
          <w:sz w:val="22"/>
          <w:szCs w:val="22"/>
        </w:rPr>
        <w:t xml:space="preserve"> </w:t>
      </w:r>
      <w:r w:rsidR="008C207F" w:rsidRPr="00DA76FF">
        <w:rPr>
          <w:sz w:val="22"/>
          <w:szCs w:val="22"/>
        </w:rPr>
        <w:t>should be not only be available and affordable, but also accessible, designed to meet the needs and abilities of all people</w:t>
      </w:r>
      <w:r w:rsidR="0098029F">
        <w:rPr>
          <w:sz w:val="22"/>
          <w:szCs w:val="22"/>
        </w:rPr>
        <w:t xml:space="preserve"> </w:t>
      </w:r>
      <w:r w:rsidR="008C207F" w:rsidRPr="00DA76FF">
        <w:rPr>
          <w:sz w:val="22"/>
          <w:szCs w:val="22"/>
        </w:rPr>
        <w:t>– including those with disabilities. Adopting an intersectional approach, the Telecommunication Development Bureau's</w:t>
      </w:r>
      <w:r w:rsidR="001C5BE9">
        <w:rPr>
          <w:sz w:val="22"/>
          <w:szCs w:val="22"/>
        </w:rPr>
        <w:t xml:space="preserve"> </w:t>
      </w:r>
      <w:r w:rsidR="008C207F" w:rsidRPr="00DA76FF">
        <w:rPr>
          <w:sz w:val="22"/>
          <w:szCs w:val="22"/>
        </w:rPr>
        <w:t>ICT/digital accessibility work encompasses key</w:t>
      </w:r>
      <w:r w:rsidR="001C5BE9">
        <w:rPr>
          <w:sz w:val="22"/>
          <w:szCs w:val="22"/>
        </w:rPr>
        <w:t xml:space="preserve"> </w:t>
      </w:r>
      <w:r w:rsidR="008C207F" w:rsidRPr="00DA76FF">
        <w:rPr>
          <w:sz w:val="22"/>
          <w:szCs w:val="22"/>
        </w:rPr>
        <w:t>activities, events, tools, and resources to strengthen capacities</w:t>
      </w:r>
      <w:r w:rsidR="003348B3">
        <w:rPr>
          <w:sz w:val="22"/>
          <w:szCs w:val="22"/>
        </w:rPr>
        <w:t>,</w:t>
      </w:r>
      <w:r w:rsidR="008C207F" w:rsidRPr="00DA76FF">
        <w:rPr>
          <w:sz w:val="22"/>
          <w:szCs w:val="22"/>
        </w:rPr>
        <w:t xml:space="preserve"> enhance communication, </w:t>
      </w:r>
      <w:r w:rsidR="003348B3">
        <w:rPr>
          <w:sz w:val="22"/>
          <w:szCs w:val="22"/>
        </w:rPr>
        <w:t xml:space="preserve">and help </w:t>
      </w:r>
      <w:r w:rsidR="008C207F" w:rsidRPr="00DA76FF">
        <w:rPr>
          <w:sz w:val="22"/>
          <w:szCs w:val="22"/>
        </w:rPr>
        <w:t>build a prosperous digital future for all.</w:t>
      </w:r>
    </w:p>
    <w:p w14:paraId="03A535FC" w14:textId="452563E5" w:rsidR="008C207F" w:rsidRPr="00DA76FF" w:rsidRDefault="00566305" w:rsidP="00B96F88">
      <w:pPr>
        <w:spacing w:after="120"/>
        <w:jc w:val="both"/>
        <w:rPr>
          <w:sz w:val="22"/>
          <w:szCs w:val="22"/>
        </w:rPr>
      </w:pPr>
      <w:r>
        <w:rPr>
          <w:sz w:val="22"/>
          <w:szCs w:val="22"/>
        </w:rPr>
        <w:t>The</w:t>
      </w:r>
      <w:r w:rsidR="008C207F" w:rsidRPr="00DA76FF">
        <w:rPr>
          <w:sz w:val="22"/>
          <w:szCs w:val="22"/>
        </w:rPr>
        <w:t xml:space="preserve"> </w:t>
      </w:r>
      <w:r w:rsidR="00505366" w:rsidRPr="001F5216">
        <w:rPr>
          <w:sz w:val="22"/>
          <w:szCs w:val="22"/>
        </w:rPr>
        <w:t>valuable accessibility resources,</w:t>
      </w:r>
      <w:r>
        <w:rPr>
          <w:sz w:val="22"/>
          <w:szCs w:val="22"/>
        </w:rPr>
        <w:t xml:space="preserve"> such as</w:t>
      </w:r>
      <w:r w:rsidR="008C207F" w:rsidRPr="00DA76FF">
        <w:rPr>
          <w:sz w:val="22"/>
          <w:szCs w:val="22"/>
        </w:rPr>
        <w:t xml:space="preserve"> </w:t>
      </w:r>
      <w:r w:rsidR="009131D2">
        <w:rPr>
          <w:sz w:val="22"/>
          <w:szCs w:val="22"/>
        </w:rPr>
        <w:t>g</w:t>
      </w:r>
      <w:r w:rsidR="008C207F" w:rsidRPr="00DA76FF">
        <w:rPr>
          <w:sz w:val="22"/>
          <w:szCs w:val="22"/>
        </w:rPr>
        <w:t xml:space="preserve">uidelines, </w:t>
      </w:r>
      <w:r w:rsidR="009131D2">
        <w:rPr>
          <w:sz w:val="22"/>
          <w:szCs w:val="22"/>
        </w:rPr>
        <w:t>t</w:t>
      </w:r>
      <w:r w:rsidR="008C207F" w:rsidRPr="00DA76FF">
        <w:rPr>
          <w:sz w:val="22"/>
          <w:szCs w:val="22"/>
        </w:rPr>
        <w:t xml:space="preserve">oolkits and </w:t>
      </w:r>
      <w:r w:rsidR="009131D2">
        <w:rPr>
          <w:sz w:val="22"/>
          <w:szCs w:val="22"/>
        </w:rPr>
        <w:t>r</w:t>
      </w:r>
      <w:r w:rsidR="008C207F" w:rsidRPr="00DA76FF">
        <w:rPr>
          <w:sz w:val="22"/>
          <w:szCs w:val="22"/>
        </w:rPr>
        <w:t xml:space="preserve">eports, </w:t>
      </w:r>
      <w:r w:rsidR="009131D2">
        <w:rPr>
          <w:sz w:val="22"/>
          <w:szCs w:val="22"/>
        </w:rPr>
        <w:t>t</w:t>
      </w:r>
      <w:r w:rsidR="008C207F" w:rsidRPr="00DA76FF">
        <w:rPr>
          <w:sz w:val="22"/>
          <w:szCs w:val="22"/>
        </w:rPr>
        <w:t xml:space="preserve">raining </w:t>
      </w:r>
      <w:r w:rsidR="009131D2">
        <w:rPr>
          <w:sz w:val="22"/>
          <w:szCs w:val="22"/>
        </w:rPr>
        <w:t>and</w:t>
      </w:r>
      <w:r w:rsidR="008C207F" w:rsidRPr="00DA76FF">
        <w:rPr>
          <w:sz w:val="22"/>
          <w:szCs w:val="22"/>
        </w:rPr>
        <w:t xml:space="preserve"> </w:t>
      </w:r>
      <w:r w:rsidR="009131D2">
        <w:rPr>
          <w:sz w:val="22"/>
          <w:szCs w:val="22"/>
        </w:rPr>
        <w:t>k</w:t>
      </w:r>
      <w:r w:rsidR="008C207F" w:rsidRPr="00DA76FF">
        <w:rPr>
          <w:sz w:val="22"/>
          <w:szCs w:val="22"/>
        </w:rPr>
        <w:t xml:space="preserve">nowledge </w:t>
      </w:r>
      <w:r w:rsidR="009131D2">
        <w:rPr>
          <w:sz w:val="22"/>
          <w:szCs w:val="22"/>
        </w:rPr>
        <w:t>d</w:t>
      </w:r>
      <w:r w:rsidR="008C207F" w:rsidRPr="00DA76FF">
        <w:rPr>
          <w:sz w:val="22"/>
          <w:szCs w:val="22"/>
        </w:rPr>
        <w:t xml:space="preserve">evelopment </w:t>
      </w:r>
      <w:r w:rsidR="009131D2">
        <w:rPr>
          <w:sz w:val="22"/>
          <w:szCs w:val="22"/>
        </w:rPr>
        <w:t>p</w:t>
      </w:r>
      <w:r w:rsidR="008C207F" w:rsidRPr="00DA76FF">
        <w:rPr>
          <w:sz w:val="22"/>
          <w:szCs w:val="22"/>
        </w:rPr>
        <w:t xml:space="preserve">rogrammes; </w:t>
      </w:r>
      <w:r w:rsidR="009131D2">
        <w:rPr>
          <w:sz w:val="22"/>
          <w:szCs w:val="22"/>
        </w:rPr>
        <w:t>v</w:t>
      </w:r>
      <w:r w:rsidR="008C207F" w:rsidRPr="00DA76FF">
        <w:rPr>
          <w:sz w:val="22"/>
          <w:szCs w:val="22"/>
        </w:rPr>
        <w:t xml:space="preserve">ideo </w:t>
      </w:r>
      <w:r>
        <w:rPr>
          <w:sz w:val="22"/>
          <w:szCs w:val="22"/>
        </w:rPr>
        <w:t>t</w:t>
      </w:r>
      <w:r w:rsidR="008C207F" w:rsidRPr="00DA76FF">
        <w:rPr>
          <w:sz w:val="22"/>
          <w:szCs w:val="22"/>
        </w:rPr>
        <w:t xml:space="preserve">utorials, </w:t>
      </w:r>
      <w:r>
        <w:rPr>
          <w:sz w:val="22"/>
          <w:szCs w:val="22"/>
        </w:rPr>
        <w:t>and more</w:t>
      </w:r>
      <w:r w:rsidR="008C207F" w:rsidRPr="00DA76FF">
        <w:rPr>
          <w:sz w:val="22"/>
          <w:szCs w:val="22"/>
        </w:rPr>
        <w:t>.</w:t>
      </w:r>
    </w:p>
    <w:p w14:paraId="7414C608" w14:textId="30D56633" w:rsidR="008C207F" w:rsidRPr="00DA76FF" w:rsidRDefault="008C207F" w:rsidP="00B96F88">
      <w:pPr>
        <w:spacing w:after="120"/>
        <w:jc w:val="both"/>
        <w:rPr>
          <w:sz w:val="22"/>
          <w:szCs w:val="22"/>
        </w:rPr>
      </w:pPr>
      <w:r w:rsidRPr="00DA76FF">
        <w:rPr>
          <w:sz w:val="22"/>
          <w:szCs w:val="22"/>
        </w:rPr>
        <w:t xml:space="preserve">In 2024, </w:t>
      </w:r>
      <w:r w:rsidR="004B1641">
        <w:rPr>
          <w:sz w:val="22"/>
          <w:szCs w:val="22"/>
        </w:rPr>
        <w:t>the ITU Academy programme attracted</w:t>
      </w:r>
      <w:r w:rsidR="005B72E3">
        <w:rPr>
          <w:sz w:val="22"/>
          <w:szCs w:val="22"/>
        </w:rPr>
        <w:t xml:space="preserve"> </w:t>
      </w:r>
      <w:r w:rsidRPr="00DA76FF">
        <w:rPr>
          <w:sz w:val="22"/>
          <w:szCs w:val="22"/>
        </w:rPr>
        <w:t>1</w:t>
      </w:r>
      <w:r w:rsidR="001C5BE9">
        <w:rPr>
          <w:sz w:val="22"/>
          <w:szCs w:val="22"/>
        </w:rPr>
        <w:t> </w:t>
      </w:r>
      <w:r w:rsidRPr="00DA76FF">
        <w:rPr>
          <w:sz w:val="22"/>
          <w:szCs w:val="22"/>
        </w:rPr>
        <w:t>055 participants from 144 countries, with 74</w:t>
      </w:r>
      <w:r w:rsidRPr="00DA76FF">
        <w:t xml:space="preserve"> </w:t>
      </w:r>
      <w:r w:rsidRPr="00DA76FF">
        <w:rPr>
          <w:sz w:val="22"/>
          <w:szCs w:val="22"/>
        </w:rPr>
        <w:t>per cent from developing countries and 42</w:t>
      </w:r>
      <w:r w:rsidRPr="00DA76FF">
        <w:t xml:space="preserve"> </w:t>
      </w:r>
      <w:r w:rsidRPr="00DA76FF">
        <w:rPr>
          <w:sz w:val="22"/>
          <w:szCs w:val="22"/>
        </w:rPr>
        <w:t>per cent women, registered in online self-paced and tutor-led training courses on topics</w:t>
      </w:r>
      <w:r w:rsidR="003348B3">
        <w:rPr>
          <w:sz w:val="22"/>
          <w:szCs w:val="22"/>
        </w:rPr>
        <w:t xml:space="preserve"> related to digital access</w:t>
      </w:r>
      <w:r w:rsidRPr="00DA76FF">
        <w:rPr>
          <w:sz w:val="22"/>
          <w:szCs w:val="22"/>
        </w:rPr>
        <w:t xml:space="preserve">. </w:t>
      </w:r>
      <w:r w:rsidR="005D7CAB" w:rsidRPr="00DA76FF">
        <w:rPr>
          <w:sz w:val="22"/>
          <w:szCs w:val="22"/>
        </w:rPr>
        <w:t>Th</w:t>
      </w:r>
      <w:r w:rsidR="005D7CAB">
        <w:rPr>
          <w:sz w:val="22"/>
          <w:szCs w:val="22"/>
        </w:rPr>
        <w:t>ese</w:t>
      </w:r>
      <w:r w:rsidR="005D7CAB" w:rsidRPr="00DA76FF">
        <w:rPr>
          <w:sz w:val="22"/>
          <w:szCs w:val="22"/>
        </w:rPr>
        <w:t xml:space="preserve"> </w:t>
      </w:r>
      <w:r w:rsidRPr="00DA76FF">
        <w:rPr>
          <w:sz w:val="22"/>
          <w:szCs w:val="22"/>
        </w:rPr>
        <w:t xml:space="preserve">included accessibility </w:t>
      </w:r>
      <w:r w:rsidR="005D7CAB">
        <w:rPr>
          <w:sz w:val="22"/>
          <w:szCs w:val="22"/>
        </w:rPr>
        <w:t xml:space="preserve">in </w:t>
      </w:r>
      <w:r w:rsidR="00D91853">
        <w:rPr>
          <w:sz w:val="22"/>
          <w:szCs w:val="22"/>
        </w:rPr>
        <w:t>websites,</w:t>
      </w:r>
      <w:r w:rsidRPr="00DA76FF">
        <w:rPr>
          <w:sz w:val="22"/>
          <w:szCs w:val="22"/>
        </w:rPr>
        <w:t xml:space="preserve"> crisis and emergency</w:t>
      </w:r>
      <w:r w:rsidR="00D91853">
        <w:rPr>
          <w:sz w:val="22"/>
          <w:szCs w:val="22"/>
        </w:rPr>
        <w:t xml:space="preserve"> communications, and </w:t>
      </w:r>
      <w:r w:rsidR="005D7CAB">
        <w:rPr>
          <w:sz w:val="22"/>
          <w:szCs w:val="22"/>
        </w:rPr>
        <w:t>other digital</w:t>
      </w:r>
      <w:r w:rsidR="00D91853">
        <w:rPr>
          <w:sz w:val="22"/>
          <w:szCs w:val="22"/>
        </w:rPr>
        <w:t xml:space="preserve"> interaction</w:t>
      </w:r>
      <w:r w:rsidR="005D7CAB">
        <w:rPr>
          <w:sz w:val="22"/>
          <w:szCs w:val="22"/>
        </w:rPr>
        <w:t>s</w:t>
      </w:r>
      <w:r w:rsidRPr="00DA76FF">
        <w:rPr>
          <w:sz w:val="22"/>
          <w:szCs w:val="22"/>
        </w:rPr>
        <w:t>, build</w:t>
      </w:r>
      <w:r w:rsidR="005D7CAB">
        <w:rPr>
          <w:sz w:val="22"/>
          <w:szCs w:val="22"/>
        </w:rPr>
        <w:t>ing</w:t>
      </w:r>
      <w:r w:rsidRPr="00DA76FF">
        <w:rPr>
          <w:sz w:val="22"/>
          <w:szCs w:val="22"/>
        </w:rPr>
        <w:t xml:space="preserve"> </w:t>
      </w:r>
      <w:r w:rsidR="005D7CAB">
        <w:rPr>
          <w:sz w:val="22"/>
          <w:szCs w:val="22"/>
        </w:rPr>
        <w:t>smart</w:t>
      </w:r>
      <w:r w:rsidR="005D7CAB" w:rsidRPr="00DA76FF">
        <w:rPr>
          <w:sz w:val="22"/>
          <w:szCs w:val="22"/>
        </w:rPr>
        <w:t xml:space="preserve"> </w:t>
      </w:r>
      <w:r w:rsidRPr="00DA76FF">
        <w:rPr>
          <w:sz w:val="22"/>
          <w:szCs w:val="22"/>
        </w:rPr>
        <w:t xml:space="preserve">cities for all people, </w:t>
      </w:r>
      <w:r w:rsidR="005D7CAB">
        <w:rPr>
          <w:sz w:val="22"/>
          <w:szCs w:val="22"/>
        </w:rPr>
        <w:t>issues</w:t>
      </w:r>
      <w:r w:rsidRPr="00DA76FF">
        <w:rPr>
          <w:sz w:val="22"/>
          <w:szCs w:val="22"/>
        </w:rPr>
        <w:t xml:space="preserve"> related to ageing in the </w:t>
      </w:r>
      <w:r w:rsidR="005D7CAB">
        <w:rPr>
          <w:sz w:val="22"/>
          <w:szCs w:val="22"/>
        </w:rPr>
        <w:t>d</w:t>
      </w:r>
      <w:r w:rsidRPr="00DA76FF">
        <w:rPr>
          <w:sz w:val="22"/>
          <w:szCs w:val="22"/>
        </w:rPr>
        <w:t xml:space="preserve">igital </w:t>
      </w:r>
      <w:r w:rsidR="005D7CAB">
        <w:rPr>
          <w:sz w:val="22"/>
          <w:szCs w:val="22"/>
        </w:rPr>
        <w:t>a</w:t>
      </w:r>
      <w:r w:rsidRPr="00DA76FF">
        <w:rPr>
          <w:sz w:val="22"/>
          <w:szCs w:val="22"/>
        </w:rPr>
        <w:t>ge, and strategies to ensure connectivity in rural, remote, and Indigenous communities. Online self-paced training</w:t>
      </w:r>
      <w:r w:rsidR="00AE4BC0">
        <w:rPr>
          <w:sz w:val="22"/>
          <w:szCs w:val="22"/>
        </w:rPr>
        <w:t xml:space="preserve"> sessions</w:t>
      </w:r>
      <w:r w:rsidRPr="00DA76FF">
        <w:rPr>
          <w:sz w:val="22"/>
          <w:szCs w:val="22"/>
        </w:rPr>
        <w:t xml:space="preserve"> delivered through the ITU Academy are free of charge </w:t>
      </w:r>
      <w:r w:rsidR="00AE4BC0">
        <w:rPr>
          <w:sz w:val="22"/>
          <w:szCs w:val="22"/>
        </w:rPr>
        <w:t xml:space="preserve">and </w:t>
      </w:r>
      <w:r w:rsidRPr="00DA76FF">
        <w:rPr>
          <w:sz w:val="22"/>
          <w:szCs w:val="22"/>
        </w:rPr>
        <w:t>available in multiple UN languages and digitally accessible formats, making them also accessible to deaf and blind persons.</w:t>
      </w:r>
    </w:p>
    <w:p w14:paraId="280CF982" w14:textId="4818B208" w:rsidR="008C207F" w:rsidRPr="00DA76FF" w:rsidRDefault="00DE6EB2" w:rsidP="00B96F88">
      <w:pPr>
        <w:pStyle w:val="Heading2"/>
        <w:tabs>
          <w:tab w:val="clear" w:pos="567"/>
        </w:tabs>
        <w:spacing w:before="120" w:after="120"/>
      </w:pPr>
      <w:bookmarkStart w:id="68" w:name="_Toc198569383"/>
      <w:r w:rsidRPr="00DA76FF">
        <w:t>5.3.</w:t>
      </w:r>
      <w:r w:rsidR="00305ADF">
        <w:t>4</w:t>
      </w:r>
      <w:r w:rsidRPr="00DA76FF">
        <w:tab/>
      </w:r>
      <w:r w:rsidR="003942B4">
        <w:t>S</w:t>
      </w:r>
      <w:r w:rsidR="00F84CDB">
        <w:t>upport for a</w:t>
      </w:r>
      <w:r w:rsidR="008C207F" w:rsidRPr="00DA76FF">
        <w:t>geing populations</w:t>
      </w:r>
      <w:bookmarkEnd w:id="68"/>
    </w:p>
    <w:p w14:paraId="14CCB17E" w14:textId="0D73EA28" w:rsidR="008C207F" w:rsidRDefault="00CA5634" w:rsidP="00B96F88">
      <w:pPr>
        <w:spacing w:after="120"/>
        <w:jc w:val="both"/>
        <w:rPr>
          <w:rFonts w:eastAsia="Calibri"/>
          <w:sz w:val="22"/>
          <w:szCs w:val="22"/>
        </w:rPr>
      </w:pPr>
      <w:r w:rsidRPr="00DA76FF">
        <w:rPr>
          <w:rFonts w:eastAsia="Calibri"/>
          <w:sz w:val="22"/>
          <w:szCs w:val="22"/>
        </w:rPr>
        <w:t xml:space="preserve">Examples of activities in progress are: </w:t>
      </w:r>
      <w:r w:rsidR="00EC7B50">
        <w:rPr>
          <w:rFonts w:eastAsia="Calibri"/>
          <w:sz w:val="22"/>
          <w:szCs w:val="22"/>
        </w:rPr>
        <w:t>d</w:t>
      </w:r>
      <w:r w:rsidR="00DF4AFA" w:rsidRPr="00DA76FF">
        <w:rPr>
          <w:rFonts w:eastAsia="Calibri"/>
          <w:sz w:val="22"/>
          <w:szCs w:val="22"/>
        </w:rPr>
        <w:t xml:space="preserve">eveloping digital skills in Gran Chaco </w:t>
      </w:r>
      <w:r w:rsidR="00606F15">
        <w:rPr>
          <w:rFonts w:eastAsia="Calibri"/>
          <w:sz w:val="22"/>
          <w:szCs w:val="22"/>
        </w:rPr>
        <w:t>(</w:t>
      </w:r>
      <w:r w:rsidR="00606F15" w:rsidRPr="00606F15">
        <w:rPr>
          <w:rFonts w:eastAsia="Calibri"/>
          <w:sz w:val="22"/>
          <w:szCs w:val="22"/>
        </w:rPr>
        <w:t>Argentina, Bolivia and Paraguay</w:t>
      </w:r>
      <w:r w:rsidR="00606F15">
        <w:rPr>
          <w:rFonts w:eastAsia="Calibri"/>
          <w:sz w:val="22"/>
          <w:szCs w:val="22"/>
        </w:rPr>
        <w:t xml:space="preserve">) </w:t>
      </w:r>
      <w:r w:rsidR="006A572D" w:rsidRPr="00DA76FF">
        <w:rPr>
          <w:rFonts w:eastAsia="Calibri"/>
          <w:sz w:val="22"/>
          <w:szCs w:val="22"/>
        </w:rPr>
        <w:t>and</w:t>
      </w:r>
      <w:r w:rsidR="00EC7B50">
        <w:rPr>
          <w:rFonts w:eastAsia="Calibri"/>
          <w:sz w:val="22"/>
          <w:szCs w:val="22"/>
        </w:rPr>
        <w:t xml:space="preserve"> </w:t>
      </w:r>
      <w:r w:rsidR="00DF4AFA" w:rsidRPr="00DA76FF">
        <w:rPr>
          <w:rFonts w:eastAsia="Calibri"/>
          <w:sz w:val="22"/>
          <w:szCs w:val="22"/>
        </w:rPr>
        <w:t xml:space="preserve">ICT Network Management </w:t>
      </w:r>
      <w:r w:rsidR="00C05DF0">
        <w:rPr>
          <w:rFonts w:eastAsia="Calibri"/>
          <w:sz w:val="22"/>
          <w:szCs w:val="22"/>
        </w:rPr>
        <w:t xml:space="preserve">training </w:t>
      </w:r>
      <w:r w:rsidR="00DF4AFA" w:rsidRPr="00DA76FF">
        <w:rPr>
          <w:rFonts w:eastAsia="Calibri"/>
          <w:sz w:val="22"/>
          <w:szCs w:val="22"/>
        </w:rPr>
        <w:t>in Latin America</w:t>
      </w:r>
      <w:r w:rsidR="00C05DF0">
        <w:rPr>
          <w:rFonts w:eastAsia="Calibri"/>
          <w:sz w:val="22"/>
          <w:szCs w:val="22"/>
        </w:rPr>
        <w:t>,</w:t>
      </w:r>
      <w:r w:rsidR="006A572D" w:rsidRPr="00DA76FF">
        <w:rPr>
          <w:rFonts w:eastAsia="Calibri"/>
          <w:sz w:val="22"/>
          <w:szCs w:val="22"/>
        </w:rPr>
        <w:t xml:space="preserve"> train</w:t>
      </w:r>
      <w:r w:rsidR="001016D3" w:rsidRPr="00DA76FF">
        <w:rPr>
          <w:rFonts w:eastAsia="Calibri"/>
          <w:sz w:val="22"/>
          <w:szCs w:val="22"/>
        </w:rPr>
        <w:t>ing</w:t>
      </w:r>
      <w:r w:rsidR="006A572D" w:rsidRPr="00DA76FF">
        <w:rPr>
          <w:rFonts w:eastAsia="Calibri"/>
          <w:sz w:val="22"/>
          <w:szCs w:val="22"/>
        </w:rPr>
        <w:t xml:space="preserve"> people from indigenous and rural communities </w:t>
      </w:r>
      <w:r w:rsidR="00D66683">
        <w:rPr>
          <w:rFonts w:eastAsia="Calibri"/>
          <w:sz w:val="22"/>
          <w:szCs w:val="22"/>
        </w:rPr>
        <w:t xml:space="preserve">in network management, with an emphasis on </w:t>
      </w:r>
      <w:r w:rsidR="006A572D" w:rsidRPr="00DA76FF">
        <w:rPr>
          <w:rFonts w:eastAsia="Calibri"/>
          <w:sz w:val="22"/>
          <w:szCs w:val="22"/>
        </w:rPr>
        <w:t>connectivity</w:t>
      </w:r>
      <w:r w:rsidR="00D66683">
        <w:rPr>
          <w:rFonts w:eastAsia="Calibri"/>
          <w:sz w:val="22"/>
          <w:szCs w:val="22"/>
        </w:rPr>
        <w:t>,</w:t>
      </w:r>
      <w:r w:rsidR="006A572D" w:rsidRPr="00DA76FF">
        <w:rPr>
          <w:rFonts w:eastAsia="Calibri"/>
          <w:sz w:val="22"/>
          <w:szCs w:val="22"/>
        </w:rPr>
        <w:t xml:space="preserve"> community media, </w:t>
      </w:r>
      <w:r w:rsidR="00D66683">
        <w:rPr>
          <w:rFonts w:eastAsia="Calibri"/>
          <w:sz w:val="22"/>
          <w:szCs w:val="22"/>
        </w:rPr>
        <w:t xml:space="preserve">maintaining local projects and </w:t>
      </w:r>
      <w:r w:rsidR="00AB621F">
        <w:rPr>
          <w:rFonts w:eastAsia="Calibri"/>
          <w:sz w:val="22"/>
          <w:szCs w:val="22"/>
        </w:rPr>
        <w:t xml:space="preserve">indigenous </w:t>
      </w:r>
      <w:r w:rsidR="00D66683">
        <w:rPr>
          <w:rFonts w:eastAsia="Calibri"/>
          <w:sz w:val="22"/>
          <w:szCs w:val="22"/>
        </w:rPr>
        <w:t>networks</w:t>
      </w:r>
      <w:r w:rsidR="006A572D" w:rsidRPr="00DA76FF">
        <w:rPr>
          <w:rFonts w:eastAsia="Calibri"/>
          <w:sz w:val="22"/>
          <w:szCs w:val="22"/>
        </w:rPr>
        <w:t>.</w:t>
      </w:r>
    </w:p>
    <w:p w14:paraId="164243BD" w14:textId="09E79329" w:rsidR="00F713F5" w:rsidRPr="00DA76FF" w:rsidRDefault="006C1647" w:rsidP="00B96F88">
      <w:pPr>
        <w:pStyle w:val="Heading2"/>
        <w:tabs>
          <w:tab w:val="clear" w:pos="567"/>
        </w:tabs>
        <w:spacing w:before="360" w:after="120"/>
      </w:pPr>
      <w:bookmarkStart w:id="69" w:name="_Toc198569384"/>
      <w:r w:rsidRPr="00DA76FF">
        <w:t>5</w:t>
      </w:r>
      <w:r w:rsidR="00B20AB6" w:rsidRPr="00DA76FF">
        <w:t>.4</w:t>
      </w:r>
      <w:r w:rsidR="00B20AB6" w:rsidRPr="00DA76FF">
        <w:tab/>
      </w:r>
      <w:r w:rsidR="00302C68" w:rsidRPr="00DA76FF">
        <w:t>Commitment to environmental sustainability</w:t>
      </w:r>
      <w:bookmarkEnd w:id="69"/>
    </w:p>
    <w:p w14:paraId="39013312" w14:textId="77777777" w:rsidR="0062274B" w:rsidRPr="00DA76FF" w:rsidRDefault="0062274B" w:rsidP="00B96F88">
      <w:pPr>
        <w:spacing w:after="120"/>
        <w:rPr>
          <w:b/>
          <w:bCs/>
          <w:sz w:val="20"/>
          <w:szCs w:val="16"/>
          <w:lang w:eastAsia="en-GB"/>
        </w:rPr>
      </w:pPr>
      <w:r w:rsidRPr="00DA76FF">
        <w:rPr>
          <w:b/>
          <w:bCs/>
          <w:sz w:val="22"/>
          <w:szCs w:val="18"/>
          <w:lang w:eastAsia="en-GB"/>
        </w:rPr>
        <w:t>Climate and environment: Monitoring and cutting emissions and e-waste</w:t>
      </w:r>
    </w:p>
    <w:p w14:paraId="6D8B4A92" w14:textId="2B46421D" w:rsidR="004B398A" w:rsidRDefault="0062274B" w:rsidP="00B96F88">
      <w:pPr>
        <w:spacing w:after="120"/>
        <w:jc w:val="both"/>
        <w:rPr>
          <w:rFonts w:asciiTheme="minorHAnsi" w:eastAsiaTheme="minorEastAsia" w:hAnsiTheme="minorHAnsi" w:cstheme="minorHAnsi"/>
          <w:kern w:val="2"/>
          <w:sz w:val="22"/>
          <w:szCs w:val="22"/>
          <w:lang w:eastAsia="zh-CN"/>
          <w14:ligatures w14:val="standardContextual"/>
        </w:rPr>
      </w:pPr>
      <w:r w:rsidRPr="00DA76FF">
        <w:rPr>
          <w:rFonts w:asciiTheme="minorHAnsi" w:eastAsiaTheme="minorEastAsia" w:hAnsiTheme="minorHAnsi" w:cstheme="minorHAnsi"/>
          <w:kern w:val="2"/>
          <w:sz w:val="22"/>
          <w:szCs w:val="22"/>
          <w:lang w:eastAsia="zh-CN"/>
          <w14:ligatures w14:val="standardContextual"/>
        </w:rPr>
        <w:t xml:space="preserve">ITU continued to bring together partners in the global push to reduce tech-related emissions, promote green computing, develop and adopt green standards, build a circular economy for the ICT sector, leverage radiocommunications in addressing climate change and use digital technologies for climate change emergency telecommunications. For instance, the </w:t>
      </w:r>
      <w:hyperlink r:id="rId229" w:history="1">
        <w:hyperlink r:id="rId230" w:history="1">
          <w:r w:rsidRPr="00DA76FF">
            <w:rPr>
              <w:rFonts w:asciiTheme="minorHAnsi" w:eastAsiaTheme="minorEastAsia" w:hAnsiTheme="minorHAnsi" w:cstheme="minorHAnsi"/>
              <w:kern w:val="2"/>
              <w:sz w:val="22"/>
              <w:szCs w:val="22"/>
              <w:lang w:eastAsia="zh-CN"/>
              <w14:ligatures w14:val="standardContextual"/>
            </w:rPr>
            <w:t xml:space="preserve">AI </w:t>
          </w:r>
          <w:r w:rsidR="004B398A">
            <w:rPr>
              <w:rFonts w:asciiTheme="minorHAnsi" w:eastAsiaTheme="minorEastAsia" w:hAnsiTheme="minorHAnsi" w:cstheme="minorHAnsi"/>
              <w:kern w:val="2"/>
              <w:sz w:val="22"/>
              <w:szCs w:val="22"/>
              <w:lang w:eastAsia="zh-CN"/>
              <w14:ligatures w14:val="standardContextual"/>
            </w:rPr>
            <w:t>s</w:t>
          </w:r>
          <w:r w:rsidRPr="00DA76FF">
            <w:rPr>
              <w:rFonts w:asciiTheme="minorHAnsi" w:eastAsiaTheme="minorEastAsia" w:hAnsiTheme="minorHAnsi" w:cstheme="minorHAnsi"/>
              <w:kern w:val="2"/>
              <w:sz w:val="22"/>
              <w:szCs w:val="22"/>
              <w:lang w:eastAsia="zh-CN"/>
              <w14:ligatures w14:val="standardContextual"/>
            </w:rPr>
            <w:t>ub-group of the Early Warnings for all Initiative</w:t>
          </w:r>
        </w:hyperlink>
      </w:hyperlink>
      <w:r w:rsidRPr="00DA76FF">
        <w:rPr>
          <w:rFonts w:asciiTheme="minorHAnsi" w:eastAsiaTheme="minorEastAsia" w:hAnsiTheme="minorHAnsi" w:cstheme="minorHAnsi"/>
          <w:kern w:val="2"/>
          <w:sz w:val="22"/>
          <w:szCs w:val="22"/>
          <w:lang w:eastAsia="zh-CN"/>
          <w14:ligatures w14:val="standardContextual"/>
        </w:rPr>
        <w:t xml:space="preserve"> is piloting AI to enhance early warning capabilities.</w:t>
      </w:r>
    </w:p>
    <w:p w14:paraId="10B3639B" w14:textId="76D2A1BF" w:rsidR="00B96F88" w:rsidRDefault="0062274B" w:rsidP="00462A0A">
      <w:pPr>
        <w:spacing w:after="120"/>
        <w:jc w:val="both"/>
        <w:rPr>
          <w:rFonts w:asciiTheme="minorHAnsi" w:eastAsiaTheme="minorEastAsia" w:hAnsiTheme="minorHAnsi" w:cstheme="minorHAnsi"/>
          <w:kern w:val="2"/>
          <w:sz w:val="22"/>
          <w:szCs w:val="22"/>
          <w:lang w:eastAsia="zh-CN"/>
          <w14:ligatures w14:val="standardContextual"/>
        </w:rPr>
      </w:pPr>
      <w:r w:rsidRPr="00DA76FF">
        <w:rPr>
          <w:rFonts w:asciiTheme="minorHAnsi" w:eastAsiaTheme="minorEastAsia" w:hAnsiTheme="minorHAnsi" w:cstheme="minorHAnsi"/>
          <w:kern w:val="2"/>
          <w:sz w:val="22"/>
          <w:szCs w:val="22"/>
          <w:lang w:eastAsia="zh-CN"/>
          <w14:ligatures w14:val="standardContextual"/>
        </w:rPr>
        <w:t xml:space="preserve">Furthermore, ITU also continues collaboration with </w:t>
      </w:r>
      <w:r w:rsidR="00A72424">
        <w:rPr>
          <w:rFonts w:asciiTheme="minorHAnsi" w:eastAsiaTheme="minorEastAsia" w:hAnsiTheme="minorHAnsi" w:cstheme="minorHAnsi"/>
          <w:kern w:val="2"/>
          <w:sz w:val="22"/>
          <w:szCs w:val="22"/>
          <w:lang w:eastAsia="zh-CN"/>
          <w14:ligatures w14:val="standardContextual"/>
        </w:rPr>
        <w:t>the World Meteorological Organization (</w:t>
      </w:r>
      <w:r w:rsidRPr="00DA76FF">
        <w:rPr>
          <w:rFonts w:asciiTheme="minorHAnsi" w:eastAsiaTheme="minorEastAsia" w:hAnsiTheme="minorHAnsi" w:cstheme="minorHAnsi"/>
          <w:kern w:val="2"/>
          <w:sz w:val="22"/>
          <w:szCs w:val="22"/>
          <w:lang w:eastAsia="zh-CN"/>
          <w14:ligatures w14:val="standardContextual"/>
        </w:rPr>
        <w:t>WMO</w:t>
      </w:r>
      <w:r w:rsidR="00A72424">
        <w:rPr>
          <w:rFonts w:asciiTheme="minorHAnsi" w:eastAsiaTheme="minorEastAsia" w:hAnsiTheme="minorHAnsi" w:cstheme="minorHAnsi"/>
          <w:kern w:val="2"/>
          <w:sz w:val="22"/>
          <w:szCs w:val="22"/>
          <w:lang w:eastAsia="zh-CN"/>
          <w14:ligatures w14:val="standardContextual"/>
        </w:rPr>
        <w:t>)</w:t>
      </w:r>
      <w:r w:rsidRPr="00DA76FF">
        <w:rPr>
          <w:rFonts w:asciiTheme="minorHAnsi" w:eastAsiaTheme="minorEastAsia" w:hAnsiTheme="minorHAnsi" w:cstheme="minorHAnsi"/>
          <w:kern w:val="2"/>
          <w:sz w:val="22"/>
          <w:szCs w:val="22"/>
          <w:lang w:eastAsia="zh-CN"/>
          <w14:ligatures w14:val="standardContextual"/>
        </w:rPr>
        <w:t xml:space="preserve">, </w:t>
      </w:r>
      <w:r w:rsidR="00A72424">
        <w:rPr>
          <w:rFonts w:asciiTheme="minorHAnsi" w:eastAsiaTheme="minorEastAsia" w:hAnsiTheme="minorHAnsi" w:cstheme="minorHAnsi"/>
          <w:kern w:val="2"/>
          <w:sz w:val="22"/>
          <w:szCs w:val="22"/>
          <w:lang w:eastAsia="zh-CN"/>
          <w14:ligatures w14:val="standardContextual"/>
        </w:rPr>
        <w:t>the UN Environment Programme (UNEP), the UN Framework Convention on Climate Change (</w:t>
      </w:r>
      <w:r w:rsidRPr="00DA76FF">
        <w:rPr>
          <w:rFonts w:asciiTheme="minorHAnsi" w:eastAsiaTheme="minorEastAsia" w:hAnsiTheme="minorHAnsi" w:cstheme="minorHAnsi"/>
          <w:kern w:val="2"/>
          <w:sz w:val="22"/>
          <w:szCs w:val="22"/>
          <w:lang w:eastAsia="zh-CN"/>
          <w14:ligatures w14:val="standardContextual"/>
        </w:rPr>
        <w:t>UNFCCC</w:t>
      </w:r>
      <w:r w:rsidR="00A72424">
        <w:rPr>
          <w:rFonts w:asciiTheme="minorHAnsi" w:eastAsiaTheme="minorEastAsia" w:hAnsiTheme="minorHAnsi" w:cstheme="minorHAnsi"/>
          <w:kern w:val="2"/>
          <w:sz w:val="22"/>
          <w:szCs w:val="22"/>
          <w:lang w:eastAsia="zh-CN"/>
          <w14:ligatures w14:val="standardContextual"/>
        </w:rPr>
        <w:t>) and the Universal Postal Union</w:t>
      </w:r>
      <w:r w:rsidRPr="00DA76FF">
        <w:rPr>
          <w:rFonts w:asciiTheme="minorHAnsi" w:eastAsiaTheme="minorEastAsia" w:hAnsiTheme="minorHAnsi" w:cstheme="minorHAnsi"/>
          <w:kern w:val="2"/>
          <w:sz w:val="22"/>
          <w:szCs w:val="22"/>
          <w:lang w:eastAsia="zh-CN"/>
          <w14:ligatures w14:val="standardContextual"/>
        </w:rPr>
        <w:t xml:space="preserve"> </w:t>
      </w:r>
      <w:r w:rsidR="00A72424">
        <w:rPr>
          <w:rFonts w:asciiTheme="minorHAnsi" w:eastAsiaTheme="minorEastAsia" w:hAnsiTheme="minorHAnsi" w:cstheme="minorHAnsi"/>
          <w:kern w:val="2"/>
          <w:sz w:val="22"/>
          <w:szCs w:val="22"/>
          <w:lang w:eastAsia="zh-CN"/>
          <w14:ligatures w14:val="standardContextual"/>
        </w:rPr>
        <w:t>(</w:t>
      </w:r>
      <w:r w:rsidRPr="00DA76FF">
        <w:rPr>
          <w:rFonts w:asciiTheme="minorHAnsi" w:eastAsiaTheme="minorEastAsia" w:hAnsiTheme="minorHAnsi" w:cstheme="minorHAnsi"/>
          <w:kern w:val="2"/>
          <w:sz w:val="22"/>
          <w:szCs w:val="22"/>
          <w:lang w:eastAsia="zh-CN"/>
          <w14:ligatures w14:val="standardContextual"/>
        </w:rPr>
        <w:t>UPU</w:t>
      </w:r>
      <w:r w:rsidR="00A72424">
        <w:rPr>
          <w:rFonts w:asciiTheme="minorHAnsi" w:eastAsiaTheme="minorEastAsia" w:hAnsiTheme="minorHAnsi" w:cstheme="minorHAnsi"/>
          <w:kern w:val="2"/>
          <w:sz w:val="22"/>
          <w:szCs w:val="22"/>
          <w:lang w:eastAsia="zh-CN"/>
          <w14:ligatures w14:val="standardContextual"/>
        </w:rPr>
        <w:t>)</w:t>
      </w:r>
      <w:r w:rsidRPr="00DA76FF">
        <w:rPr>
          <w:rFonts w:asciiTheme="minorHAnsi" w:eastAsiaTheme="minorEastAsia" w:hAnsiTheme="minorHAnsi" w:cstheme="minorHAnsi"/>
          <w:kern w:val="2"/>
          <w:sz w:val="22"/>
          <w:szCs w:val="22"/>
          <w:lang w:eastAsia="zh-CN"/>
          <w14:ligatures w14:val="standardContextual"/>
        </w:rPr>
        <w:t xml:space="preserve"> on the </w:t>
      </w:r>
      <w:hyperlink r:id="rId231" w:history="1">
        <w:r w:rsidRPr="00DA76FF">
          <w:rPr>
            <w:rStyle w:val="Hyperlink"/>
            <w:rFonts w:eastAsia="Calibri"/>
            <w:sz w:val="22"/>
            <w:szCs w:val="18"/>
          </w:rPr>
          <w:t>Global Initiative on Resilience to Natural Hazards through AI Solutions</w:t>
        </w:r>
      </w:hyperlink>
      <w:r w:rsidRPr="00DA76FF">
        <w:rPr>
          <w:rFonts w:asciiTheme="minorHAnsi" w:eastAsiaTheme="minorEastAsia" w:hAnsiTheme="minorHAnsi" w:cstheme="minorHAnsi"/>
          <w:kern w:val="2"/>
          <w:sz w:val="22"/>
          <w:szCs w:val="22"/>
          <w:lang w:eastAsia="zh-CN"/>
          <w14:ligatures w14:val="standardContextual"/>
        </w:rPr>
        <w:t xml:space="preserve"> which explores leveraging AI across the disaster management cycle. This Initiative builds on the work of the </w:t>
      </w:r>
      <w:hyperlink r:id="rId232" w:history="1">
        <w:r w:rsidRPr="00DA76FF">
          <w:rPr>
            <w:rFonts w:asciiTheme="minorHAnsi" w:eastAsiaTheme="minorEastAsia" w:hAnsiTheme="minorHAnsi" w:cstheme="minorHAnsi"/>
            <w:kern w:val="2"/>
            <w:sz w:val="22"/>
            <w:szCs w:val="22"/>
            <w:lang w:eastAsia="zh-CN"/>
            <w14:ligatures w14:val="standardContextual"/>
          </w:rPr>
          <w:t>ITU/WMO/UNEP Focus Group on AI for Natural Disaster Management (FG-AI4NDM)</w:t>
        </w:r>
      </w:hyperlink>
      <w:r w:rsidRPr="00DA76FF">
        <w:rPr>
          <w:rFonts w:asciiTheme="minorHAnsi" w:eastAsiaTheme="minorEastAsia" w:hAnsiTheme="minorHAnsi" w:cstheme="minorHAnsi"/>
          <w:kern w:val="2"/>
          <w:sz w:val="22"/>
          <w:szCs w:val="22"/>
          <w:lang w:eastAsia="zh-CN"/>
          <w14:ligatures w14:val="standardContextual"/>
        </w:rPr>
        <w:t>.</w:t>
      </w:r>
    </w:p>
    <w:p w14:paraId="226E8AF2" w14:textId="7035DCA9" w:rsidR="00AE44C9" w:rsidRDefault="00A1269A" w:rsidP="00B96F88">
      <w:pPr>
        <w:spacing w:after="120"/>
        <w:jc w:val="both"/>
        <w:rPr>
          <w:rFonts w:asciiTheme="minorHAnsi" w:eastAsiaTheme="minorEastAsia" w:hAnsiTheme="minorHAnsi" w:cstheme="minorHAnsi"/>
          <w:kern w:val="2"/>
          <w:sz w:val="22"/>
          <w:szCs w:val="22"/>
          <w:lang w:eastAsia="zh-CN"/>
          <w14:ligatures w14:val="standardContextual"/>
        </w:rPr>
      </w:pPr>
      <w:r w:rsidRPr="004F041F">
        <w:rPr>
          <w:rFonts w:cs="Calibri"/>
          <w:noProof/>
          <w:sz w:val="22"/>
          <w:szCs w:val="22"/>
        </w:rPr>
        <mc:AlternateContent>
          <mc:Choice Requires="wps">
            <w:drawing>
              <wp:inline distT="0" distB="0" distL="0" distR="0" wp14:anchorId="5D5F25BF" wp14:editId="2637EF06">
                <wp:extent cx="5562600" cy="1670050"/>
                <wp:effectExtent l="0" t="0" r="19050" b="25400"/>
                <wp:docPr id="1041449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70050"/>
                        </a:xfrm>
                        <a:prstGeom prst="rect">
                          <a:avLst/>
                        </a:prstGeom>
                        <a:solidFill>
                          <a:srgbClr val="FFFFFF"/>
                        </a:solidFill>
                        <a:ln w="9525">
                          <a:solidFill>
                            <a:srgbClr val="000000"/>
                          </a:solidFill>
                          <a:miter lim="800000"/>
                          <a:headEnd/>
                          <a:tailEnd/>
                        </a:ln>
                      </wps:spPr>
                      <wps:txbx>
                        <w:txbxContent>
                          <w:p w14:paraId="0E195498" w14:textId="77777777" w:rsidR="00A1269A" w:rsidRPr="008C1228" w:rsidRDefault="00A1269A" w:rsidP="00A1269A">
                            <w:pPr>
                              <w:shd w:val="clear" w:color="auto" w:fill="C6D9F1" w:themeFill="text2" w:themeFillTint="33"/>
                              <w:rPr>
                                <w:b/>
                                <w:bCs/>
                                <w:i/>
                                <w:iCs/>
                                <w:lang w:val="en-US"/>
                              </w:rPr>
                            </w:pPr>
                            <w:r w:rsidRPr="008C1228">
                              <w:rPr>
                                <w:b/>
                                <w:bCs/>
                                <w:i/>
                                <w:iCs/>
                                <w:lang w:val="en-US"/>
                              </w:rPr>
                              <w:t>Reducing disaster risks with AI</w:t>
                            </w:r>
                          </w:p>
                          <w:p w14:paraId="7CCF0822" w14:textId="77777777" w:rsidR="00A1269A" w:rsidRDefault="00A1269A" w:rsidP="00A1269A">
                            <w:pPr>
                              <w:jc w:val="both"/>
                              <w:rPr>
                                <w:rFonts w:cs="Calibri"/>
                                <w:sz w:val="22"/>
                                <w:szCs w:val="22"/>
                              </w:rPr>
                            </w:pPr>
                            <w:r w:rsidRPr="00882079">
                              <w:rPr>
                                <w:rFonts w:cs="Calibri"/>
                                <w:sz w:val="22"/>
                                <w:szCs w:val="22"/>
                              </w:rPr>
                              <w:t xml:space="preserve">A </w:t>
                            </w:r>
                            <w:r w:rsidRPr="00BD497F">
                              <w:rPr>
                                <w:rFonts w:cs="Calibri"/>
                                <w:sz w:val="22"/>
                                <w:szCs w:val="22"/>
                              </w:rPr>
                              <w:t>new initiative</w:t>
                            </w:r>
                            <w:r w:rsidRPr="00882079">
                              <w:rPr>
                                <w:rFonts w:cs="Calibri"/>
                                <w:sz w:val="22"/>
                                <w:szCs w:val="22"/>
                              </w:rPr>
                              <w:t xml:space="preserve"> </w:t>
                            </w:r>
                            <w:r w:rsidRPr="00BD497F">
                              <w:rPr>
                                <w:rFonts w:cs="Calibri"/>
                                <w:sz w:val="22"/>
                                <w:szCs w:val="22"/>
                              </w:rPr>
                              <w:t>promotes</w:t>
                            </w:r>
                            <w:r w:rsidRPr="00882079">
                              <w:rPr>
                                <w:rFonts w:cs="Calibri"/>
                                <w:sz w:val="22"/>
                                <w:szCs w:val="22"/>
                              </w:rPr>
                              <w:t xml:space="preserve"> artificial intelligence </w:t>
                            </w:r>
                            <w:r w:rsidRPr="00BD497F">
                              <w:rPr>
                                <w:rFonts w:cs="Calibri"/>
                                <w:sz w:val="22"/>
                                <w:szCs w:val="22"/>
                              </w:rPr>
                              <w:t>(AI) to help protect against</w:t>
                            </w:r>
                            <w:r w:rsidRPr="00882079">
                              <w:rPr>
                                <w:rFonts w:cs="Calibri"/>
                                <w:sz w:val="22"/>
                                <w:szCs w:val="22"/>
                              </w:rPr>
                              <w:t xml:space="preserve"> escalating climate </w:t>
                            </w:r>
                            <w:r w:rsidRPr="00BD497F">
                              <w:rPr>
                                <w:rFonts w:cs="Calibri"/>
                                <w:sz w:val="22"/>
                                <w:szCs w:val="22"/>
                              </w:rPr>
                              <w:t xml:space="preserve">and disaster </w:t>
                            </w:r>
                            <w:r w:rsidRPr="00882079">
                              <w:rPr>
                                <w:rFonts w:cs="Calibri"/>
                                <w:sz w:val="22"/>
                                <w:szCs w:val="22"/>
                              </w:rPr>
                              <w:t>risks. The Global Initiative on Resilience to Natural Hazards through AI Solutions</w:t>
                            </w:r>
                            <w:r w:rsidRPr="00BD497F">
                              <w:rPr>
                                <w:rFonts w:cs="Calibri"/>
                                <w:sz w:val="22"/>
                                <w:szCs w:val="22"/>
                              </w:rPr>
                              <w:t>, launched by ITU and other UN partners in October 2024,</w:t>
                            </w:r>
                            <w:r w:rsidRPr="00882079">
                              <w:rPr>
                                <w:rFonts w:cs="Calibri"/>
                                <w:sz w:val="22"/>
                                <w:szCs w:val="22"/>
                              </w:rPr>
                              <w:t xml:space="preserve"> </w:t>
                            </w:r>
                            <w:r w:rsidRPr="00BD497F">
                              <w:rPr>
                                <w:rFonts w:cs="Calibri"/>
                                <w:sz w:val="22"/>
                                <w:szCs w:val="22"/>
                              </w:rPr>
                              <w:t>promotes</w:t>
                            </w:r>
                            <w:r w:rsidRPr="00882079">
                              <w:rPr>
                                <w:rFonts w:cs="Calibri"/>
                                <w:sz w:val="22"/>
                                <w:szCs w:val="22"/>
                              </w:rPr>
                              <w:t xml:space="preserve"> research, innovation, and standards to strengthen early warning systems</w:t>
                            </w:r>
                            <w:r w:rsidRPr="00BD497F">
                              <w:rPr>
                                <w:rFonts w:cs="Calibri"/>
                                <w:sz w:val="22"/>
                                <w:szCs w:val="22"/>
                              </w:rPr>
                              <w:t xml:space="preserve"> and </w:t>
                            </w:r>
                            <w:r w:rsidRPr="00882079">
                              <w:rPr>
                                <w:rFonts w:cs="Calibri"/>
                                <w:sz w:val="22"/>
                                <w:szCs w:val="22"/>
                              </w:rPr>
                              <w:t xml:space="preserve">boost </w:t>
                            </w:r>
                            <w:r w:rsidRPr="00BD497F">
                              <w:rPr>
                                <w:rFonts w:cs="Calibri"/>
                                <w:sz w:val="22"/>
                                <w:szCs w:val="22"/>
                              </w:rPr>
                              <w:t xml:space="preserve">national </w:t>
                            </w:r>
                            <w:r w:rsidRPr="00882079">
                              <w:rPr>
                                <w:rFonts w:cs="Calibri"/>
                                <w:sz w:val="22"/>
                                <w:szCs w:val="22"/>
                              </w:rPr>
                              <w:t xml:space="preserve">disaster </w:t>
                            </w:r>
                            <w:r w:rsidRPr="00BD497F">
                              <w:rPr>
                                <w:rFonts w:cs="Calibri"/>
                                <w:sz w:val="22"/>
                                <w:szCs w:val="22"/>
                              </w:rPr>
                              <w:t>readiness</w:t>
                            </w:r>
                            <w:r w:rsidRPr="00882079">
                              <w:rPr>
                                <w:rFonts w:cs="Calibri"/>
                                <w:sz w:val="22"/>
                                <w:szCs w:val="22"/>
                              </w:rPr>
                              <w:t>.</w:t>
                            </w:r>
                          </w:p>
                          <w:p w14:paraId="2D77F40B" w14:textId="77777777" w:rsidR="00A1269A" w:rsidRPr="00882079" w:rsidRDefault="00A1269A" w:rsidP="00A1269A">
                            <w:pPr>
                              <w:rPr>
                                <w:rFonts w:cs="Calibri"/>
                                <w:sz w:val="22"/>
                                <w:szCs w:val="22"/>
                              </w:rPr>
                            </w:pPr>
                            <w:hyperlink r:id="rId233" w:history="1">
                              <w:r w:rsidRPr="00BD497F">
                                <w:rPr>
                                  <w:rStyle w:val="Hyperlink"/>
                                  <w:rFonts w:cs="Calibri"/>
                                  <w:b/>
                                  <w:bCs/>
                                  <w:sz w:val="22"/>
                                  <w:szCs w:val="22"/>
                                </w:rPr>
                                <w:t>Learn mor</w:t>
                              </w:r>
                              <w:r>
                                <w:rPr>
                                  <w:rStyle w:val="Hyperlink"/>
                                  <w:rFonts w:cs="Calibri"/>
                                  <w:b/>
                                  <w:bCs/>
                                  <w:sz w:val="22"/>
                                  <w:szCs w:val="22"/>
                                </w:rPr>
                                <w:t>e about the global initiativ</w:t>
                              </w:r>
                              <w:r w:rsidRPr="00BD497F">
                                <w:rPr>
                                  <w:rStyle w:val="Hyperlink"/>
                                  <w:rFonts w:cs="Calibri"/>
                                  <w:b/>
                                  <w:bCs/>
                                  <w:sz w:val="22"/>
                                  <w:szCs w:val="22"/>
                                </w:rPr>
                                <w:t>e</w:t>
                              </w:r>
                            </w:hyperlink>
                          </w:p>
                          <w:p w14:paraId="6DDA0EDA" w14:textId="77777777" w:rsidR="00A1269A" w:rsidRPr="00D806A6" w:rsidRDefault="00A1269A" w:rsidP="00A1269A">
                            <w:pPr>
                              <w:rPr>
                                <w:rFonts w:cs="Calibri"/>
                                <w:b/>
                                <w:bCs/>
                                <w:sz w:val="22"/>
                                <w:szCs w:val="22"/>
                              </w:rPr>
                            </w:pPr>
                            <w:hyperlink r:id="rId234" w:history="1">
                              <w:r w:rsidRPr="004A3701">
                                <w:rPr>
                                  <w:rStyle w:val="Hyperlink"/>
                                  <w:rFonts w:cs="Calibri"/>
                                  <w:b/>
                                  <w:bCs/>
                                  <w:sz w:val="22"/>
                                  <w:szCs w:val="22"/>
                                </w:rPr>
                                <w:t>Initiative chair’s perspective</w:t>
                              </w:r>
                            </w:hyperlink>
                          </w:p>
                        </w:txbxContent>
                      </wps:txbx>
                      <wps:bodyPr rot="0" vert="horz" wrap="square" lIns="91440" tIns="45720" rIns="91440" bIns="45720" anchor="t" anchorCtr="0">
                        <a:noAutofit/>
                      </wps:bodyPr>
                    </wps:wsp>
                  </a:graphicData>
                </a:graphic>
              </wp:inline>
            </w:drawing>
          </mc:Choice>
          <mc:Fallback>
            <w:pict>
              <v:shape w14:anchorId="5D5F25BF" id="_x0000_s1034" type="#_x0000_t202" style="width:438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">
                <v:textbox>
                  <w:txbxContent>
                    <w:p w14:paraId="0E195498" w14:textId="77777777" w:rsidR="00A1269A" w:rsidRPr="008C1228" w:rsidRDefault="00A1269A" w:rsidP="00A1269A">
                      <w:pPr>
                        <w:shd w:val="clear" w:color="auto" w:fill="C6D9F1" w:themeFill="text2" w:themeFillTint="33"/>
                        <w:rPr>
                          <w:b/>
                          <w:bCs/>
                          <w:i/>
                          <w:iCs/>
                          <w:lang w:val="en-US"/>
                        </w:rPr>
                      </w:pPr>
                      <w:r w:rsidRPr="008C1228">
                        <w:rPr>
                          <w:b/>
                          <w:bCs/>
                          <w:i/>
                          <w:iCs/>
                          <w:lang w:val="en-US"/>
                        </w:rPr>
                        <w:t>Reducing disaster risks with AI</w:t>
                      </w:r>
                    </w:p>
                    <w:p w14:paraId="7CCF0822" w14:textId="77777777" w:rsidR="00A1269A" w:rsidRDefault="00A1269A" w:rsidP="00A1269A">
                      <w:pPr>
                        <w:jc w:val="both"/>
                        <w:rPr>
                          <w:rFonts w:cs="Calibri"/>
                          <w:sz w:val="22"/>
                          <w:szCs w:val="22"/>
                        </w:rPr>
                      </w:pPr>
                      <w:r w:rsidRPr="00882079">
                        <w:rPr>
                          <w:rFonts w:cs="Calibri"/>
                          <w:sz w:val="22"/>
                          <w:szCs w:val="22"/>
                        </w:rPr>
                        <w:t xml:space="preserve">A </w:t>
                      </w:r>
                      <w:r w:rsidRPr="00BD497F">
                        <w:rPr>
                          <w:rFonts w:cs="Calibri"/>
                          <w:sz w:val="22"/>
                          <w:szCs w:val="22"/>
                        </w:rPr>
                        <w:t>new initiative</w:t>
                      </w:r>
                      <w:r w:rsidRPr="00882079">
                        <w:rPr>
                          <w:rFonts w:cs="Calibri"/>
                          <w:sz w:val="22"/>
                          <w:szCs w:val="22"/>
                        </w:rPr>
                        <w:t xml:space="preserve"> </w:t>
                      </w:r>
                      <w:r w:rsidRPr="00BD497F">
                        <w:rPr>
                          <w:rFonts w:cs="Calibri"/>
                          <w:sz w:val="22"/>
                          <w:szCs w:val="22"/>
                        </w:rPr>
                        <w:t>promotes</w:t>
                      </w:r>
                      <w:r w:rsidRPr="00882079">
                        <w:rPr>
                          <w:rFonts w:cs="Calibri"/>
                          <w:sz w:val="22"/>
                          <w:szCs w:val="22"/>
                        </w:rPr>
                        <w:t xml:space="preserve"> artificial intelligence </w:t>
                      </w:r>
                      <w:r w:rsidRPr="00BD497F">
                        <w:rPr>
                          <w:rFonts w:cs="Calibri"/>
                          <w:sz w:val="22"/>
                          <w:szCs w:val="22"/>
                        </w:rPr>
                        <w:t>(AI) to help protect against</w:t>
                      </w:r>
                      <w:r w:rsidRPr="00882079">
                        <w:rPr>
                          <w:rFonts w:cs="Calibri"/>
                          <w:sz w:val="22"/>
                          <w:szCs w:val="22"/>
                        </w:rPr>
                        <w:t xml:space="preserve"> escalating climate </w:t>
                      </w:r>
                      <w:r w:rsidRPr="00BD497F">
                        <w:rPr>
                          <w:rFonts w:cs="Calibri"/>
                          <w:sz w:val="22"/>
                          <w:szCs w:val="22"/>
                        </w:rPr>
                        <w:t xml:space="preserve">and disaster </w:t>
                      </w:r>
                      <w:r w:rsidRPr="00882079">
                        <w:rPr>
                          <w:rFonts w:cs="Calibri"/>
                          <w:sz w:val="22"/>
                          <w:szCs w:val="22"/>
                        </w:rPr>
                        <w:t>risks. The Global Initiative on Resilience to Natural Hazards through AI Solutions</w:t>
                      </w:r>
                      <w:r w:rsidRPr="00BD497F">
                        <w:rPr>
                          <w:rFonts w:cs="Calibri"/>
                          <w:sz w:val="22"/>
                          <w:szCs w:val="22"/>
                        </w:rPr>
                        <w:t>, launched by ITU and other UN partners in October 2024,</w:t>
                      </w:r>
                      <w:r w:rsidRPr="00882079">
                        <w:rPr>
                          <w:rFonts w:cs="Calibri"/>
                          <w:sz w:val="22"/>
                          <w:szCs w:val="22"/>
                        </w:rPr>
                        <w:t xml:space="preserve"> </w:t>
                      </w:r>
                      <w:r w:rsidRPr="00BD497F">
                        <w:rPr>
                          <w:rFonts w:cs="Calibri"/>
                          <w:sz w:val="22"/>
                          <w:szCs w:val="22"/>
                        </w:rPr>
                        <w:t>promotes</w:t>
                      </w:r>
                      <w:r w:rsidRPr="00882079">
                        <w:rPr>
                          <w:rFonts w:cs="Calibri"/>
                          <w:sz w:val="22"/>
                          <w:szCs w:val="22"/>
                        </w:rPr>
                        <w:t xml:space="preserve"> research, innovation, and standards to strengthen early warning systems</w:t>
                      </w:r>
                      <w:r w:rsidRPr="00BD497F">
                        <w:rPr>
                          <w:rFonts w:cs="Calibri"/>
                          <w:sz w:val="22"/>
                          <w:szCs w:val="22"/>
                        </w:rPr>
                        <w:t xml:space="preserve"> and </w:t>
                      </w:r>
                      <w:r w:rsidRPr="00882079">
                        <w:rPr>
                          <w:rFonts w:cs="Calibri"/>
                          <w:sz w:val="22"/>
                          <w:szCs w:val="22"/>
                        </w:rPr>
                        <w:t xml:space="preserve">boost </w:t>
                      </w:r>
                      <w:r w:rsidRPr="00BD497F">
                        <w:rPr>
                          <w:rFonts w:cs="Calibri"/>
                          <w:sz w:val="22"/>
                          <w:szCs w:val="22"/>
                        </w:rPr>
                        <w:t xml:space="preserve">national </w:t>
                      </w:r>
                      <w:r w:rsidRPr="00882079">
                        <w:rPr>
                          <w:rFonts w:cs="Calibri"/>
                          <w:sz w:val="22"/>
                          <w:szCs w:val="22"/>
                        </w:rPr>
                        <w:t xml:space="preserve">disaster </w:t>
                      </w:r>
                      <w:r w:rsidRPr="00BD497F">
                        <w:rPr>
                          <w:rFonts w:cs="Calibri"/>
                          <w:sz w:val="22"/>
                          <w:szCs w:val="22"/>
                        </w:rPr>
                        <w:t>readiness</w:t>
                      </w:r>
                      <w:r w:rsidRPr="00882079">
                        <w:rPr>
                          <w:rFonts w:cs="Calibri"/>
                          <w:sz w:val="22"/>
                          <w:szCs w:val="22"/>
                        </w:rPr>
                        <w:t>.</w:t>
                      </w:r>
                    </w:p>
                    <w:p w14:paraId="2D77F40B" w14:textId="77777777" w:rsidR="00A1269A" w:rsidRPr="00882079" w:rsidRDefault="00A1269A" w:rsidP="00A1269A">
                      <w:pPr>
                        <w:rPr>
                          <w:rFonts w:cs="Calibri"/>
                          <w:sz w:val="22"/>
                          <w:szCs w:val="22"/>
                        </w:rPr>
                      </w:pPr>
                      <w:hyperlink r:id="rId235" w:history="1">
                        <w:r w:rsidRPr="00BD497F">
                          <w:rPr>
                            <w:rStyle w:val="Hyperlink"/>
                            <w:rFonts w:cs="Calibri"/>
                            <w:b/>
                            <w:bCs/>
                            <w:sz w:val="22"/>
                            <w:szCs w:val="22"/>
                          </w:rPr>
                          <w:t>Learn mor</w:t>
                        </w:r>
                        <w:r>
                          <w:rPr>
                            <w:rStyle w:val="Hyperlink"/>
                            <w:rFonts w:cs="Calibri"/>
                            <w:b/>
                            <w:bCs/>
                            <w:sz w:val="22"/>
                            <w:szCs w:val="22"/>
                          </w:rPr>
                          <w:t>e about the global initiativ</w:t>
                        </w:r>
                        <w:r w:rsidRPr="00BD497F">
                          <w:rPr>
                            <w:rStyle w:val="Hyperlink"/>
                            <w:rFonts w:cs="Calibri"/>
                            <w:b/>
                            <w:bCs/>
                            <w:sz w:val="22"/>
                            <w:szCs w:val="22"/>
                          </w:rPr>
                          <w:t>e</w:t>
                        </w:r>
                      </w:hyperlink>
                    </w:p>
                    <w:p w14:paraId="6DDA0EDA" w14:textId="77777777" w:rsidR="00A1269A" w:rsidRPr="00D806A6" w:rsidRDefault="00A1269A" w:rsidP="00A1269A">
                      <w:pPr>
                        <w:rPr>
                          <w:rFonts w:cs="Calibri"/>
                          <w:b/>
                          <w:bCs/>
                          <w:sz w:val="22"/>
                          <w:szCs w:val="22"/>
                        </w:rPr>
                      </w:pPr>
                      <w:hyperlink r:id="rId236" w:history="1">
                        <w:r w:rsidRPr="004A3701">
                          <w:rPr>
                            <w:rStyle w:val="Hyperlink"/>
                            <w:rFonts w:cs="Calibri"/>
                            <w:b/>
                            <w:bCs/>
                            <w:sz w:val="22"/>
                            <w:szCs w:val="22"/>
                          </w:rPr>
                          <w:t>Initiative chair’s perspective</w:t>
                        </w:r>
                      </w:hyperlink>
                    </w:p>
                  </w:txbxContent>
                </v:textbox>
                <w10:anchorlock/>
              </v:shape>
            </w:pict>
          </mc:Fallback>
        </mc:AlternateContent>
      </w:r>
    </w:p>
    <w:p w14:paraId="7E110F1B" w14:textId="6C80C0BA" w:rsidR="0062274B" w:rsidRPr="001C5BE9" w:rsidRDefault="0062274B" w:rsidP="00A1269A">
      <w:pPr>
        <w:spacing w:before="360" w:after="120"/>
        <w:jc w:val="both"/>
        <w:rPr>
          <w:rFonts w:asciiTheme="minorHAnsi" w:eastAsia="Aptos" w:hAnsiTheme="minorHAnsi" w:cstheme="minorBidi"/>
          <w:sz w:val="22"/>
          <w:szCs w:val="22"/>
        </w:rPr>
      </w:pPr>
      <w:r w:rsidRPr="21700CD0">
        <w:rPr>
          <w:rFonts w:asciiTheme="minorHAnsi" w:eastAsia="Aptos" w:hAnsiTheme="minorHAnsi" w:cstheme="minorBidi"/>
          <w:color w:val="000000" w:themeColor="text1"/>
          <w:sz w:val="22"/>
          <w:szCs w:val="22"/>
        </w:rPr>
        <w:t xml:space="preserve">Continued cooperation through ITU, WMO, and other international bodies is essential to ensuring that </w:t>
      </w:r>
      <w:r w:rsidR="001C7699" w:rsidRPr="21700CD0">
        <w:rPr>
          <w:rFonts w:asciiTheme="minorHAnsi" w:eastAsia="Aptos" w:hAnsiTheme="minorHAnsi" w:cstheme="minorBidi"/>
          <w:color w:val="000000" w:themeColor="text1"/>
          <w:sz w:val="22"/>
          <w:szCs w:val="22"/>
        </w:rPr>
        <w:t xml:space="preserve">radio </w:t>
      </w:r>
      <w:r w:rsidRPr="21700CD0">
        <w:rPr>
          <w:rFonts w:asciiTheme="minorHAnsi" w:eastAsia="Aptos" w:hAnsiTheme="minorHAnsi" w:cstheme="minorBidi"/>
          <w:color w:val="000000" w:themeColor="text1"/>
          <w:sz w:val="22"/>
          <w:szCs w:val="22"/>
        </w:rPr>
        <w:t xml:space="preserve">spectrum remains available for meteorological services and that these services can operate without interference. </w:t>
      </w:r>
      <w:r w:rsidR="001C7699" w:rsidRPr="21700CD0">
        <w:rPr>
          <w:rFonts w:asciiTheme="minorHAnsi" w:eastAsia="Aptos" w:hAnsiTheme="minorHAnsi" w:cstheme="minorBidi"/>
          <w:color w:val="000000" w:themeColor="text1"/>
          <w:sz w:val="22"/>
          <w:szCs w:val="22"/>
        </w:rPr>
        <w:t>The ITU Radiocommunication Bureau</w:t>
      </w:r>
      <w:r w:rsidRPr="21700CD0">
        <w:rPr>
          <w:rFonts w:asciiTheme="minorHAnsi" w:eastAsia="Aptos" w:hAnsiTheme="minorHAnsi" w:cstheme="minorBidi"/>
          <w:color w:val="000000" w:themeColor="text1"/>
          <w:sz w:val="22"/>
          <w:szCs w:val="22"/>
        </w:rPr>
        <w:t xml:space="preserve"> launched a joint WMO-ITU training activity for the period leading up to WRC-27. </w:t>
      </w:r>
      <w:r w:rsidR="00E558AB" w:rsidRPr="21700CD0">
        <w:rPr>
          <w:rFonts w:asciiTheme="minorHAnsi" w:eastAsia="Aptos" w:hAnsiTheme="minorHAnsi" w:cstheme="minorBidi"/>
          <w:color w:val="000000" w:themeColor="text1"/>
          <w:sz w:val="22"/>
          <w:szCs w:val="22"/>
        </w:rPr>
        <w:t>E</w:t>
      </w:r>
      <w:r w:rsidRPr="21700CD0">
        <w:rPr>
          <w:rFonts w:asciiTheme="minorHAnsi" w:eastAsia="Aptos" w:hAnsiTheme="minorHAnsi" w:cstheme="minorBidi"/>
          <w:color w:val="000000" w:themeColor="text1"/>
          <w:sz w:val="22"/>
          <w:szCs w:val="22"/>
        </w:rPr>
        <w:t xml:space="preserve">vents </w:t>
      </w:r>
      <w:r w:rsidR="00E558AB" w:rsidRPr="21700CD0">
        <w:rPr>
          <w:rFonts w:asciiTheme="minorHAnsi" w:eastAsia="Aptos" w:hAnsiTheme="minorHAnsi" w:cstheme="minorBidi"/>
          <w:color w:val="000000" w:themeColor="text1"/>
          <w:sz w:val="22"/>
          <w:szCs w:val="22"/>
        </w:rPr>
        <w:t>were</w:t>
      </w:r>
      <w:r w:rsidRPr="21700CD0">
        <w:rPr>
          <w:rFonts w:asciiTheme="minorHAnsi" w:eastAsia="Aptos" w:hAnsiTheme="minorHAnsi" w:cstheme="minorBidi"/>
          <w:color w:val="000000" w:themeColor="text1"/>
          <w:sz w:val="22"/>
          <w:szCs w:val="22"/>
        </w:rPr>
        <w:t xml:space="preserve"> organi</w:t>
      </w:r>
      <w:r w:rsidR="00E558AB" w:rsidRPr="21700CD0">
        <w:rPr>
          <w:rFonts w:asciiTheme="minorHAnsi" w:eastAsia="Aptos" w:hAnsiTheme="minorHAnsi" w:cstheme="minorBidi"/>
          <w:color w:val="000000" w:themeColor="text1"/>
          <w:sz w:val="22"/>
          <w:szCs w:val="22"/>
        </w:rPr>
        <w:t>z</w:t>
      </w:r>
      <w:r w:rsidRPr="21700CD0">
        <w:rPr>
          <w:rFonts w:asciiTheme="minorHAnsi" w:eastAsia="Aptos" w:hAnsiTheme="minorHAnsi" w:cstheme="minorBidi"/>
          <w:color w:val="000000" w:themeColor="text1"/>
          <w:sz w:val="22"/>
          <w:szCs w:val="22"/>
        </w:rPr>
        <w:t xml:space="preserve">ed for RCC countries (Almaty, Kazakhstan, 16-17 September 2024) and APT (Singapore, 3-4 March 2025). </w:t>
      </w:r>
      <w:r w:rsidRPr="21700CD0">
        <w:rPr>
          <w:rFonts w:asciiTheme="minorHAnsi" w:eastAsia="Calibri" w:hAnsiTheme="minorHAnsi" w:cstheme="minorBidi"/>
          <w:color w:val="000000" w:themeColor="text1"/>
          <w:sz w:val="22"/>
          <w:szCs w:val="22"/>
        </w:rPr>
        <w:t xml:space="preserve">The new edition of the </w:t>
      </w:r>
      <w:r w:rsidR="00ED046F" w:rsidRPr="21700CD0">
        <w:rPr>
          <w:rFonts w:asciiTheme="minorHAnsi" w:eastAsia="Calibri" w:hAnsiTheme="minorHAnsi" w:cstheme="minorBidi"/>
          <w:color w:val="000000" w:themeColor="text1"/>
          <w:sz w:val="22"/>
          <w:szCs w:val="22"/>
        </w:rPr>
        <w:t>ITU b</w:t>
      </w:r>
      <w:r w:rsidRPr="21700CD0">
        <w:rPr>
          <w:rFonts w:asciiTheme="minorHAnsi" w:eastAsia="Calibri" w:hAnsiTheme="minorHAnsi" w:cstheme="minorBidi"/>
          <w:color w:val="000000" w:themeColor="text1"/>
          <w:sz w:val="22"/>
          <w:szCs w:val="22"/>
        </w:rPr>
        <w:t xml:space="preserve">rochure </w:t>
      </w:r>
      <w:r w:rsidRPr="21700CD0">
        <w:rPr>
          <w:rFonts w:asciiTheme="minorHAnsi" w:eastAsia="Calibri" w:hAnsiTheme="minorHAnsi" w:cstheme="minorBidi"/>
          <w:color w:val="000000" w:themeColor="text1"/>
          <w:sz w:val="22"/>
          <w:szCs w:val="22"/>
        </w:rPr>
        <w:lastRenderedPageBreak/>
        <w:t>“</w:t>
      </w:r>
      <w:hyperlink r:id="rId237">
        <w:r w:rsidRPr="21700CD0">
          <w:rPr>
            <w:rStyle w:val="Hyperlink"/>
            <w:rFonts w:asciiTheme="minorHAnsi" w:eastAsia="Calibri" w:hAnsiTheme="minorHAnsi" w:cstheme="minorBidi"/>
            <w:sz w:val="22"/>
            <w:szCs w:val="22"/>
          </w:rPr>
          <w:t>Radiocommunication and climate change</w:t>
        </w:r>
      </w:hyperlink>
      <w:r w:rsidRPr="21700CD0">
        <w:rPr>
          <w:rFonts w:asciiTheme="minorHAnsi" w:eastAsia="Calibri" w:hAnsiTheme="minorHAnsi" w:cstheme="minorBidi"/>
          <w:color w:val="000000" w:themeColor="text1"/>
          <w:sz w:val="22"/>
          <w:szCs w:val="22"/>
        </w:rPr>
        <w:t xml:space="preserve">” </w:t>
      </w:r>
      <w:r w:rsidR="00ED046F" w:rsidRPr="21700CD0">
        <w:rPr>
          <w:rFonts w:asciiTheme="minorHAnsi" w:eastAsia="Calibri" w:hAnsiTheme="minorHAnsi" w:cstheme="minorBidi"/>
          <w:color w:val="000000" w:themeColor="text1"/>
          <w:sz w:val="22"/>
          <w:szCs w:val="22"/>
        </w:rPr>
        <w:t>(</w:t>
      </w:r>
      <w:r w:rsidRPr="21700CD0">
        <w:rPr>
          <w:rFonts w:asciiTheme="minorHAnsi" w:eastAsia="Calibri" w:hAnsiTheme="minorHAnsi" w:cstheme="minorBidi"/>
          <w:color w:val="000000" w:themeColor="text1"/>
          <w:sz w:val="22"/>
          <w:szCs w:val="22"/>
        </w:rPr>
        <w:t>January 2025</w:t>
      </w:r>
      <w:r w:rsidR="00ED046F" w:rsidRPr="21700CD0">
        <w:rPr>
          <w:rFonts w:asciiTheme="minorHAnsi" w:eastAsia="Calibri" w:hAnsiTheme="minorHAnsi" w:cstheme="minorBidi"/>
          <w:color w:val="000000" w:themeColor="text1"/>
          <w:sz w:val="22"/>
          <w:szCs w:val="22"/>
        </w:rPr>
        <w:t>)</w:t>
      </w:r>
      <w:r w:rsidRPr="21700CD0">
        <w:rPr>
          <w:rFonts w:asciiTheme="minorHAnsi" w:eastAsia="Calibri" w:hAnsiTheme="minorHAnsi" w:cstheme="minorBidi"/>
          <w:color w:val="000000" w:themeColor="text1"/>
          <w:sz w:val="22"/>
          <w:szCs w:val="22"/>
        </w:rPr>
        <w:t xml:space="preserve"> rais</w:t>
      </w:r>
      <w:r w:rsidR="00ED046F" w:rsidRPr="21700CD0">
        <w:rPr>
          <w:rFonts w:asciiTheme="minorHAnsi" w:eastAsia="Calibri" w:hAnsiTheme="minorHAnsi" w:cstheme="minorBidi"/>
          <w:color w:val="000000" w:themeColor="text1"/>
          <w:sz w:val="22"/>
          <w:szCs w:val="22"/>
        </w:rPr>
        <w:t>es</w:t>
      </w:r>
      <w:r w:rsidRPr="21700CD0">
        <w:rPr>
          <w:rFonts w:asciiTheme="minorHAnsi" w:eastAsia="Calibri" w:hAnsiTheme="minorHAnsi" w:cstheme="minorBidi"/>
          <w:color w:val="000000" w:themeColor="text1"/>
          <w:sz w:val="22"/>
          <w:szCs w:val="22"/>
        </w:rPr>
        <w:t xml:space="preserve"> awareness about the importance of meteorological radio services, particularly among policymakers and industry stakeholder, and helping ensure that spectrum allocation decisions prioritize public safety and environmental protection, particularly in the context of climate change.</w:t>
      </w:r>
    </w:p>
    <w:p w14:paraId="6E8634EB" w14:textId="49D1ADA5" w:rsidR="296FE518" w:rsidRDefault="296FE518" w:rsidP="21700CD0">
      <w:pPr>
        <w:spacing w:after="120"/>
        <w:jc w:val="both"/>
        <w:rPr>
          <w:rFonts w:asciiTheme="minorHAnsi" w:eastAsia="Aptos" w:hAnsiTheme="minorHAnsi" w:cstheme="minorBidi"/>
          <w:color w:val="000000" w:themeColor="text1"/>
          <w:sz w:val="22"/>
          <w:szCs w:val="22"/>
        </w:rPr>
      </w:pPr>
      <w:r w:rsidRPr="21700CD0">
        <w:rPr>
          <w:rFonts w:asciiTheme="minorHAnsi" w:eastAsia="Aptos" w:hAnsiTheme="minorHAnsi" w:cstheme="minorBidi"/>
          <w:color w:val="000000" w:themeColor="text1"/>
          <w:sz w:val="22"/>
          <w:szCs w:val="22"/>
        </w:rPr>
        <w:t xml:space="preserve">On 16 November 2024, the first-ever </w:t>
      </w:r>
      <w:r w:rsidR="00F9340A">
        <w:rPr>
          <w:rFonts w:asciiTheme="minorHAnsi" w:eastAsia="Aptos" w:hAnsiTheme="minorHAnsi" w:cstheme="minorBidi"/>
          <w:color w:val="000000" w:themeColor="text1"/>
          <w:sz w:val="22"/>
          <w:szCs w:val="22"/>
        </w:rPr>
        <w:t>D</w:t>
      </w:r>
      <w:r w:rsidRPr="21700CD0">
        <w:rPr>
          <w:rFonts w:asciiTheme="minorHAnsi" w:eastAsia="Aptos" w:hAnsiTheme="minorHAnsi" w:cstheme="minorBidi"/>
          <w:color w:val="000000" w:themeColor="text1"/>
          <w:sz w:val="22"/>
          <w:szCs w:val="22"/>
        </w:rPr>
        <w:t xml:space="preserve">igitalization </w:t>
      </w:r>
      <w:r w:rsidR="00F9340A">
        <w:rPr>
          <w:rFonts w:asciiTheme="minorHAnsi" w:eastAsia="Aptos" w:hAnsiTheme="minorHAnsi" w:cstheme="minorBidi"/>
          <w:color w:val="000000" w:themeColor="text1"/>
          <w:sz w:val="22"/>
          <w:szCs w:val="22"/>
        </w:rPr>
        <w:t>D</w:t>
      </w:r>
      <w:r w:rsidRPr="21700CD0">
        <w:rPr>
          <w:rFonts w:asciiTheme="minorHAnsi" w:eastAsia="Aptos" w:hAnsiTheme="minorHAnsi" w:cstheme="minorBidi"/>
          <w:color w:val="000000" w:themeColor="text1"/>
          <w:sz w:val="22"/>
          <w:szCs w:val="22"/>
        </w:rPr>
        <w:t xml:space="preserve">ay at a climate conference, </w:t>
      </w:r>
      <w:r w:rsidR="00F21B80">
        <w:rPr>
          <w:rFonts w:asciiTheme="minorHAnsi" w:eastAsia="Aptos" w:hAnsiTheme="minorHAnsi" w:cstheme="minorBidi"/>
          <w:color w:val="000000" w:themeColor="text1"/>
          <w:sz w:val="22"/>
          <w:szCs w:val="22"/>
        </w:rPr>
        <w:t xml:space="preserve">was </w:t>
      </w:r>
      <w:r w:rsidRPr="21700CD0">
        <w:rPr>
          <w:rFonts w:asciiTheme="minorHAnsi" w:eastAsia="Aptos" w:hAnsiTheme="minorHAnsi" w:cstheme="minorBidi"/>
          <w:color w:val="000000" w:themeColor="text1"/>
          <w:sz w:val="22"/>
          <w:szCs w:val="22"/>
        </w:rPr>
        <w:t xml:space="preserve">announced by Azerbaijan, </w:t>
      </w:r>
      <w:r w:rsidR="00C87E36">
        <w:rPr>
          <w:rFonts w:asciiTheme="minorHAnsi" w:eastAsia="Aptos" w:hAnsiTheme="minorHAnsi" w:cstheme="minorBidi"/>
          <w:color w:val="000000" w:themeColor="text1"/>
          <w:sz w:val="22"/>
          <w:szCs w:val="22"/>
        </w:rPr>
        <w:t>holding</w:t>
      </w:r>
      <w:r w:rsidR="00F21B80">
        <w:rPr>
          <w:rFonts w:asciiTheme="minorHAnsi" w:eastAsia="Aptos" w:hAnsiTheme="minorHAnsi" w:cstheme="minorBidi"/>
          <w:color w:val="000000" w:themeColor="text1"/>
          <w:sz w:val="22"/>
          <w:szCs w:val="22"/>
        </w:rPr>
        <w:t xml:space="preserve"> </w:t>
      </w:r>
      <w:r w:rsidRPr="21700CD0">
        <w:rPr>
          <w:rFonts w:asciiTheme="minorHAnsi" w:eastAsia="Aptos" w:hAnsiTheme="minorHAnsi" w:cstheme="minorBidi"/>
          <w:color w:val="000000" w:themeColor="text1"/>
          <w:sz w:val="22"/>
          <w:szCs w:val="22"/>
        </w:rPr>
        <w:t xml:space="preserve">the Presidency of COP29 </w:t>
      </w:r>
      <w:r w:rsidR="008D09C0">
        <w:rPr>
          <w:rFonts w:asciiTheme="minorHAnsi" w:eastAsia="Aptos" w:hAnsiTheme="minorHAnsi" w:cstheme="minorBidi"/>
          <w:color w:val="000000" w:themeColor="text1"/>
          <w:sz w:val="22"/>
          <w:szCs w:val="22"/>
        </w:rPr>
        <w:t xml:space="preserve">– </w:t>
      </w:r>
      <w:r w:rsidRPr="21700CD0">
        <w:rPr>
          <w:rFonts w:asciiTheme="minorHAnsi" w:eastAsia="Aptos" w:hAnsiTheme="minorHAnsi" w:cstheme="minorBidi"/>
          <w:color w:val="000000" w:themeColor="text1"/>
          <w:sz w:val="22"/>
          <w:szCs w:val="22"/>
        </w:rPr>
        <w:t>the 29</w:t>
      </w:r>
      <w:r w:rsidRPr="21700CD0">
        <w:rPr>
          <w:rFonts w:asciiTheme="minorHAnsi" w:eastAsia="Aptos" w:hAnsiTheme="minorHAnsi" w:cstheme="minorBidi"/>
          <w:color w:val="000000" w:themeColor="text1"/>
          <w:sz w:val="22"/>
          <w:szCs w:val="22"/>
          <w:vertAlign w:val="superscript"/>
        </w:rPr>
        <w:t>th</w:t>
      </w:r>
      <w:r w:rsidRPr="21700CD0">
        <w:rPr>
          <w:rFonts w:asciiTheme="minorHAnsi" w:eastAsia="Aptos" w:hAnsiTheme="minorHAnsi" w:cstheme="minorBidi"/>
          <w:color w:val="000000" w:themeColor="text1"/>
          <w:sz w:val="22"/>
          <w:szCs w:val="22"/>
        </w:rPr>
        <w:t xml:space="preserve"> meeting of the Conference of the Parties to the UN Framework Convention on Climate Change</w:t>
      </w:r>
      <w:r w:rsidR="008D09C0">
        <w:rPr>
          <w:rFonts w:asciiTheme="minorHAnsi" w:eastAsia="Aptos" w:hAnsiTheme="minorHAnsi" w:cstheme="minorBidi"/>
          <w:color w:val="000000" w:themeColor="text1"/>
          <w:sz w:val="22"/>
          <w:szCs w:val="22"/>
        </w:rPr>
        <w:t>.</w:t>
      </w:r>
      <w:r w:rsidRPr="21700CD0">
        <w:rPr>
          <w:rFonts w:asciiTheme="minorHAnsi" w:eastAsia="Aptos" w:hAnsiTheme="minorHAnsi" w:cstheme="minorBidi"/>
          <w:color w:val="000000" w:themeColor="text1"/>
          <w:sz w:val="22"/>
          <w:szCs w:val="22"/>
        </w:rPr>
        <w:t xml:space="preserve"> </w:t>
      </w:r>
      <w:r w:rsidR="008D09C0">
        <w:rPr>
          <w:rFonts w:asciiTheme="minorHAnsi" w:eastAsia="Aptos" w:hAnsiTheme="minorHAnsi" w:cstheme="minorBidi"/>
          <w:color w:val="000000" w:themeColor="text1"/>
          <w:sz w:val="22"/>
          <w:szCs w:val="22"/>
        </w:rPr>
        <w:t>The day</w:t>
      </w:r>
      <w:r w:rsidRPr="21700CD0">
        <w:rPr>
          <w:rFonts w:asciiTheme="minorHAnsi" w:eastAsia="Aptos" w:hAnsiTheme="minorHAnsi" w:cstheme="minorBidi"/>
          <w:color w:val="000000" w:themeColor="text1"/>
          <w:sz w:val="22"/>
          <w:szCs w:val="22"/>
        </w:rPr>
        <w:t xml:space="preserve"> culminated in the COP29 Declaration on Green Digital Action, which received endorsements from over 80 countries and nearly 1 800 </w:t>
      </w:r>
      <w:r w:rsidR="00D707EE">
        <w:rPr>
          <w:rFonts w:asciiTheme="minorHAnsi" w:eastAsia="Aptos" w:hAnsiTheme="minorHAnsi" w:cstheme="minorBidi"/>
          <w:color w:val="000000" w:themeColor="text1"/>
          <w:sz w:val="22"/>
          <w:szCs w:val="22"/>
        </w:rPr>
        <w:t>companies, organizations and other non-state stakeholders</w:t>
      </w:r>
      <w:r w:rsidRPr="21700CD0">
        <w:rPr>
          <w:rFonts w:asciiTheme="minorHAnsi" w:eastAsia="Aptos" w:hAnsiTheme="minorHAnsi" w:cstheme="minorBidi"/>
          <w:color w:val="000000" w:themeColor="text1"/>
          <w:sz w:val="22"/>
          <w:szCs w:val="22"/>
        </w:rPr>
        <w:t>. Built around eight common objectives, the declaration recognizes the importance of digital technologies to mitigate and adapt to climate change while acknowledging the adverse impacts of digital technologies on the climate.</w:t>
      </w:r>
    </w:p>
    <w:p w14:paraId="6F7D6947" w14:textId="4BA6AA98" w:rsidR="0062274B" w:rsidRPr="001C5BE9" w:rsidRDefault="0062274B" w:rsidP="00B96F88">
      <w:pPr>
        <w:spacing w:after="120"/>
        <w:jc w:val="both"/>
        <w:rPr>
          <w:rFonts w:asciiTheme="minorHAnsi" w:eastAsia="Aptos" w:hAnsiTheme="minorHAnsi" w:cstheme="minorBidi"/>
          <w:color w:val="000000" w:themeColor="text1"/>
          <w:sz w:val="22"/>
          <w:szCs w:val="22"/>
        </w:rPr>
      </w:pPr>
      <w:r w:rsidRPr="4E5BB969">
        <w:rPr>
          <w:rFonts w:asciiTheme="minorHAnsi" w:eastAsia="Calibri" w:hAnsiTheme="minorHAnsi" w:cstheme="minorBidi"/>
          <w:color w:val="000000" w:themeColor="text1"/>
          <w:sz w:val="22"/>
          <w:szCs w:val="22"/>
        </w:rPr>
        <w:t xml:space="preserve">ITU has made </w:t>
      </w:r>
      <w:r w:rsidR="00E806AB" w:rsidRPr="4E5BB969">
        <w:rPr>
          <w:rFonts w:asciiTheme="minorHAnsi" w:eastAsia="Calibri" w:hAnsiTheme="minorHAnsi" w:cstheme="minorBidi"/>
          <w:color w:val="000000" w:themeColor="text1"/>
          <w:sz w:val="22"/>
          <w:szCs w:val="22"/>
        </w:rPr>
        <w:t xml:space="preserve">further </w:t>
      </w:r>
      <w:r w:rsidRPr="4E5BB969">
        <w:rPr>
          <w:rFonts w:asciiTheme="minorHAnsi" w:eastAsia="Calibri" w:hAnsiTheme="minorHAnsi" w:cstheme="minorBidi"/>
          <w:color w:val="000000" w:themeColor="text1"/>
          <w:sz w:val="22"/>
          <w:szCs w:val="22"/>
        </w:rPr>
        <w:t>pro</w:t>
      </w:r>
      <w:r w:rsidRPr="4E5BB969">
        <w:rPr>
          <w:rFonts w:asciiTheme="minorHAnsi" w:eastAsia="Aptos" w:hAnsiTheme="minorHAnsi" w:cstheme="minorBidi"/>
          <w:color w:val="000000" w:themeColor="text1"/>
          <w:sz w:val="22"/>
          <w:szCs w:val="22"/>
        </w:rPr>
        <w:t xml:space="preserve">gress </w:t>
      </w:r>
      <w:r w:rsidR="00E806AB" w:rsidRPr="4E5BB969">
        <w:rPr>
          <w:rFonts w:asciiTheme="minorHAnsi" w:eastAsia="Aptos" w:hAnsiTheme="minorHAnsi" w:cstheme="minorBidi"/>
          <w:color w:val="000000" w:themeColor="text1"/>
          <w:sz w:val="22"/>
          <w:szCs w:val="22"/>
        </w:rPr>
        <w:t>in</w:t>
      </w:r>
      <w:r w:rsidRPr="4E5BB969">
        <w:rPr>
          <w:rFonts w:asciiTheme="minorHAnsi" w:eastAsia="Aptos" w:hAnsiTheme="minorHAnsi" w:cstheme="minorBidi"/>
          <w:color w:val="000000" w:themeColor="text1"/>
          <w:sz w:val="22"/>
          <w:szCs w:val="22"/>
        </w:rPr>
        <w:t xml:space="preserve"> study</w:t>
      </w:r>
      <w:r w:rsidR="00E806AB" w:rsidRPr="4E5BB969">
        <w:rPr>
          <w:rFonts w:asciiTheme="minorHAnsi" w:eastAsia="Aptos" w:hAnsiTheme="minorHAnsi" w:cstheme="minorBidi"/>
          <w:color w:val="000000" w:themeColor="text1"/>
          <w:sz w:val="22"/>
          <w:szCs w:val="22"/>
        </w:rPr>
        <w:t>ing</w:t>
      </w:r>
      <w:r w:rsidRPr="4E5BB969">
        <w:rPr>
          <w:rFonts w:asciiTheme="minorHAnsi" w:eastAsia="Aptos" w:hAnsiTheme="minorHAnsi" w:cstheme="minorBidi"/>
          <w:color w:val="000000" w:themeColor="text1"/>
          <w:sz w:val="22"/>
          <w:szCs w:val="22"/>
        </w:rPr>
        <w:t xml:space="preserve"> energy use and </w:t>
      </w:r>
      <w:r w:rsidR="00E806AB" w:rsidRPr="4E5BB969">
        <w:rPr>
          <w:rFonts w:asciiTheme="minorHAnsi" w:eastAsia="Aptos" w:hAnsiTheme="minorHAnsi" w:cstheme="minorBidi"/>
          <w:color w:val="000000" w:themeColor="text1"/>
          <w:sz w:val="22"/>
          <w:szCs w:val="22"/>
        </w:rPr>
        <w:t>GHG</w:t>
      </w:r>
      <w:r w:rsidRPr="4E5BB969">
        <w:rPr>
          <w:rFonts w:asciiTheme="minorHAnsi" w:eastAsia="Aptos" w:hAnsiTheme="minorHAnsi" w:cstheme="minorBidi"/>
          <w:color w:val="000000" w:themeColor="text1"/>
          <w:sz w:val="22"/>
          <w:szCs w:val="22"/>
        </w:rPr>
        <w:t xml:space="preserve"> emissions </w:t>
      </w:r>
      <w:r w:rsidR="00E806AB" w:rsidRPr="4E5BB969">
        <w:rPr>
          <w:rFonts w:asciiTheme="minorHAnsi" w:eastAsia="Aptos" w:hAnsiTheme="minorHAnsi" w:cstheme="minorBidi"/>
          <w:color w:val="000000" w:themeColor="text1"/>
          <w:sz w:val="22"/>
          <w:szCs w:val="22"/>
        </w:rPr>
        <w:t>across</w:t>
      </w:r>
      <w:r w:rsidRPr="4E5BB969">
        <w:rPr>
          <w:rFonts w:asciiTheme="minorHAnsi" w:eastAsia="Aptos" w:hAnsiTheme="minorHAnsi" w:cstheme="minorBidi"/>
          <w:color w:val="000000" w:themeColor="text1"/>
          <w:sz w:val="22"/>
          <w:szCs w:val="22"/>
        </w:rPr>
        <w:t xml:space="preserve"> the </w:t>
      </w:r>
      <w:r w:rsidR="00E806AB" w:rsidRPr="4E5BB969">
        <w:rPr>
          <w:rFonts w:asciiTheme="minorHAnsi" w:eastAsia="Aptos" w:hAnsiTheme="minorHAnsi" w:cstheme="minorBidi"/>
          <w:color w:val="000000" w:themeColor="text1"/>
          <w:sz w:val="22"/>
          <w:szCs w:val="22"/>
        </w:rPr>
        <w:t>global tech</w:t>
      </w:r>
      <w:r w:rsidRPr="4E5BB969">
        <w:rPr>
          <w:rFonts w:asciiTheme="minorHAnsi" w:eastAsia="Aptos" w:hAnsiTheme="minorHAnsi" w:cstheme="minorBidi"/>
          <w:color w:val="000000" w:themeColor="text1"/>
          <w:sz w:val="22"/>
          <w:szCs w:val="22"/>
        </w:rPr>
        <w:t xml:space="preserve"> sector</w:t>
      </w:r>
      <w:r w:rsidR="173244B5" w:rsidRPr="7FA57801">
        <w:rPr>
          <w:rFonts w:asciiTheme="minorHAnsi" w:eastAsia="Aptos" w:hAnsiTheme="minorHAnsi" w:cstheme="minorBidi"/>
          <w:color w:val="000000" w:themeColor="text1"/>
          <w:sz w:val="22"/>
          <w:szCs w:val="22"/>
        </w:rPr>
        <w:t xml:space="preserve"> </w:t>
      </w:r>
      <w:r w:rsidR="57F331CD" w:rsidRPr="58670498">
        <w:rPr>
          <w:rFonts w:asciiTheme="minorHAnsi" w:eastAsia="Aptos" w:hAnsiTheme="minorHAnsi" w:cstheme="minorBidi"/>
          <w:color w:val="000000" w:themeColor="text1"/>
          <w:sz w:val="22"/>
          <w:szCs w:val="22"/>
        </w:rPr>
        <w:t>and continues to develop, promote and implement international standards to enhance the contribution of ICTs to climate and environmental action</w:t>
      </w:r>
      <w:r w:rsidR="173244B5" w:rsidRPr="58670498">
        <w:rPr>
          <w:rFonts w:asciiTheme="minorHAnsi" w:eastAsia="Aptos" w:hAnsiTheme="minorHAnsi" w:cstheme="minorBidi"/>
          <w:color w:val="000000" w:themeColor="text1"/>
          <w:sz w:val="22"/>
          <w:szCs w:val="22"/>
        </w:rPr>
        <w:t xml:space="preserve"> (see C25/45).</w:t>
      </w:r>
    </w:p>
    <w:p w14:paraId="774FB7CE" w14:textId="38013C6D" w:rsidR="012EFE0A" w:rsidRPr="00C022E1" w:rsidRDefault="012EFE0A" w:rsidP="00C022E1">
      <w:pPr>
        <w:spacing w:after="120"/>
        <w:jc w:val="both"/>
        <w:rPr>
          <w:rFonts w:eastAsia="Calibri" w:cs="Calibri"/>
          <w:color w:val="000000" w:themeColor="text1"/>
          <w:sz w:val="22"/>
          <w:szCs w:val="22"/>
        </w:rPr>
      </w:pPr>
      <w:r w:rsidRPr="00C022E1">
        <w:rPr>
          <w:rFonts w:eastAsia="Calibri" w:cs="Calibri"/>
          <w:color w:val="000000" w:themeColor="text1"/>
          <w:sz w:val="22"/>
          <w:szCs w:val="22"/>
        </w:rPr>
        <w:t xml:space="preserve">ITU </w:t>
      </w:r>
      <w:r w:rsidR="00BE2F75">
        <w:rPr>
          <w:rFonts w:eastAsia="Calibri" w:cs="Calibri"/>
          <w:color w:val="000000" w:themeColor="text1"/>
          <w:sz w:val="22"/>
          <w:szCs w:val="22"/>
        </w:rPr>
        <w:t>also continues</w:t>
      </w:r>
      <w:r w:rsidRPr="00C022E1">
        <w:rPr>
          <w:rFonts w:eastAsia="Calibri" w:cs="Calibri"/>
          <w:color w:val="000000" w:themeColor="text1"/>
          <w:sz w:val="22"/>
          <w:szCs w:val="22"/>
        </w:rPr>
        <w:t xml:space="preserve"> working on the environmental impact of AI, and the </w:t>
      </w:r>
      <w:hyperlink r:id="rId238" w:history="1">
        <w:r w:rsidRPr="00AD3A45">
          <w:rPr>
            <w:rStyle w:val="Hyperlink"/>
            <w:rFonts w:eastAsia="Calibri" w:cs="Calibri"/>
            <w:sz w:val="22"/>
            <w:szCs w:val="22"/>
          </w:rPr>
          <w:t>AI and the Environment</w:t>
        </w:r>
      </w:hyperlink>
      <w:r w:rsidRPr="00C022E1">
        <w:rPr>
          <w:rFonts w:eastAsia="Calibri" w:cs="Calibri"/>
          <w:color w:val="000000" w:themeColor="text1"/>
          <w:sz w:val="22"/>
          <w:szCs w:val="22"/>
        </w:rPr>
        <w:t xml:space="preserve"> report highlights existing and emerging standards that support AI’s environmental efficiency. ITU, France and UNEP co-initiated the Coalition of Sustainable AI</w:t>
      </w:r>
      <w:r w:rsidR="00220EB9">
        <w:rPr>
          <w:rFonts w:eastAsia="Calibri" w:cs="Calibri"/>
          <w:color w:val="000000" w:themeColor="text1"/>
          <w:sz w:val="22"/>
          <w:szCs w:val="22"/>
        </w:rPr>
        <w:t>,</w:t>
      </w:r>
      <w:r w:rsidRPr="00C022E1">
        <w:rPr>
          <w:rFonts w:eastAsia="Calibri" w:cs="Calibri"/>
          <w:color w:val="000000" w:themeColor="text1"/>
          <w:sz w:val="22"/>
          <w:szCs w:val="22"/>
        </w:rPr>
        <w:t xml:space="preserve"> and </w:t>
      </w:r>
      <w:r w:rsidRPr="00933F22">
        <w:rPr>
          <w:rFonts w:eastAsia="Calibri" w:cs="Calibri"/>
          <w:sz w:val="22"/>
          <w:szCs w:val="22"/>
        </w:rPr>
        <w:t>ITU was a key contributor</w:t>
      </w:r>
      <w:r w:rsidRPr="00AD3A45">
        <w:rPr>
          <w:rFonts w:eastAsia="Calibri" w:cs="Calibri"/>
          <w:color w:val="000000" w:themeColor="text1"/>
          <w:sz w:val="22"/>
          <w:szCs w:val="22"/>
        </w:rPr>
        <w:t xml:space="preserve"> </w:t>
      </w:r>
      <w:r w:rsidRPr="00C022E1">
        <w:rPr>
          <w:rFonts w:eastAsia="Calibri" w:cs="Calibri"/>
          <w:color w:val="000000" w:themeColor="text1"/>
          <w:sz w:val="22"/>
          <w:szCs w:val="22"/>
        </w:rPr>
        <w:t>to the report</w:t>
      </w:r>
      <w:r w:rsidR="00220EB9">
        <w:rPr>
          <w:rFonts w:eastAsia="Calibri" w:cs="Calibri"/>
          <w:color w:val="000000" w:themeColor="text1"/>
          <w:sz w:val="22"/>
          <w:szCs w:val="22"/>
        </w:rPr>
        <w:t xml:space="preserve">, </w:t>
      </w:r>
      <w:hyperlink r:id="rId239" w:history="1">
        <w:r w:rsidRPr="00AD3A45">
          <w:rPr>
            <w:rStyle w:val="Hyperlink"/>
            <w:rFonts w:eastAsia="Calibri" w:cs="Calibri"/>
            <w:i/>
            <w:sz w:val="22"/>
            <w:szCs w:val="22"/>
          </w:rPr>
          <w:t>Standardization for AI Environmental Sustainability – Towards a coordinated global approach</w:t>
        </w:r>
      </w:hyperlink>
      <w:r w:rsidRPr="00C022E1">
        <w:rPr>
          <w:rFonts w:eastAsia="Calibri" w:cs="Calibri"/>
          <w:color w:val="000000" w:themeColor="text1"/>
          <w:sz w:val="22"/>
          <w:szCs w:val="22"/>
        </w:rPr>
        <w:t xml:space="preserve">, launched during France's AI Action Summit in Paris in February 2025. Additionally, the Green Digital Action working group on Sustainable AI </w:t>
      </w:r>
      <w:r w:rsidR="00260AA1">
        <w:rPr>
          <w:rFonts w:eastAsia="Calibri" w:cs="Calibri"/>
          <w:color w:val="000000" w:themeColor="text1"/>
          <w:sz w:val="22"/>
          <w:szCs w:val="22"/>
        </w:rPr>
        <w:t xml:space="preserve">(part of the initiative’s Green Computing pillar) </w:t>
      </w:r>
      <w:r w:rsidRPr="00C022E1">
        <w:rPr>
          <w:rFonts w:eastAsia="Calibri" w:cs="Calibri"/>
          <w:color w:val="000000" w:themeColor="text1"/>
          <w:sz w:val="22"/>
          <w:szCs w:val="22"/>
        </w:rPr>
        <w:t>is identifying measurement gaps to better assess the environmental footprint of AI workload</w:t>
      </w:r>
      <w:r w:rsidR="00AD3A45">
        <w:rPr>
          <w:rFonts w:eastAsia="Calibri" w:cs="Calibri"/>
          <w:color w:val="000000" w:themeColor="text1"/>
          <w:sz w:val="22"/>
          <w:szCs w:val="22"/>
        </w:rPr>
        <w:t>s</w:t>
      </w:r>
      <w:r w:rsidRPr="00C022E1">
        <w:rPr>
          <w:rFonts w:eastAsia="Calibri" w:cs="Calibri"/>
          <w:color w:val="000000" w:themeColor="text1"/>
          <w:sz w:val="22"/>
          <w:szCs w:val="22"/>
        </w:rPr>
        <w:t>.</w:t>
      </w:r>
    </w:p>
    <w:p w14:paraId="1E49BAA5" w14:textId="6B2301E4" w:rsidR="00B405FB" w:rsidRDefault="00920933" w:rsidP="00B96F88">
      <w:pPr>
        <w:spacing w:after="120"/>
        <w:jc w:val="both"/>
        <w:rPr>
          <w:rFonts w:asciiTheme="minorHAnsi" w:eastAsia="Aptos" w:hAnsiTheme="minorHAnsi" w:cstheme="minorHAnsi"/>
          <w:color w:val="000000" w:themeColor="text1"/>
          <w:sz w:val="22"/>
          <w:szCs w:val="22"/>
        </w:rPr>
      </w:pPr>
      <w:r w:rsidRPr="004F041F">
        <w:rPr>
          <w:rFonts w:cs="Calibri"/>
          <w:noProof/>
          <w:sz w:val="22"/>
          <w:szCs w:val="22"/>
        </w:rPr>
        <mc:AlternateContent>
          <mc:Choice Requires="wps">
            <w:drawing>
              <wp:inline distT="0" distB="0" distL="0" distR="0" wp14:anchorId="390C894E" wp14:editId="08AF526D">
                <wp:extent cx="5626100" cy="1404620"/>
                <wp:effectExtent l="0" t="0" r="12700" b="22860"/>
                <wp:docPr id="84225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404620"/>
                        </a:xfrm>
                        <a:prstGeom prst="rect">
                          <a:avLst/>
                        </a:prstGeom>
                        <a:solidFill>
                          <a:srgbClr val="FFFFFF"/>
                        </a:solidFill>
                        <a:ln w="9525">
                          <a:solidFill>
                            <a:srgbClr val="000000"/>
                          </a:solidFill>
                          <a:miter lim="800000"/>
                          <a:headEnd/>
                          <a:tailEnd/>
                        </a:ln>
                      </wps:spPr>
                      <wps:txbx>
                        <w:txbxContent>
                          <w:p w14:paraId="57FFC247" w14:textId="2DE1DB69" w:rsidR="00E6075B" w:rsidRPr="004A3701" w:rsidRDefault="00E6075B" w:rsidP="00E6075B">
                            <w:pPr>
                              <w:shd w:val="clear" w:color="auto" w:fill="C6D9F1" w:themeFill="text2" w:themeFillTint="33"/>
                              <w:rPr>
                                <w:rFonts w:cs="Calibri"/>
                                <w:b/>
                                <w:bCs/>
                                <w:szCs w:val="24"/>
                              </w:rPr>
                            </w:pPr>
                            <w:r w:rsidRPr="004A3701">
                              <w:rPr>
                                <w:rFonts w:cs="Calibri"/>
                                <w:b/>
                                <w:bCs/>
                                <w:szCs w:val="24"/>
                              </w:rPr>
                              <w:t>Challenges to find AI-driven climate solutions</w:t>
                            </w:r>
                          </w:p>
                          <w:p w14:paraId="09CD0D24" w14:textId="1B01E4B4" w:rsidR="00E6075B" w:rsidRDefault="00E6075B" w:rsidP="001C5BE9">
                            <w:pPr>
                              <w:jc w:val="both"/>
                              <w:rPr>
                                <w:rFonts w:cs="Calibri"/>
                                <w:sz w:val="22"/>
                                <w:szCs w:val="22"/>
                              </w:rPr>
                            </w:pPr>
                            <w:r>
                              <w:rPr>
                                <w:rFonts w:cs="Calibri"/>
                                <w:sz w:val="22"/>
                                <w:szCs w:val="22"/>
                              </w:rPr>
                              <w:t>T</w:t>
                            </w:r>
                            <w:r w:rsidRPr="00CA663B">
                              <w:rPr>
                                <w:rFonts w:cs="Calibri"/>
                                <w:sz w:val="22"/>
                                <w:szCs w:val="22"/>
                              </w:rPr>
                              <w:t xml:space="preserve">he AI for Climate Action Innovation Factory and AI/ML in 5G Smart Energy Supply Scheduling for Green Telecom Challenge </w:t>
                            </w:r>
                            <w:r>
                              <w:rPr>
                                <w:rFonts w:cs="Calibri"/>
                                <w:sz w:val="22"/>
                                <w:szCs w:val="22"/>
                              </w:rPr>
                              <w:t xml:space="preserve">organized by ITU and partners during the UN climate conference, COP29, </w:t>
                            </w:r>
                            <w:r w:rsidRPr="00CA663B">
                              <w:rPr>
                                <w:rFonts w:cs="Calibri"/>
                                <w:sz w:val="22"/>
                                <w:szCs w:val="22"/>
                              </w:rPr>
                              <w:t xml:space="preserve">showcased </w:t>
                            </w:r>
                            <w:r>
                              <w:rPr>
                                <w:rFonts w:cs="Calibri"/>
                                <w:sz w:val="22"/>
                                <w:szCs w:val="22"/>
                              </w:rPr>
                              <w:t xml:space="preserve">the </w:t>
                            </w:r>
                            <w:r w:rsidRPr="00CA663B">
                              <w:rPr>
                                <w:rFonts w:cs="Calibri"/>
                                <w:sz w:val="22"/>
                                <w:szCs w:val="22"/>
                              </w:rPr>
                              <w:t xml:space="preserve">potential </w:t>
                            </w:r>
                            <w:r>
                              <w:rPr>
                                <w:rFonts w:cs="Calibri"/>
                                <w:sz w:val="22"/>
                                <w:szCs w:val="22"/>
                              </w:rPr>
                              <w:t>of AI-driven solutions to reduce emissions, optimize renewable energy uptake, enhance agriculture, and help address the climate crisis</w:t>
                            </w:r>
                            <w:r w:rsidRPr="00CA663B">
                              <w:rPr>
                                <w:rFonts w:cs="Calibri"/>
                                <w:sz w:val="22"/>
                                <w:szCs w:val="22"/>
                              </w:rPr>
                              <w:t>.</w:t>
                            </w:r>
                          </w:p>
                          <w:p w14:paraId="0E5AF6CE" w14:textId="1EDAA982" w:rsidR="00920933" w:rsidRPr="00121A34" w:rsidRDefault="00E6075B" w:rsidP="00E6075B">
                            <w:pPr>
                              <w:rPr>
                                <w:rFonts w:cs="Calibri"/>
                                <w:sz w:val="22"/>
                                <w:szCs w:val="22"/>
                              </w:rPr>
                            </w:pPr>
                            <w:hyperlink r:id="rId240" w:history="1">
                              <w:r w:rsidRPr="00163556">
                                <w:rPr>
                                  <w:rStyle w:val="Hyperlink"/>
                                  <w:rFonts w:cs="Calibri"/>
                                  <w:b/>
                                  <w:bCs/>
                                  <w:sz w:val="22"/>
                                  <w:szCs w:val="22"/>
                                </w:rPr>
                                <w:t>Learn more</w:t>
                              </w:r>
                            </w:hyperlink>
                          </w:p>
                        </w:txbxContent>
                      </wps:txbx>
                      <wps:bodyPr rot="0" vert="horz" wrap="square" lIns="91440" tIns="45720" rIns="91440" bIns="45720" anchor="t" anchorCtr="0">
                        <a:spAutoFit/>
                      </wps:bodyPr>
                    </wps:wsp>
                  </a:graphicData>
                </a:graphic>
              </wp:inline>
            </w:drawing>
          </mc:Choice>
          <mc:Fallback>
            <w:pict>
              <v:shape w14:anchorId="390C894E" id="_x0000_s1035" type="#_x0000_t202" style="width:44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">
                <v:textbox style="mso-fit-shape-to-text:t">
                  <w:txbxContent>
                    <w:p w14:paraId="57FFC247" w14:textId="2DE1DB69" w:rsidR="00E6075B" w:rsidRPr="004A3701" w:rsidRDefault="00E6075B" w:rsidP="00E6075B">
                      <w:pPr>
                        <w:shd w:val="clear" w:color="auto" w:fill="C6D9F1" w:themeFill="text2" w:themeFillTint="33"/>
                        <w:rPr>
                          <w:rFonts w:cs="Calibri"/>
                          <w:b/>
                          <w:bCs/>
                          <w:szCs w:val="24"/>
                        </w:rPr>
                      </w:pPr>
                      <w:r w:rsidRPr="004A3701">
                        <w:rPr>
                          <w:rFonts w:cs="Calibri"/>
                          <w:b/>
                          <w:bCs/>
                          <w:szCs w:val="24"/>
                        </w:rPr>
                        <w:t>Challenges to find AI-driven climate solutions</w:t>
                      </w:r>
                    </w:p>
                    <w:p w14:paraId="09CD0D24" w14:textId="1B01E4B4" w:rsidR="00E6075B" w:rsidRDefault="00E6075B" w:rsidP="001C5BE9">
                      <w:pPr>
                        <w:jc w:val="both"/>
                        <w:rPr>
                          <w:rFonts w:cs="Calibri"/>
                          <w:sz w:val="22"/>
                          <w:szCs w:val="22"/>
                        </w:rPr>
                      </w:pPr>
                      <w:r>
                        <w:rPr>
                          <w:rFonts w:cs="Calibri"/>
                          <w:sz w:val="22"/>
                          <w:szCs w:val="22"/>
                        </w:rPr>
                        <w:t>T</w:t>
                      </w:r>
                      <w:r w:rsidRPr="00CA663B">
                        <w:rPr>
                          <w:rFonts w:cs="Calibri"/>
                          <w:sz w:val="22"/>
                          <w:szCs w:val="22"/>
                        </w:rPr>
                        <w:t xml:space="preserve">he AI for Climate Action Innovation Factory and AI/ML in 5G Smart Energy Supply Scheduling for Green Telecom Challenge </w:t>
                      </w:r>
                      <w:r>
                        <w:rPr>
                          <w:rFonts w:cs="Calibri"/>
                          <w:sz w:val="22"/>
                          <w:szCs w:val="22"/>
                        </w:rPr>
                        <w:t xml:space="preserve">organized by ITU and partners during the UN climate conference, COP29, </w:t>
                      </w:r>
                      <w:r w:rsidRPr="00CA663B">
                        <w:rPr>
                          <w:rFonts w:cs="Calibri"/>
                          <w:sz w:val="22"/>
                          <w:szCs w:val="22"/>
                        </w:rPr>
                        <w:t xml:space="preserve">showcased </w:t>
                      </w:r>
                      <w:r>
                        <w:rPr>
                          <w:rFonts w:cs="Calibri"/>
                          <w:sz w:val="22"/>
                          <w:szCs w:val="22"/>
                        </w:rPr>
                        <w:t xml:space="preserve">the </w:t>
                      </w:r>
                      <w:r w:rsidRPr="00CA663B">
                        <w:rPr>
                          <w:rFonts w:cs="Calibri"/>
                          <w:sz w:val="22"/>
                          <w:szCs w:val="22"/>
                        </w:rPr>
                        <w:t xml:space="preserve">potential </w:t>
                      </w:r>
                      <w:r>
                        <w:rPr>
                          <w:rFonts w:cs="Calibri"/>
                          <w:sz w:val="22"/>
                          <w:szCs w:val="22"/>
                        </w:rPr>
                        <w:t>of AI-driven solutions to reduce emissions, optimize renewable energy uptake, enhance agriculture, and help address the climate crisis</w:t>
                      </w:r>
                      <w:r w:rsidRPr="00CA663B">
                        <w:rPr>
                          <w:rFonts w:cs="Calibri"/>
                          <w:sz w:val="22"/>
                          <w:szCs w:val="22"/>
                        </w:rPr>
                        <w:t>.</w:t>
                      </w:r>
                    </w:p>
                    <w:p w14:paraId="0E5AF6CE" w14:textId="1EDAA982" w:rsidR="00920933" w:rsidRPr="00121A34" w:rsidRDefault="00E6075B" w:rsidP="00E6075B">
                      <w:pPr>
                        <w:rPr>
                          <w:rFonts w:cs="Calibri"/>
                          <w:sz w:val="22"/>
                          <w:szCs w:val="22"/>
                        </w:rPr>
                      </w:pPr>
                      <w:hyperlink r:id="rId241" w:history="1">
                        <w:r w:rsidRPr="00163556">
                          <w:rPr>
                            <w:rStyle w:val="Hyperlink"/>
                            <w:rFonts w:cs="Calibri"/>
                            <w:b/>
                            <w:bCs/>
                            <w:sz w:val="22"/>
                            <w:szCs w:val="22"/>
                          </w:rPr>
                          <w:t>Learn more</w:t>
                        </w:r>
                      </w:hyperlink>
                    </w:p>
                  </w:txbxContent>
                </v:textbox>
                <w10:anchorlock/>
              </v:shape>
            </w:pict>
          </mc:Fallback>
        </mc:AlternateContent>
      </w:r>
    </w:p>
    <w:p w14:paraId="6C9E68E1" w14:textId="45A5AD8D" w:rsidR="0062274B" w:rsidRPr="00DA76FF" w:rsidRDefault="0062274B" w:rsidP="00A1269A">
      <w:pPr>
        <w:spacing w:before="360" w:after="120"/>
        <w:jc w:val="both"/>
        <w:rPr>
          <w:rFonts w:asciiTheme="minorHAnsi" w:eastAsia="Aptos" w:hAnsiTheme="minorHAnsi" w:cstheme="minorHAnsi"/>
          <w:color w:val="000000" w:themeColor="text1"/>
          <w:sz w:val="22"/>
          <w:szCs w:val="22"/>
        </w:rPr>
      </w:pPr>
      <w:r w:rsidRPr="00DA76FF">
        <w:rPr>
          <w:rFonts w:asciiTheme="minorHAnsi" w:eastAsia="Aptos" w:hAnsiTheme="minorHAnsi" w:cstheme="minorHAnsi"/>
          <w:color w:val="000000" w:themeColor="text1"/>
          <w:sz w:val="22"/>
          <w:szCs w:val="22"/>
        </w:rPr>
        <w:t xml:space="preserve">As digital innovation continues to accelerate, responsible e-waste management has become increasingly urgent. At current rates, the world will produce 82 billion kilograms of e-waste annually by 2030, according to the 2024 </w:t>
      </w:r>
      <w:hyperlink r:id="rId242" w:history="1">
        <w:r w:rsidRPr="00DA76FF">
          <w:rPr>
            <w:rStyle w:val="Hyperlink"/>
            <w:rFonts w:asciiTheme="minorHAnsi" w:eastAsia="Aptos" w:hAnsiTheme="minorHAnsi" w:cstheme="minorHAnsi"/>
            <w:sz w:val="22"/>
            <w:szCs w:val="22"/>
          </w:rPr>
          <w:t>Global E-waste Monitor</w:t>
        </w:r>
      </w:hyperlink>
      <w:r w:rsidRPr="00DA76FF">
        <w:rPr>
          <w:rFonts w:asciiTheme="minorHAnsi" w:eastAsia="Aptos" w:hAnsiTheme="minorHAnsi" w:cstheme="minorHAnsi"/>
          <w:color w:val="000000" w:themeColor="text1"/>
          <w:sz w:val="22"/>
          <w:szCs w:val="22"/>
        </w:rPr>
        <w:t>. ITU has been supporting several countries across the America, Africa and Asia and the Pacific to advance and implement producer responsibility-based regulations for e-waste.</w:t>
      </w:r>
    </w:p>
    <w:p w14:paraId="009B3D3B" w14:textId="5CF64F98" w:rsidR="008936E8" w:rsidRDefault="00497050" w:rsidP="00B96F88">
      <w:pPr>
        <w:spacing w:after="120"/>
        <w:jc w:val="both"/>
        <w:rPr>
          <w:rFonts w:asciiTheme="minorHAnsi" w:eastAsia="Aptos" w:hAnsiTheme="minorHAnsi" w:cstheme="minorBidi"/>
          <w:color w:val="000000" w:themeColor="text1"/>
          <w:sz w:val="22"/>
          <w:szCs w:val="22"/>
        </w:rPr>
      </w:pPr>
      <w:r>
        <w:rPr>
          <w:rFonts w:asciiTheme="minorHAnsi" w:eastAsia="Aptos" w:hAnsiTheme="minorHAnsi" w:cstheme="minorBidi"/>
          <w:color w:val="000000" w:themeColor="text1"/>
          <w:sz w:val="22"/>
          <w:szCs w:val="22"/>
        </w:rPr>
        <w:t>ITU has developed k</w:t>
      </w:r>
      <w:r w:rsidRPr="68132BA8">
        <w:rPr>
          <w:rFonts w:asciiTheme="minorHAnsi" w:eastAsia="Aptos" w:hAnsiTheme="minorHAnsi" w:cstheme="minorBidi"/>
          <w:color w:val="000000" w:themeColor="text1"/>
          <w:sz w:val="22"/>
          <w:szCs w:val="22"/>
        </w:rPr>
        <w:t>ey</w:t>
      </w:r>
      <w:r w:rsidR="0062274B" w:rsidRPr="68132BA8">
        <w:rPr>
          <w:rFonts w:asciiTheme="minorHAnsi" w:eastAsia="Aptos" w:hAnsiTheme="minorHAnsi" w:cstheme="minorBidi"/>
          <w:color w:val="000000" w:themeColor="text1"/>
          <w:sz w:val="22"/>
          <w:szCs w:val="22"/>
        </w:rPr>
        <w:t xml:space="preserve"> standards </w:t>
      </w:r>
      <w:r w:rsidR="7B39DEC1" w:rsidRPr="68132BA8">
        <w:rPr>
          <w:rFonts w:asciiTheme="minorHAnsi" w:eastAsia="Aptos" w:hAnsiTheme="minorHAnsi" w:cstheme="minorBidi"/>
          <w:color w:val="000000" w:themeColor="text1"/>
          <w:sz w:val="22"/>
          <w:szCs w:val="22"/>
        </w:rPr>
        <w:t>to support countries and the ICT sector in responsible e-waste management and the transition to a circular economy</w:t>
      </w:r>
      <w:r>
        <w:rPr>
          <w:rFonts w:asciiTheme="minorHAnsi" w:eastAsia="Aptos" w:hAnsiTheme="minorHAnsi" w:cstheme="minorBidi"/>
          <w:color w:val="000000" w:themeColor="text1"/>
          <w:sz w:val="22"/>
          <w:szCs w:val="22"/>
        </w:rPr>
        <w:t>. Key examples</w:t>
      </w:r>
      <w:r w:rsidR="0062274B" w:rsidRPr="670D1A08">
        <w:rPr>
          <w:rFonts w:asciiTheme="minorHAnsi" w:eastAsia="Aptos" w:hAnsiTheme="minorHAnsi" w:cstheme="minorBidi"/>
          <w:color w:val="000000" w:themeColor="text1"/>
          <w:sz w:val="22"/>
          <w:szCs w:val="22"/>
        </w:rPr>
        <w:t xml:space="preserve"> include environmental performance scoring </w:t>
      </w:r>
      <w:r w:rsidR="00694A1A" w:rsidRPr="670D1A08">
        <w:rPr>
          <w:rFonts w:asciiTheme="minorHAnsi" w:eastAsia="Aptos" w:hAnsiTheme="minorHAnsi" w:cstheme="minorBidi"/>
          <w:color w:val="000000" w:themeColor="text1"/>
          <w:sz w:val="22"/>
          <w:szCs w:val="22"/>
        </w:rPr>
        <w:t xml:space="preserve">for </w:t>
      </w:r>
      <w:r w:rsidR="0062274B" w:rsidRPr="670D1A08">
        <w:rPr>
          <w:rFonts w:asciiTheme="minorHAnsi" w:eastAsia="Aptos" w:hAnsiTheme="minorHAnsi" w:cstheme="minorBidi"/>
          <w:color w:val="000000" w:themeColor="text1"/>
          <w:sz w:val="22"/>
          <w:szCs w:val="22"/>
        </w:rPr>
        <w:t xml:space="preserve">smartphones and a model for a digital product passport </w:t>
      </w:r>
      <w:r w:rsidR="00733FFC" w:rsidRPr="670D1A08">
        <w:rPr>
          <w:rFonts w:asciiTheme="minorHAnsi" w:eastAsia="Aptos" w:hAnsiTheme="minorHAnsi" w:cstheme="minorBidi"/>
          <w:color w:val="000000" w:themeColor="text1"/>
          <w:sz w:val="22"/>
          <w:szCs w:val="22"/>
        </w:rPr>
        <w:t>promoting</w:t>
      </w:r>
      <w:r w:rsidR="0062274B" w:rsidRPr="670D1A08">
        <w:rPr>
          <w:rFonts w:asciiTheme="minorHAnsi" w:eastAsia="Aptos" w:hAnsiTheme="minorHAnsi" w:cstheme="minorBidi"/>
          <w:color w:val="000000" w:themeColor="text1"/>
          <w:sz w:val="22"/>
          <w:szCs w:val="22"/>
        </w:rPr>
        <w:t xml:space="preserve"> circularity.</w:t>
      </w:r>
    </w:p>
    <w:p w14:paraId="3D21F63B" w14:textId="2B894601" w:rsidR="0062274B" w:rsidRPr="00DA76FF" w:rsidRDefault="0062274B" w:rsidP="00B96F88">
      <w:pPr>
        <w:spacing w:after="120"/>
        <w:jc w:val="both"/>
        <w:rPr>
          <w:rFonts w:asciiTheme="minorHAnsi" w:eastAsia="Calibri" w:hAnsiTheme="minorHAnsi" w:cstheme="minorBidi"/>
          <w:color w:val="000000" w:themeColor="text1"/>
          <w:sz w:val="22"/>
          <w:szCs w:val="22"/>
        </w:rPr>
      </w:pPr>
      <w:r w:rsidRPr="2C0EAE0F">
        <w:rPr>
          <w:rFonts w:asciiTheme="minorHAnsi" w:eastAsia="Aptos" w:hAnsiTheme="minorHAnsi" w:cstheme="minorBidi"/>
          <w:color w:val="000000" w:themeColor="text1"/>
          <w:sz w:val="22"/>
          <w:szCs w:val="22"/>
        </w:rPr>
        <w:t>Internally</w:t>
      </w:r>
      <w:r w:rsidR="0051061D" w:rsidRPr="2C0EAE0F">
        <w:rPr>
          <w:rFonts w:asciiTheme="minorHAnsi" w:eastAsia="Aptos" w:hAnsiTheme="minorHAnsi" w:cstheme="minorBidi"/>
          <w:color w:val="000000" w:themeColor="text1"/>
          <w:sz w:val="22"/>
          <w:szCs w:val="22"/>
        </w:rPr>
        <w:t>,</w:t>
      </w:r>
      <w:r w:rsidRPr="2C0EAE0F">
        <w:rPr>
          <w:rFonts w:asciiTheme="minorHAnsi" w:eastAsia="Aptos" w:hAnsiTheme="minorHAnsi" w:cstheme="minorBidi"/>
          <w:color w:val="000000" w:themeColor="text1"/>
          <w:sz w:val="22"/>
          <w:szCs w:val="22"/>
        </w:rPr>
        <w:t xml:space="preserve"> ITU has </w:t>
      </w:r>
      <w:hyperlink r:id="rId243">
        <w:r w:rsidRPr="2C0EAE0F">
          <w:rPr>
            <w:rStyle w:val="Hyperlink"/>
            <w:rFonts w:asciiTheme="minorHAnsi" w:eastAsia="Aptos" w:hAnsiTheme="minorHAnsi" w:cstheme="minorBidi"/>
            <w:sz w:val="22"/>
            <w:szCs w:val="22"/>
          </w:rPr>
          <w:t>strengthened governance and operations</w:t>
        </w:r>
      </w:hyperlink>
      <w:r w:rsidRPr="2C0EAE0F">
        <w:rPr>
          <w:rFonts w:asciiTheme="minorHAnsi" w:eastAsia="Aptos" w:hAnsiTheme="minorHAnsi" w:cstheme="minorBidi"/>
          <w:color w:val="000000" w:themeColor="text1"/>
          <w:sz w:val="22"/>
          <w:szCs w:val="22"/>
        </w:rPr>
        <w:t xml:space="preserve"> of its Environmental Management System (EMS) in line with requirements </w:t>
      </w:r>
      <w:r w:rsidR="002129C2" w:rsidRPr="2C0EAE0F">
        <w:rPr>
          <w:rFonts w:asciiTheme="minorHAnsi" w:eastAsia="Aptos" w:hAnsiTheme="minorHAnsi" w:cstheme="minorBidi"/>
          <w:color w:val="000000" w:themeColor="text1"/>
          <w:sz w:val="22"/>
          <w:szCs w:val="22"/>
        </w:rPr>
        <w:t>set by</w:t>
      </w:r>
      <w:r w:rsidRPr="2C0EAE0F">
        <w:rPr>
          <w:rFonts w:asciiTheme="minorHAnsi" w:eastAsia="Aptos" w:hAnsiTheme="minorHAnsi" w:cstheme="minorBidi"/>
          <w:color w:val="000000" w:themeColor="text1"/>
          <w:sz w:val="22"/>
          <w:szCs w:val="22"/>
        </w:rPr>
        <w:t xml:space="preserve"> the UN Chief Executives Board for Coordination. In 2024</w:t>
      </w:r>
      <w:r w:rsidR="0092477A" w:rsidRPr="2C0EAE0F">
        <w:rPr>
          <w:rFonts w:asciiTheme="minorHAnsi" w:eastAsia="Aptos" w:hAnsiTheme="minorHAnsi" w:cstheme="minorBidi"/>
          <w:color w:val="000000" w:themeColor="text1"/>
          <w:sz w:val="22"/>
          <w:szCs w:val="22"/>
        </w:rPr>
        <w:t>,</w:t>
      </w:r>
      <w:r w:rsidRPr="2C0EAE0F">
        <w:rPr>
          <w:rFonts w:asciiTheme="minorHAnsi" w:eastAsia="Aptos" w:hAnsiTheme="minorHAnsi" w:cstheme="minorBidi"/>
          <w:color w:val="000000" w:themeColor="text1"/>
          <w:sz w:val="22"/>
          <w:szCs w:val="22"/>
        </w:rPr>
        <w:t xml:space="preserve"> this work included revising </w:t>
      </w:r>
      <w:r w:rsidR="00604CBB" w:rsidRPr="2C0EAE0F">
        <w:rPr>
          <w:rFonts w:asciiTheme="minorHAnsi" w:eastAsia="Aptos" w:hAnsiTheme="minorHAnsi" w:cstheme="minorBidi"/>
          <w:color w:val="000000" w:themeColor="text1"/>
          <w:sz w:val="22"/>
          <w:szCs w:val="22"/>
        </w:rPr>
        <w:t xml:space="preserve">the </w:t>
      </w:r>
      <w:r w:rsidRPr="2C0EAE0F">
        <w:rPr>
          <w:rFonts w:asciiTheme="minorHAnsi" w:eastAsia="Aptos" w:hAnsiTheme="minorHAnsi" w:cstheme="minorBidi"/>
          <w:color w:val="000000" w:themeColor="text1"/>
          <w:sz w:val="22"/>
          <w:szCs w:val="22"/>
        </w:rPr>
        <w:t xml:space="preserve">ITU </w:t>
      </w:r>
      <w:hyperlink r:id="rId244">
        <w:r w:rsidRPr="2C0EAE0F">
          <w:rPr>
            <w:rStyle w:val="Hyperlink"/>
            <w:rFonts w:asciiTheme="minorHAnsi" w:eastAsia="Aptos" w:hAnsiTheme="minorHAnsi" w:cstheme="minorBidi"/>
            <w:sz w:val="22"/>
            <w:szCs w:val="22"/>
          </w:rPr>
          <w:t>Environmental Sustainability Policy</w:t>
        </w:r>
      </w:hyperlink>
      <w:r w:rsidRPr="2C0EAE0F">
        <w:rPr>
          <w:rFonts w:asciiTheme="minorHAnsi" w:eastAsia="Aptos" w:hAnsiTheme="minorHAnsi" w:cstheme="minorBidi"/>
          <w:color w:val="000000" w:themeColor="text1"/>
          <w:sz w:val="22"/>
          <w:szCs w:val="22"/>
        </w:rPr>
        <w:t xml:space="preserve"> and strengthening ITU’s internal targets to reduce </w:t>
      </w:r>
      <w:r w:rsidR="00E806AB" w:rsidRPr="2C0EAE0F">
        <w:rPr>
          <w:rFonts w:asciiTheme="minorHAnsi" w:eastAsia="Aptos" w:hAnsiTheme="minorHAnsi" w:cstheme="minorBidi"/>
          <w:color w:val="000000" w:themeColor="text1"/>
          <w:sz w:val="22"/>
          <w:szCs w:val="22"/>
        </w:rPr>
        <w:t xml:space="preserve">GHG </w:t>
      </w:r>
      <w:r w:rsidRPr="2C0EAE0F">
        <w:rPr>
          <w:rFonts w:asciiTheme="minorHAnsi" w:eastAsia="Aptos" w:hAnsiTheme="minorHAnsi" w:cstheme="minorBidi"/>
          <w:color w:val="000000" w:themeColor="text1"/>
          <w:sz w:val="22"/>
          <w:szCs w:val="22"/>
        </w:rPr>
        <w:t>emissions and improv</w:t>
      </w:r>
      <w:r w:rsidR="00E806AB" w:rsidRPr="2C0EAE0F">
        <w:rPr>
          <w:rFonts w:asciiTheme="minorHAnsi" w:eastAsia="Aptos" w:hAnsiTheme="minorHAnsi" w:cstheme="minorBidi"/>
          <w:color w:val="000000" w:themeColor="text1"/>
          <w:sz w:val="22"/>
          <w:szCs w:val="22"/>
        </w:rPr>
        <w:t>e</w:t>
      </w:r>
      <w:r w:rsidRPr="2C0EAE0F">
        <w:rPr>
          <w:rFonts w:asciiTheme="minorHAnsi" w:eastAsia="Aptos" w:hAnsiTheme="minorHAnsi" w:cstheme="minorBidi"/>
          <w:color w:val="000000" w:themeColor="text1"/>
          <w:sz w:val="22"/>
          <w:szCs w:val="22"/>
        </w:rPr>
        <w:t xml:space="preserve"> operational efficiency. However, a</w:t>
      </w:r>
      <w:r w:rsidRPr="2C0EAE0F">
        <w:rPr>
          <w:rFonts w:asciiTheme="minorHAnsi" w:eastAsia="Calibri" w:hAnsiTheme="minorHAnsi" w:cstheme="minorBidi"/>
          <w:color w:val="000000" w:themeColor="text1"/>
          <w:sz w:val="22"/>
          <w:szCs w:val="22"/>
        </w:rPr>
        <w:t xml:space="preserve">t the current </w:t>
      </w:r>
      <w:r w:rsidR="448ADAC8" w:rsidRPr="2C0EAE0F">
        <w:rPr>
          <w:rFonts w:asciiTheme="minorHAnsi" w:eastAsia="Calibri" w:hAnsiTheme="minorHAnsi" w:cstheme="minorBidi"/>
          <w:color w:val="000000" w:themeColor="text1"/>
          <w:sz w:val="22"/>
          <w:szCs w:val="22"/>
        </w:rPr>
        <w:t xml:space="preserve">trend </w:t>
      </w:r>
      <w:r w:rsidRPr="2C0EAE0F">
        <w:rPr>
          <w:rFonts w:asciiTheme="minorHAnsi" w:eastAsia="Calibri" w:hAnsiTheme="minorHAnsi" w:cstheme="minorBidi"/>
          <w:color w:val="000000" w:themeColor="text1"/>
          <w:sz w:val="22"/>
          <w:szCs w:val="22"/>
        </w:rPr>
        <w:t xml:space="preserve">, ITU </w:t>
      </w:r>
      <w:r w:rsidR="4756EEC3" w:rsidRPr="2C0EAE0F">
        <w:rPr>
          <w:rFonts w:asciiTheme="minorHAnsi" w:eastAsia="Calibri" w:hAnsiTheme="minorHAnsi" w:cstheme="minorBidi"/>
          <w:color w:val="000000" w:themeColor="text1"/>
          <w:sz w:val="22"/>
          <w:szCs w:val="22"/>
        </w:rPr>
        <w:t xml:space="preserve">will face challenges </w:t>
      </w:r>
      <w:r w:rsidRPr="2C0EAE0F">
        <w:rPr>
          <w:rFonts w:asciiTheme="minorHAnsi" w:eastAsia="Calibri" w:hAnsiTheme="minorHAnsi" w:cstheme="minorBidi"/>
          <w:color w:val="000000" w:themeColor="text1"/>
          <w:sz w:val="22"/>
          <w:szCs w:val="22"/>
        </w:rPr>
        <w:t>to meet the UN system target of reducing its emissions by 45</w:t>
      </w:r>
      <w:r w:rsidRPr="00DA76FF">
        <w:t xml:space="preserve"> </w:t>
      </w:r>
      <w:r w:rsidRPr="2C0EAE0F">
        <w:rPr>
          <w:rFonts w:asciiTheme="minorHAnsi" w:eastAsia="Calibri" w:hAnsiTheme="minorHAnsi" w:cstheme="minorBidi"/>
          <w:color w:val="000000" w:themeColor="text1"/>
          <w:sz w:val="22"/>
          <w:szCs w:val="22"/>
        </w:rPr>
        <w:t xml:space="preserve">per cent from its 2010 baseline, in line with </w:t>
      </w:r>
      <w:r w:rsidR="004D0205" w:rsidRPr="2C0EAE0F">
        <w:rPr>
          <w:rFonts w:asciiTheme="minorHAnsi" w:eastAsia="Calibri" w:hAnsiTheme="minorHAnsi" w:cstheme="minorBidi"/>
          <w:color w:val="000000" w:themeColor="text1"/>
          <w:sz w:val="22"/>
          <w:szCs w:val="22"/>
        </w:rPr>
        <w:t>Intergovernmental Panel on Climate Change (</w:t>
      </w:r>
      <w:r w:rsidRPr="2C0EAE0F">
        <w:rPr>
          <w:rFonts w:asciiTheme="minorHAnsi" w:eastAsia="Calibri" w:hAnsiTheme="minorHAnsi" w:cstheme="minorBidi"/>
          <w:color w:val="000000" w:themeColor="text1"/>
          <w:sz w:val="22"/>
          <w:szCs w:val="22"/>
        </w:rPr>
        <w:t>IPCC</w:t>
      </w:r>
      <w:r w:rsidR="004D0205" w:rsidRPr="2C0EAE0F">
        <w:rPr>
          <w:rFonts w:asciiTheme="minorHAnsi" w:eastAsia="Calibri" w:hAnsiTheme="minorHAnsi" w:cstheme="minorBidi"/>
          <w:color w:val="000000" w:themeColor="text1"/>
          <w:sz w:val="22"/>
          <w:szCs w:val="22"/>
        </w:rPr>
        <w:t>)</w:t>
      </w:r>
      <w:r w:rsidRPr="2C0EAE0F">
        <w:rPr>
          <w:rFonts w:asciiTheme="minorHAnsi" w:eastAsia="Calibri" w:hAnsiTheme="minorHAnsi" w:cstheme="minorBidi"/>
          <w:color w:val="000000" w:themeColor="text1"/>
          <w:sz w:val="22"/>
          <w:szCs w:val="22"/>
        </w:rPr>
        <w:t xml:space="preserve"> recommendations.</w:t>
      </w:r>
      <w:r w:rsidR="153F8F2F" w:rsidRPr="2C0EAE0F">
        <w:rPr>
          <w:rFonts w:asciiTheme="minorHAnsi" w:eastAsia="Calibri" w:hAnsiTheme="minorHAnsi" w:cstheme="minorBidi"/>
          <w:color w:val="000000" w:themeColor="text1"/>
          <w:sz w:val="22"/>
          <w:szCs w:val="22"/>
        </w:rPr>
        <w:t xml:space="preserve"> Corrective actions are being considered in this regard.</w:t>
      </w:r>
    </w:p>
    <w:p w14:paraId="41C396A6" w14:textId="0109A322" w:rsidR="009A197A" w:rsidRPr="00AD3A45" w:rsidRDefault="0062274B" w:rsidP="00AD3A45">
      <w:pPr>
        <w:pStyle w:val="Heading2"/>
        <w:keepNext w:val="0"/>
        <w:keepLines w:val="0"/>
        <w:spacing w:before="120" w:after="120"/>
        <w:rPr>
          <w:rFonts w:asciiTheme="minorHAnsi" w:eastAsia="Aptos" w:hAnsiTheme="minorHAnsi" w:cstheme="minorBidi"/>
          <w:b w:val="0"/>
          <w:bCs/>
          <w:color w:val="000000" w:themeColor="text1"/>
          <w:sz w:val="22"/>
          <w:szCs w:val="22"/>
        </w:rPr>
      </w:pPr>
      <w:r w:rsidRPr="00AD3A45">
        <w:rPr>
          <w:rFonts w:asciiTheme="minorHAnsi" w:eastAsia="Aptos" w:hAnsiTheme="minorHAnsi" w:cstheme="minorBidi"/>
          <w:b w:val="0"/>
          <w:bCs/>
          <w:color w:val="000000" w:themeColor="text1"/>
          <w:sz w:val="22"/>
          <w:szCs w:val="22"/>
        </w:rPr>
        <w:t xml:space="preserve">For further information, please see </w:t>
      </w:r>
      <w:hyperlink r:id="rId245">
        <w:r w:rsidRPr="00AD3A45">
          <w:rPr>
            <w:rStyle w:val="Hyperlink"/>
            <w:rFonts w:asciiTheme="minorHAnsi" w:eastAsia="Aptos" w:hAnsiTheme="minorHAnsi" w:cstheme="minorBidi"/>
            <w:b w:val="0"/>
            <w:bCs/>
            <w:sz w:val="22"/>
            <w:szCs w:val="22"/>
          </w:rPr>
          <w:t>C25/</w:t>
        </w:r>
        <w:r w:rsidR="6B69FCC5" w:rsidRPr="00AD3A45">
          <w:rPr>
            <w:rStyle w:val="Hyperlink"/>
            <w:rFonts w:asciiTheme="minorHAnsi" w:eastAsia="Aptos" w:hAnsiTheme="minorHAnsi" w:cstheme="minorBidi"/>
            <w:b w:val="0"/>
            <w:bCs/>
            <w:sz w:val="22"/>
            <w:szCs w:val="22"/>
          </w:rPr>
          <w:t>45</w:t>
        </w:r>
      </w:hyperlink>
      <w:r w:rsidRPr="00AD3A45">
        <w:rPr>
          <w:rFonts w:asciiTheme="minorHAnsi" w:eastAsia="Aptos" w:hAnsiTheme="minorHAnsi" w:cstheme="minorBidi"/>
          <w:b w:val="0"/>
          <w:bCs/>
          <w:color w:val="000000" w:themeColor="text1"/>
          <w:sz w:val="22"/>
          <w:szCs w:val="22"/>
        </w:rPr>
        <w:t>.</w:t>
      </w:r>
    </w:p>
    <w:p w14:paraId="7BEDFF59" w14:textId="7B132978" w:rsidR="00302C68" w:rsidRPr="00DA76FF" w:rsidRDefault="006C1647" w:rsidP="00AD3A45">
      <w:pPr>
        <w:pStyle w:val="Heading2"/>
        <w:spacing w:before="360" w:after="120"/>
      </w:pPr>
      <w:bookmarkStart w:id="70" w:name="_Toc198569385"/>
      <w:r w:rsidRPr="00DA76FF">
        <w:lastRenderedPageBreak/>
        <w:t>5</w:t>
      </w:r>
      <w:r w:rsidR="00282156" w:rsidRPr="00DA76FF">
        <w:t>.</w:t>
      </w:r>
      <w:r w:rsidR="00772933" w:rsidRPr="00DA76FF">
        <w:t>5</w:t>
      </w:r>
      <w:r w:rsidR="00772933" w:rsidRPr="00DA76FF">
        <w:tab/>
      </w:r>
      <w:r w:rsidR="00282156" w:rsidRPr="00DA76FF">
        <w:t>Partnerships and international cooperation</w:t>
      </w:r>
      <w:bookmarkEnd w:id="70"/>
    </w:p>
    <w:p w14:paraId="74DC8D32" w14:textId="463B9762" w:rsidR="00EE0CF5" w:rsidRPr="00DA76FF" w:rsidRDefault="00EE0CF5" w:rsidP="00AD3A45">
      <w:pPr>
        <w:keepNext/>
        <w:keepLines/>
        <w:spacing w:after="120"/>
        <w:jc w:val="both"/>
        <w:rPr>
          <w:b/>
          <w:bCs/>
          <w:color w:val="000000" w:themeColor="text1"/>
          <w:sz w:val="22"/>
          <w:szCs w:val="22"/>
        </w:rPr>
      </w:pPr>
      <w:r w:rsidRPr="00DA76FF">
        <w:rPr>
          <w:b/>
          <w:bCs/>
          <w:color w:val="000000" w:themeColor="text1"/>
          <w:sz w:val="22"/>
          <w:szCs w:val="22"/>
        </w:rPr>
        <w:t>Partner2Connect</w:t>
      </w:r>
    </w:p>
    <w:p w14:paraId="796149F4" w14:textId="47442405" w:rsidR="006A1532" w:rsidRPr="00DA76FF" w:rsidRDefault="006A1532" w:rsidP="00AD3A45">
      <w:pPr>
        <w:keepNext/>
        <w:keepLines/>
        <w:spacing w:after="120"/>
        <w:jc w:val="both"/>
        <w:rPr>
          <w:rFonts w:asciiTheme="minorHAnsi" w:hAnsiTheme="minorHAnsi" w:cstheme="minorHAnsi"/>
          <w:color w:val="000000" w:themeColor="text1"/>
          <w:sz w:val="22"/>
          <w:szCs w:val="22"/>
        </w:rPr>
      </w:pPr>
      <w:r w:rsidRPr="00DA76FF">
        <w:rPr>
          <w:rFonts w:asciiTheme="minorHAnsi" w:hAnsiTheme="minorHAnsi" w:cstheme="minorHAnsi"/>
          <w:color w:val="000000" w:themeColor="text1"/>
          <w:sz w:val="22"/>
          <w:szCs w:val="22"/>
        </w:rPr>
        <w:t>Launched in 2021, the Partner2Connect Digital Coalition (</w:t>
      </w:r>
      <w:hyperlink r:id="rId246" w:history="1">
        <w:r w:rsidRPr="00DA76FF">
          <w:rPr>
            <w:rStyle w:val="Hyperlink"/>
            <w:rFonts w:asciiTheme="minorHAnsi" w:hAnsiTheme="minorHAnsi" w:cstheme="minorHAnsi"/>
            <w:sz w:val="22"/>
            <w:szCs w:val="22"/>
          </w:rPr>
          <w:t>P2C</w:t>
        </w:r>
      </w:hyperlink>
      <w:r w:rsidRPr="00DA76FF">
        <w:rPr>
          <w:rFonts w:asciiTheme="minorHAnsi" w:hAnsiTheme="minorHAnsi" w:cstheme="minorHAnsi"/>
          <w:color w:val="000000" w:themeColor="text1"/>
          <w:sz w:val="22"/>
          <w:szCs w:val="22"/>
        </w:rPr>
        <w:t xml:space="preserve">) mobilizes resources, partnerships, and commitments to accelerate universal meaningful connectivity and digital transformation. </w:t>
      </w:r>
      <w:r w:rsidR="002D2F5C" w:rsidRPr="002D2F5C">
        <w:rPr>
          <w:rFonts w:asciiTheme="minorHAnsi" w:hAnsiTheme="minorHAnsi" w:cstheme="minorHAnsi"/>
          <w:color w:val="000000" w:themeColor="text1"/>
          <w:sz w:val="22"/>
          <w:szCs w:val="22"/>
        </w:rPr>
        <w:t>As of 31 December 2024, the P2C Pledging Platform had received 956 pledges valued at USD</w:t>
      </w:r>
      <w:r w:rsidR="0051061D">
        <w:rPr>
          <w:rFonts w:asciiTheme="minorHAnsi" w:hAnsiTheme="minorHAnsi" w:cstheme="minorHAnsi"/>
          <w:color w:val="000000" w:themeColor="text1"/>
          <w:sz w:val="22"/>
          <w:szCs w:val="22"/>
        </w:rPr>
        <w:t> </w:t>
      </w:r>
      <w:r w:rsidR="002D2F5C" w:rsidRPr="002D2F5C">
        <w:rPr>
          <w:rFonts w:asciiTheme="minorHAnsi" w:hAnsiTheme="minorHAnsi" w:cstheme="minorHAnsi"/>
          <w:color w:val="000000" w:themeColor="text1"/>
          <w:sz w:val="22"/>
          <w:szCs w:val="22"/>
        </w:rPr>
        <w:t>54.27</w:t>
      </w:r>
      <w:r w:rsidR="0051061D">
        <w:rPr>
          <w:rFonts w:asciiTheme="minorHAnsi" w:hAnsiTheme="minorHAnsi" w:cstheme="minorHAnsi"/>
          <w:color w:val="000000" w:themeColor="text1"/>
          <w:sz w:val="22"/>
          <w:szCs w:val="22"/>
        </w:rPr>
        <w:t> </w:t>
      </w:r>
      <w:r w:rsidR="002D2F5C" w:rsidRPr="002D2F5C">
        <w:rPr>
          <w:rFonts w:asciiTheme="minorHAnsi" w:hAnsiTheme="minorHAnsi" w:cstheme="minorHAnsi"/>
          <w:color w:val="000000" w:themeColor="text1"/>
          <w:sz w:val="22"/>
          <w:szCs w:val="22"/>
        </w:rPr>
        <w:t>billion from 452 entities across 146 countries worldwide.</w:t>
      </w:r>
      <w:r w:rsidR="002D2F5C">
        <w:rPr>
          <w:rFonts w:asciiTheme="minorHAnsi" w:hAnsiTheme="minorHAnsi" w:cstheme="minorHAnsi"/>
          <w:color w:val="000000" w:themeColor="text1"/>
          <w:sz w:val="22"/>
          <w:szCs w:val="22"/>
        </w:rPr>
        <w:t xml:space="preserve"> </w:t>
      </w:r>
      <w:r w:rsidRPr="00DA76FF">
        <w:rPr>
          <w:rFonts w:asciiTheme="minorHAnsi" w:hAnsiTheme="minorHAnsi" w:cstheme="minorHAnsi"/>
          <w:color w:val="000000" w:themeColor="text1"/>
          <w:sz w:val="22"/>
          <w:szCs w:val="22"/>
        </w:rPr>
        <w:t>To date, over 1</w:t>
      </w:r>
      <w:r w:rsidR="0051061D">
        <w:rPr>
          <w:rFonts w:asciiTheme="minorHAnsi" w:hAnsiTheme="minorHAnsi" w:cstheme="minorHAnsi"/>
          <w:color w:val="000000" w:themeColor="text1"/>
          <w:sz w:val="22"/>
          <w:szCs w:val="22"/>
        </w:rPr>
        <w:t> </w:t>
      </w:r>
      <w:r w:rsidRPr="00DA76FF">
        <w:rPr>
          <w:rFonts w:asciiTheme="minorHAnsi" w:hAnsiTheme="minorHAnsi" w:cstheme="minorHAnsi"/>
          <w:color w:val="000000" w:themeColor="text1"/>
          <w:sz w:val="22"/>
          <w:szCs w:val="22"/>
        </w:rPr>
        <w:t>000 pledges from 470 entities across 148 countries have been made, with a total value exceeding USD</w:t>
      </w:r>
      <w:r w:rsidR="0051061D">
        <w:rPr>
          <w:rFonts w:asciiTheme="minorHAnsi" w:hAnsiTheme="minorHAnsi" w:cstheme="minorHAnsi"/>
          <w:color w:val="000000" w:themeColor="text1"/>
          <w:sz w:val="22"/>
          <w:szCs w:val="22"/>
        </w:rPr>
        <w:t> </w:t>
      </w:r>
      <w:r w:rsidRPr="00DA76FF">
        <w:rPr>
          <w:rFonts w:asciiTheme="minorHAnsi" w:hAnsiTheme="minorHAnsi" w:cstheme="minorHAnsi"/>
          <w:color w:val="000000" w:themeColor="text1"/>
          <w:sz w:val="22"/>
          <w:szCs w:val="22"/>
        </w:rPr>
        <w:t>73</w:t>
      </w:r>
      <w:r w:rsidR="0051061D">
        <w:rPr>
          <w:rFonts w:asciiTheme="minorHAnsi" w:hAnsiTheme="minorHAnsi" w:cstheme="minorHAnsi"/>
          <w:color w:val="000000" w:themeColor="text1"/>
          <w:sz w:val="22"/>
          <w:szCs w:val="22"/>
        </w:rPr>
        <w:t> </w:t>
      </w:r>
      <w:r w:rsidRPr="00DA76FF">
        <w:rPr>
          <w:rFonts w:asciiTheme="minorHAnsi" w:hAnsiTheme="minorHAnsi" w:cstheme="minorHAnsi"/>
          <w:color w:val="000000" w:themeColor="text1"/>
          <w:sz w:val="22"/>
          <w:szCs w:val="22"/>
        </w:rPr>
        <w:t>billion as of March 2025. 38</w:t>
      </w:r>
      <w:r w:rsidRPr="00DA76FF">
        <w:t xml:space="preserve"> </w:t>
      </w:r>
      <w:r w:rsidRPr="00DA76FF">
        <w:rPr>
          <w:rFonts w:asciiTheme="minorHAnsi" w:hAnsiTheme="minorHAnsi" w:cstheme="minorHAnsi"/>
          <w:color w:val="000000" w:themeColor="text1"/>
          <w:sz w:val="22"/>
          <w:szCs w:val="22"/>
        </w:rPr>
        <w:t>per cent of pledges have so far provided updates on the status of their pledge implementation, compared to 33</w:t>
      </w:r>
      <w:r w:rsidRPr="00DA76FF">
        <w:t xml:space="preserve"> </w:t>
      </w:r>
      <w:r w:rsidRPr="00DA76FF">
        <w:rPr>
          <w:rFonts w:asciiTheme="minorHAnsi" w:hAnsiTheme="minorHAnsi" w:cstheme="minorHAnsi"/>
          <w:color w:val="000000" w:themeColor="text1"/>
          <w:sz w:val="22"/>
          <w:szCs w:val="22"/>
        </w:rPr>
        <w:t>per cent in 2023.</w:t>
      </w:r>
    </w:p>
    <w:p w14:paraId="6BD653AB" w14:textId="4E0C77A3" w:rsidR="006A1532" w:rsidRPr="00DA76FF" w:rsidRDefault="006A1532" w:rsidP="00B96F88">
      <w:pPr>
        <w:spacing w:after="120"/>
        <w:jc w:val="both"/>
        <w:rPr>
          <w:rFonts w:asciiTheme="minorHAnsi" w:eastAsia="Calibri" w:hAnsiTheme="minorHAnsi" w:cstheme="minorHAnsi"/>
          <w:sz w:val="22"/>
          <w:szCs w:val="22"/>
        </w:rPr>
      </w:pPr>
      <w:r w:rsidRPr="00DA76FF">
        <w:rPr>
          <w:rFonts w:asciiTheme="minorHAnsi" w:hAnsiTheme="minorHAnsi" w:cstheme="minorHAnsi"/>
          <w:color w:val="000000" w:themeColor="text1"/>
          <w:sz w:val="22"/>
          <w:szCs w:val="22"/>
        </w:rPr>
        <w:t>P2C fosters a global community of committed stakeholders by providing a platform to announce and provide updates on P2C, and by facilitating new partnerships and collaboration opportunities. During 2024, P2C sessions took place at the RDF-CIS, WSIS, AI for Good, SDG Digital, WTSA, and National Roundtables in Cambodia and China. Numerous webinars and the P2C Annual Meeting in January 2025 further provided opportunities for announcements and collaboration. P2C also launched the Explore Pledges and Explore Reports dashboards, introduced new matchmaking features including a virtual matchmaking session in collaboration with the Caribbean Telecommunication Union (CTU), expanded its marketing and communications activities with the launch of P2C Flash, and enhanced the P2C platform and website to optimize user experience and pledge tracking. A continued comprehensive program of activities is planned for 2025 with an aim to mobilize USD</w:t>
      </w:r>
      <w:r w:rsidR="0051061D">
        <w:rPr>
          <w:rFonts w:asciiTheme="minorHAnsi" w:hAnsiTheme="minorHAnsi" w:cstheme="minorHAnsi"/>
          <w:color w:val="000000" w:themeColor="text1"/>
          <w:sz w:val="22"/>
          <w:szCs w:val="22"/>
        </w:rPr>
        <w:t> </w:t>
      </w:r>
      <w:r w:rsidRPr="00DA76FF">
        <w:rPr>
          <w:rFonts w:asciiTheme="minorHAnsi" w:hAnsiTheme="minorHAnsi" w:cstheme="minorHAnsi"/>
          <w:color w:val="000000" w:themeColor="text1"/>
          <w:sz w:val="22"/>
          <w:szCs w:val="22"/>
        </w:rPr>
        <w:t>100 billion in pledges by end 2026.</w:t>
      </w:r>
    </w:p>
    <w:p w14:paraId="1854BAAA" w14:textId="420765A3" w:rsidR="006A1532" w:rsidRPr="00DA76FF" w:rsidRDefault="008E7358" w:rsidP="00B96F88">
      <w:pPr>
        <w:spacing w:after="120"/>
        <w:jc w:val="both"/>
        <w:rPr>
          <w:b/>
          <w:bCs/>
          <w:color w:val="000000" w:themeColor="text1"/>
          <w:sz w:val="22"/>
          <w:szCs w:val="22"/>
        </w:rPr>
      </w:pPr>
      <w:r>
        <w:rPr>
          <w:b/>
          <w:bCs/>
          <w:color w:val="000000" w:themeColor="text1"/>
          <w:sz w:val="22"/>
          <w:szCs w:val="22"/>
        </w:rPr>
        <w:t>P</w:t>
      </w:r>
      <w:r w:rsidR="006A1532" w:rsidRPr="00DA76FF">
        <w:rPr>
          <w:b/>
          <w:bCs/>
          <w:color w:val="000000" w:themeColor="text1"/>
          <w:sz w:val="22"/>
          <w:szCs w:val="22"/>
        </w:rPr>
        <w:t>romoting solutions to accelerate progress</w:t>
      </w:r>
    </w:p>
    <w:p w14:paraId="0589C2D6" w14:textId="18908A6A" w:rsidR="006A1532" w:rsidRPr="00DA76FF" w:rsidRDefault="006A1532" w:rsidP="00B96F88">
      <w:pPr>
        <w:spacing w:after="120"/>
        <w:jc w:val="both"/>
        <w:rPr>
          <w:rFonts w:asciiTheme="minorHAnsi" w:hAnsiTheme="minorHAnsi" w:cstheme="minorHAnsi"/>
          <w:sz w:val="22"/>
          <w:szCs w:val="22"/>
        </w:rPr>
      </w:pPr>
      <w:r w:rsidRPr="00DA76FF">
        <w:rPr>
          <w:rFonts w:asciiTheme="minorHAnsi" w:hAnsiTheme="minorHAnsi" w:cstheme="minorHAnsi"/>
          <w:sz w:val="22"/>
          <w:szCs w:val="22"/>
        </w:rPr>
        <w:t xml:space="preserve">Building on the impact of </w:t>
      </w:r>
      <w:r w:rsidR="003004FA" w:rsidRPr="00DA76FF">
        <w:rPr>
          <w:rFonts w:asciiTheme="minorHAnsi" w:hAnsiTheme="minorHAnsi" w:cstheme="minorHAnsi"/>
          <w:sz w:val="22"/>
          <w:szCs w:val="22"/>
        </w:rPr>
        <w:t>activities</w:t>
      </w:r>
      <w:r w:rsidR="008D632D">
        <w:rPr>
          <w:rFonts w:asciiTheme="minorHAnsi" w:hAnsiTheme="minorHAnsi" w:cstheme="minorHAnsi"/>
          <w:sz w:val="22"/>
          <w:szCs w:val="22"/>
        </w:rPr>
        <w:t xml:space="preserve"> the previous year</w:t>
      </w:r>
      <w:r w:rsidRPr="00DA76FF">
        <w:rPr>
          <w:rFonts w:asciiTheme="minorHAnsi" w:hAnsiTheme="minorHAnsi" w:cstheme="minorHAnsi"/>
          <w:sz w:val="22"/>
          <w:szCs w:val="22"/>
        </w:rPr>
        <w:t xml:space="preserve">, ITU and the United Nations Development Programme (UNDP) </w:t>
      </w:r>
      <w:r w:rsidR="008D632D">
        <w:rPr>
          <w:rFonts w:asciiTheme="minorHAnsi" w:hAnsiTheme="minorHAnsi" w:cstheme="minorHAnsi"/>
          <w:sz w:val="22"/>
          <w:szCs w:val="22"/>
        </w:rPr>
        <w:t>held a second</w:t>
      </w:r>
      <w:r w:rsidR="00D56E59" w:rsidRPr="00DA76FF">
        <w:rPr>
          <w:rFonts w:asciiTheme="minorHAnsi" w:hAnsiTheme="minorHAnsi" w:cstheme="minorHAnsi"/>
          <w:sz w:val="22"/>
          <w:szCs w:val="22"/>
        </w:rPr>
        <w:t xml:space="preserve"> </w:t>
      </w:r>
      <w:r w:rsidRPr="00DA76FF">
        <w:rPr>
          <w:rFonts w:asciiTheme="minorHAnsi" w:hAnsiTheme="minorHAnsi" w:cstheme="minorHAnsi"/>
          <w:sz w:val="22"/>
          <w:szCs w:val="22"/>
        </w:rPr>
        <w:t xml:space="preserve">SDG Digital on 20-21 September </w:t>
      </w:r>
      <w:r w:rsidR="008B01DA">
        <w:rPr>
          <w:rFonts w:asciiTheme="minorHAnsi" w:hAnsiTheme="minorHAnsi" w:cstheme="minorHAnsi"/>
          <w:sz w:val="22"/>
          <w:szCs w:val="22"/>
        </w:rPr>
        <w:t xml:space="preserve">2024 </w:t>
      </w:r>
      <w:r w:rsidRPr="00DA76FF">
        <w:rPr>
          <w:rFonts w:asciiTheme="minorHAnsi" w:hAnsiTheme="minorHAnsi" w:cstheme="minorHAnsi"/>
          <w:sz w:val="22"/>
          <w:szCs w:val="22"/>
        </w:rPr>
        <w:t xml:space="preserve">in New York. </w:t>
      </w:r>
      <w:r w:rsidR="00006179">
        <w:rPr>
          <w:rFonts w:asciiTheme="minorHAnsi" w:hAnsiTheme="minorHAnsi" w:cstheme="minorHAnsi"/>
          <w:sz w:val="22"/>
          <w:szCs w:val="22"/>
        </w:rPr>
        <w:t xml:space="preserve">The </w:t>
      </w:r>
      <w:r w:rsidR="008B01DA">
        <w:rPr>
          <w:rFonts w:asciiTheme="minorHAnsi" w:hAnsiTheme="minorHAnsi" w:cstheme="minorHAnsi"/>
          <w:sz w:val="22"/>
          <w:szCs w:val="22"/>
        </w:rPr>
        <w:t xml:space="preserve">event highlighted </w:t>
      </w:r>
      <w:r w:rsidR="006330A1">
        <w:rPr>
          <w:rFonts w:asciiTheme="minorHAnsi" w:hAnsiTheme="minorHAnsi" w:cstheme="minorHAnsi"/>
          <w:sz w:val="22"/>
          <w:szCs w:val="22"/>
        </w:rPr>
        <w:t>cooperation and partnerships aimed at</w:t>
      </w:r>
      <w:r w:rsidRPr="00DA76FF">
        <w:rPr>
          <w:rFonts w:asciiTheme="minorHAnsi" w:hAnsiTheme="minorHAnsi" w:cstheme="minorHAnsi"/>
          <w:sz w:val="22"/>
          <w:szCs w:val="22"/>
        </w:rPr>
        <w:t xml:space="preserve"> leverag</w:t>
      </w:r>
      <w:r w:rsidR="006330A1">
        <w:rPr>
          <w:rFonts w:asciiTheme="minorHAnsi" w:hAnsiTheme="minorHAnsi" w:cstheme="minorHAnsi"/>
          <w:sz w:val="22"/>
          <w:szCs w:val="22"/>
        </w:rPr>
        <w:t>ing</w:t>
      </w:r>
      <w:r w:rsidRPr="00DA76FF">
        <w:rPr>
          <w:rFonts w:asciiTheme="minorHAnsi" w:hAnsiTheme="minorHAnsi" w:cstheme="minorHAnsi"/>
          <w:sz w:val="22"/>
          <w:szCs w:val="22"/>
        </w:rPr>
        <w:t xml:space="preserve"> digital innovation </w:t>
      </w:r>
      <w:r w:rsidR="006330A1">
        <w:rPr>
          <w:rFonts w:asciiTheme="minorHAnsi" w:hAnsiTheme="minorHAnsi" w:cstheme="minorHAnsi"/>
          <w:sz w:val="22"/>
          <w:szCs w:val="22"/>
        </w:rPr>
        <w:t>for global development</w:t>
      </w:r>
      <w:r w:rsidR="00C648CD">
        <w:rPr>
          <w:rFonts w:asciiTheme="minorHAnsi" w:hAnsiTheme="minorHAnsi" w:cstheme="minorHAnsi"/>
          <w:sz w:val="22"/>
          <w:szCs w:val="22"/>
        </w:rPr>
        <w:t xml:space="preserve"> ahead of</w:t>
      </w:r>
      <w:r w:rsidRPr="00DA76FF">
        <w:rPr>
          <w:rFonts w:asciiTheme="minorHAnsi" w:hAnsiTheme="minorHAnsi" w:cstheme="minorHAnsi"/>
          <w:sz w:val="22"/>
          <w:szCs w:val="22"/>
        </w:rPr>
        <w:t xml:space="preserve"> </w:t>
      </w:r>
      <w:r w:rsidR="001D2060">
        <w:rPr>
          <w:rFonts w:asciiTheme="minorHAnsi" w:hAnsiTheme="minorHAnsi" w:cstheme="minorHAnsi"/>
          <w:sz w:val="22"/>
          <w:szCs w:val="22"/>
        </w:rPr>
        <w:t>the</w:t>
      </w:r>
      <w:r w:rsidRPr="00DA76FF">
        <w:rPr>
          <w:rFonts w:asciiTheme="minorHAnsi" w:hAnsiTheme="minorHAnsi" w:cstheme="minorHAnsi"/>
          <w:sz w:val="22"/>
          <w:szCs w:val="22"/>
        </w:rPr>
        <w:t xml:space="preserve"> UN General Assembly, the Summit of the Future and </w:t>
      </w:r>
      <w:r w:rsidR="001D2060">
        <w:rPr>
          <w:rFonts w:asciiTheme="minorHAnsi" w:hAnsiTheme="minorHAnsi" w:cstheme="minorHAnsi"/>
          <w:sz w:val="22"/>
          <w:szCs w:val="22"/>
        </w:rPr>
        <w:t>associated</w:t>
      </w:r>
      <w:r w:rsidRPr="00DA76FF">
        <w:rPr>
          <w:rFonts w:asciiTheme="minorHAnsi" w:hAnsiTheme="minorHAnsi" w:cstheme="minorHAnsi"/>
          <w:sz w:val="22"/>
          <w:szCs w:val="22"/>
        </w:rPr>
        <w:t xml:space="preserve"> Action Days.</w:t>
      </w:r>
    </w:p>
    <w:p w14:paraId="11042C44" w14:textId="5CF1B2CF" w:rsidR="006A1532" w:rsidRPr="00DA76FF" w:rsidRDefault="008D632D" w:rsidP="00B96F88">
      <w:pPr>
        <w:spacing w:after="120"/>
        <w:jc w:val="both"/>
        <w:rPr>
          <w:rFonts w:asciiTheme="minorHAnsi" w:hAnsiTheme="minorHAnsi" w:cstheme="minorHAnsi"/>
          <w:color w:val="000000"/>
          <w:sz w:val="22"/>
          <w:szCs w:val="22"/>
        </w:rPr>
      </w:pPr>
      <w:r>
        <w:rPr>
          <w:rFonts w:asciiTheme="minorHAnsi" w:hAnsiTheme="minorHAnsi" w:cstheme="minorHAnsi"/>
          <w:sz w:val="22"/>
          <w:szCs w:val="22"/>
        </w:rPr>
        <w:t>Presentations and demonstrations exemplified</w:t>
      </w:r>
      <w:r w:rsidR="006A1532" w:rsidRPr="00DA76FF">
        <w:rPr>
          <w:rFonts w:asciiTheme="minorHAnsi" w:hAnsiTheme="minorHAnsi" w:cstheme="minorHAnsi"/>
          <w:sz w:val="22"/>
          <w:szCs w:val="22"/>
        </w:rPr>
        <w:t xml:space="preserve"> how digital technologies can lay the groundwork for a </w:t>
      </w:r>
      <w:r w:rsidR="000F1729">
        <w:rPr>
          <w:rFonts w:asciiTheme="minorHAnsi" w:hAnsiTheme="minorHAnsi" w:cstheme="minorHAnsi"/>
          <w:sz w:val="22"/>
          <w:szCs w:val="22"/>
        </w:rPr>
        <w:t>better</w:t>
      </w:r>
      <w:r w:rsidR="006A1532" w:rsidRPr="00DA76FF">
        <w:rPr>
          <w:rFonts w:asciiTheme="minorHAnsi" w:hAnsiTheme="minorHAnsi" w:cstheme="minorHAnsi"/>
          <w:sz w:val="22"/>
          <w:szCs w:val="22"/>
        </w:rPr>
        <w:t xml:space="preserve"> </w:t>
      </w:r>
      <w:r w:rsidR="000F1729">
        <w:rPr>
          <w:rFonts w:asciiTheme="minorHAnsi" w:hAnsiTheme="minorHAnsi" w:cstheme="minorHAnsi"/>
          <w:sz w:val="22"/>
          <w:szCs w:val="22"/>
        </w:rPr>
        <w:t xml:space="preserve">global </w:t>
      </w:r>
      <w:r w:rsidR="006A1532" w:rsidRPr="00DA76FF">
        <w:rPr>
          <w:rFonts w:asciiTheme="minorHAnsi" w:hAnsiTheme="minorHAnsi" w:cstheme="minorHAnsi"/>
          <w:sz w:val="22"/>
          <w:szCs w:val="22"/>
        </w:rPr>
        <w:t xml:space="preserve">future. By convening leaders from government, civil society, the private sector, youth, and academia, </w:t>
      </w:r>
      <w:r w:rsidR="00FA2537">
        <w:rPr>
          <w:rFonts w:asciiTheme="minorHAnsi" w:hAnsiTheme="minorHAnsi" w:cstheme="minorHAnsi"/>
          <w:sz w:val="22"/>
          <w:szCs w:val="22"/>
        </w:rPr>
        <w:t>the event focused on</w:t>
      </w:r>
      <w:r w:rsidR="006A1532" w:rsidRPr="00DA76FF">
        <w:rPr>
          <w:rFonts w:asciiTheme="minorHAnsi" w:hAnsiTheme="minorHAnsi" w:cstheme="minorHAnsi"/>
          <w:sz w:val="22"/>
          <w:szCs w:val="22"/>
        </w:rPr>
        <w:t xml:space="preserve"> the future, encouraging exploration of the trends, risks, and opportunities presented by digital and emerging technologies on our journey forward.</w:t>
      </w:r>
    </w:p>
    <w:p w14:paraId="6822D9BC" w14:textId="7C1AB6C8" w:rsidR="006A1532" w:rsidRPr="00DA76FF" w:rsidRDefault="006A1532" w:rsidP="00B96F88">
      <w:pPr>
        <w:keepNext/>
        <w:keepLines/>
        <w:spacing w:after="120"/>
        <w:ind w:left="567" w:hanging="567"/>
        <w:jc w:val="both"/>
        <w:outlineLvl w:val="4"/>
        <w:rPr>
          <w:b/>
          <w:sz w:val="22"/>
          <w:szCs w:val="22"/>
        </w:rPr>
      </w:pPr>
      <w:r w:rsidRPr="00DA76FF">
        <w:rPr>
          <w:b/>
          <w:sz w:val="22"/>
          <w:szCs w:val="22"/>
        </w:rPr>
        <w:t>Broadband Commission – putting broadband firmly on the international policy agenda</w:t>
      </w:r>
    </w:p>
    <w:p w14:paraId="1C07E182" w14:textId="41E8CEB7" w:rsidR="006A1532" w:rsidRPr="00DA76FF" w:rsidRDefault="006A1532" w:rsidP="00B96F88">
      <w:pPr>
        <w:spacing w:after="120"/>
        <w:jc w:val="both"/>
        <w:rPr>
          <w:rFonts w:eastAsia="Calibri" w:cs="Calibri"/>
          <w:color w:val="000000" w:themeColor="text1"/>
          <w:sz w:val="22"/>
          <w:szCs w:val="22"/>
        </w:rPr>
      </w:pPr>
      <w:r w:rsidRPr="00DA76FF">
        <w:rPr>
          <w:rFonts w:eastAsia="Calibri" w:cs="Calibri"/>
          <w:color w:val="000000" w:themeColor="text1"/>
          <w:sz w:val="22"/>
          <w:szCs w:val="22"/>
        </w:rPr>
        <w:t xml:space="preserve">In 2024, the Broadband Commission </w:t>
      </w:r>
      <w:r w:rsidR="00ED046F">
        <w:rPr>
          <w:rFonts w:eastAsia="Calibri" w:cs="Calibri"/>
          <w:color w:val="000000" w:themeColor="text1"/>
          <w:sz w:val="22"/>
          <w:szCs w:val="22"/>
        </w:rPr>
        <w:t xml:space="preserve">for Sustainable Development, led by ITU and UNESCO </w:t>
      </w:r>
      <w:r w:rsidRPr="00DA76FF">
        <w:rPr>
          <w:rFonts w:eastAsia="Calibri" w:cs="Calibri"/>
          <w:color w:val="000000" w:themeColor="text1"/>
          <w:sz w:val="22"/>
          <w:szCs w:val="22"/>
        </w:rPr>
        <w:t xml:space="preserve">engaged diverse partners, including </w:t>
      </w:r>
      <w:r w:rsidR="00ED046F">
        <w:rPr>
          <w:rFonts w:eastAsia="Calibri" w:cs="Calibri"/>
          <w:color w:val="000000" w:themeColor="text1"/>
          <w:sz w:val="22"/>
          <w:szCs w:val="22"/>
        </w:rPr>
        <w:t xml:space="preserve">over </w:t>
      </w:r>
      <w:r w:rsidRPr="00DA76FF">
        <w:rPr>
          <w:rFonts w:eastAsia="Calibri" w:cs="Calibri"/>
          <w:color w:val="000000" w:themeColor="text1"/>
          <w:sz w:val="22"/>
          <w:szCs w:val="22"/>
        </w:rPr>
        <w:t xml:space="preserve">50 </w:t>
      </w:r>
      <w:r w:rsidR="00ED046F">
        <w:rPr>
          <w:rFonts w:eastAsia="Calibri" w:cs="Calibri"/>
          <w:color w:val="000000" w:themeColor="text1"/>
          <w:sz w:val="22"/>
          <w:szCs w:val="22"/>
        </w:rPr>
        <w:t>c</w:t>
      </w:r>
      <w:r w:rsidRPr="00DA76FF">
        <w:rPr>
          <w:rFonts w:eastAsia="Calibri" w:cs="Calibri"/>
          <w:color w:val="000000" w:themeColor="text1"/>
          <w:sz w:val="22"/>
          <w:szCs w:val="22"/>
        </w:rPr>
        <w:t>ommissioners, external experts</w:t>
      </w:r>
      <w:r w:rsidR="00E64D3B">
        <w:rPr>
          <w:rFonts w:eastAsia="Calibri" w:cs="Calibri"/>
          <w:color w:val="000000" w:themeColor="text1"/>
          <w:sz w:val="22"/>
          <w:szCs w:val="22"/>
        </w:rPr>
        <w:t xml:space="preserve"> on working groups,</w:t>
      </w:r>
      <w:r w:rsidRPr="00DA76FF">
        <w:rPr>
          <w:rFonts w:eastAsia="Calibri" w:cs="Calibri"/>
          <w:color w:val="000000" w:themeColor="text1"/>
          <w:sz w:val="22"/>
          <w:szCs w:val="22"/>
        </w:rPr>
        <w:t xml:space="preserve"> and other strategic partners and contributors.</w:t>
      </w:r>
    </w:p>
    <w:p w14:paraId="7562F464" w14:textId="41CD6C1F" w:rsidR="006A1532" w:rsidRPr="00DA76FF" w:rsidRDefault="006A1532" w:rsidP="00B96F88">
      <w:pPr>
        <w:spacing w:after="120"/>
        <w:jc w:val="both"/>
        <w:rPr>
          <w:rFonts w:eastAsia="Calibri" w:cs="Calibri"/>
          <w:color w:val="000000" w:themeColor="text1"/>
          <w:sz w:val="22"/>
          <w:szCs w:val="22"/>
        </w:rPr>
      </w:pPr>
      <w:r w:rsidRPr="00DA76FF">
        <w:rPr>
          <w:rFonts w:eastAsia="Calibri" w:cs="Calibri"/>
          <w:color w:val="000000" w:themeColor="text1"/>
          <w:sz w:val="22"/>
          <w:szCs w:val="22"/>
        </w:rPr>
        <w:t xml:space="preserve">The Commission hosted and its members attended international advocacy events, issued 2 thought leadership publications, and launched </w:t>
      </w:r>
      <w:r w:rsidR="00144142">
        <w:rPr>
          <w:rFonts w:eastAsia="Calibri" w:cs="Calibri"/>
          <w:color w:val="000000" w:themeColor="text1"/>
          <w:sz w:val="22"/>
          <w:szCs w:val="22"/>
        </w:rPr>
        <w:t xml:space="preserve">the </w:t>
      </w:r>
      <w:r w:rsidRPr="00DA76FF">
        <w:rPr>
          <w:rFonts w:eastAsia="Calibri" w:cs="Calibri"/>
          <w:color w:val="000000" w:themeColor="text1"/>
          <w:sz w:val="22"/>
          <w:szCs w:val="22"/>
        </w:rPr>
        <w:t xml:space="preserve">Commissioner-led </w:t>
      </w:r>
      <w:hyperlink r:id="rId247" w:history="1">
        <w:r w:rsidRPr="00DA76FF">
          <w:rPr>
            <w:rStyle w:val="Hyperlink"/>
            <w:rFonts w:eastAsia="Calibri" w:cs="Calibri"/>
            <w:sz w:val="22"/>
            <w:szCs w:val="22"/>
          </w:rPr>
          <w:t>Working Group on Data Governance</w:t>
        </w:r>
      </w:hyperlink>
      <w:r w:rsidRPr="00DA76FF">
        <w:rPr>
          <w:rFonts w:eastAsia="Calibri" w:cs="Calibri"/>
          <w:color w:val="000000" w:themeColor="text1"/>
          <w:sz w:val="22"/>
          <w:szCs w:val="22"/>
        </w:rPr>
        <w:t xml:space="preserve">. </w:t>
      </w:r>
      <w:hyperlink r:id="rId248" w:history="1">
        <w:r w:rsidRPr="00DA76FF">
          <w:rPr>
            <w:rStyle w:val="Hyperlink"/>
            <w:rFonts w:eastAsia="Calibri" w:cs="Calibri"/>
            <w:sz w:val="22"/>
            <w:szCs w:val="22"/>
          </w:rPr>
          <w:t>The Annual virtual Spring Meeting under the theme of “Harnessing Emerging Technologies for Universal Access and Connectivity</w:t>
        </w:r>
      </w:hyperlink>
      <w:r w:rsidRPr="00DA76FF">
        <w:rPr>
          <w:rFonts w:eastAsia="Calibri" w:cs="Calibri"/>
          <w:color w:val="000000" w:themeColor="text1"/>
          <w:sz w:val="22"/>
          <w:szCs w:val="22"/>
        </w:rPr>
        <w:t xml:space="preserve">” addressed how emerging technologies can help achieve universal connectivity and change the outlook. </w:t>
      </w:r>
      <w:hyperlink r:id="rId249" w:history="1">
        <w:r w:rsidR="0051061D">
          <w:rPr>
            <w:rStyle w:val="Hyperlink"/>
            <w:rFonts w:eastAsia="Calibri" w:cs="Calibri"/>
            <w:sz w:val="22"/>
            <w:szCs w:val="22"/>
          </w:rPr>
          <w:t>The</w:t>
        </w:r>
        <w:r w:rsidRPr="00DA76FF">
          <w:rPr>
            <w:rStyle w:val="Hyperlink"/>
            <w:rFonts w:eastAsia="Calibri" w:cs="Calibri"/>
            <w:sz w:val="22"/>
            <w:szCs w:val="22"/>
          </w:rPr>
          <w:t xml:space="preserve"> Fall Meeting 2024 addressing the theme: “Towards a Resilient, Safe, and Inclusive Digital Future”</w:t>
        </w:r>
      </w:hyperlink>
      <w:r w:rsidRPr="00DA76FF">
        <w:rPr>
          <w:rFonts w:eastAsia="Calibri" w:cs="Calibri"/>
          <w:color w:val="000000" w:themeColor="text1"/>
          <w:sz w:val="22"/>
          <w:szCs w:val="22"/>
        </w:rPr>
        <w:t xml:space="preserve"> was hosted in New York on 20 September against the backdrop of the 79</w:t>
      </w:r>
      <w:r w:rsidRPr="00DA76FF">
        <w:rPr>
          <w:rFonts w:eastAsia="Calibri" w:cs="Calibri"/>
          <w:color w:val="000000" w:themeColor="text1"/>
          <w:sz w:val="22"/>
          <w:szCs w:val="22"/>
          <w:vertAlign w:val="superscript"/>
        </w:rPr>
        <w:t>th</w:t>
      </w:r>
      <w:r w:rsidRPr="00DA76FF">
        <w:rPr>
          <w:rFonts w:eastAsia="Calibri" w:cs="Calibri"/>
          <w:color w:val="000000" w:themeColor="text1"/>
          <w:sz w:val="22"/>
          <w:szCs w:val="22"/>
        </w:rPr>
        <w:t xml:space="preserve"> session of the UN General Assembly and the Summit of the Future. The Commission called for enhanced global digital cooperation and emphasized the importance of reinforcing digital infrastructure to withstand disruptions and mitigate growing risks. The Commission called also for greater cross-sector collaboration to strengthen preparedness and crisis response capabilities.</w:t>
      </w:r>
    </w:p>
    <w:p w14:paraId="70469B0F" w14:textId="48F9E31C" w:rsidR="006A1532" w:rsidRPr="00DA76FF" w:rsidRDefault="006A1532" w:rsidP="00AD3A45">
      <w:pPr>
        <w:keepNext/>
        <w:keepLines/>
        <w:spacing w:after="120"/>
        <w:jc w:val="both"/>
        <w:rPr>
          <w:rFonts w:eastAsia="Calibri" w:cs="Calibri"/>
          <w:color w:val="000000" w:themeColor="text1"/>
          <w:sz w:val="22"/>
          <w:szCs w:val="22"/>
        </w:rPr>
      </w:pPr>
      <w:r w:rsidRPr="00DA76FF">
        <w:rPr>
          <w:rFonts w:eastAsia="Calibri" w:cs="Calibri"/>
          <w:color w:val="000000" w:themeColor="text1"/>
          <w:sz w:val="22"/>
          <w:szCs w:val="22"/>
        </w:rPr>
        <w:lastRenderedPageBreak/>
        <w:t xml:space="preserve">The Broadband Commission participated in UN agency-led events (including CSW68, WSIS Forum 2024, World Telecommunication and Information Society Day (WTISD) 2024, etc.) and Commissioners </w:t>
      </w:r>
      <w:r w:rsidR="004C22C0">
        <w:rPr>
          <w:rFonts w:eastAsia="Calibri" w:cs="Calibri"/>
          <w:color w:val="000000" w:themeColor="text1"/>
          <w:sz w:val="22"/>
          <w:szCs w:val="22"/>
        </w:rPr>
        <w:t xml:space="preserve">also </w:t>
      </w:r>
      <w:r w:rsidRPr="00DA76FF">
        <w:rPr>
          <w:rFonts w:eastAsia="Calibri" w:cs="Calibri"/>
          <w:color w:val="000000" w:themeColor="text1"/>
          <w:sz w:val="22"/>
          <w:szCs w:val="22"/>
        </w:rPr>
        <w:t>attended private sector conferences (including the 2024 SAMENA Leaders’ Summit, GSMA MWC 2024 etc.).</w:t>
      </w:r>
    </w:p>
    <w:p w14:paraId="5FB77CAB" w14:textId="00B9C020" w:rsidR="006A1532" w:rsidRPr="00DA76FF" w:rsidRDefault="006A1532" w:rsidP="00B96F88">
      <w:pPr>
        <w:spacing w:after="120"/>
        <w:jc w:val="both"/>
        <w:rPr>
          <w:rFonts w:eastAsia="Calibri" w:cs="Calibri"/>
          <w:color w:val="000000" w:themeColor="text1"/>
          <w:sz w:val="22"/>
          <w:szCs w:val="22"/>
        </w:rPr>
      </w:pPr>
      <w:r w:rsidRPr="00DA76FF">
        <w:rPr>
          <w:rFonts w:eastAsia="Calibri" w:cs="Calibri"/>
          <w:color w:val="000000" w:themeColor="text1"/>
          <w:sz w:val="22"/>
          <w:szCs w:val="22"/>
        </w:rPr>
        <w:t>Publications, working group reports, open statements/contributions, and research across the reporting period include:</w:t>
      </w:r>
    </w:p>
    <w:p w14:paraId="1D368D75" w14:textId="3395DC66" w:rsidR="006A1532" w:rsidRPr="00DA76FF" w:rsidRDefault="006A1532" w:rsidP="00B96F88">
      <w:pPr>
        <w:spacing w:after="120"/>
        <w:jc w:val="both"/>
        <w:rPr>
          <w:rFonts w:eastAsia="Calibri" w:cs="Calibri"/>
          <w:color w:val="000000" w:themeColor="text1"/>
          <w:sz w:val="22"/>
          <w:szCs w:val="22"/>
        </w:rPr>
      </w:pPr>
      <w:hyperlink r:id="rId250" w:history="1">
        <w:r w:rsidRPr="00DA76FF">
          <w:rPr>
            <w:rStyle w:val="Hyperlink"/>
            <w:rFonts w:eastAsia="Calibri" w:cs="Calibri"/>
            <w:sz w:val="22"/>
            <w:szCs w:val="22"/>
          </w:rPr>
          <w:t>The State of Broadband Report 2024, “Leveraging AI for Universal Connectivity,”</w:t>
        </w:r>
      </w:hyperlink>
      <w:r w:rsidRPr="00DA76FF">
        <w:rPr>
          <w:rFonts w:eastAsia="Calibri" w:cs="Calibri"/>
          <w:color w:val="000000" w:themeColor="text1"/>
          <w:sz w:val="22"/>
          <w:szCs w:val="22"/>
        </w:rPr>
        <w:t xml:space="preserve"> </w:t>
      </w:r>
      <w:r w:rsidR="003263DA">
        <w:rPr>
          <w:rFonts w:eastAsia="Calibri" w:cs="Calibri"/>
          <w:color w:val="000000" w:themeColor="text1"/>
          <w:sz w:val="22"/>
          <w:szCs w:val="22"/>
        </w:rPr>
        <w:t xml:space="preserve">which </w:t>
      </w:r>
      <w:r w:rsidRPr="00DA76FF">
        <w:rPr>
          <w:rFonts w:eastAsia="Calibri" w:cs="Calibri"/>
          <w:color w:val="000000" w:themeColor="text1"/>
          <w:sz w:val="22"/>
          <w:szCs w:val="22"/>
        </w:rPr>
        <w:t>was launched and discussed at the annual Spring Meeting of the Commission in June 2024. The report offers an initial overview of how AI applications are shaping development across e-government, education, digital health, digital finance, and the environment, while also addressing associated risks and implications for the digital divide.</w:t>
      </w:r>
    </w:p>
    <w:p w14:paraId="50DD731B" w14:textId="7D8359D6" w:rsidR="006A1532" w:rsidRPr="00DA76FF" w:rsidRDefault="006A1532" w:rsidP="00B96F88">
      <w:pPr>
        <w:spacing w:after="120"/>
        <w:jc w:val="both"/>
        <w:rPr>
          <w:rFonts w:eastAsia="Calibri" w:cs="Calibri"/>
          <w:color w:val="000000" w:themeColor="text1"/>
          <w:sz w:val="22"/>
          <w:szCs w:val="22"/>
        </w:rPr>
      </w:pPr>
      <w:hyperlink r:id="rId251" w:history="1">
        <w:r w:rsidRPr="00DA76FF">
          <w:rPr>
            <w:rStyle w:val="Hyperlink"/>
            <w:rFonts w:eastAsia="Calibri" w:cs="Calibri"/>
            <w:sz w:val="22"/>
            <w:szCs w:val="22"/>
          </w:rPr>
          <w:t>Open statements to UN processes and events</w:t>
        </w:r>
      </w:hyperlink>
      <w:r w:rsidRPr="00DA76FF">
        <w:rPr>
          <w:rFonts w:eastAsia="Calibri" w:cs="Calibri"/>
          <w:color w:val="000000" w:themeColor="text1"/>
          <w:sz w:val="22"/>
          <w:szCs w:val="22"/>
        </w:rPr>
        <w:t xml:space="preserve">: (e.g. </w:t>
      </w:r>
      <w:hyperlink r:id="rId252" w:history="1">
        <w:r w:rsidR="0051061D">
          <w:rPr>
            <w:rStyle w:val="Hyperlink"/>
            <w:rFonts w:eastAsia="Calibri" w:cs="Calibri"/>
            <w:sz w:val="22"/>
            <w:szCs w:val="22"/>
          </w:rPr>
          <w:t>Br</w:t>
        </w:r>
        <w:r w:rsidRPr="00DA76FF">
          <w:rPr>
            <w:rStyle w:val="Hyperlink"/>
            <w:rFonts w:eastAsia="Calibri" w:cs="Calibri"/>
            <w:sz w:val="22"/>
            <w:szCs w:val="22"/>
          </w:rPr>
          <w:t>oadband Commission impact stories on Championing Digital Equality</w:t>
        </w:r>
      </w:hyperlink>
      <w:r w:rsidRPr="00DA76FF">
        <w:rPr>
          <w:rFonts w:eastAsia="Calibri" w:cs="Calibri"/>
          <w:color w:val="000000" w:themeColor="text1"/>
          <w:sz w:val="22"/>
          <w:szCs w:val="22"/>
        </w:rPr>
        <w:t>, input</w:t>
      </w:r>
      <w:r w:rsidR="00842F44">
        <w:rPr>
          <w:rFonts w:eastAsia="Calibri" w:cs="Calibri"/>
          <w:color w:val="000000" w:themeColor="text1"/>
          <w:sz w:val="22"/>
          <w:szCs w:val="22"/>
        </w:rPr>
        <w:t xml:space="preserve"> to the 2024 </w:t>
      </w:r>
      <w:r w:rsidR="00842F44" w:rsidRPr="00DA76FF">
        <w:rPr>
          <w:rFonts w:eastAsia="Calibri" w:cs="Calibri"/>
          <w:color w:val="000000" w:themeColor="text1"/>
          <w:sz w:val="22"/>
          <w:szCs w:val="22"/>
        </w:rPr>
        <w:t>H</w:t>
      </w:r>
      <w:r w:rsidR="00842F44">
        <w:rPr>
          <w:rFonts w:eastAsia="Calibri" w:cs="Calibri"/>
          <w:color w:val="000000" w:themeColor="text1"/>
          <w:sz w:val="22"/>
          <w:szCs w:val="22"/>
        </w:rPr>
        <w:t>igh-Level Political Forum</w:t>
      </w:r>
      <w:r w:rsidRPr="00DA76FF">
        <w:rPr>
          <w:rFonts w:eastAsia="Calibri" w:cs="Calibri"/>
          <w:color w:val="000000" w:themeColor="text1"/>
          <w:sz w:val="22"/>
          <w:szCs w:val="22"/>
        </w:rPr>
        <w:t>).</w:t>
      </w:r>
    </w:p>
    <w:p w14:paraId="5A95B616" w14:textId="2EA61028" w:rsidR="006A1532" w:rsidRPr="00DA76FF" w:rsidRDefault="006A1532" w:rsidP="00B96F88">
      <w:pPr>
        <w:spacing w:after="120"/>
        <w:jc w:val="both"/>
        <w:rPr>
          <w:rFonts w:eastAsia="Calibri" w:cs="Calibri"/>
          <w:color w:val="000000" w:themeColor="text1"/>
          <w:sz w:val="22"/>
          <w:szCs w:val="22"/>
        </w:rPr>
      </w:pPr>
      <w:r w:rsidRPr="00DA76FF">
        <w:rPr>
          <w:rFonts w:eastAsia="Calibri" w:cs="Calibri"/>
          <w:color w:val="000000" w:themeColor="text1"/>
          <w:sz w:val="22"/>
          <w:szCs w:val="22"/>
        </w:rPr>
        <w:t xml:space="preserve">New Working Group on Data Governance launched by UNESCO, ITU, UNDP and </w:t>
      </w:r>
      <w:r w:rsidR="003263DA">
        <w:rPr>
          <w:rFonts w:eastAsia="Calibri" w:cs="Calibri"/>
          <w:color w:val="000000" w:themeColor="text1"/>
          <w:sz w:val="22"/>
          <w:szCs w:val="22"/>
        </w:rPr>
        <w:t xml:space="preserve">the </w:t>
      </w:r>
      <w:r w:rsidRPr="00DA76FF">
        <w:rPr>
          <w:rFonts w:eastAsia="Calibri" w:cs="Calibri"/>
          <w:color w:val="000000" w:themeColor="text1"/>
          <w:sz w:val="22"/>
          <w:szCs w:val="22"/>
        </w:rPr>
        <w:t>A</w:t>
      </w:r>
      <w:r w:rsidR="003263DA">
        <w:rPr>
          <w:rFonts w:eastAsia="Calibri" w:cs="Calibri"/>
          <w:color w:val="000000" w:themeColor="text1"/>
          <w:sz w:val="22"/>
          <w:szCs w:val="22"/>
        </w:rPr>
        <w:t xml:space="preserve">frican </w:t>
      </w:r>
      <w:r w:rsidRPr="00DA76FF">
        <w:rPr>
          <w:rFonts w:eastAsia="Calibri" w:cs="Calibri"/>
          <w:color w:val="000000" w:themeColor="text1"/>
          <w:sz w:val="22"/>
          <w:szCs w:val="22"/>
        </w:rPr>
        <w:t>U</w:t>
      </w:r>
      <w:r w:rsidR="003263DA">
        <w:rPr>
          <w:rFonts w:eastAsia="Calibri" w:cs="Calibri"/>
          <w:color w:val="000000" w:themeColor="text1"/>
          <w:sz w:val="22"/>
          <w:szCs w:val="22"/>
        </w:rPr>
        <w:t xml:space="preserve">nion </w:t>
      </w:r>
      <w:r w:rsidRPr="00DA76FF">
        <w:rPr>
          <w:rFonts w:eastAsia="Calibri" w:cs="Calibri"/>
          <w:color w:val="000000" w:themeColor="text1"/>
          <w:sz w:val="22"/>
          <w:szCs w:val="22"/>
        </w:rPr>
        <w:t>C</w:t>
      </w:r>
      <w:r w:rsidR="003263DA">
        <w:rPr>
          <w:rFonts w:eastAsia="Calibri" w:cs="Calibri"/>
          <w:color w:val="000000" w:themeColor="text1"/>
          <w:sz w:val="22"/>
          <w:szCs w:val="22"/>
        </w:rPr>
        <w:t>ommission (AUC)</w:t>
      </w:r>
      <w:r w:rsidRPr="00DA76FF">
        <w:rPr>
          <w:rFonts w:eastAsia="Calibri" w:cs="Calibri"/>
          <w:color w:val="000000" w:themeColor="text1"/>
          <w:sz w:val="22"/>
          <w:szCs w:val="22"/>
        </w:rPr>
        <w:t xml:space="preserve"> </w:t>
      </w:r>
      <w:r w:rsidR="00B37907">
        <w:rPr>
          <w:rFonts w:eastAsia="Calibri" w:cs="Calibri"/>
          <w:color w:val="000000" w:themeColor="text1"/>
          <w:sz w:val="22"/>
          <w:szCs w:val="22"/>
        </w:rPr>
        <w:t xml:space="preserve">which </w:t>
      </w:r>
      <w:r w:rsidRPr="00DA76FF">
        <w:rPr>
          <w:rFonts w:eastAsia="Calibri" w:cs="Calibri"/>
          <w:color w:val="000000" w:themeColor="text1"/>
          <w:sz w:val="22"/>
          <w:szCs w:val="22"/>
        </w:rPr>
        <w:t>h</w:t>
      </w:r>
      <w:r w:rsidR="00671B95">
        <w:rPr>
          <w:rFonts w:eastAsia="Calibri" w:cs="Calibri"/>
          <w:color w:val="000000" w:themeColor="text1"/>
          <w:sz w:val="22"/>
          <w:szCs w:val="22"/>
        </w:rPr>
        <w:t>e</w:t>
      </w:r>
      <w:r w:rsidRPr="00DA76FF">
        <w:rPr>
          <w:rFonts w:eastAsia="Calibri" w:cs="Calibri"/>
          <w:color w:val="000000" w:themeColor="text1"/>
          <w:sz w:val="22"/>
          <w:szCs w:val="22"/>
        </w:rPr>
        <w:t xml:space="preserve">ld its </w:t>
      </w:r>
      <w:hyperlink r:id="rId253" w:history="1">
        <w:r w:rsidRPr="00DA76FF">
          <w:rPr>
            <w:rStyle w:val="Hyperlink"/>
            <w:rFonts w:eastAsia="Calibri" w:cs="Calibri"/>
            <w:sz w:val="22"/>
            <w:szCs w:val="22"/>
          </w:rPr>
          <w:t>physical meeting in New York</w:t>
        </w:r>
      </w:hyperlink>
      <w:r w:rsidR="00B37907">
        <w:t>,</w:t>
      </w:r>
      <w:r w:rsidRPr="00DA76FF">
        <w:rPr>
          <w:rFonts w:eastAsia="Calibri" w:cs="Calibri"/>
          <w:color w:val="000000" w:themeColor="text1"/>
          <w:sz w:val="22"/>
          <w:szCs w:val="22"/>
        </w:rPr>
        <w:t xml:space="preserve"> is building on previous work of the Commission, such as the</w:t>
      </w:r>
      <w:r w:rsidR="0051061D">
        <w:rPr>
          <w:rFonts w:eastAsia="Calibri" w:cs="Calibri"/>
          <w:color w:val="000000" w:themeColor="text1"/>
          <w:sz w:val="22"/>
          <w:szCs w:val="22"/>
        </w:rPr>
        <w:t xml:space="preserve"> </w:t>
      </w:r>
      <w:hyperlink r:id="rId254" w:history="1">
        <w:r w:rsidRPr="00DA76FF">
          <w:rPr>
            <w:rStyle w:val="Hyperlink"/>
            <w:rFonts w:eastAsia="Calibri" w:cs="Calibri"/>
            <w:sz w:val="22"/>
            <w:szCs w:val="22"/>
          </w:rPr>
          <w:t>Data for Learning 2023</w:t>
        </w:r>
      </w:hyperlink>
      <w:r w:rsidR="0051061D">
        <w:t xml:space="preserve"> </w:t>
      </w:r>
      <w:r w:rsidRPr="00DA76FF">
        <w:rPr>
          <w:rFonts w:eastAsia="Calibri" w:cs="Calibri"/>
          <w:color w:val="000000" w:themeColor="text1"/>
          <w:sz w:val="22"/>
          <w:szCs w:val="22"/>
        </w:rPr>
        <w:t>and</w:t>
      </w:r>
      <w:r w:rsidR="0051061D">
        <w:rPr>
          <w:rFonts w:eastAsia="Calibri" w:cs="Calibri"/>
          <w:color w:val="000000" w:themeColor="text1"/>
          <w:sz w:val="22"/>
          <w:szCs w:val="22"/>
        </w:rPr>
        <w:t xml:space="preserve"> </w:t>
      </w:r>
      <w:hyperlink r:id="rId255" w:history="1">
        <w:r w:rsidRPr="00DA76FF">
          <w:rPr>
            <w:rStyle w:val="Hyperlink"/>
            <w:rFonts w:eastAsia="Calibri" w:cs="Calibri"/>
            <w:sz w:val="22"/>
            <w:szCs w:val="22"/>
          </w:rPr>
          <w:t>AI Capacity Buildin</w:t>
        </w:r>
        <w:r w:rsidR="0051061D">
          <w:rPr>
            <w:rStyle w:val="Hyperlink"/>
            <w:rFonts w:eastAsia="Calibri" w:cs="Calibri"/>
            <w:sz w:val="22"/>
            <w:szCs w:val="22"/>
          </w:rPr>
          <w:t>g 2022</w:t>
        </w:r>
      </w:hyperlink>
      <w:r w:rsidRPr="00DA76FF">
        <w:rPr>
          <w:rFonts w:eastAsia="Calibri" w:cs="Calibri"/>
          <w:color w:val="000000" w:themeColor="text1"/>
          <w:sz w:val="22"/>
          <w:szCs w:val="22"/>
        </w:rPr>
        <w:t>.</w:t>
      </w:r>
    </w:p>
    <w:p w14:paraId="3C775DAF" w14:textId="2400F983" w:rsidR="006A1532" w:rsidRPr="00DA76FF" w:rsidRDefault="006A1532" w:rsidP="00B96F88">
      <w:pPr>
        <w:spacing w:after="120"/>
        <w:jc w:val="both"/>
        <w:rPr>
          <w:rFonts w:eastAsia="Calibri" w:cs="Calibri"/>
          <w:color w:val="000000" w:themeColor="text1"/>
          <w:sz w:val="22"/>
          <w:szCs w:val="22"/>
        </w:rPr>
      </w:pPr>
      <w:r w:rsidRPr="00DA76FF">
        <w:rPr>
          <w:rFonts w:eastAsia="Calibri" w:cs="Calibri"/>
          <w:color w:val="000000" w:themeColor="text1"/>
          <w:sz w:val="22"/>
          <w:szCs w:val="22"/>
        </w:rPr>
        <w:t>Strategic outreach: The Commission has gained over 1</w:t>
      </w:r>
      <w:r w:rsidR="0051061D">
        <w:rPr>
          <w:rFonts w:eastAsia="Calibri" w:cs="Calibri"/>
          <w:color w:val="000000" w:themeColor="text1"/>
          <w:sz w:val="22"/>
          <w:szCs w:val="22"/>
        </w:rPr>
        <w:t> </w:t>
      </w:r>
      <w:r w:rsidRPr="00DA76FF">
        <w:rPr>
          <w:rFonts w:eastAsia="Calibri" w:cs="Calibri"/>
          <w:color w:val="000000" w:themeColor="text1"/>
          <w:sz w:val="22"/>
          <w:szCs w:val="22"/>
        </w:rPr>
        <w:t>000 newsletter subscribers and has more than 16</w:t>
      </w:r>
      <w:r w:rsidR="0051061D">
        <w:rPr>
          <w:rFonts w:eastAsia="Calibri" w:cs="Calibri"/>
          <w:color w:val="000000" w:themeColor="text1"/>
          <w:sz w:val="22"/>
          <w:szCs w:val="22"/>
        </w:rPr>
        <w:t> </w:t>
      </w:r>
      <w:r w:rsidRPr="00DA76FF">
        <w:rPr>
          <w:rFonts w:eastAsia="Calibri" w:cs="Calibri"/>
          <w:color w:val="000000" w:themeColor="text1"/>
          <w:sz w:val="22"/>
          <w:szCs w:val="22"/>
        </w:rPr>
        <w:t>800 combined followers on X (Twitter), LinkedIn, and Facebook. Over 55</w:t>
      </w:r>
      <w:r w:rsidR="0051061D">
        <w:rPr>
          <w:rFonts w:eastAsia="Calibri" w:cs="Calibri"/>
          <w:color w:val="000000" w:themeColor="text1"/>
          <w:sz w:val="22"/>
          <w:szCs w:val="22"/>
        </w:rPr>
        <w:t> </w:t>
      </w:r>
      <w:r w:rsidRPr="00DA76FF">
        <w:rPr>
          <w:rFonts w:eastAsia="Calibri" w:cs="Calibri"/>
          <w:color w:val="000000" w:themeColor="text1"/>
          <w:sz w:val="22"/>
          <w:szCs w:val="22"/>
        </w:rPr>
        <w:t>800 readers downloaded Commission reports in 2024.</w:t>
      </w:r>
    </w:p>
    <w:p w14:paraId="4A51C76F" w14:textId="77777777" w:rsidR="006A1532" w:rsidRPr="00DA76FF" w:rsidRDefault="006A1532" w:rsidP="00B96F88">
      <w:pPr>
        <w:spacing w:after="120"/>
        <w:ind w:left="567" w:hanging="567"/>
        <w:jc w:val="both"/>
        <w:outlineLvl w:val="4"/>
        <w:rPr>
          <w:b/>
          <w:sz w:val="22"/>
          <w:szCs w:val="22"/>
        </w:rPr>
      </w:pPr>
      <w:r w:rsidRPr="00DA76FF">
        <w:rPr>
          <w:b/>
          <w:sz w:val="22"/>
          <w:szCs w:val="22"/>
        </w:rPr>
        <w:t>EQUALS – promoting access, skills, and ICT leadership for women and girls.</w:t>
      </w:r>
    </w:p>
    <w:p w14:paraId="3E5CC464" w14:textId="7D533AC3" w:rsidR="006A1532" w:rsidRPr="00DA76FF" w:rsidRDefault="006A1532" w:rsidP="00B96F88">
      <w:pPr>
        <w:spacing w:after="120"/>
        <w:jc w:val="both"/>
        <w:rPr>
          <w:sz w:val="22"/>
          <w:szCs w:val="18"/>
        </w:rPr>
      </w:pPr>
      <w:r w:rsidRPr="00DA76FF">
        <w:rPr>
          <w:sz w:val="22"/>
          <w:szCs w:val="18"/>
        </w:rPr>
        <w:t xml:space="preserve">The </w:t>
      </w:r>
      <w:hyperlink r:id="rId256" w:history="1">
        <w:r w:rsidRPr="00DA76FF">
          <w:rPr>
            <w:rStyle w:val="Hyperlink"/>
            <w:sz w:val="22"/>
            <w:szCs w:val="18"/>
          </w:rPr>
          <w:t>EQUALS</w:t>
        </w:r>
      </w:hyperlink>
      <w:r w:rsidRPr="00DA76FF">
        <w:rPr>
          <w:sz w:val="22"/>
          <w:szCs w:val="18"/>
        </w:rPr>
        <w:t xml:space="preserve"> Global Partnership for Gender Equality in the Digital Age is a committed group of corporate leaders, governments, businesses, not-for-profit organizations, academic institutions, NGOs and community groups around the world dedicated to promoting gender balance in the technology sector by championing equality of access, skills development and career opportunities for women and men alike. In 2024, EQUALS reached more than 100 partners – including governments, companies and NGOs.</w:t>
      </w:r>
    </w:p>
    <w:p w14:paraId="07E70CB8" w14:textId="4362D8BD" w:rsidR="006A1532" w:rsidRPr="00DA76FF" w:rsidRDefault="006A1532" w:rsidP="00B96F88">
      <w:pPr>
        <w:spacing w:after="120"/>
        <w:ind w:left="567" w:hanging="567"/>
        <w:jc w:val="both"/>
        <w:outlineLvl w:val="4"/>
        <w:rPr>
          <w:b/>
          <w:sz w:val="22"/>
          <w:szCs w:val="22"/>
        </w:rPr>
      </w:pPr>
      <w:r w:rsidRPr="00DA76FF">
        <w:rPr>
          <w:b/>
          <w:sz w:val="22"/>
          <w:szCs w:val="22"/>
        </w:rPr>
        <w:t>Giga – working to connect every school to the Internet.</w:t>
      </w:r>
    </w:p>
    <w:p w14:paraId="45DFA0E5" w14:textId="7380E083" w:rsidR="006A1532" w:rsidRPr="00DA76FF" w:rsidRDefault="002F03F2" w:rsidP="00B96F88">
      <w:pPr>
        <w:spacing w:after="120"/>
        <w:jc w:val="both"/>
        <w:rPr>
          <w:sz w:val="22"/>
          <w:szCs w:val="22"/>
          <w:shd w:val="clear" w:color="auto" w:fill="FCFCFC"/>
        </w:rPr>
      </w:pPr>
      <w:r>
        <w:rPr>
          <w:sz w:val="22"/>
          <w:szCs w:val="22"/>
          <w:shd w:val="clear" w:color="auto" w:fill="FCFCFC"/>
        </w:rPr>
        <w:t>The</w:t>
      </w:r>
      <w:r w:rsidRPr="00DA76FF">
        <w:rPr>
          <w:sz w:val="22"/>
          <w:szCs w:val="22"/>
          <w:shd w:val="clear" w:color="auto" w:fill="FCFCFC"/>
        </w:rPr>
        <w:t xml:space="preserve"> </w:t>
      </w:r>
      <w:r w:rsidR="006A1532" w:rsidRPr="00DA76FF">
        <w:rPr>
          <w:sz w:val="22"/>
          <w:szCs w:val="22"/>
          <w:shd w:val="clear" w:color="auto" w:fill="FCFCFC"/>
        </w:rPr>
        <w:t xml:space="preserve">joint ITU/UNICEF </w:t>
      </w:r>
      <w:hyperlink r:id="rId257" w:history="1">
        <w:r w:rsidRPr="002F03F2">
          <w:rPr>
            <w:rStyle w:val="Hyperlink"/>
            <w:sz w:val="22"/>
            <w:szCs w:val="22"/>
            <w:shd w:val="clear" w:color="auto" w:fill="FCFCFC"/>
          </w:rPr>
          <w:t xml:space="preserve">Giga </w:t>
        </w:r>
        <w:r w:rsidR="006A1532" w:rsidRPr="002F03F2">
          <w:rPr>
            <w:rStyle w:val="Hyperlink"/>
            <w:sz w:val="22"/>
            <w:szCs w:val="22"/>
            <w:shd w:val="clear" w:color="auto" w:fill="FCFCFC"/>
          </w:rPr>
          <w:t>initiative</w:t>
        </w:r>
      </w:hyperlink>
      <w:r>
        <w:rPr>
          <w:sz w:val="22"/>
          <w:szCs w:val="22"/>
          <w:shd w:val="clear" w:color="auto" w:fill="FCFCFC"/>
        </w:rPr>
        <w:t>,</w:t>
      </w:r>
      <w:r w:rsidR="006A1532" w:rsidRPr="00DA76FF">
        <w:rPr>
          <w:sz w:val="22"/>
          <w:szCs w:val="22"/>
          <w:shd w:val="clear" w:color="auto" w:fill="FCFCFC"/>
        </w:rPr>
        <w:t xml:space="preserve"> established in 2019, supports governments and other stakeholders with </w:t>
      </w:r>
      <w:r w:rsidR="004645DE">
        <w:rPr>
          <w:sz w:val="22"/>
          <w:szCs w:val="22"/>
          <w:shd w:val="clear" w:color="auto" w:fill="FCFCFC"/>
        </w:rPr>
        <w:t>the aim</w:t>
      </w:r>
      <w:r w:rsidR="006A1532" w:rsidRPr="00DA76FF">
        <w:rPr>
          <w:sz w:val="22"/>
          <w:szCs w:val="22"/>
          <w:shd w:val="clear" w:color="auto" w:fill="FCFCFC"/>
        </w:rPr>
        <w:t xml:space="preserve"> to connect every school to the Internet, and every child and young person to information, opportunity and choice, by 2030. </w:t>
      </w:r>
      <w:r w:rsidR="00A7667D">
        <w:rPr>
          <w:sz w:val="22"/>
          <w:szCs w:val="22"/>
          <w:shd w:val="clear" w:color="auto" w:fill="FCFCFC"/>
        </w:rPr>
        <w:t>By the end of 2024, g</w:t>
      </w:r>
      <w:r w:rsidR="00987C2F">
        <w:rPr>
          <w:sz w:val="22"/>
          <w:szCs w:val="22"/>
          <w:shd w:val="clear" w:color="auto" w:fill="FCFCFC"/>
        </w:rPr>
        <w:t>loball</w:t>
      </w:r>
      <w:r w:rsidR="00F701BA">
        <w:rPr>
          <w:sz w:val="22"/>
          <w:szCs w:val="22"/>
          <w:shd w:val="clear" w:color="auto" w:fill="FCFCFC"/>
        </w:rPr>
        <w:t xml:space="preserve">y, </w:t>
      </w:r>
      <w:r w:rsidR="006A1532" w:rsidRPr="00DA76FF">
        <w:rPr>
          <w:sz w:val="22"/>
          <w:szCs w:val="22"/>
          <w:shd w:val="clear" w:color="auto" w:fill="FCFCFC"/>
        </w:rPr>
        <w:t xml:space="preserve">34 countries and territories </w:t>
      </w:r>
      <w:r w:rsidR="00851D67">
        <w:rPr>
          <w:sz w:val="22"/>
          <w:szCs w:val="22"/>
          <w:shd w:val="clear" w:color="auto" w:fill="FCFCFC"/>
        </w:rPr>
        <w:t>we</w:t>
      </w:r>
      <w:r w:rsidR="00851D67" w:rsidRPr="00DA76FF">
        <w:rPr>
          <w:sz w:val="22"/>
          <w:szCs w:val="22"/>
          <w:shd w:val="clear" w:color="auto" w:fill="FCFCFC"/>
        </w:rPr>
        <w:t>re</w:t>
      </w:r>
      <w:r w:rsidR="006A1532" w:rsidRPr="00DA76FF">
        <w:rPr>
          <w:sz w:val="22"/>
          <w:szCs w:val="22"/>
          <w:shd w:val="clear" w:color="auto" w:fill="FCFCFC"/>
        </w:rPr>
        <w:t xml:space="preserve"> engaged with Giga</w:t>
      </w:r>
      <w:r w:rsidR="00893FBE">
        <w:rPr>
          <w:sz w:val="22"/>
          <w:szCs w:val="22"/>
          <w:shd w:val="clear" w:color="auto" w:fill="FCFCFC"/>
        </w:rPr>
        <w:t>, which focuses on connecting schools and surrounding communities</w:t>
      </w:r>
      <w:r w:rsidR="006A1532" w:rsidRPr="00DA76FF">
        <w:rPr>
          <w:sz w:val="22"/>
          <w:szCs w:val="22"/>
          <w:shd w:val="clear" w:color="auto" w:fill="FCFCFC"/>
        </w:rPr>
        <w:t xml:space="preserve">. </w:t>
      </w:r>
      <w:r w:rsidR="0023203A">
        <w:rPr>
          <w:sz w:val="22"/>
          <w:szCs w:val="22"/>
          <w:shd w:val="clear" w:color="auto" w:fill="FCFCFC"/>
        </w:rPr>
        <w:t>Giga’s work – r</w:t>
      </w:r>
      <w:r w:rsidR="006A1532" w:rsidRPr="00DA76FF">
        <w:rPr>
          <w:sz w:val="22"/>
          <w:szCs w:val="22"/>
          <w:shd w:val="clear" w:color="auto" w:fill="FCFCFC"/>
        </w:rPr>
        <w:t xml:space="preserve">ecognized in the Global Digital Compact as </w:t>
      </w:r>
      <w:r w:rsidR="00893FBE">
        <w:rPr>
          <w:sz w:val="22"/>
          <w:szCs w:val="22"/>
          <w:shd w:val="clear" w:color="auto" w:fill="FCFCFC"/>
        </w:rPr>
        <w:t xml:space="preserve">a </w:t>
      </w:r>
      <w:r w:rsidR="00987C2F">
        <w:rPr>
          <w:sz w:val="22"/>
          <w:szCs w:val="22"/>
          <w:shd w:val="clear" w:color="auto" w:fill="FCFCFC"/>
        </w:rPr>
        <w:t>critical</w:t>
      </w:r>
      <w:r w:rsidR="006A1532" w:rsidRPr="00DA76FF">
        <w:rPr>
          <w:sz w:val="22"/>
          <w:szCs w:val="22"/>
          <w:shd w:val="clear" w:color="auto" w:fill="FCFCFC"/>
        </w:rPr>
        <w:t xml:space="preserve"> </w:t>
      </w:r>
      <w:r w:rsidR="00893FBE">
        <w:rPr>
          <w:sz w:val="22"/>
          <w:szCs w:val="22"/>
          <w:shd w:val="clear" w:color="auto" w:fill="FCFCFC"/>
        </w:rPr>
        <w:t>part of</w:t>
      </w:r>
      <w:r w:rsidR="006A1532" w:rsidRPr="00DA76FF">
        <w:rPr>
          <w:sz w:val="22"/>
          <w:szCs w:val="22"/>
          <w:shd w:val="clear" w:color="auto" w:fill="FCFCFC"/>
        </w:rPr>
        <w:t xml:space="preserve"> map</w:t>
      </w:r>
      <w:r w:rsidR="00893FBE">
        <w:rPr>
          <w:sz w:val="22"/>
          <w:szCs w:val="22"/>
          <w:shd w:val="clear" w:color="auto" w:fill="FCFCFC"/>
        </w:rPr>
        <w:t>ping</w:t>
      </w:r>
      <w:r w:rsidR="006A1532" w:rsidRPr="00DA76FF">
        <w:rPr>
          <w:sz w:val="22"/>
          <w:szCs w:val="22"/>
          <w:shd w:val="clear" w:color="auto" w:fill="FCFCFC"/>
        </w:rPr>
        <w:t xml:space="preserve"> </w:t>
      </w:r>
      <w:r w:rsidR="00893FBE">
        <w:rPr>
          <w:sz w:val="22"/>
          <w:szCs w:val="22"/>
          <w:shd w:val="clear" w:color="auto" w:fill="FCFCFC"/>
        </w:rPr>
        <w:t xml:space="preserve">Internet connectivity </w:t>
      </w:r>
      <w:r w:rsidR="006A1532" w:rsidRPr="00DA76FF">
        <w:rPr>
          <w:sz w:val="22"/>
          <w:szCs w:val="22"/>
          <w:shd w:val="clear" w:color="auto" w:fill="FCFCFC"/>
        </w:rPr>
        <w:t>and connect</w:t>
      </w:r>
      <w:r w:rsidR="00893FBE">
        <w:rPr>
          <w:sz w:val="22"/>
          <w:szCs w:val="22"/>
          <w:shd w:val="clear" w:color="auto" w:fill="FCFCFC"/>
        </w:rPr>
        <w:t>ing</w:t>
      </w:r>
      <w:r w:rsidR="006A1532" w:rsidRPr="00DA76FF">
        <w:rPr>
          <w:sz w:val="22"/>
          <w:szCs w:val="22"/>
          <w:shd w:val="clear" w:color="auto" w:fill="FCFCFC"/>
        </w:rPr>
        <w:t xml:space="preserve"> schools and hospitals</w:t>
      </w:r>
      <w:r w:rsidR="00893FBE">
        <w:rPr>
          <w:sz w:val="22"/>
          <w:szCs w:val="22"/>
          <w:shd w:val="clear" w:color="auto" w:fill="FCFCFC"/>
        </w:rPr>
        <w:t xml:space="preserve"> </w:t>
      </w:r>
      <w:r w:rsidR="0023203A">
        <w:rPr>
          <w:sz w:val="22"/>
          <w:szCs w:val="22"/>
          <w:shd w:val="clear" w:color="auto" w:fill="FCFCFC"/>
        </w:rPr>
        <w:t>–</w:t>
      </w:r>
      <w:r w:rsidR="006A1532" w:rsidRPr="00DA76FF">
        <w:rPr>
          <w:sz w:val="22"/>
          <w:szCs w:val="22"/>
          <w:shd w:val="clear" w:color="auto" w:fill="FCFCFC"/>
        </w:rPr>
        <w:t xml:space="preserve"> is carried out under four key pillars</w:t>
      </w:r>
      <w:r w:rsidR="0023203A">
        <w:rPr>
          <w:sz w:val="22"/>
          <w:szCs w:val="22"/>
          <w:shd w:val="clear" w:color="auto" w:fill="FCFCFC"/>
        </w:rPr>
        <w:t>:</w:t>
      </w:r>
      <w:r w:rsidR="006A1532" w:rsidRPr="00DA76FF">
        <w:rPr>
          <w:sz w:val="22"/>
          <w:szCs w:val="22"/>
          <w:shd w:val="clear" w:color="auto" w:fill="FCFCFC"/>
        </w:rPr>
        <w:t xml:space="preserve"> mapping schools, modelling the requisite infrastructure, mobilizing finance</w:t>
      </w:r>
      <w:r w:rsidR="0023203A">
        <w:rPr>
          <w:sz w:val="22"/>
          <w:szCs w:val="22"/>
          <w:shd w:val="clear" w:color="auto" w:fill="FCFCFC"/>
        </w:rPr>
        <w:t>,</w:t>
      </w:r>
      <w:r w:rsidR="006A1532" w:rsidRPr="00DA76FF">
        <w:rPr>
          <w:sz w:val="22"/>
          <w:szCs w:val="22"/>
          <w:shd w:val="clear" w:color="auto" w:fill="FCFCFC"/>
        </w:rPr>
        <w:t xml:space="preserve"> and contracting for connectivity. This work is underpinned by capacity development programs with governments and stakeholders, leveraging the ITU Academy platform.</w:t>
      </w:r>
    </w:p>
    <w:p w14:paraId="78DC4B8E" w14:textId="3231F0DC" w:rsidR="0092446D" w:rsidRDefault="0092446D" w:rsidP="0092446D">
      <w:pPr>
        <w:spacing w:after="120"/>
        <w:jc w:val="both"/>
        <w:rPr>
          <w:rFonts w:asciiTheme="minorHAnsi" w:hAnsiTheme="minorHAnsi" w:cstheme="minorBidi"/>
          <w:color w:val="000000" w:themeColor="text1"/>
          <w:sz w:val="22"/>
          <w:szCs w:val="22"/>
        </w:rPr>
      </w:pPr>
      <w:bookmarkStart w:id="71" w:name="_Hlk120017847"/>
      <w:r w:rsidRPr="00D44063">
        <w:rPr>
          <w:b/>
          <w:bCs/>
          <w:color w:val="000000" w:themeColor="text1"/>
          <w:sz w:val="22"/>
          <w:szCs w:val="22"/>
        </w:rPr>
        <w:t xml:space="preserve">Digital Infrastructure Investment Initiative </w:t>
      </w:r>
    </w:p>
    <w:p w14:paraId="6D0FC926" w14:textId="5A959A4C" w:rsidR="00172D43" w:rsidRPr="00172D43" w:rsidRDefault="002A2B7A" w:rsidP="00AD3A45">
      <w:pPr>
        <w:spacing w:after="120"/>
        <w:jc w:val="both"/>
        <w:rPr>
          <w:rFonts w:cs="Calibri"/>
          <w:sz w:val="22"/>
          <w:szCs w:val="22"/>
        </w:rPr>
      </w:pPr>
      <w:r>
        <w:rPr>
          <w:rFonts w:cs="Calibri"/>
          <w:sz w:val="22"/>
          <w:szCs w:val="22"/>
        </w:rPr>
        <w:t>T</w:t>
      </w:r>
      <w:r w:rsidR="00172D43" w:rsidRPr="00172D43">
        <w:rPr>
          <w:rFonts w:cs="Calibri"/>
          <w:sz w:val="22"/>
          <w:szCs w:val="22"/>
        </w:rPr>
        <w:t>he lack of physical digital infrastructure remains one of the main challenges to achieving universal and meaningful connectivity</w:t>
      </w:r>
      <w:r>
        <w:rPr>
          <w:rFonts w:cs="Calibri"/>
          <w:sz w:val="22"/>
          <w:szCs w:val="22"/>
        </w:rPr>
        <w:t>. Recognizing this</w:t>
      </w:r>
      <w:r w:rsidR="00172D43" w:rsidRPr="00172D43">
        <w:rPr>
          <w:rFonts w:cs="Calibri"/>
          <w:sz w:val="22"/>
          <w:szCs w:val="22"/>
        </w:rPr>
        <w:t xml:space="preserve">, ITU launched the Digital Infrastructure Investment initiative (DIII) in April 2024. Co-led with seven </w:t>
      </w:r>
      <w:r w:rsidR="00640C97">
        <w:rPr>
          <w:rFonts w:cs="Calibri"/>
          <w:sz w:val="22"/>
          <w:szCs w:val="22"/>
        </w:rPr>
        <w:t>d</w:t>
      </w:r>
      <w:r w:rsidR="00172D43" w:rsidRPr="00172D43">
        <w:rPr>
          <w:rFonts w:cs="Calibri"/>
          <w:sz w:val="22"/>
          <w:szCs w:val="22"/>
        </w:rPr>
        <w:t xml:space="preserve">evelopment </w:t>
      </w:r>
      <w:r w:rsidR="00640C97">
        <w:rPr>
          <w:rFonts w:cs="Calibri"/>
          <w:sz w:val="22"/>
          <w:szCs w:val="22"/>
        </w:rPr>
        <w:t>f</w:t>
      </w:r>
      <w:r w:rsidR="00172D43" w:rsidRPr="00172D43">
        <w:rPr>
          <w:rFonts w:cs="Calibri"/>
          <w:sz w:val="22"/>
          <w:szCs w:val="22"/>
        </w:rPr>
        <w:t xml:space="preserve">inance </w:t>
      </w:r>
      <w:r w:rsidR="00640C97">
        <w:rPr>
          <w:rFonts w:cs="Calibri"/>
          <w:sz w:val="22"/>
          <w:szCs w:val="22"/>
        </w:rPr>
        <w:t>i</w:t>
      </w:r>
      <w:r w:rsidR="00172D43" w:rsidRPr="00172D43">
        <w:rPr>
          <w:rFonts w:cs="Calibri"/>
          <w:sz w:val="22"/>
          <w:szCs w:val="22"/>
        </w:rPr>
        <w:t xml:space="preserve">nstitutions (DFIs), the </w:t>
      </w:r>
      <w:r w:rsidR="00640C97">
        <w:rPr>
          <w:rFonts w:cs="Calibri"/>
          <w:sz w:val="22"/>
          <w:szCs w:val="22"/>
        </w:rPr>
        <w:t>initiative</w:t>
      </w:r>
      <w:r w:rsidR="00172D43" w:rsidRPr="00172D43">
        <w:rPr>
          <w:rFonts w:cs="Calibri"/>
          <w:sz w:val="22"/>
          <w:szCs w:val="22"/>
        </w:rPr>
        <w:t xml:space="preserve"> identifies key actions </w:t>
      </w:r>
      <w:r w:rsidR="00640C97">
        <w:rPr>
          <w:rFonts w:cs="Calibri"/>
          <w:sz w:val="22"/>
          <w:szCs w:val="22"/>
        </w:rPr>
        <w:t>needed</w:t>
      </w:r>
      <w:r w:rsidR="00172D43" w:rsidRPr="00172D43">
        <w:rPr>
          <w:rFonts w:cs="Calibri"/>
          <w:sz w:val="22"/>
          <w:szCs w:val="22"/>
        </w:rPr>
        <w:t xml:space="preserve"> to close the </w:t>
      </w:r>
      <w:r w:rsidR="00591634">
        <w:rPr>
          <w:rFonts w:cs="Calibri"/>
          <w:sz w:val="22"/>
          <w:szCs w:val="22"/>
        </w:rPr>
        <w:t>estimated investment gap of USD 1.6 trillion to connect everyone meaningfully by 2030</w:t>
      </w:r>
      <w:r w:rsidR="002F2199">
        <w:rPr>
          <w:rFonts w:cs="Calibri"/>
          <w:sz w:val="22"/>
          <w:szCs w:val="22"/>
        </w:rPr>
        <w:t>, starting</w:t>
      </w:r>
      <w:r w:rsidR="00172D43" w:rsidRPr="00172D43">
        <w:rPr>
          <w:rFonts w:cs="Calibri"/>
          <w:sz w:val="22"/>
          <w:szCs w:val="22"/>
        </w:rPr>
        <w:t xml:space="preserve"> </w:t>
      </w:r>
      <w:r w:rsidR="002F2199">
        <w:rPr>
          <w:rFonts w:cs="Calibri"/>
          <w:sz w:val="22"/>
          <w:szCs w:val="22"/>
        </w:rPr>
        <w:t>with</w:t>
      </w:r>
      <w:r w:rsidR="00172D43" w:rsidRPr="00172D43">
        <w:rPr>
          <w:rFonts w:cs="Calibri"/>
          <w:sz w:val="22"/>
          <w:szCs w:val="22"/>
        </w:rPr>
        <w:t xml:space="preserve"> the development of innovative financing mechanisms and platforms.</w:t>
      </w:r>
    </w:p>
    <w:p w14:paraId="364B8CDC" w14:textId="0B401640" w:rsidR="0092446D" w:rsidRPr="00D817CD" w:rsidRDefault="006A4A67" w:rsidP="00AD3A45">
      <w:pPr>
        <w:spacing w:after="120"/>
        <w:jc w:val="both"/>
        <w:rPr>
          <w:rFonts w:cs="Calibri"/>
          <w:sz w:val="22"/>
          <w:szCs w:val="22"/>
        </w:rPr>
      </w:pPr>
      <w:r>
        <w:rPr>
          <w:rFonts w:cs="Calibri"/>
          <w:sz w:val="22"/>
          <w:szCs w:val="22"/>
        </w:rPr>
        <w:t>The</w:t>
      </w:r>
      <w:r w:rsidR="00172D43" w:rsidRPr="00172D43">
        <w:rPr>
          <w:rFonts w:cs="Calibri"/>
          <w:sz w:val="22"/>
          <w:szCs w:val="22"/>
        </w:rPr>
        <w:t xml:space="preserve"> Fourth International Conference on Financing for Development (FfD4)</w:t>
      </w:r>
      <w:r>
        <w:rPr>
          <w:rFonts w:cs="Calibri"/>
          <w:sz w:val="22"/>
          <w:szCs w:val="22"/>
        </w:rPr>
        <w:t xml:space="preserve"> in </w:t>
      </w:r>
      <w:r w:rsidR="005951C6">
        <w:rPr>
          <w:rFonts w:cs="Calibri"/>
          <w:sz w:val="22"/>
          <w:szCs w:val="22"/>
        </w:rPr>
        <w:t>mid-2025</w:t>
      </w:r>
      <w:r w:rsidR="00157C66">
        <w:rPr>
          <w:rFonts w:cs="Calibri"/>
          <w:sz w:val="22"/>
          <w:szCs w:val="22"/>
        </w:rPr>
        <w:t xml:space="preserve"> presents a key opportunity to mobilize digital infrastructure investment funds. </w:t>
      </w:r>
      <w:r w:rsidR="00F405C8">
        <w:rPr>
          <w:rFonts w:cs="Calibri"/>
          <w:sz w:val="22"/>
          <w:szCs w:val="22"/>
        </w:rPr>
        <w:t xml:space="preserve">An </w:t>
      </w:r>
      <w:r w:rsidR="00E73475">
        <w:rPr>
          <w:rFonts w:cs="Calibri"/>
          <w:sz w:val="22"/>
          <w:szCs w:val="22"/>
        </w:rPr>
        <w:t>ITU</w:t>
      </w:r>
      <w:r w:rsidR="00F405C8">
        <w:rPr>
          <w:rFonts w:cs="Calibri"/>
          <w:sz w:val="22"/>
          <w:szCs w:val="22"/>
        </w:rPr>
        <w:t xml:space="preserve"> policy brief</w:t>
      </w:r>
      <w:r w:rsidR="00E73475">
        <w:rPr>
          <w:rFonts w:cs="Calibri"/>
          <w:sz w:val="22"/>
          <w:szCs w:val="22"/>
        </w:rPr>
        <w:t xml:space="preserve">, drawing on the work of the DIII, </w:t>
      </w:r>
      <w:r w:rsidR="00F405C8">
        <w:rPr>
          <w:rFonts w:cs="Calibri"/>
          <w:sz w:val="22"/>
          <w:szCs w:val="22"/>
        </w:rPr>
        <w:t>outlined three key steps</w:t>
      </w:r>
      <w:r w:rsidR="00172D43" w:rsidRPr="00172D43">
        <w:rPr>
          <w:rFonts w:cs="Calibri"/>
          <w:sz w:val="22"/>
          <w:szCs w:val="22"/>
        </w:rPr>
        <w:t xml:space="preserve"> to unlock investments in digital infrastructure: </w:t>
      </w:r>
      <w:r w:rsidR="00E242D9">
        <w:rPr>
          <w:rFonts w:cs="Calibri"/>
          <w:sz w:val="22"/>
          <w:szCs w:val="22"/>
        </w:rPr>
        <w:t xml:space="preserve">first, </w:t>
      </w:r>
      <w:r w:rsidR="00172D43" w:rsidRPr="00172D43">
        <w:rPr>
          <w:rFonts w:cs="Calibri"/>
          <w:sz w:val="22"/>
          <w:szCs w:val="22"/>
        </w:rPr>
        <w:t xml:space="preserve">establishing a technical forum with DFIs; </w:t>
      </w:r>
      <w:r w:rsidR="00E242D9">
        <w:rPr>
          <w:rFonts w:cs="Calibri"/>
          <w:sz w:val="22"/>
          <w:szCs w:val="22"/>
        </w:rPr>
        <w:t xml:space="preserve">second, </w:t>
      </w:r>
      <w:r w:rsidR="00172D43" w:rsidRPr="00172D43">
        <w:rPr>
          <w:rFonts w:cs="Calibri"/>
          <w:sz w:val="22"/>
          <w:szCs w:val="22"/>
        </w:rPr>
        <w:t xml:space="preserve">launching a </w:t>
      </w:r>
      <w:r w:rsidR="008C35DD">
        <w:rPr>
          <w:rFonts w:cs="Calibri"/>
          <w:sz w:val="22"/>
          <w:szCs w:val="22"/>
        </w:rPr>
        <w:t>dedicated</w:t>
      </w:r>
      <w:r w:rsidR="00172D43" w:rsidRPr="00172D43">
        <w:rPr>
          <w:rFonts w:cs="Calibri"/>
          <w:sz w:val="22"/>
          <w:szCs w:val="22"/>
        </w:rPr>
        <w:t xml:space="preserve"> transaction platform; and </w:t>
      </w:r>
      <w:r w:rsidR="008C35DD">
        <w:rPr>
          <w:rFonts w:cs="Calibri"/>
          <w:sz w:val="22"/>
          <w:szCs w:val="22"/>
        </w:rPr>
        <w:t>third, building</w:t>
      </w:r>
      <w:r w:rsidR="00172D43" w:rsidRPr="00172D43">
        <w:rPr>
          <w:rFonts w:cs="Calibri"/>
          <w:sz w:val="22"/>
          <w:szCs w:val="22"/>
        </w:rPr>
        <w:t xml:space="preserve"> a knowledge hub on innovative financing for connectivity within </w:t>
      </w:r>
      <w:r w:rsidR="008C35DD">
        <w:rPr>
          <w:rFonts w:cs="Calibri"/>
          <w:sz w:val="22"/>
          <w:szCs w:val="22"/>
        </w:rPr>
        <w:t>the new Giga</w:t>
      </w:r>
      <w:r w:rsidR="00172D43" w:rsidRPr="00172D43">
        <w:rPr>
          <w:rFonts w:cs="Calibri"/>
          <w:sz w:val="22"/>
          <w:szCs w:val="22"/>
        </w:rPr>
        <w:t xml:space="preserve"> Connectivity </w:t>
      </w:r>
      <w:r w:rsidR="00172D43" w:rsidRPr="00172D43">
        <w:rPr>
          <w:rFonts w:cs="Calibri"/>
          <w:sz w:val="22"/>
          <w:szCs w:val="22"/>
        </w:rPr>
        <w:lastRenderedPageBreak/>
        <w:t xml:space="preserve">Centre in Geneva. </w:t>
      </w:r>
      <w:r w:rsidR="001922F6">
        <w:rPr>
          <w:rFonts w:cs="Calibri"/>
          <w:sz w:val="22"/>
          <w:szCs w:val="22"/>
        </w:rPr>
        <w:t xml:space="preserve">The conference </w:t>
      </w:r>
      <w:r w:rsidR="00172D43" w:rsidRPr="00172D43">
        <w:rPr>
          <w:rFonts w:cs="Calibri"/>
          <w:sz w:val="22"/>
          <w:szCs w:val="22"/>
        </w:rPr>
        <w:t xml:space="preserve">(Seville, June 30 – July 3) </w:t>
      </w:r>
      <w:r w:rsidR="005D4847">
        <w:rPr>
          <w:rFonts w:cs="Calibri"/>
          <w:sz w:val="22"/>
          <w:szCs w:val="22"/>
        </w:rPr>
        <w:t xml:space="preserve">will feature </w:t>
      </w:r>
      <w:r w:rsidR="00172D43" w:rsidRPr="00172D43">
        <w:rPr>
          <w:rFonts w:cs="Calibri"/>
          <w:sz w:val="22"/>
          <w:szCs w:val="22"/>
        </w:rPr>
        <w:t>a side event</w:t>
      </w:r>
      <w:r w:rsidR="006E0D65">
        <w:rPr>
          <w:rFonts w:cs="Calibri"/>
          <w:sz w:val="22"/>
          <w:szCs w:val="22"/>
        </w:rPr>
        <w:t>,</w:t>
      </w:r>
      <w:r w:rsidR="00172D43" w:rsidRPr="00172D43">
        <w:rPr>
          <w:rFonts w:cs="Calibri"/>
          <w:sz w:val="22"/>
          <w:szCs w:val="22"/>
        </w:rPr>
        <w:t xml:space="preserve"> Strategies for Financing a Sustainable and Inclusive Connected World, </w:t>
      </w:r>
      <w:r w:rsidR="006E0D65">
        <w:rPr>
          <w:rFonts w:cs="Calibri"/>
          <w:sz w:val="22"/>
          <w:szCs w:val="22"/>
        </w:rPr>
        <w:t xml:space="preserve">to be organized by ITU </w:t>
      </w:r>
      <w:r w:rsidR="00172D43" w:rsidRPr="00172D43">
        <w:rPr>
          <w:rFonts w:cs="Calibri"/>
          <w:sz w:val="22"/>
          <w:szCs w:val="22"/>
        </w:rPr>
        <w:t xml:space="preserve">in collaboration with UNCTAD, UNICEF, and the governments of Brazil, Spain, and South Africa. Through these </w:t>
      </w:r>
      <w:r w:rsidR="006E0D65">
        <w:rPr>
          <w:rFonts w:cs="Calibri"/>
          <w:sz w:val="22"/>
          <w:szCs w:val="22"/>
        </w:rPr>
        <w:t xml:space="preserve">ongoing </w:t>
      </w:r>
      <w:r w:rsidR="00172D43" w:rsidRPr="00172D43">
        <w:rPr>
          <w:rFonts w:cs="Calibri"/>
          <w:sz w:val="22"/>
          <w:szCs w:val="22"/>
        </w:rPr>
        <w:t xml:space="preserve">efforts, ITU </w:t>
      </w:r>
      <w:r w:rsidR="006E0D65">
        <w:rPr>
          <w:rFonts w:cs="Calibri"/>
          <w:sz w:val="22"/>
          <w:szCs w:val="22"/>
        </w:rPr>
        <w:t xml:space="preserve">is </w:t>
      </w:r>
      <w:r w:rsidR="00172D43" w:rsidRPr="00172D43">
        <w:rPr>
          <w:rFonts w:cs="Calibri"/>
          <w:sz w:val="22"/>
          <w:szCs w:val="22"/>
        </w:rPr>
        <w:t>strengthen</w:t>
      </w:r>
      <w:r w:rsidR="006E0D65">
        <w:rPr>
          <w:rFonts w:cs="Calibri"/>
          <w:sz w:val="22"/>
          <w:szCs w:val="22"/>
        </w:rPr>
        <w:t>ing</w:t>
      </w:r>
      <w:r w:rsidR="00172D43" w:rsidRPr="00172D43">
        <w:rPr>
          <w:rFonts w:cs="Calibri"/>
          <w:sz w:val="22"/>
          <w:szCs w:val="22"/>
        </w:rPr>
        <w:t xml:space="preserve"> collaboration among DFIs, the private sector, </w:t>
      </w:r>
      <w:r w:rsidR="00E31595">
        <w:rPr>
          <w:rFonts w:cs="Calibri"/>
          <w:sz w:val="22"/>
          <w:szCs w:val="22"/>
        </w:rPr>
        <w:t xml:space="preserve">UN agencies </w:t>
      </w:r>
      <w:r w:rsidR="00172D43" w:rsidRPr="00172D43">
        <w:rPr>
          <w:rFonts w:cs="Calibri"/>
          <w:sz w:val="22"/>
          <w:szCs w:val="22"/>
        </w:rPr>
        <w:t>and other key stakeholders</w:t>
      </w:r>
      <w:r w:rsidR="00E31595">
        <w:rPr>
          <w:rFonts w:cs="Calibri"/>
          <w:sz w:val="22"/>
          <w:szCs w:val="22"/>
        </w:rPr>
        <w:t>, aiming</w:t>
      </w:r>
      <w:r w:rsidR="00172D43" w:rsidRPr="00172D43">
        <w:rPr>
          <w:rFonts w:cs="Calibri"/>
          <w:sz w:val="22"/>
          <w:szCs w:val="22"/>
        </w:rPr>
        <w:t xml:space="preserve"> to cataly</w:t>
      </w:r>
      <w:r w:rsidR="006E0D65">
        <w:rPr>
          <w:rFonts w:cs="Calibri"/>
          <w:sz w:val="22"/>
          <w:szCs w:val="22"/>
        </w:rPr>
        <w:t>s</w:t>
      </w:r>
      <w:r w:rsidR="00172D43" w:rsidRPr="00172D43">
        <w:rPr>
          <w:rFonts w:cs="Calibri"/>
          <w:sz w:val="22"/>
          <w:szCs w:val="22"/>
        </w:rPr>
        <w:t>e digital infrastructure investment</w:t>
      </w:r>
      <w:r w:rsidR="00BF00C9">
        <w:rPr>
          <w:rFonts w:cs="Calibri"/>
          <w:sz w:val="22"/>
          <w:szCs w:val="22"/>
        </w:rPr>
        <w:t xml:space="preserve"> on the required scale globally</w:t>
      </w:r>
      <w:r w:rsidR="00172D43" w:rsidRPr="00172D43">
        <w:rPr>
          <w:rFonts w:cs="Calibri"/>
          <w:sz w:val="22"/>
          <w:szCs w:val="22"/>
        </w:rPr>
        <w:t>.</w:t>
      </w:r>
    </w:p>
    <w:p w14:paraId="0B679A95" w14:textId="34A25132" w:rsidR="0092446D" w:rsidRPr="00E422F5" w:rsidRDefault="0092446D" w:rsidP="00AD3A45">
      <w:pPr>
        <w:spacing w:after="120"/>
        <w:jc w:val="both"/>
        <w:rPr>
          <w:rFonts w:asciiTheme="minorHAnsi" w:hAnsiTheme="minorHAnsi" w:cstheme="minorBidi"/>
          <w:b/>
          <w:bCs/>
          <w:color w:val="000000" w:themeColor="text1"/>
          <w:sz w:val="22"/>
          <w:szCs w:val="22"/>
        </w:rPr>
      </w:pPr>
      <w:r w:rsidRPr="00E422F5">
        <w:rPr>
          <w:rFonts w:asciiTheme="minorHAnsi" w:hAnsiTheme="minorHAnsi" w:cstheme="minorBidi"/>
          <w:b/>
          <w:bCs/>
          <w:color w:val="000000" w:themeColor="text1"/>
          <w:sz w:val="22"/>
          <w:szCs w:val="22"/>
        </w:rPr>
        <w:t>International Advisory Body on Submarine Cable Resilience</w:t>
      </w:r>
    </w:p>
    <w:p w14:paraId="20A2049F" w14:textId="364B94F8" w:rsidR="0092446D" w:rsidRDefault="0092446D" w:rsidP="00AD3A45">
      <w:pPr>
        <w:spacing w:after="120"/>
        <w:jc w:val="both"/>
        <w:rPr>
          <w:rFonts w:asciiTheme="minorHAnsi" w:hAnsiTheme="minorHAnsi" w:cstheme="minorBidi"/>
          <w:color w:val="000000" w:themeColor="text1"/>
          <w:sz w:val="22"/>
          <w:szCs w:val="22"/>
        </w:rPr>
      </w:pPr>
      <w:r w:rsidRPr="00FB5086">
        <w:rPr>
          <w:rFonts w:asciiTheme="minorHAnsi" w:hAnsiTheme="minorHAnsi" w:cstheme="minorBidi"/>
          <w:color w:val="000000" w:themeColor="text1"/>
          <w:sz w:val="22"/>
          <w:szCs w:val="22"/>
        </w:rPr>
        <w:t xml:space="preserve">In November 2024, ITU </w:t>
      </w:r>
      <w:r w:rsidR="0037397A">
        <w:rPr>
          <w:rFonts w:asciiTheme="minorHAnsi" w:hAnsiTheme="minorHAnsi" w:cstheme="minorBidi"/>
          <w:color w:val="000000" w:themeColor="text1"/>
          <w:sz w:val="22"/>
          <w:szCs w:val="22"/>
        </w:rPr>
        <w:t xml:space="preserve">and the </w:t>
      </w:r>
      <w:r w:rsidR="0037397A" w:rsidRPr="00FB5086">
        <w:rPr>
          <w:rFonts w:asciiTheme="minorHAnsi" w:hAnsiTheme="minorHAnsi" w:cstheme="minorBidi"/>
          <w:color w:val="000000" w:themeColor="text1"/>
          <w:sz w:val="22"/>
          <w:szCs w:val="22"/>
        </w:rPr>
        <w:t>International Cable Protection Committee (ICPC)</w:t>
      </w:r>
      <w:r w:rsidR="0037397A">
        <w:rPr>
          <w:rFonts w:asciiTheme="minorHAnsi" w:hAnsiTheme="minorHAnsi" w:cstheme="minorBidi"/>
          <w:color w:val="000000" w:themeColor="text1"/>
          <w:sz w:val="22"/>
          <w:szCs w:val="22"/>
        </w:rPr>
        <w:t xml:space="preserve"> jointly</w:t>
      </w:r>
      <w:r w:rsidRPr="00FB5086">
        <w:rPr>
          <w:rFonts w:asciiTheme="minorHAnsi" w:hAnsiTheme="minorHAnsi" w:cstheme="minorBidi"/>
          <w:color w:val="000000" w:themeColor="text1"/>
          <w:sz w:val="22"/>
          <w:szCs w:val="22"/>
        </w:rPr>
        <w:t xml:space="preserve"> launched the International Advisory Body on Submarine Cable Resilience, comprising 42 leaders and experts from the public and private sectors</w:t>
      </w:r>
      <w:r w:rsidR="006852FF">
        <w:rPr>
          <w:rFonts w:asciiTheme="minorHAnsi" w:hAnsiTheme="minorHAnsi" w:cstheme="minorBidi"/>
          <w:color w:val="000000" w:themeColor="text1"/>
          <w:sz w:val="22"/>
          <w:szCs w:val="22"/>
        </w:rPr>
        <w:t xml:space="preserve">. </w:t>
      </w:r>
      <w:r w:rsidR="00DA7E24">
        <w:rPr>
          <w:rFonts w:asciiTheme="minorHAnsi" w:hAnsiTheme="minorHAnsi" w:cstheme="minorBidi"/>
          <w:color w:val="000000" w:themeColor="text1"/>
          <w:sz w:val="22"/>
          <w:szCs w:val="22"/>
        </w:rPr>
        <w:t>The Advisory Body</w:t>
      </w:r>
      <w:r w:rsidR="007A7C9F">
        <w:rPr>
          <w:rFonts w:asciiTheme="minorHAnsi" w:hAnsiTheme="minorHAnsi" w:cstheme="minorBidi"/>
          <w:color w:val="000000" w:themeColor="text1"/>
          <w:sz w:val="22"/>
          <w:szCs w:val="22"/>
        </w:rPr>
        <w:t xml:space="preserve"> –</w:t>
      </w:r>
      <w:r w:rsidR="006852FF">
        <w:rPr>
          <w:rFonts w:asciiTheme="minorHAnsi" w:hAnsiTheme="minorHAnsi" w:cstheme="minorBidi"/>
          <w:color w:val="000000" w:themeColor="text1"/>
          <w:sz w:val="22"/>
          <w:szCs w:val="22"/>
        </w:rPr>
        <w:t xml:space="preserve"> chaired </w:t>
      </w:r>
      <w:r w:rsidR="007A7C9F">
        <w:rPr>
          <w:rFonts w:asciiTheme="minorHAnsi" w:hAnsiTheme="minorHAnsi" w:cstheme="minorBidi"/>
          <w:color w:val="000000" w:themeColor="text1"/>
          <w:sz w:val="22"/>
          <w:szCs w:val="22"/>
        </w:rPr>
        <w:t xml:space="preserve">jointly </w:t>
      </w:r>
      <w:r w:rsidR="006852FF">
        <w:rPr>
          <w:rFonts w:asciiTheme="minorHAnsi" w:hAnsiTheme="minorHAnsi" w:cstheme="minorBidi"/>
          <w:color w:val="000000" w:themeColor="text1"/>
          <w:sz w:val="22"/>
          <w:szCs w:val="22"/>
        </w:rPr>
        <w:t>by Nigeria’s Minister of Communications, Innovation and Digital Economy and the</w:t>
      </w:r>
      <w:r w:rsidR="00DA7E24">
        <w:rPr>
          <w:rFonts w:asciiTheme="minorHAnsi" w:hAnsiTheme="minorHAnsi" w:cstheme="minorBidi"/>
          <w:color w:val="000000" w:themeColor="text1"/>
          <w:sz w:val="22"/>
          <w:szCs w:val="22"/>
        </w:rPr>
        <w:t xml:space="preserve"> </w:t>
      </w:r>
      <w:r w:rsidR="007A7C9F">
        <w:rPr>
          <w:rFonts w:asciiTheme="minorHAnsi" w:hAnsiTheme="minorHAnsi" w:cstheme="minorBidi"/>
          <w:color w:val="000000" w:themeColor="text1"/>
          <w:sz w:val="22"/>
          <w:szCs w:val="22"/>
        </w:rPr>
        <w:t>head</w:t>
      </w:r>
      <w:r w:rsidR="00DA7E24">
        <w:rPr>
          <w:rFonts w:asciiTheme="minorHAnsi" w:hAnsiTheme="minorHAnsi" w:cstheme="minorBidi"/>
          <w:color w:val="000000" w:themeColor="text1"/>
          <w:sz w:val="22"/>
          <w:szCs w:val="22"/>
        </w:rPr>
        <w:t xml:space="preserve"> of Portugal’s national telecom </w:t>
      </w:r>
      <w:r w:rsidR="007A7C9F">
        <w:rPr>
          <w:rFonts w:asciiTheme="minorHAnsi" w:hAnsiTheme="minorHAnsi" w:cstheme="minorBidi"/>
          <w:color w:val="000000" w:themeColor="text1"/>
          <w:sz w:val="22"/>
          <w:szCs w:val="22"/>
        </w:rPr>
        <w:t xml:space="preserve">regulator, Anacom – aims to </w:t>
      </w:r>
      <w:r w:rsidR="0028174C">
        <w:rPr>
          <w:rFonts w:asciiTheme="minorHAnsi" w:hAnsiTheme="minorHAnsi" w:cstheme="minorBidi"/>
          <w:color w:val="000000" w:themeColor="text1"/>
          <w:sz w:val="22"/>
          <w:szCs w:val="22"/>
        </w:rPr>
        <w:t>find</w:t>
      </w:r>
      <w:r w:rsidRPr="00FB5086">
        <w:rPr>
          <w:rFonts w:asciiTheme="minorHAnsi" w:hAnsiTheme="minorHAnsi" w:cstheme="minorBidi"/>
          <w:color w:val="000000" w:themeColor="text1"/>
          <w:sz w:val="22"/>
          <w:szCs w:val="22"/>
        </w:rPr>
        <w:t xml:space="preserve"> ways to improve the resilience of </w:t>
      </w:r>
      <w:r w:rsidR="003F109F" w:rsidRPr="00FB5086">
        <w:rPr>
          <w:rFonts w:asciiTheme="minorHAnsi" w:hAnsiTheme="minorHAnsi" w:cstheme="minorBidi"/>
          <w:color w:val="000000" w:themeColor="text1"/>
          <w:sz w:val="22"/>
          <w:szCs w:val="22"/>
        </w:rPr>
        <w:t xml:space="preserve">submarine </w:t>
      </w:r>
      <w:r w:rsidRPr="00FB5086">
        <w:rPr>
          <w:rFonts w:asciiTheme="minorHAnsi" w:hAnsiTheme="minorHAnsi" w:cstheme="minorBidi"/>
          <w:color w:val="000000" w:themeColor="text1"/>
          <w:sz w:val="22"/>
          <w:szCs w:val="22"/>
        </w:rPr>
        <w:t>telecommunication cable</w:t>
      </w:r>
      <w:r w:rsidR="003F109F">
        <w:rPr>
          <w:rFonts w:asciiTheme="minorHAnsi" w:hAnsiTheme="minorHAnsi" w:cstheme="minorBidi"/>
          <w:color w:val="000000" w:themeColor="text1"/>
          <w:sz w:val="22"/>
          <w:szCs w:val="22"/>
        </w:rPr>
        <w:t>s</w:t>
      </w:r>
      <w:r w:rsidRPr="00FB5086">
        <w:rPr>
          <w:rFonts w:asciiTheme="minorHAnsi" w:hAnsiTheme="minorHAnsi" w:cstheme="minorBidi"/>
          <w:color w:val="000000" w:themeColor="text1"/>
          <w:sz w:val="22"/>
          <w:szCs w:val="22"/>
        </w:rPr>
        <w:t xml:space="preserve">. </w:t>
      </w:r>
      <w:r w:rsidR="003F109F">
        <w:rPr>
          <w:rFonts w:asciiTheme="minorHAnsi" w:hAnsiTheme="minorHAnsi" w:cstheme="minorBidi"/>
          <w:color w:val="000000" w:themeColor="text1"/>
          <w:sz w:val="22"/>
          <w:szCs w:val="22"/>
        </w:rPr>
        <w:t xml:space="preserve">This vital </w:t>
      </w:r>
      <w:r w:rsidR="00805A70">
        <w:rPr>
          <w:rFonts w:asciiTheme="minorHAnsi" w:hAnsiTheme="minorHAnsi" w:cstheme="minorBidi"/>
          <w:color w:val="000000" w:themeColor="text1"/>
          <w:sz w:val="22"/>
          <w:szCs w:val="22"/>
        </w:rPr>
        <w:t>u</w:t>
      </w:r>
      <w:r w:rsidR="003F109F">
        <w:rPr>
          <w:rFonts w:asciiTheme="minorHAnsi" w:hAnsiTheme="minorHAnsi" w:cstheme="minorBidi"/>
          <w:color w:val="000000" w:themeColor="text1"/>
          <w:sz w:val="22"/>
          <w:szCs w:val="22"/>
        </w:rPr>
        <w:t>nder</w:t>
      </w:r>
      <w:r w:rsidRPr="00FB5086">
        <w:rPr>
          <w:rFonts w:asciiTheme="minorHAnsi" w:hAnsiTheme="minorHAnsi" w:cstheme="minorBidi"/>
          <w:color w:val="000000" w:themeColor="text1"/>
          <w:sz w:val="22"/>
          <w:szCs w:val="22"/>
        </w:rPr>
        <w:t xml:space="preserve">sea infrastructure carries over 99 </w:t>
      </w:r>
      <w:r w:rsidR="000E376C">
        <w:rPr>
          <w:rFonts w:asciiTheme="minorHAnsi" w:hAnsiTheme="minorHAnsi" w:cstheme="minorBidi"/>
          <w:color w:val="000000" w:themeColor="text1"/>
          <w:sz w:val="22"/>
          <w:szCs w:val="22"/>
        </w:rPr>
        <w:t>per cent</w:t>
      </w:r>
      <w:r w:rsidRPr="00FB5086">
        <w:rPr>
          <w:rFonts w:asciiTheme="minorHAnsi" w:hAnsiTheme="minorHAnsi" w:cstheme="minorBidi"/>
          <w:color w:val="000000" w:themeColor="text1"/>
          <w:sz w:val="22"/>
          <w:szCs w:val="22"/>
        </w:rPr>
        <w:t xml:space="preserve"> of </w:t>
      </w:r>
      <w:r w:rsidR="003E40D5">
        <w:rPr>
          <w:rFonts w:asciiTheme="minorHAnsi" w:hAnsiTheme="minorHAnsi" w:cstheme="minorBidi"/>
          <w:color w:val="000000" w:themeColor="text1"/>
          <w:sz w:val="22"/>
          <w:szCs w:val="22"/>
        </w:rPr>
        <w:t xml:space="preserve">the world’s </w:t>
      </w:r>
      <w:r w:rsidRPr="00FB5086">
        <w:rPr>
          <w:rFonts w:asciiTheme="minorHAnsi" w:hAnsiTheme="minorHAnsi" w:cstheme="minorBidi"/>
          <w:color w:val="000000" w:themeColor="text1"/>
          <w:sz w:val="22"/>
          <w:szCs w:val="22"/>
        </w:rPr>
        <w:t>international communications</w:t>
      </w:r>
      <w:r w:rsidRPr="005F5B94">
        <w:rPr>
          <w:rFonts w:asciiTheme="minorHAnsi" w:hAnsiTheme="minorHAnsi" w:cstheme="minorBidi"/>
          <w:color w:val="000000" w:themeColor="text1"/>
          <w:sz w:val="22"/>
          <w:szCs w:val="22"/>
        </w:rPr>
        <w:t>.</w:t>
      </w:r>
      <w:r w:rsidR="00AB4FC8">
        <w:rPr>
          <w:rFonts w:asciiTheme="minorHAnsi" w:hAnsiTheme="minorHAnsi" w:cstheme="minorBidi"/>
          <w:color w:val="000000" w:themeColor="text1"/>
          <w:sz w:val="22"/>
          <w:szCs w:val="22"/>
        </w:rPr>
        <w:t xml:space="preserve"> </w:t>
      </w:r>
    </w:p>
    <w:p w14:paraId="02980DF9" w14:textId="672AAB2A" w:rsidR="0092446D" w:rsidRPr="00AD3A45" w:rsidRDefault="00F21DFC" w:rsidP="00AD3A45">
      <w:pPr>
        <w:spacing w:after="120"/>
        <w:jc w:val="both"/>
        <w:rPr>
          <w:rFonts w:asciiTheme="minorHAnsi" w:hAnsiTheme="minorHAnsi" w:cstheme="minorBidi"/>
          <w:b/>
          <w:color w:val="000000" w:themeColor="text1"/>
          <w:sz w:val="22"/>
          <w:szCs w:val="22"/>
        </w:rPr>
      </w:pPr>
      <w:r w:rsidRPr="00AD3A45">
        <w:rPr>
          <w:rFonts w:asciiTheme="minorHAnsi" w:hAnsiTheme="minorHAnsi" w:cstheme="minorBidi"/>
          <w:b/>
          <w:bCs/>
          <w:color w:val="000000" w:themeColor="text1"/>
          <w:sz w:val="22"/>
          <w:szCs w:val="22"/>
        </w:rPr>
        <w:t>Digital Public Infrastructure</w:t>
      </w:r>
    </w:p>
    <w:p w14:paraId="20F70D1C" w14:textId="700182BC" w:rsidR="00F21DFC" w:rsidRPr="00F21DFC" w:rsidRDefault="00F21DFC" w:rsidP="00AD3A45">
      <w:pPr>
        <w:spacing w:after="120"/>
        <w:jc w:val="both"/>
        <w:rPr>
          <w:rFonts w:asciiTheme="minorHAnsi" w:hAnsiTheme="minorHAnsi" w:cstheme="minorBidi"/>
          <w:color w:val="000000" w:themeColor="text1"/>
          <w:sz w:val="22"/>
          <w:szCs w:val="22"/>
        </w:rPr>
      </w:pPr>
      <w:r w:rsidRPr="00AD3A45">
        <w:rPr>
          <w:rFonts w:asciiTheme="minorHAnsi" w:hAnsiTheme="minorHAnsi" w:cstheme="minorBidi"/>
          <w:color w:val="000000" w:themeColor="text1"/>
          <w:sz w:val="22"/>
          <w:szCs w:val="22"/>
        </w:rPr>
        <w:t xml:space="preserve">The inaugural Global DPI Summit, hosted with UNDP, </w:t>
      </w:r>
      <w:r w:rsidR="00F476BF">
        <w:rPr>
          <w:rFonts w:asciiTheme="minorHAnsi" w:hAnsiTheme="minorHAnsi" w:cstheme="minorBidi"/>
          <w:color w:val="000000" w:themeColor="text1"/>
          <w:sz w:val="22"/>
          <w:szCs w:val="22"/>
        </w:rPr>
        <w:t>the UN Office for Digital and Emerging Technologies (</w:t>
      </w:r>
      <w:r w:rsidRPr="00AD3A45">
        <w:rPr>
          <w:rFonts w:asciiTheme="minorHAnsi" w:hAnsiTheme="minorHAnsi" w:cstheme="minorBidi"/>
          <w:color w:val="000000" w:themeColor="text1"/>
          <w:sz w:val="22"/>
          <w:szCs w:val="22"/>
        </w:rPr>
        <w:t>ODET</w:t>
      </w:r>
      <w:r w:rsidR="00F476BF">
        <w:rPr>
          <w:rFonts w:asciiTheme="minorHAnsi" w:hAnsiTheme="minorHAnsi" w:cstheme="minorBidi"/>
          <w:color w:val="000000" w:themeColor="text1"/>
          <w:sz w:val="22"/>
          <w:szCs w:val="22"/>
        </w:rPr>
        <w:t>)</w:t>
      </w:r>
      <w:r w:rsidRPr="00AD3A45">
        <w:rPr>
          <w:rFonts w:asciiTheme="minorHAnsi" w:hAnsiTheme="minorHAnsi" w:cstheme="minorBidi"/>
          <w:color w:val="000000" w:themeColor="text1"/>
          <w:sz w:val="22"/>
          <w:szCs w:val="22"/>
        </w:rPr>
        <w:t xml:space="preserve">, the World Bank, and Co-Develop, together with the Government of Egypt, took place in Cairo on </w:t>
      </w:r>
      <w:r>
        <w:rPr>
          <w:rFonts w:asciiTheme="minorHAnsi" w:hAnsiTheme="minorHAnsi" w:cstheme="minorBidi"/>
          <w:color w:val="000000" w:themeColor="text1"/>
          <w:sz w:val="22"/>
          <w:szCs w:val="22"/>
        </w:rPr>
        <w:t xml:space="preserve">1-3 </w:t>
      </w:r>
      <w:r w:rsidRPr="00AD3A45">
        <w:rPr>
          <w:rFonts w:asciiTheme="minorHAnsi" w:hAnsiTheme="minorHAnsi" w:cstheme="minorBidi"/>
          <w:color w:val="000000" w:themeColor="text1"/>
          <w:sz w:val="22"/>
          <w:szCs w:val="22"/>
        </w:rPr>
        <w:t xml:space="preserve">October 2024 under the auspices of H.E. President Abdel Fattah El-Sisi. </w:t>
      </w:r>
      <w:r w:rsidR="00AE51AE">
        <w:rPr>
          <w:rFonts w:asciiTheme="minorHAnsi" w:hAnsiTheme="minorHAnsi" w:cstheme="minorBidi"/>
          <w:color w:val="000000" w:themeColor="text1"/>
          <w:sz w:val="22"/>
          <w:szCs w:val="22"/>
        </w:rPr>
        <w:t>The summit</w:t>
      </w:r>
      <w:r w:rsidRPr="00AD3A45">
        <w:rPr>
          <w:rFonts w:asciiTheme="minorHAnsi" w:hAnsiTheme="minorHAnsi" w:cstheme="minorBidi"/>
          <w:color w:val="000000" w:themeColor="text1"/>
          <w:sz w:val="22"/>
          <w:szCs w:val="22"/>
        </w:rPr>
        <w:t xml:space="preserve"> brought together around 700 delegates from 101 countries </w:t>
      </w:r>
      <w:r w:rsidR="00AE51AE">
        <w:rPr>
          <w:rFonts w:asciiTheme="minorHAnsi" w:hAnsiTheme="minorHAnsi" w:cstheme="minorBidi"/>
          <w:color w:val="000000" w:themeColor="text1"/>
          <w:sz w:val="22"/>
          <w:szCs w:val="22"/>
        </w:rPr>
        <w:t xml:space="preserve">– including </w:t>
      </w:r>
      <w:r w:rsidRPr="00AD3A45">
        <w:rPr>
          <w:rFonts w:asciiTheme="minorHAnsi" w:hAnsiTheme="minorHAnsi" w:cstheme="minorBidi"/>
          <w:color w:val="000000" w:themeColor="text1"/>
          <w:sz w:val="22"/>
          <w:szCs w:val="22"/>
        </w:rPr>
        <w:t xml:space="preserve">governments, </w:t>
      </w:r>
      <w:r w:rsidR="00AE51AE">
        <w:rPr>
          <w:rFonts w:asciiTheme="minorHAnsi" w:hAnsiTheme="minorHAnsi" w:cstheme="minorBidi"/>
          <w:color w:val="000000" w:themeColor="text1"/>
          <w:sz w:val="22"/>
          <w:szCs w:val="22"/>
        </w:rPr>
        <w:t xml:space="preserve">the </w:t>
      </w:r>
      <w:r w:rsidRPr="00AD3A45">
        <w:rPr>
          <w:rFonts w:asciiTheme="minorHAnsi" w:hAnsiTheme="minorHAnsi" w:cstheme="minorBidi"/>
          <w:color w:val="000000" w:themeColor="text1"/>
          <w:sz w:val="22"/>
          <w:szCs w:val="22"/>
        </w:rPr>
        <w:t xml:space="preserve">private sector, civil society, and international organizations </w:t>
      </w:r>
      <w:r w:rsidR="00AE51AE">
        <w:rPr>
          <w:rFonts w:asciiTheme="minorHAnsi" w:hAnsiTheme="minorHAnsi" w:cstheme="minorBidi"/>
          <w:color w:val="000000" w:themeColor="text1"/>
          <w:sz w:val="22"/>
          <w:szCs w:val="22"/>
        </w:rPr>
        <w:t>–</w:t>
      </w:r>
      <w:r w:rsidRPr="00AD3A45">
        <w:rPr>
          <w:rFonts w:asciiTheme="minorHAnsi" w:hAnsiTheme="minorHAnsi" w:cstheme="minorBidi"/>
          <w:color w:val="000000" w:themeColor="text1"/>
          <w:sz w:val="22"/>
          <w:szCs w:val="22"/>
        </w:rPr>
        <w:t xml:space="preserve"> to explore how safe, inclusive, and interoperable </w:t>
      </w:r>
      <w:r w:rsidR="00AE51AE">
        <w:rPr>
          <w:rFonts w:asciiTheme="minorHAnsi" w:hAnsiTheme="minorHAnsi" w:cstheme="minorBidi"/>
          <w:color w:val="000000" w:themeColor="text1"/>
          <w:sz w:val="22"/>
          <w:szCs w:val="22"/>
        </w:rPr>
        <w:t>d</w:t>
      </w:r>
      <w:r w:rsidRPr="00AD3A45">
        <w:rPr>
          <w:rFonts w:asciiTheme="minorHAnsi" w:hAnsiTheme="minorHAnsi" w:cstheme="minorBidi"/>
          <w:color w:val="000000" w:themeColor="text1"/>
          <w:sz w:val="22"/>
          <w:szCs w:val="22"/>
        </w:rPr>
        <w:t xml:space="preserve">igital </w:t>
      </w:r>
      <w:r w:rsidR="00AE51AE">
        <w:rPr>
          <w:rFonts w:asciiTheme="minorHAnsi" w:hAnsiTheme="minorHAnsi" w:cstheme="minorBidi"/>
          <w:color w:val="000000" w:themeColor="text1"/>
          <w:sz w:val="22"/>
          <w:szCs w:val="22"/>
        </w:rPr>
        <w:t>p</w:t>
      </w:r>
      <w:r w:rsidRPr="00AD3A45">
        <w:rPr>
          <w:rFonts w:asciiTheme="minorHAnsi" w:hAnsiTheme="minorHAnsi" w:cstheme="minorBidi"/>
          <w:color w:val="000000" w:themeColor="text1"/>
          <w:sz w:val="22"/>
          <w:szCs w:val="22"/>
        </w:rPr>
        <w:t xml:space="preserve">ublic </w:t>
      </w:r>
      <w:r w:rsidR="00AE51AE">
        <w:rPr>
          <w:rFonts w:asciiTheme="minorHAnsi" w:hAnsiTheme="minorHAnsi" w:cstheme="minorBidi"/>
          <w:color w:val="000000" w:themeColor="text1"/>
          <w:sz w:val="22"/>
          <w:szCs w:val="22"/>
        </w:rPr>
        <w:t>i</w:t>
      </w:r>
      <w:r w:rsidRPr="00AD3A45">
        <w:rPr>
          <w:rFonts w:asciiTheme="minorHAnsi" w:hAnsiTheme="minorHAnsi" w:cstheme="minorBidi"/>
          <w:color w:val="000000" w:themeColor="text1"/>
          <w:sz w:val="22"/>
          <w:szCs w:val="22"/>
        </w:rPr>
        <w:t xml:space="preserve">nfrastructure </w:t>
      </w:r>
      <w:r w:rsidR="00AE51AE">
        <w:rPr>
          <w:rFonts w:asciiTheme="minorHAnsi" w:hAnsiTheme="minorHAnsi" w:cstheme="minorBidi"/>
          <w:color w:val="000000" w:themeColor="text1"/>
          <w:sz w:val="22"/>
          <w:szCs w:val="22"/>
        </w:rPr>
        <w:t xml:space="preserve">(DPI) </w:t>
      </w:r>
      <w:r w:rsidRPr="00AD3A45">
        <w:rPr>
          <w:rFonts w:asciiTheme="minorHAnsi" w:hAnsiTheme="minorHAnsi" w:cstheme="minorBidi"/>
          <w:color w:val="000000" w:themeColor="text1"/>
          <w:sz w:val="22"/>
          <w:szCs w:val="22"/>
        </w:rPr>
        <w:t>c</w:t>
      </w:r>
      <w:r w:rsidR="00AE51AE">
        <w:rPr>
          <w:rFonts w:asciiTheme="minorHAnsi" w:hAnsiTheme="minorHAnsi" w:cstheme="minorBidi"/>
          <w:color w:val="000000" w:themeColor="text1"/>
          <w:sz w:val="22"/>
          <w:szCs w:val="22"/>
        </w:rPr>
        <w:t>ould</w:t>
      </w:r>
      <w:r w:rsidRPr="00AD3A45">
        <w:rPr>
          <w:rFonts w:asciiTheme="minorHAnsi" w:hAnsiTheme="minorHAnsi" w:cstheme="minorBidi"/>
          <w:color w:val="000000" w:themeColor="text1"/>
          <w:sz w:val="22"/>
          <w:szCs w:val="22"/>
        </w:rPr>
        <w:t xml:space="preserve"> enabl</w:t>
      </w:r>
      <w:r w:rsidR="00AE51AE">
        <w:rPr>
          <w:rFonts w:asciiTheme="minorHAnsi" w:hAnsiTheme="minorHAnsi" w:cstheme="minorBidi"/>
          <w:color w:val="000000" w:themeColor="text1"/>
          <w:sz w:val="22"/>
          <w:szCs w:val="22"/>
        </w:rPr>
        <w:t>e</w:t>
      </w:r>
      <w:r w:rsidRPr="00AD3A45">
        <w:rPr>
          <w:rFonts w:asciiTheme="minorHAnsi" w:hAnsiTheme="minorHAnsi" w:cstheme="minorBidi"/>
          <w:color w:val="000000" w:themeColor="text1"/>
          <w:sz w:val="22"/>
          <w:szCs w:val="22"/>
        </w:rPr>
        <w:t xml:space="preserve"> more effective service delivery, foster innovation, strengthen digital cooperation across borders</w:t>
      </w:r>
      <w:r w:rsidR="00AE51AE">
        <w:rPr>
          <w:rFonts w:asciiTheme="minorHAnsi" w:hAnsiTheme="minorHAnsi" w:cstheme="minorBidi"/>
          <w:color w:val="000000" w:themeColor="text1"/>
          <w:sz w:val="22"/>
          <w:szCs w:val="22"/>
        </w:rPr>
        <w:t>, and accelerate sustainable development progress</w:t>
      </w:r>
      <w:r w:rsidRPr="00AD3A45">
        <w:rPr>
          <w:rFonts w:asciiTheme="minorHAnsi" w:hAnsiTheme="minorHAnsi" w:cstheme="minorBidi"/>
          <w:color w:val="000000" w:themeColor="text1"/>
          <w:sz w:val="22"/>
          <w:szCs w:val="22"/>
        </w:rPr>
        <w:t>.</w:t>
      </w:r>
    </w:p>
    <w:p w14:paraId="1E5CC481" w14:textId="77777777" w:rsidR="0092446D" w:rsidRPr="00BB4B4D" w:rsidRDefault="0092446D" w:rsidP="00AD3A45">
      <w:pPr>
        <w:spacing w:after="120"/>
        <w:jc w:val="both"/>
        <w:rPr>
          <w:rFonts w:asciiTheme="minorHAnsi" w:hAnsiTheme="minorHAnsi" w:cstheme="minorBidi"/>
          <w:b/>
          <w:bCs/>
          <w:color w:val="000000" w:themeColor="text1"/>
          <w:sz w:val="22"/>
          <w:szCs w:val="22"/>
        </w:rPr>
      </w:pPr>
      <w:r w:rsidRPr="00BB4B4D">
        <w:rPr>
          <w:rFonts w:asciiTheme="minorHAnsi" w:hAnsiTheme="minorHAnsi" w:cstheme="minorBidi"/>
          <w:b/>
          <w:bCs/>
          <w:color w:val="000000" w:themeColor="text1"/>
          <w:sz w:val="22"/>
          <w:szCs w:val="22"/>
        </w:rPr>
        <w:t>Space Sustainability Forum</w:t>
      </w:r>
    </w:p>
    <w:p w14:paraId="5BABDF7B" w14:textId="4E7A7E21" w:rsidR="00553E75" w:rsidRPr="00DA76FF" w:rsidRDefault="00B6209B" w:rsidP="00AD3A45">
      <w:pPr>
        <w:spacing w:after="120"/>
        <w:jc w:val="both"/>
        <w:rPr>
          <w:rFonts w:asciiTheme="minorHAnsi" w:eastAsia="Aptos" w:hAnsiTheme="minorHAnsi" w:cstheme="minorBidi"/>
          <w:color w:val="000000" w:themeColor="text1"/>
          <w:sz w:val="22"/>
          <w:szCs w:val="22"/>
        </w:rPr>
      </w:pPr>
      <w:r>
        <w:rPr>
          <w:rFonts w:asciiTheme="minorHAnsi" w:eastAsia="Aptos" w:hAnsiTheme="minorHAnsi" w:cstheme="minorBidi"/>
          <w:color w:val="000000" w:themeColor="text1"/>
          <w:sz w:val="22"/>
          <w:szCs w:val="22"/>
        </w:rPr>
        <w:t>ITU’s first</w:t>
      </w:r>
      <w:r w:rsidR="0092446D">
        <w:rPr>
          <w:rFonts w:asciiTheme="minorHAnsi" w:eastAsia="Aptos" w:hAnsiTheme="minorHAnsi" w:cstheme="minorBidi"/>
          <w:color w:val="000000" w:themeColor="text1"/>
          <w:sz w:val="22"/>
          <w:szCs w:val="22"/>
        </w:rPr>
        <w:t xml:space="preserve"> </w:t>
      </w:r>
      <w:hyperlink r:id="rId258" w:history="1">
        <w:r w:rsidR="0092446D" w:rsidRPr="00DD63FF">
          <w:rPr>
            <w:rStyle w:val="Hyperlink"/>
            <w:rFonts w:asciiTheme="minorHAnsi" w:eastAsia="Aptos" w:hAnsiTheme="minorHAnsi" w:cstheme="minorBidi"/>
            <w:sz w:val="22"/>
            <w:szCs w:val="22"/>
          </w:rPr>
          <w:t>Space Sustainability Forum 2024</w:t>
        </w:r>
      </w:hyperlink>
      <w:r>
        <w:rPr>
          <w:rFonts w:asciiTheme="minorHAnsi" w:eastAsia="Aptos" w:hAnsiTheme="minorHAnsi" w:cstheme="minorBidi"/>
          <w:color w:val="000000" w:themeColor="text1"/>
          <w:sz w:val="22"/>
          <w:szCs w:val="22"/>
        </w:rPr>
        <w:t>, taking</w:t>
      </w:r>
      <w:r w:rsidR="0092446D">
        <w:rPr>
          <w:rFonts w:asciiTheme="minorHAnsi" w:eastAsia="Aptos" w:hAnsiTheme="minorHAnsi" w:cstheme="minorBidi"/>
          <w:color w:val="000000" w:themeColor="text1"/>
          <w:sz w:val="22"/>
          <w:szCs w:val="22"/>
        </w:rPr>
        <w:t xml:space="preserve"> place in September 2024</w:t>
      </w:r>
      <w:r>
        <w:rPr>
          <w:rFonts w:asciiTheme="minorHAnsi" w:eastAsia="Aptos" w:hAnsiTheme="minorHAnsi" w:cstheme="minorBidi"/>
          <w:color w:val="000000" w:themeColor="text1"/>
          <w:sz w:val="22"/>
          <w:szCs w:val="22"/>
        </w:rPr>
        <w:t>,</w:t>
      </w:r>
      <w:r w:rsidR="0092446D" w:rsidRPr="00555396">
        <w:rPr>
          <w:rFonts w:asciiTheme="minorHAnsi" w:eastAsia="Aptos" w:hAnsiTheme="minorHAnsi" w:cstheme="minorBidi"/>
          <w:color w:val="000000" w:themeColor="text1"/>
          <w:sz w:val="22"/>
          <w:szCs w:val="22"/>
        </w:rPr>
        <w:t xml:space="preserve"> </w:t>
      </w:r>
      <w:r>
        <w:rPr>
          <w:rFonts w:asciiTheme="minorHAnsi" w:eastAsia="Aptos" w:hAnsiTheme="minorHAnsi" w:cstheme="minorBidi"/>
          <w:color w:val="000000" w:themeColor="text1"/>
          <w:sz w:val="22"/>
          <w:szCs w:val="22"/>
        </w:rPr>
        <w:t>brought together</w:t>
      </w:r>
      <w:r w:rsidR="0092446D" w:rsidRPr="00555396">
        <w:rPr>
          <w:rFonts w:asciiTheme="minorHAnsi" w:eastAsia="Aptos" w:hAnsiTheme="minorHAnsi" w:cstheme="minorBidi"/>
          <w:color w:val="000000" w:themeColor="text1"/>
          <w:sz w:val="22"/>
          <w:szCs w:val="22"/>
        </w:rPr>
        <w:t xml:space="preserve"> leaders and experts from the satellite and space industries, </w:t>
      </w:r>
      <w:r w:rsidR="005B52DE">
        <w:rPr>
          <w:rFonts w:asciiTheme="minorHAnsi" w:eastAsia="Aptos" w:hAnsiTheme="minorHAnsi" w:cstheme="minorBidi"/>
          <w:color w:val="000000" w:themeColor="text1"/>
          <w:sz w:val="22"/>
          <w:szCs w:val="22"/>
        </w:rPr>
        <w:t xml:space="preserve">along with </w:t>
      </w:r>
      <w:r w:rsidR="0092446D" w:rsidRPr="00555396">
        <w:rPr>
          <w:rFonts w:asciiTheme="minorHAnsi" w:eastAsia="Aptos" w:hAnsiTheme="minorHAnsi" w:cstheme="minorBidi"/>
          <w:color w:val="000000" w:themeColor="text1"/>
          <w:sz w:val="22"/>
          <w:szCs w:val="22"/>
        </w:rPr>
        <w:t>space and telecom agencies, governments and other stakeholders committed to responsible space</w:t>
      </w:r>
      <w:r w:rsidR="00656C9E">
        <w:rPr>
          <w:rFonts w:asciiTheme="minorHAnsi" w:eastAsia="Aptos" w:hAnsiTheme="minorHAnsi" w:cstheme="minorBidi"/>
          <w:color w:val="000000" w:themeColor="text1"/>
          <w:sz w:val="22"/>
          <w:szCs w:val="22"/>
        </w:rPr>
        <w:t xml:space="preserve"> use</w:t>
      </w:r>
      <w:r w:rsidR="0092446D" w:rsidRPr="00555396">
        <w:rPr>
          <w:rFonts w:asciiTheme="minorHAnsi" w:eastAsia="Aptos" w:hAnsiTheme="minorHAnsi" w:cstheme="minorBidi"/>
          <w:color w:val="000000" w:themeColor="text1"/>
          <w:sz w:val="22"/>
          <w:szCs w:val="22"/>
        </w:rPr>
        <w:t xml:space="preserve">. The </w:t>
      </w:r>
      <w:r w:rsidR="00656C9E">
        <w:rPr>
          <w:rFonts w:asciiTheme="minorHAnsi" w:eastAsia="Aptos" w:hAnsiTheme="minorHAnsi" w:cstheme="minorBidi"/>
          <w:color w:val="000000" w:themeColor="text1"/>
          <w:sz w:val="22"/>
          <w:szCs w:val="22"/>
        </w:rPr>
        <w:t>f</w:t>
      </w:r>
      <w:r w:rsidR="0092446D" w:rsidRPr="00555396">
        <w:rPr>
          <w:rFonts w:asciiTheme="minorHAnsi" w:eastAsia="Aptos" w:hAnsiTheme="minorHAnsi" w:cstheme="minorBidi"/>
          <w:color w:val="000000" w:themeColor="text1"/>
          <w:sz w:val="22"/>
          <w:szCs w:val="22"/>
        </w:rPr>
        <w:t xml:space="preserve">orum </w:t>
      </w:r>
      <w:r w:rsidR="00656C9E">
        <w:rPr>
          <w:rFonts w:asciiTheme="minorHAnsi" w:eastAsia="Aptos" w:hAnsiTheme="minorHAnsi" w:cstheme="minorBidi"/>
          <w:color w:val="000000" w:themeColor="text1"/>
          <w:sz w:val="22"/>
          <w:szCs w:val="22"/>
        </w:rPr>
        <w:t xml:space="preserve">provided </w:t>
      </w:r>
      <w:r w:rsidR="00DA0B79">
        <w:rPr>
          <w:rFonts w:asciiTheme="minorHAnsi" w:eastAsia="Aptos" w:hAnsiTheme="minorHAnsi" w:cstheme="minorBidi"/>
          <w:color w:val="000000" w:themeColor="text1"/>
          <w:sz w:val="22"/>
          <w:szCs w:val="22"/>
        </w:rPr>
        <w:t>the</w:t>
      </w:r>
      <w:r w:rsidR="0092446D" w:rsidRPr="00555396">
        <w:rPr>
          <w:rFonts w:asciiTheme="minorHAnsi" w:eastAsia="Aptos" w:hAnsiTheme="minorHAnsi" w:cstheme="minorBidi"/>
          <w:color w:val="000000" w:themeColor="text1"/>
          <w:sz w:val="22"/>
          <w:szCs w:val="22"/>
        </w:rPr>
        <w:t xml:space="preserve"> opportunity to </w:t>
      </w:r>
      <w:r w:rsidR="00DA0B79">
        <w:rPr>
          <w:rFonts w:asciiTheme="minorHAnsi" w:eastAsia="Aptos" w:hAnsiTheme="minorHAnsi" w:cstheme="minorBidi"/>
          <w:color w:val="000000" w:themeColor="text1"/>
          <w:sz w:val="22"/>
          <w:szCs w:val="22"/>
        </w:rPr>
        <w:t>explore</w:t>
      </w:r>
      <w:r w:rsidR="0092446D" w:rsidRPr="00555396">
        <w:rPr>
          <w:rFonts w:asciiTheme="minorHAnsi" w:eastAsia="Aptos" w:hAnsiTheme="minorHAnsi" w:cstheme="minorBidi"/>
          <w:color w:val="000000" w:themeColor="text1"/>
          <w:sz w:val="22"/>
          <w:szCs w:val="22"/>
        </w:rPr>
        <w:t xml:space="preserve"> policies, best practices, guidelines and strategies to ensure space remains accessible and sustainable for </w:t>
      </w:r>
      <w:r w:rsidR="00F90728">
        <w:rPr>
          <w:rFonts w:asciiTheme="minorHAnsi" w:eastAsia="Aptos" w:hAnsiTheme="minorHAnsi" w:cstheme="minorBidi"/>
          <w:color w:val="000000" w:themeColor="text1"/>
          <w:sz w:val="22"/>
          <w:szCs w:val="22"/>
        </w:rPr>
        <w:t xml:space="preserve">further space </w:t>
      </w:r>
      <w:r w:rsidR="006308EE">
        <w:rPr>
          <w:rFonts w:asciiTheme="minorHAnsi" w:eastAsia="Aptos" w:hAnsiTheme="minorHAnsi" w:cstheme="minorBidi"/>
          <w:color w:val="000000" w:themeColor="text1"/>
          <w:sz w:val="22"/>
          <w:szCs w:val="22"/>
        </w:rPr>
        <w:t>ambitions</w:t>
      </w:r>
      <w:r w:rsidR="00F90728">
        <w:rPr>
          <w:rFonts w:asciiTheme="minorHAnsi" w:eastAsia="Aptos" w:hAnsiTheme="minorHAnsi" w:cstheme="minorBidi"/>
          <w:color w:val="000000" w:themeColor="text1"/>
          <w:sz w:val="22"/>
          <w:szCs w:val="22"/>
        </w:rPr>
        <w:t xml:space="preserve"> and future generations</w:t>
      </w:r>
      <w:r w:rsidR="0092446D" w:rsidRPr="00555396">
        <w:rPr>
          <w:rFonts w:asciiTheme="minorHAnsi" w:eastAsia="Aptos" w:hAnsiTheme="minorHAnsi" w:cstheme="minorBidi"/>
          <w:color w:val="000000" w:themeColor="text1"/>
          <w:sz w:val="22"/>
          <w:szCs w:val="22"/>
        </w:rPr>
        <w:t>.</w:t>
      </w:r>
    </w:p>
    <w:p w14:paraId="146EAFC6" w14:textId="77777777" w:rsidR="006A1532" w:rsidRPr="00DA76FF" w:rsidRDefault="006A1532" w:rsidP="00B96F88">
      <w:pPr>
        <w:spacing w:after="120"/>
        <w:jc w:val="both"/>
        <w:rPr>
          <w:b/>
          <w:bCs/>
          <w:sz w:val="22"/>
          <w:szCs w:val="22"/>
        </w:rPr>
      </w:pPr>
      <w:r w:rsidRPr="00DA76FF">
        <w:rPr>
          <w:b/>
          <w:bCs/>
          <w:sz w:val="22"/>
          <w:szCs w:val="22"/>
        </w:rPr>
        <w:t>Virtual Worlds and AI initiative</w:t>
      </w:r>
    </w:p>
    <w:p w14:paraId="7559FE17" w14:textId="681397EC" w:rsidR="006A1532" w:rsidRPr="00DA76FF" w:rsidRDefault="006A1532" w:rsidP="00B96F88">
      <w:pPr>
        <w:pStyle w:val="NormalWeb"/>
        <w:spacing w:before="120" w:beforeAutospacing="0" w:after="120" w:afterAutospacing="0"/>
        <w:jc w:val="both"/>
        <w:rPr>
          <w:rFonts w:asciiTheme="minorHAnsi" w:hAnsiTheme="minorHAnsi" w:cstheme="minorHAnsi"/>
          <w:sz w:val="22"/>
          <w:szCs w:val="22"/>
          <w:lang w:val="en-GB"/>
        </w:rPr>
      </w:pPr>
      <w:r w:rsidRPr="00DA76FF">
        <w:rPr>
          <w:rFonts w:asciiTheme="minorHAnsi" w:hAnsiTheme="minorHAnsi" w:cstheme="minorHAnsi"/>
          <w:sz w:val="22"/>
          <w:szCs w:val="22"/>
          <w:lang w:val="en-GB"/>
        </w:rPr>
        <w:t xml:space="preserve">In June 2024, ITU, together with UNICC and Digital Dubai, has launched the </w:t>
      </w:r>
      <w:hyperlink r:id="rId259" w:history="1">
        <w:r w:rsidRPr="00DA76FF">
          <w:rPr>
            <w:rStyle w:val="Hyperlink"/>
            <w:rFonts w:asciiTheme="minorHAnsi" w:hAnsiTheme="minorHAnsi" w:cstheme="minorHAnsi"/>
            <w:sz w:val="22"/>
            <w:szCs w:val="22"/>
            <w:lang w:val="en-GB"/>
          </w:rPr>
          <w:t xml:space="preserve">Global Initiative on Virtual Worlds and AI – </w:t>
        </w:r>
        <w:r w:rsidRPr="00DA76FF">
          <w:rPr>
            <w:rStyle w:val="Hyperlink"/>
            <w:rFonts w:asciiTheme="minorHAnsi" w:hAnsiTheme="minorHAnsi" w:cstheme="minorHAnsi"/>
            <w:i/>
            <w:iCs/>
            <w:sz w:val="22"/>
            <w:szCs w:val="22"/>
            <w:lang w:val="en-GB"/>
          </w:rPr>
          <w:t>Discovering the Citiverse</w:t>
        </w:r>
      </w:hyperlink>
      <w:r w:rsidRPr="00DA76FF">
        <w:rPr>
          <w:rFonts w:asciiTheme="minorHAnsi" w:hAnsiTheme="minorHAnsi" w:cstheme="minorHAnsi"/>
          <w:sz w:val="22"/>
          <w:szCs w:val="22"/>
          <w:lang w:val="en-GB"/>
        </w:rPr>
        <w:t>. The Initiative serves as a global platform that aims at fostering open, interoperable and innovative AI-powered virtual worlds that can be used safely and with confidence by people, businesses and public services.</w:t>
      </w:r>
    </w:p>
    <w:p w14:paraId="1875BD48" w14:textId="40626134" w:rsidR="006A1532" w:rsidRPr="00DA76FF" w:rsidRDefault="006A1532" w:rsidP="00462A0A">
      <w:pPr>
        <w:keepNext/>
        <w:keepLines/>
        <w:tabs>
          <w:tab w:val="left" w:pos="794"/>
        </w:tabs>
        <w:spacing w:after="120"/>
        <w:jc w:val="both"/>
        <w:rPr>
          <w:rFonts w:asciiTheme="minorHAnsi" w:eastAsia="Avenir" w:hAnsiTheme="minorHAnsi" w:cstheme="minorBidi"/>
          <w:color w:val="000000"/>
          <w:sz w:val="22"/>
          <w:szCs w:val="22"/>
        </w:rPr>
      </w:pPr>
      <w:r w:rsidRPr="0051061D">
        <w:rPr>
          <w:rFonts w:asciiTheme="minorHAnsi" w:eastAsia="Avenir" w:hAnsiTheme="minorHAnsi" w:cstheme="minorBidi"/>
          <w:color w:val="000000" w:themeColor="text1"/>
          <w:spacing w:val="2"/>
          <w:sz w:val="22"/>
          <w:szCs w:val="22"/>
        </w:rPr>
        <w:t xml:space="preserve">The </w:t>
      </w:r>
      <w:hyperlink r:id="rId260" w:history="1">
        <w:r w:rsidRPr="0051061D">
          <w:rPr>
            <w:rStyle w:val="Hyperlink"/>
            <w:rFonts w:asciiTheme="minorHAnsi" w:eastAsia="Avenir" w:hAnsiTheme="minorHAnsi" w:cstheme="minorBidi"/>
            <w:spacing w:val="2"/>
            <w:sz w:val="22"/>
            <w:szCs w:val="22"/>
          </w:rPr>
          <w:t>UN</w:t>
        </w:r>
        <w:r w:rsidRPr="0051061D">
          <w:rPr>
            <w:rStyle w:val="Hyperlink"/>
            <w:rFonts w:asciiTheme="minorHAnsi" w:hAnsiTheme="minorHAnsi" w:cstheme="minorBidi"/>
            <w:spacing w:val="2"/>
            <w:sz w:val="22"/>
            <w:szCs w:val="22"/>
          </w:rPr>
          <w:t xml:space="preserve"> Virtual Worlds Day</w:t>
        </w:r>
      </w:hyperlink>
      <w:r w:rsidRPr="0051061D">
        <w:rPr>
          <w:rFonts w:asciiTheme="minorHAnsi" w:eastAsia="Avenir" w:hAnsiTheme="minorHAnsi" w:cstheme="minorBidi"/>
          <w:color w:val="000000" w:themeColor="text1"/>
          <w:spacing w:val="2"/>
          <w:sz w:val="22"/>
          <w:szCs w:val="22"/>
        </w:rPr>
        <w:t xml:space="preserve"> is an annual event organized by ITU and other 17 UN entities exploring</w:t>
      </w:r>
      <w:r w:rsidRPr="00DA76FF">
        <w:rPr>
          <w:rFonts w:asciiTheme="minorHAnsi" w:eastAsia="Avenir" w:hAnsiTheme="minorHAnsi" w:cstheme="minorBidi"/>
          <w:color w:val="000000" w:themeColor="text1"/>
          <w:sz w:val="22"/>
          <w:szCs w:val="22"/>
        </w:rPr>
        <w:t xml:space="preserve"> AI-powered virtual worlds, including the metaverse, to advance </w:t>
      </w:r>
      <w:r w:rsidR="00725CC7">
        <w:rPr>
          <w:rFonts w:asciiTheme="minorHAnsi" w:eastAsia="Avenir" w:hAnsiTheme="minorHAnsi" w:cstheme="minorBidi"/>
          <w:color w:val="000000" w:themeColor="text1"/>
          <w:sz w:val="22"/>
          <w:szCs w:val="22"/>
        </w:rPr>
        <w:t xml:space="preserve">global development priorities, including </w:t>
      </w:r>
      <w:r w:rsidRPr="00DA76FF">
        <w:rPr>
          <w:rFonts w:asciiTheme="minorHAnsi" w:eastAsia="Avenir" w:hAnsiTheme="minorHAnsi" w:cstheme="minorBidi"/>
          <w:color w:val="000000" w:themeColor="text1"/>
          <w:sz w:val="22"/>
          <w:szCs w:val="22"/>
        </w:rPr>
        <w:t xml:space="preserve">the </w:t>
      </w:r>
      <w:r w:rsidR="00725CC7">
        <w:rPr>
          <w:rFonts w:asciiTheme="minorHAnsi" w:eastAsia="Avenir" w:hAnsiTheme="minorHAnsi" w:cstheme="minorBidi"/>
          <w:color w:val="000000" w:themeColor="text1"/>
          <w:sz w:val="22"/>
          <w:szCs w:val="22"/>
        </w:rPr>
        <w:t xml:space="preserve">recently adopted UN </w:t>
      </w:r>
      <w:r w:rsidRPr="00DA76FF">
        <w:rPr>
          <w:rFonts w:asciiTheme="minorHAnsi" w:eastAsia="Avenir" w:hAnsiTheme="minorHAnsi" w:cstheme="minorBidi"/>
          <w:color w:val="000000" w:themeColor="text1"/>
          <w:sz w:val="22"/>
          <w:szCs w:val="22"/>
        </w:rPr>
        <w:t>Pact for the Future</w:t>
      </w:r>
      <w:r w:rsidR="00725CC7">
        <w:rPr>
          <w:rFonts w:asciiTheme="minorHAnsi" w:eastAsia="Avenir" w:hAnsiTheme="minorHAnsi" w:cstheme="minorBidi"/>
          <w:color w:val="000000" w:themeColor="text1"/>
          <w:sz w:val="22"/>
          <w:szCs w:val="22"/>
        </w:rPr>
        <w:t xml:space="preserve"> and Global Digital Compact</w:t>
      </w:r>
      <w:r w:rsidRPr="00DA76FF">
        <w:rPr>
          <w:rFonts w:asciiTheme="minorHAnsi" w:eastAsia="Avenir" w:hAnsiTheme="minorHAnsi" w:cstheme="minorBidi"/>
          <w:color w:val="000000" w:themeColor="text1"/>
          <w:sz w:val="22"/>
          <w:szCs w:val="22"/>
        </w:rPr>
        <w:t xml:space="preserve">. The inaugural event on 14 June 2024, in Geneva, showcased how immersive digital platforms can drive global progress. The second edition will be held on 11-12 June 2025, in Turin, Italy, featuring high-level dialogues, interactive showcases, and collaborative sessions to discuss how virtual technologies can </w:t>
      </w:r>
      <w:r w:rsidR="008F2A53">
        <w:rPr>
          <w:rFonts w:asciiTheme="minorHAnsi" w:eastAsia="Avenir" w:hAnsiTheme="minorHAnsi" w:cstheme="minorBidi"/>
          <w:color w:val="000000" w:themeColor="text1"/>
          <w:sz w:val="22"/>
          <w:szCs w:val="22"/>
        </w:rPr>
        <w:t>help build</w:t>
      </w:r>
      <w:r w:rsidRPr="00DA76FF">
        <w:rPr>
          <w:rFonts w:asciiTheme="minorHAnsi" w:eastAsia="Avenir" w:hAnsiTheme="minorHAnsi" w:cstheme="minorBidi"/>
          <w:color w:val="000000" w:themeColor="text1"/>
          <w:sz w:val="22"/>
          <w:szCs w:val="22"/>
        </w:rPr>
        <w:t xml:space="preserve"> digital public infrastructure</w:t>
      </w:r>
      <w:r w:rsidR="008F2A53">
        <w:rPr>
          <w:rFonts w:asciiTheme="minorHAnsi" w:eastAsia="Avenir" w:hAnsiTheme="minorHAnsi" w:cstheme="minorBidi"/>
          <w:color w:val="000000" w:themeColor="text1"/>
          <w:sz w:val="22"/>
          <w:szCs w:val="22"/>
        </w:rPr>
        <w:t xml:space="preserve"> that is resilient and beneficial to everyone</w:t>
      </w:r>
      <w:r w:rsidRPr="00DA76FF">
        <w:rPr>
          <w:rFonts w:asciiTheme="minorHAnsi" w:eastAsia="Avenir" w:hAnsiTheme="minorHAnsi" w:cstheme="minorBidi"/>
          <w:color w:val="000000" w:themeColor="text1"/>
          <w:sz w:val="22"/>
          <w:szCs w:val="22"/>
        </w:rPr>
        <w:t>.</w:t>
      </w:r>
    </w:p>
    <w:p w14:paraId="77EB2F9F" w14:textId="77777777" w:rsidR="006A1532" w:rsidRPr="00DA76FF" w:rsidRDefault="006A1532" w:rsidP="00B96F88">
      <w:pPr>
        <w:spacing w:after="120"/>
        <w:jc w:val="both"/>
        <w:rPr>
          <w:b/>
          <w:bCs/>
          <w:sz w:val="22"/>
          <w:szCs w:val="22"/>
        </w:rPr>
      </w:pPr>
      <w:bookmarkStart w:id="72" w:name="_Toc156392417"/>
      <w:r w:rsidRPr="00DA76FF">
        <w:rPr>
          <w:b/>
          <w:bCs/>
          <w:sz w:val="22"/>
          <w:szCs w:val="22"/>
        </w:rPr>
        <w:t>Digital transformation for smart cities and communities</w:t>
      </w:r>
      <w:bookmarkEnd w:id="72"/>
    </w:p>
    <w:bookmarkEnd w:id="71"/>
    <w:p w14:paraId="148ED702" w14:textId="72A73741" w:rsidR="006A1532" w:rsidRPr="00DA76FF" w:rsidRDefault="006A1532" w:rsidP="00B96F88">
      <w:pPr>
        <w:pStyle w:val="NormalWeb"/>
        <w:spacing w:before="120" w:beforeAutospacing="0" w:after="120" w:afterAutospacing="0"/>
        <w:jc w:val="both"/>
        <w:rPr>
          <w:sz w:val="22"/>
          <w:szCs w:val="22"/>
          <w:lang w:val="en-GB"/>
        </w:rPr>
      </w:pPr>
      <w:r w:rsidRPr="00DA76FF">
        <w:rPr>
          <w:sz w:val="22"/>
          <w:szCs w:val="22"/>
          <w:lang w:val="en-GB"/>
        </w:rPr>
        <w:t xml:space="preserve">The </w:t>
      </w:r>
      <w:hyperlink r:id="rId261">
        <w:r w:rsidRPr="00DA76FF">
          <w:rPr>
            <w:rStyle w:val="Hyperlink"/>
            <w:sz w:val="22"/>
            <w:szCs w:val="22"/>
            <w:lang w:val="en-GB"/>
          </w:rPr>
          <w:t>United for Smart Sustainable Cities (U4SSC)</w:t>
        </w:r>
      </w:hyperlink>
      <w:r w:rsidRPr="00DA76FF">
        <w:rPr>
          <w:sz w:val="22"/>
          <w:szCs w:val="22"/>
          <w:lang w:val="en-GB"/>
        </w:rPr>
        <w:t xml:space="preserve"> initiative is supported by 19 UN bodies with the aim of achieving </w:t>
      </w:r>
      <w:r w:rsidR="008A2049">
        <w:rPr>
          <w:sz w:val="22"/>
          <w:szCs w:val="22"/>
          <w:lang w:val="en-GB"/>
        </w:rPr>
        <w:t>SDG</w:t>
      </w:r>
      <w:r w:rsidRPr="00DA76FF">
        <w:rPr>
          <w:sz w:val="22"/>
          <w:szCs w:val="22"/>
          <w:lang w:val="en-GB"/>
        </w:rPr>
        <w:t xml:space="preserve"> 11 (“Make cities and human settlements inclusive, safe, resilient and sustainable”) and advancing the Pact for the Future. Over 200 cities have adopted </w:t>
      </w:r>
      <w:hyperlink r:id="rId262" w:history="1">
        <w:r w:rsidRPr="00DA76FF">
          <w:rPr>
            <w:rStyle w:val="Hyperlink"/>
            <w:sz w:val="22"/>
            <w:szCs w:val="22"/>
            <w:lang w:val="en-GB"/>
          </w:rPr>
          <w:t>U4SSC Key Performance Indicators</w:t>
        </w:r>
      </w:hyperlink>
      <w:r w:rsidRPr="00DA76FF">
        <w:rPr>
          <w:sz w:val="22"/>
          <w:szCs w:val="22"/>
          <w:lang w:val="en-GB"/>
        </w:rPr>
        <w:t xml:space="preserve"> based on ITU standards. The results of these evaluations are shared by </w:t>
      </w:r>
      <w:hyperlink r:id="rId263" w:history="1">
        <w:r w:rsidRPr="00DA76FF">
          <w:rPr>
            <w:rStyle w:val="Hyperlink"/>
            <w:sz w:val="22"/>
            <w:szCs w:val="22"/>
            <w:lang w:val="en-GB"/>
          </w:rPr>
          <w:t>city snapshots, factsheets, verification reports and case studies</w:t>
        </w:r>
      </w:hyperlink>
      <w:r w:rsidRPr="00DA76FF">
        <w:rPr>
          <w:sz w:val="22"/>
          <w:szCs w:val="22"/>
          <w:lang w:val="en-GB"/>
        </w:rPr>
        <w:t>.</w:t>
      </w:r>
    </w:p>
    <w:p w14:paraId="46DB1F19" w14:textId="77777777" w:rsidR="006A1532" w:rsidRPr="0051061D" w:rsidRDefault="006A1532" w:rsidP="00AD3A45">
      <w:pPr>
        <w:keepNext/>
        <w:keepLines/>
        <w:spacing w:after="120"/>
        <w:jc w:val="both"/>
        <w:rPr>
          <w:sz w:val="22"/>
          <w:szCs w:val="22"/>
        </w:rPr>
      </w:pPr>
      <w:r w:rsidRPr="00DA76FF">
        <w:rPr>
          <w:sz w:val="22"/>
          <w:szCs w:val="22"/>
        </w:rPr>
        <w:lastRenderedPageBreak/>
        <w:t xml:space="preserve">U4SSC is providing expert guidance (see </w:t>
      </w:r>
      <w:hyperlink r:id="rId264" w:history="1">
        <w:r w:rsidRPr="00DA76FF">
          <w:rPr>
            <w:rStyle w:val="Hyperlink"/>
            <w:sz w:val="22"/>
            <w:szCs w:val="22"/>
          </w:rPr>
          <w:t>U4SSC reports</w:t>
        </w:r>
      </w:hyperlink>
      <w:r w:rsidRPr="00DA76FF">
        <w:rPr>
          <w:sz w:val="22"/>
          <w:szCs w:val="22"/>
        </w:rPr>
        <w:t>)</w:t>
      </w:r>
      <w:r w:rsidRPr="00DA76FF">
        <w:rPr>
          <w:i/>
          <w:iCs/>
          <w:sz w:val="22"/>
          <w:szCs w:val="22"/>
        </w:rPr>
        <w:t xml:space="preserve"> </w:t>
      </w:r>
      <w:r w:rsidRPr="00DA76FF">
        <w:rPr>
          <w:sz w:val="22"/>
          <w:szCs w:val="22"/>
        </w:rPr>
        <w:t>in nine thematic areas:</w:t>
      </w:r>
    </w:p>
    <w:p w14:paraId="5F44E4D6" w14:textId="1937E4CE" w:rsidR="006A1532" w:rsidRPr="00DA76FF" w:rsidRDefault="006A1532" w:rsidP="00AD3A45">
      <w:pPr>
        <w:keepNext/>
        <w:keepLines/>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City platforms</w:t>
      </w:r>
    </w:p>
    <w:p w14:paraId="710BCF04" w14:textId="77777777" w:rsidR="006A1532" w:rsidRPr="00DA76FF" w:rsidRDefault="006A1532" w:rsidP="00AD3A45">
      <w:pPr>
        <w:keepNext/>
        <w:keepLines/>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Enhancing Urban Economic Resilience and Smart Sustainable Cities</w:t>
      </w:r>
    </w:p>
    <w:p w14:paraId="6D11AE28" w14:textId="1F27CD38" w:rsidR="006A1532" w:rsidRPr="00DA76FF" w:rsidRDefault="006A1532" w:rsidP="00A1269A">
      <w:pPr>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AI in cities</w:t>
      </w:r>
    </w:p>
    <w:p w14:paraId="5A532F56" w14:textId="10516F4E" w:rsidR="006A1532" w:rsidRPr="00DA76FF" w:rsidRDefault="006A1532" w:rsidP="00A1269A">
      <w:pPr>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Enabling people-centred cities through digital transformation</w:t>
      </w:r>
    </w:p>
    <w:p w14:paraId="444BEB5B" w14:textId="77777777" w:rsidR="006A1532" w:rsidRPr="00DA76FF" w:rsidRDefault="006A1532" w:rsidP="00A1269A">
      <w:pPr>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Digital public infrastructure for cities</w:t>
      </w:r>
    </w:p>
    <w:p w14:paraId="2F90D83A" w14:textId="77777777" w:rsidR="006A1532" w:rsidRPr="00DA76FF" w:rsidRDefault="006A1532" w:rsidP="00A1269A">
      <w:pPr>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Digital wellbeing</w:t>
      </w:r>
    </w:p>
    <w:p w14:paraId="62C3FE90" w14:textId="77777777" w:rsidR="006A1532" w:rsidRPr="00DA76FF" w:rsidRDefault="006A1532" w:rsidP="00A1269A">
      <w:pPr>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Sustainable digital transformation in buildings and urban energy</w:t>
      </w:r>
    </w:p>
    <w:p w14:paraId="1409BDD2" w14:textId="77777777" w:rsidR="006A1532" w:rsidRPr="00DA76FF" w:rsidRDefault="006A1532" w:rsidP="00A1269A">
      <w:pPr>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sz w:val="22"/>
          <w:szCs w:val="22"/>
        </w:rPr>
      </w:pPr>
      <w:r w:rsidRPr="00DA76FF">
        <w:rPr>
          <w:sz w:val="22"/>
          <w:szCs w:val="22"/>
        </w:rPr>
        <w:t>Social-cultural sustainability in people-centred city governance</w:t>
      </w:r>
    </w:p>
    <w:p w14:paraId="54C3DD28" w14:textId="77777777" w:rsidR="006A1532" w:rsidRPr="00DA76FF" w:rsidRDefault="006A1532" w:rsidP="00A1269A">
      <w:pPr>
        <w:numPr>
          <w:ilvl w:val="0"/>
          <w:numId w:val="11"/>
        </w:numPr>
        <w:tabs>
          <w:tab w:val="clear" w:pos="567"/>
          <w:tab w:val="clear" w:pos="1134"/>
          <w:tab w:val="clear" w:pos="1701"/>
          <w:tab w:val="clear" w:pos="2268"/>
          <w:tab w:val="clear" w:pos="2835"/>
        </w:tabs>
        <w:overflowPunct/>
        <w:autoSpaceDE/>
        <w:autoSpaceDN/>
        <w:adjustRightInd/>
        <w:spacing w:before="60" w:after="60"/>
        <w:ind w:left="567" w:hanging="283"/>
        <w:jc w:val="both"/>
        <w:textAlignment w:val="auto"/>
        <w:rPr>
          <w:rFonts w:eastAsia="Times New Roman"/>
          <w:sz w:val="22"/>
          <w:szCs w:val="22"/>
        </w:rPr>
      </w:pPr>
      <w:r w:rsidRPr="00DA76FF">
        <w:rPr>
          <w:sz w:val="22"/>
          <w:szCs w:val="22"/>
        </w:rPr>
        <w:t>Future foresight for cities</w:t>
      </w:r>
    </w:p>
    <w:p w14:paraId="79082663" w14:textId="54F89491" w:rsidR="006A1532" w:rsidRPr="00DA76FF" w:rsidRDefault="006A1532" w:rsidP="00A1269A">
      <w:pPr>
        <w:pStyle w:val="NormalWeb"/>
        <w:spacing w:before="240" w:beforeAutospacing="0" w:after="120" w:afterAutospacing="0"/>
        <w:jc w:val="both"/>
        <w:rPr>
          <w:sz w:val="22"/>
          <w:szCs w:val="22"/>
          <w:lang w:val="en-GB"/>
        </w:rPr>
      </w:pPr>
      <w:r w:rsidRPr="00DA76FF">
        <w:rPr>
          <w:sz w:val="22"/>
          <w:szCs w:val="22"/>
          <w:lang w:val="en-GB"/>
        </w:rPr>
        <w:t xml:space="preserve">The </w:t>
      </w:r>
      <w:hyperlink r:id="rId265" w:history="1">
        <w:r w:rsidRPr="00DA76FF">
          <w:rPr>
            <w:rStyle w:val="Hyperlink"/>
            <w:sz w:val="22"/>
            <w:szCs w:val="22"/>
            <w:lang w:val="en-GB"/>
          </w:rPr>
          <w:t>eighth U4SSC meeting</w:t>
        </w:r>
      </w:hyperlink>
      <w:r w:rsidRPr="00DA76FF">
        <w:rPr>
          <w:sz w:val="22"/>
          <w:szCs w:val="22"/>
          <w:lang w:val="en-GB"/>
        </w:rPr>
        <w:t xml:space="preserve"> was held on 19 September 2024, in Madrid, Spain. Highlights of the meeting included the establishment of new Thematic Groups and the newly published U4SSC deliverables.</w:t>
      </w:r>
    </w:p>
    <w:p w14:paraId="48B5A285" w14:textId="5F68537E" w:rsidR="006A1532" w:rsidRPr="00DA76FF" w:rsidRDefault="006A1532" w:rsidP="00B96F88">
      <w:pPr>
        <w:spacing w:after="120"/>
        <w:jc w:val="both"/>
        <w:rPr>
          <w:sz w:val="22"/>
          <w:szCs w:val="22"/>
        </w:rPr>
      </w:pPr>
      <w:r w:rsidRPr="00DA76FF">
        <w:rPr>
          <w:sz w:val="22"/>
          <w:szCs w:val="22"/>
        </w:rPr>
        <w:t xml:space="preserve">See </w:t>
      </w:r>
      <w:hyperlink r:id="rId266" w:history="1">
        <w:r w:rsidRPr="00DA76FF">
          <w:rPr>
            <w:rStyle w:val="Hyperlink"/>
            <w:sz w:val="22"/>
            <w:szCs w:val="22"/>
          </w:rPr>
          <w:t>U4SSC reports</w:t>
        </w:r>
      </w:hyperlink>
      <w:r w:rsidRPr="00DA76FF">
        <w:rPr>
          <w:sz w:val="22"/>
          <w:szCs w:val="22"/>
        </w:rPr>
        <w:t xml:space="preserve"> and </w:t>
      </w:r>
      <w:hyperlink r:id="rId267" w:history="1">
        <w:r w:rsidRPr="00DA76FF">
          <w:rPr>
            <w:rStyle w:val="Hyperlink"/>
            <w:sz w:val="22"/>
            <w:szCs w:val="22"/>
          </w:rPr>
          <w:t>ITU reports</w:t>
        </w:r>
      </w:hyperlink>
      <w:r w:rsidRPr="00DA76FF">
        <w:rPr>
          <w:sz w:val="22"/>
          <w:szCs w:val="22"/>
        </w:rPr>
        <w:t xml:space="preserve"> on smart cities.</w:t>
      </w:r>
    </w:p>
    <w:p w14:paraId="7B289A36" w14:textId="77777777" w:rsidR="006A1532" w:rsidRPr="00DA76FF" w:rsidRDefault="006A1532" w:rsidP="00B96F88">
      <w:pPr>
        <w:spacing w:after="120"/>
        <w:jc w:val="both"/>
        <w:rPr>
          <w:sz w:val="22"/>
          <w:szCs w:val="22"/>
        </w:rPr>
      </w:pPr>
      <w:r w:rsidRPr="00DA76FF">
        <w:rPr>
          <w:sz w:val="22"/>
          <w:szCs w:val="22"/>
        </w:rPr>
        <w:t xml:space="preserve">See also </w:t>
      </w:r>
      <w:hyperlink r:id="rId268" w:history="1">
        <w:r w:rsidRPr="00DA76FF">
          <w:rPr>
            <w:rStyle w:val="Hyperlink"/>
            <w:sz w:val="22"/>
            <w:szCs w:val="22"/>
          </w:rPr>
          <w:t>ITU Digital Transformation Dialogues</w:t>
        </w:r>
      </w:hyperlink>
      <w:r w:rsidRPr="00DA76FF">
        <w:rPr>
          <w:sz w:val="22"/>
          <w:szCs w:val="22"/>
        </w:rPr>
        <w:t xml:space="preserve"> (DTD), which serves as a dynamic platform for sharing knowledge and deepening our understanding of emerging technologies and technical standardization across various fields. Through a series of engaging sessions, DTD fosters discussions on the rapidly evolving digital landscape and its impact on industries and society.</w:t>
      </w:r>
    </w:p>
    <w:p w14:paraId="5FB0F7E9" w14:textId="7FF09755" w:rsidR="006A1532" w:rsidRPr="00DA76FF" w:rsidRDefault="006A1532" w:rsidP="00B96F88">
      <w:pPr>
        <w:spacing w:after="120"/>
        <w:jc w:val="both"/>
        <w:rPr>
          <w:sz w:val="22"/>
          <w:szCs w:val="22"/>
        </w:rPr>
      </w:pPr>
      <w:r w:rsidRPr="00DA76FF">
        <w:rPr>
          <w:sz w:val="22"/>
          <w:szCs w:val="22"/>
        </w:rPr>
        <w:t xml:space="preserve">The </w:t>
      </w:r>
      <w:hyperlink r:id="rId269" w:history="1">
        <w:r w:rsidRPr="00DA76FF">
          <w:rPr>
            <w:rStyle w:val="Hyperlink"/>
            <w:sz w:val="22"/>
            <w:szCs w:val="22"/>
          </w:rPr>
          <w:t>ITU Digital Transformation and Cities Digest</w:t>
        </w:r>
      </w:hyperlink>
      <w:r w:rsidRPr="00DA76FF">
        <w:rPr>
          <w:sz w:val="22"/>
          <w:szCs w:val="22"/>
        </w:rPr>
        <w:t xml:space="preserve"> provides the latest updates on digital transformation, smart cities, virtual worlds and the metaverse. It also features information on upcoming events and new publications.</w:t>
      </w:r>
    </w:p>
    <w:p w14:paraId="23238DDF" w14:textId="13F80E9D" w:rsidR="006A1532" w:rsidRPr="00DA76FF" w:rsidRDefault="006A1532" w:rsidP="00B96F88">
      <w:pPr>
        <w:spacing w:after="120"/>
        <w:jc w:val="both"/>
        <w:rPr>
          <w:sz w:val="22"/>
          <w:szCs w:val="22"/>
        </w:rPr>
      </w:pPr>
      <w:r w:rsidRPr="00DA76FF">
        <w:rPr>
          <w:sz w:val="22"/>
          <w:szCs w:val="22"/>
        </w:rPr>
        <w:t xml:space="preserve">In addition, ITU continues to curate a wealth of knowledge through the </w:t>
      </w:r>
      <w:hyperlink r:id="rId270" w:history="1">
        <w:r w:rsidRPr="00DA76FF">
          <w:rPr>
            <w:rStyle w:val="Hyperlink"/>
            <w:sz w:val="22"/>
            <w:szCs w:val="22"/>
          </w:rPr>
          <w:t>Digital Transformation Resource Hub</w:t>
        </w:r>
      </w:hyperlink>
      <w:r w:rsidRPr="00DA76FF">
        <w:rPr>
          <w:sz w:val="22"/>
          <w:szCs w:val="22"/>
        </w:rPr>
        <w:t xml:space="preserve">, offering high-quality publications on key digital transformation topics. These include, digital public infrastructure, </w:t>
      </w:r>
      <w:r w:rsidR="005A02A9">
        <w:rPr>
          <w:sz w:val="22"/>
          <w:szCs w:val="22"/>
        </w:rPr>
        <w:t>AI</w:t>
      </w:r>
      <w:r w:rsidRPr="00DA76FF">
        <w:rPr>
          <w:sz w:val="22"/>
          <w:szCs w:val="22"/>
        </w:rPr>
        <w:t>, the Internet of Things, blockchain, digital twins, the metaverse and virtual worlds, and emerging digital transformation trends.</w:t>
      </w:r>
    </w:p>
    <w:p w14:paraId="260670E4" w14:textId="4057FA4A" w:rsidR="006A1532" w:rsidRPr="00DA76FF" w:rsidRDefault="006A1532" w:rsidP="00A1269A">
      <w:pPr>
        <w:keepNext/>
        <w:keepLines/>
        <w:spacing w:after="120"/>
        <w:jc w:val="both"/>
        <w:rPr>
          <w:b/>
          <w:sz w:val="22"/>
          <w:szCs w:val="22"/>
        </w:rPr>
      </w:pPr>
      <w:bookmarkStart w:id="73" w:name="_Toc156392418"/>
      <w:r w:rsidRPr="00DA76FF">
        <w:rPr>
          <w:b/>
          <w:sz w:val="22"/>
          <w:szCs w:val="22"/>
        </w:rPr>
        <w:t>Intelligent transport systems</w:t>
      </w:r>
      <w:bookmarkStart w:id="74" w:name="_Hlk92287189"/>
      <w:bookmarkEnd w:id="73"/>
    </w:p>
    <w:p w14:paraId="60259C3D" w14:textId="0A29C9D8" w:rsidR="006A1532" w:rsidRPr="00DA76FF" w:rsidRDefault="006A1532" w:rsidP="00A1269A">
      <w:pPr>
        <w:keepNext/>
        <w:keepLines/>
        <w:spacing w:after="120"/>
        <w:jc w:val="both"/>
        <w:rPr>
          <w:rFonts w:asciiTheme="minorHAnsi" w:hAnsiTheme="minorHAnsi" w:cstheme="minorHAnsi"/>
          <w:sz w:val="22"/>
          <w:szCs w:val="22"/>
        </w:rPr>
      </w:pPr>
      <w:r w:rsidRPr="00DA76FF">
        <w:rPr>
          <w:rFonts w:asciiTheme="minorHAnsi" w:hAnsiTheme="minorHAnsi" w:cstheme="minorBidi"/>
          <w:sz w:val="22"/>
          <w:szCs w:val="18"/>
        </w:rPr>
        <w:t xml:space="preserve">During WTSA-24, a new </w:t>
      </w:r>
      <w:hyperlink r:id="rId271" w:history="1">
        <w:r w:rsidRPr="00DA76FF">
          <w:rPr>
            <w:rStyle w:val="Hyperlink"/>
            <w:rFonts w:asciiTheme="minorHAnsi" w:hAnsiTheme="minorHAnsi" w:cstheme="minorBidi"/>
            <w:sz w:val="22"/>
            <w:szCs w:val="18"/>
          </w:rPr>
          <w:t>Resolution 104</w:t>
        </w:r>
      </w:hyperlink>
      <w:r w:rsidRPr="00DA76FF">
        <w:rPr>
          <w:rFonts w:asciiTheme="minorHAnsi" w:hAnsiTheme="minorHAnsi" w:cstheme="minorBidi"/>
          <w:sz w:val="22"/>
          <w:szCs w:val="18"/>
        </w:rPr>
        <w:t xml:space="preserve"> was adopted on Promoting and Strengthening Standardization Activities for Vehicular Communications.</w:t>
      </w:r>
    </w:p>
    <w:p w14:paraId="1DE7BFF5" w14:textId="77777777" w:rsidR="006A1532" w:rsidRPr="00DA76FF" w:rsidRDefault="006A1532" w:rsidP="00B96F88">
      <w:pPr>
        <w:spacing w:after="120"/>
        <w:jc w:val="both"/>
        <w:rPr>
          <w:rFonts w:asciiTheme="minorHAnsi" w:hAnsiTheme="minorHAnsi" w:cstheme="minorHAnsi"/>
          <w:sz w:val="22"/>
          <w:szCs w:val="22"/>
        </w:rPr>
      </w:pPr>
      <w:r w:rsidRPr="00DA76FF">
        <w:rPr>
          <w:rFonts w:asciiTheme="minorHAnsi" w:hAnsiTheme="minorHAnsi" w:cstheme="minorHAnsi"/>
          <w:sz w:val="22"/>
          <w:szCs w:val="22"/>
        </w:rPr>
        <w:t>The Collaboration on ITS Communication Standards (</w:t>
      </w:r>
      <w:hyperlink r:id="rId272" w:history="1">
        <w:r w:rsidRPr="00DA76FF">
          <w:rPr>
            <w:rStyle w:val="Hyperlink"/>
            <w:rFonts w:asciiTheme="minorHAnsi" w:hAnsiTheme="minorHAnsi" w:cstheme="minorHAnsi"/>
            <w:sz w:val="22"/>
            <w:szCs w:val="22"/>
          </w:rPr>
          <w:t>CITS</w:t>
        </w:r>
      </w:hyperlink>
      <w:r w:rsidRPr="00DA76FF">
        <w:rPr>
          <w:rFonts w:asciiTheme="minorHAnsi" w:hAnsiTheme="minorHAnsi" w:cstheme="minorHAnsi"/>
          <w:sz w:val="22"/>
          <w:szCs w:val="22"/>
        </w:rPr>
        <w:t xml:space="preserve">), which is a global platform for coordination of Intelligent Transportation Systems (ITS) communication standards, continues to serve as a vital link between ITU and the </w:t>
      </w:r>
      <w:hyperlink r:id="rId273" w:history="1">
        <w:r w:rsidRPr="00DA76FF">
          <w:rPr>
            <w:rStyle w:val="Hyperlink"/>
            <w:rFonts w:asciiTheme="minorHAnsi" w:hAnsiTheme="minorHAnsi" w:cstheme="minorHAnsi"/>
            <w:sz w:val="22"/>
            <w:szCs w:val="22"/>
          </w:rPr>
          <w:t>UNECE World Forum for Harmonization of Vehicle Regulations (WP.29)</w:t>
        </w:r>
      </w:hyperlink>
      <w:r w:rsidRPr="00DA76FF">
        <w:rPr>
          <w:rFonts w:asciiTheme="minorHAnsi" w:hAnsiTheme="minorHAnsi" w:cstheme="minorHAnsi"/>
          <w:sz w:val="22"/>
          <w:szCs w:val="22"/>
        </w:rPr>
        <w:t>, addressing key topics such as ITS and automated driving, which are the focus of ongoing studies by various ITU-T study groups.</w:t>
      </w:r>
    </w:p>
    <w:p w14:paraId="5EBBCDC7" w14:textId="02D85CE4" w:rsidR="006A1532" w:rsidRPr="00DA76FF" w:rsidRDefault="006A1532" w:rsidP="00B96F88">
      <w:pPr>
        <w:spacing w:after="120"/>
        <w:jc w:val="both"/>
        <w:rPr>
          <w:rFonts w:asciiTheme="minorHAnsi" w:hAnsiTheme="minorHAnsi" w:cstheme="minorHAnsi"/>
          <w:sz w:val="22"/>
          <w:szCs w:val="22"/>
        </w:rPr>
      </w:pPr>
      <w:bookmarkStart w:id="75" w:name="_Hlk153814199"/>
      <w:r w:rsidRPr="00DA76FF">
        <w:rPr>
          <w:rFonts w:asciiTheme="minorHAnsi" w:hAnsiTheme="minorHAnsi" w:cstheme="minorHAnsi"/>
          <w:sz w:val="22"/>
          <w:szCs w:val="22"/>
        </w:rPr>
        <w:t>CITS established</w:t>
      </w:r>
      <w:r w:rsidR="006C42D4">
        <w:rPr>
          <w:rFonts w:asciiTheme="minorHAnsi" w:hAnsiTheme="minorHAnsi" w:cstheme="minorHAnsi"/>
          <w:sz w:val="22"/>
          <w:szCs w:val="22"/>
        </w:rPr>
        <w:t>,</w:t>
      </w:r>
      <w:r w:rsidRPr="00DA76FF">
        <w:rPr>
          <w:rFonts w:asciiTheme="minorHAnsi" w:hAnsiTheme="minorHAnsi" w:cstheme="minorHAnsi"/>
          <w:sz w:val="22"/>
          <w:szCs w:val="22"/>
        </w:rPr>
        <w:t xml:space="preserve"> on 22 September 2023, the </w:t>
      </w:r>
      <w:hyperlink r:id="rId274" w:history="1">
        <w:r w:rsidRPr="00DA76FF">
          <w:rPr>
            <w:rStyle w:val="Hyperlink"/>
            <w:rFonts w:asciiTheme="minorHAnsi" w:hAnsiTheme="minorHAnsi" w:cstheme="minorHAnsi"/>
            <w:sz w:val="22"/>
            <w:szCs w:val="22"/>
          </w:rPr>
          <w:t>Expert Group on Communications Technology for Automated Driving</w:t>
        </w:r>
      </w:hyperlink>
      <w:bookmarkEnd w:id="75"/>
      <w:r w:rsidRPr="00DA76FF">
        <w:rPr>
          <w:rFonts w:asciiTheme="minorHAnsi" w:hAnsiTheme="minorHAnsi" w:cstheme="minorHAnsi"/>
          <w:sz w:val="22"/>
          <w:szCs w:val="22"/>
        </w:rPr>
        <w:t xml:space="preserve"> (EG-ComAD). The activities of EG-ComAD are conducted through two Working Groups:</w:t>
      </w:r>
    </w:p>
    <w:p w14:paraId="65D238D6" w14:textId="77777777" w:rsidR="006A1532" w:rsidRPr="00DA76FF" w:rsidRDefault="006A1532" w:rsidP="00A1269A">
      <w:pPr>
        <w:numPr>
          <w:ilvl w:val="0"/>
          <w:numId w:val="16"/>
        </w:numPr>
        <w:tabs>
          <w:tab w:val="clear" w:pos="567"/>
          <w:tab w:val="clear" w:pos="1134"/>
        </w:tabs>
        <w:spacing w:after="120"/>
        <w:ind w:left="567" w:hanging="283"/>
        <w:jc w:val="both"/>
        <w:rPr>
          <w:rFonts w:asciiTheme="minorHAnsi" w:hAnsiTheme="minorHAnsi" w:cstheme="minorHAnsi"/>
          <w:sz w:val="22"/>
          <w:szCs w:val="22"/>
        </w:rPr>
      </w:pPr>
      <w:r w:rsidRPr="00DA76FF">
        <w:rPr>
          <w:rFonts w:asciiTheme="minorHAnsi" w:hAnsiTheme="minorHAnsi" w:cstheme="minorHAnsi"/>
          <w:sz w:val="22"/>
          <w:szCs w:val="22"/>
        </w:rPr>
        <w:t xml:space="preserve">WG1 – </w:t>
      </w:r>
      <w:hyperlink r:id="rId275" w:history="1">
        <w:r w:rsidRPr="00DA76FF">
          <w:rPr>
            <w:rStyle w:val="Hyperlink"/>
            <w:rFonts w:asciiTheme="minorHAnsi" w:hAnsiTheme="minorHAnsi" w:cstheme="minorHAnsi"/>
            <w:i/>
            <w:iCs/>
            <w:sz w:val="22"/>
            <w:szCs w:val="22"/>
          </w:rPr>
          <w:t>“Vehicular communications for merging automatically into congested lanes”</w:t>
        </w:r>
      </w:hyperlink>
    </w:p>
    <w:p w14:paraId="4CDB5903" w14:textId="77777777" w:rsidR="006A1532" w:rsidRPr="00DA76FF" w:rsidRDefault="006A1532" w:rsidP="00A1269A">
      <w:pPr>
        <w:numPr>
          <w:ilvl w:val="0"/>
          <w:numId w:val="16"/>
        </w:numPr>
        <w:tabs>
          <w:tab w:val="clear" w:pos="567"/>
          <w:tab w:val="clear" w:pos="1134"/>
        </w:tabs>
        <w:spacing w:after="120"/>
        <w:ind w:left="567" w:hanging="283"/>
        <w:jc w:val="both"/>
        <w:rPr>
          <w:rFonts w:asciiTheme="minorHAnsi" w:hAnsiTheme="minorHAnsi" w:cstheme="minorHAnsi"/>
          <w:i/>
          <w:iCs/>
          <w:sz w:val="22"/>
          <w:szCs w:val="22"/>
        </w:rPr>
      </w:pPr>
      <w:r w:rsidRPr="00DA76FF">
        <w:rPr>
          <w:rFonts w:asciiTheme="minorHAnsi" w:hAnsiTheme="minorHAnsi" w:cstheme="minorHAnsi"/>
          <w:sz w:val="22"/>
          <w:szCs w:val="22"/>
        </w:rPr>
        <w:t xml:space="preserve">WG2 – </w:t>
      </w:r>
      <w:hyperlink r:id="rId276" w:history="1">
        <w:r w:rsidRPr="00DA76FF">
          <w:rPr>
            <w:rStyle w:val="Hyperlink"/>
            <w:rFonts w:asciiTheme="minorHAnsi" w:hAnsiTheme="minorHAnsi" w:cstheme="minorHAnsi"/>
            <w:i/>
            <w:iCs/>
            <w:sz w:val="22"/>
            <w:szCs w:val="22"/>
          </w:rPr>
          <w:t>“Vehicular communications for advanced emergency braking, including to protect vulnerable road users (VRUs)”</w:t>
        </w:r>
      </w:hyperlink>
    </w:p>
    <w:p w14:paraId="15F297D1" w14:textId="2E554BB8" w:rsidR="006A1532" w:rsidRPr="00DA76FF" w:rsidRDefault="006A1532" w:rsidP="00A1269A">
      <w:pPr>
        <w:spacing w:before="240" w:after="120"/>
        <w:jc w:val="both"/>
        <w:rPr>
          <w:rFonts w:asciiTheme="minorHAnsi" w:hAnsiTheme="minorHAnsi" w:cstheme="minorHAnsi"/>
          <w:szCs w:val="24"/>
        </w:rPr>
      </w:pPr>
      <w:r w:rsidRPr="00DA76FF">
        <w:rPr>
          <w:rFonts w:asciiTheme="minorHAnsi" w:eastAsiaTheme="minorEastAsia" w:hAnsiTheme="minorHAnsi" w:cstheme="minorHAnsi"/>
          <w:sz w:val="22"/>
          <w:szCs w:val="22"/>
        </w:rPr>
        <w:t xml:space="preserve">ITU and </w:t>
      </w:r>
      <w:r w:rsidR="006C4253">
        <w:rPr>
          <w:rFonts w:asciiTheme="minorHAnsi" w:eastAsiaTheme="minorEastAsia" w:hAnsiTheme="minorHAnsi" w:cstheme="minorHAnsi"/>
          <w:sz w:val="22"/>
          <w:szCs w:val="22"/>
        </w:rPr>
        <w:t>the UN Economic Commission for Europe (</w:t>
      </w:r>
      <w:r w:rsidRPr="00DA76FF">
        <w:rPr>
          <w:rFonts w:asciiTheme="minorHAnsi" w:eastAsiaTheme="minorEastAsia" w:hAnsiTheme="minorHAnsi" w:cstheme="minorHAnsi"/>
          <w:sz w:val="22"/>
          <w:szCs w:val="22"/>
        </w:rPr>
        <w:t>UNECE</w:t>
      </w:r>
      <w:r w:rsidR="006C4253">
        <w:rPr>
          <w:rFonts w:asciiTheme="minorHAnsi" w:eastAsiaTheme="minorEastAsia" w:hAnsiTheme="minorHAnsi" w:cstheme="minorHAnsi"/>
          <w:sz w:val="22"/>
          <w:szCs w:val="22"/>
        </w:rPr>
        <w:t>)</w:t>
      </w:r>
      <w:r w:rsidRPr="00DA76FF">
        <w:rPr>
          <w:rFonts w:asciiTheme="minorHAnsi" w:eastAsiaTheme="minorEastAsia" w:hAnsiTheme="minorHAnsi" w:cstheme="minorHAnsi"/>
          <w:sz w:val="22"/>
          <w:szCs w:val="22"/>
        </w:rPr>
        <w:t xml:space="preserve"> are co-organizing the 20</w:t>
      </w:r>
      <w:r w:rsidRPr="00DA76FF">
        <w:rPr>
          <w:rFonts w:asciiTheme="minorHAnsi" w:eastAsiaTheme="minorEastAsia" w:hAnsiTheme="minorHAnsi" w:cstheme="minorHAnsi"/>
          <w:sz w:val="22"/>
          <w:szCs w:val="22"/>
          <w:vertAlign w:val="superscript"/>
        </w:rPr>
        <w:t>th</w:t>
      </w:r>
      <w:r w:rsidRPr="00DA76FF">
        <w:rPr>
          <w:rFonts w:asciiTheme="minorHAnsi" w:eastAsiaTheme="minorEastAsia" w:hAnsiTheme="minorHAnsi" w:cstheme="minorHAnsi"/>
          <w:sz w:val="22"/>
          <w:szCs w:val="22"/>
        </w:rPr>
        <w:t xml:space="preserve"> edition of the </w:t>
      </w:r>
      <w:r w:rsidRPr="00DA76FF">
        <w:rPr>
          <w:rFonts w:asciiTheme="minorHAnsi" w:eastAsiaTheme="minorEastAsia" w:hAnsiTheme="minorHAnsi" w:cstheme="minorHAnsi"/>
          <w:b/>
          <w:bCs/>
          <w:sz w:val="22"/>
          <w:szCs w:val="22"/>
        </w:rPr>
        <w:t>Future Networked Car Symposium</w:t>
      </w:r>
      <w:r w:rsidRPr="00DA76FF">
        <w:rPr>
          <w:rFonts w:asciiTheme="minorHAnsi" w:eastAsiaTheme="minorEastAsia" w:hAnsiTheme="minorHAnsi" w:cstheme="minorHAnsi"/>
          <w:sz w:val="22"/>
          <w:szCs w:val="22"/>
        </w:rPr>
        <w:t xml:space="preserve"> (</w:t>
      </w:r>
      <w:hyperlink r:id="rId277" w:history="1">
        <w:r w:rsidRPr="00DA76FF">
          <w:rPr>
            <w:rStyle w:val="Hyperlink"/>
            <w:rFonts w:asciiTheme="minorHAnsi" w:hAnsiTheme="minorHAnsi" w:cstheme="minorHAnsi"/>
            <w:sz w:val="22"/>
            <w:szCs w:val="22"/>
          </w:rPr>
          <w:t>FNC-2025</w:t>
        </w:r>
      </w:hyperlink>
      <w:r w:rsidRPr="00DA76FF">
        <w:rPr>
          <w:rFonts w:asciiTheme="minorHAnsi" w:eastAsiaTheme="minorEastAsia" w:hAnsiTheme="minorHAnsi" w:cstheme="minorHAnsi"/>
          <w:sz w:val="22"/>
          <w:szCs w:val="22"/>
        </w:rPr>
        <w:t>) during the week 24-27 March 2025.</w:t>
      </w:r>
    </w:p>
    <w:p w14:paraId="16B6EA98" w14:textId="77777777" w:rsidR="006A1532" w:rsidRPr="00DA76FF" w:rsidRDefault="006A1532" w:rsidP="00B96F88">
      <w:pPr>
        <w:spacing w:after="120"/>
        <w:jc w:val="both"/>
        <w:rPr>
          <w:b/>
          <w:bCs/>
          <w:sz w:val="22"/>
          <w:szCs w:val="22"/>
        </w:rPr>
      </w:pPr>
      <w:bookmarkStart w:id="76" w:name="_5.6_CTO_and"/>
      <w:bookmarkStart w:id="77" w:name="_Toc156392419"/>
      <w:bookmarkEnd w:id="76"/>
      <w:r w:rsidRPr="00DA76FF">
        <w:rPr>
          <w:b/>
          <w:bCs/>
          <w:sz w:val="22"/>
          <w:szCs w:val="22"/>
        </w:rPr>
        <w:t>CTO and CxO meetings</w:t>
      </w:r>
      <w:bookmarkEnd w:id="77"/>
    </w:p>
    <w:p w14:paraId="02528F81" w14:textId="77777777" w:rsidR="006A1532" w:rsidRPr="00DA76FF" w:rsidRDefault="006A1532" w:rsidP="00B96F88">
      <w:pPr>
        <w:spacing w:after="120"/>
        <w:jc w:val="both"/>
        <w:rPr>
          <w:rFonts w:asciiTheme="minorHAnsi" w:hAnsiTheme="minorHAnsi" w:cstheme="minorBidi"/>
          <w:sz w:val="22"/>
          <w:szCs w:val="22"/>
        </w:rPr>
      </w:pPr>
      <w:bookmarkStart w:id="78" w:name="_Hlk120616343"/>
      <w:r w:rsidRPr="00DA76FF">
        <w:rPr>
          <w:rFonts w:asciiTheme="minorHAnsi" w:hAnsiTheme="minorHAnsi" w:cstheme="minorBidi"/>
          <w:sz w:val="22"/>
          <w:szCs w:val="22"/>
        </w:rPr>
        <w:t>CTO and CxO meetings convene industry executives to discuss industry priorities and related standardization activities with senior management of ITU's Telecommunication Standardization Bureau (TSB). Resulting communiqués highlight innovation areas benefiting from new ITU standards.</w:t>
      </w:r>
    </w:p>
    <w:p w14:paraId="345809E0" w14:textId="41705252" w:rsidR="006A1532" w:rsidRPr="00DA76FF" w:rsidRDefault="006A1532" w:rsidP="00B96F88">
      <w:pPr>
        <w:spacing w:after="120"/>
        <w:jc w:val="both"/>
        <w:rPr>
          <w:rFonts w:asciiTheme="minorHAnsi" w:hAnsiTheme="minorHAnsi" w:cstheme="minorBidi"/>
          <w:sz w:val="22"/>
          <w:szCs w:val="22"/>
        </w:rPr>
      </w:pPr>
      <w:r w:rsidRPr="00DA76FF">
        <w:rPr>
          <w:rFonts w:asciiTheme="minorHAnsi" w:hAnsiTheme="minorHAnsi" w:cstheme="minorBidi"/>
          <w:sz w:val="22"/>
          <w:szCs w:val="22"/>
        </w:rPr>
        <w:lastRenderedPageBreak/>
        <w:t xml:space="preserve">The most recent </w:t>
      </w:r>
      <w:hyperlink r:id="rId278" w:history="1">
        <w:r w:rsidRPr="00DA76FF">
          <w:rPr>
            <w:rStyle w:val="Hyperlink"/>
            <w:rFonts w:asciiTheme="minorHAnsi" w:hAnsiTheme="minorHAnsi" w:cstheme="minorBidi"/>
            <w:sz w:val="22"/>
            <w:szCs w:val="22"/>
          </w:rPr>
          <w:t>CxO Roundtable</w:t>
        </w:r>
      </w:hyperlink>
      <w:r w:rsidRPr="00DA76FF">
        <w:rPr>
          <w:rFonts w:asciiTheme="minorHAnsi" w:hAnsiTheme="minorHAnsi" w:cstheme="minorBidi"/>
          <w:sz w:val="22"/>
          <w:szCs w:val="22"/>
        </w:rPr>
        <w:t xml:space="preserve"> was held on 9 December 2024 at the Telecom Review Leader's Summit in Dubai, UAE.</w:t>
      </w:r>
    </w:p>
    <w:p w14:paraId="307FB131" w14:textId="0D12F62D" w:rsidR="006A1532" w:rsidRPr="00DA76FF" w:rsidRDefault="006A1532" w:rsidP="00B96F88">
      <w:pPr>
        <w:spacing w:after="120"/>
        <w:jc w:val="both"/>
        <w:rPr>
          <w:rFonts w:asciiTheme="minorHAnsi" w:hAnsiTheme="minorHAnsi" w:cstheme="minorHAnsi"/>
          <w:sz w:val="22"/>
          <w:szCs w:val="22"/>
        </w:rPr>
      </w:pPr>
      <w:r w:rsidRPr="00DA76FF">
        <w:rPr>
          <w:rFonts w:asciiTheme="minorHAnsi" w:hAnsiTheme="minorHAnsi" w:cstheme="minorBidi"/>
          <w:sz w:val="22"/>
          <w:szCs w:val="22"/>
        </w:rPr>
        <w:t xml:space="preserve">CxOs discussed support for fibre optics, AI for future networks, data processing and management. They also addressed non-terrestrial networks, mitigating voice traffic fraud, broadband networks for public safety, and quantum information technologies. </w:t>
      </w:r>
      <w:r w:rsidR="00153653">
        <w:rPr>
          <w:rFonts w:asciiTheme="minorHAnsi" w:hAnsiTheme="minorHAnsi" w:cstheme="minorBidi"/>
          <w:sz w:val="22"/>
          <w:szCs w:val="22"/>
        </w:rPr>
        <w:t>(</w:t>
      </w:r>
      <w:r w:rsidRPr="00DA76FF">
        <w:rPr>
          <w:rFonts w:asciiTheme="minorHAnsi" w:hAnsiTheme="minorHAnsi" w:cstheme="minorBidi"/>
          <w:sz w:val="22"/>
          <w:szCs w:val="22"/>
        </w:rPr>
        <w:t xml:space="preserve">Meeting </w:t>
      </w:r>
      <w:hyperlink r:id="rId279" w:history="1">
        <w:r w:rsidRPr="00DA76FF">
          <w:rPr>
            <w:rStyle w:val="Hyperlink"/>
            <w:rFonts w:asciiTheme="minorHAnsi" w:hAnsiTheme="minorHAnsi" w:cstheme="minorBidi"/>
            <w:sz w:val="22"/>
            <w:szCs w:val="22"/>
          </w:rPr>
          <w:t>communiqué</w:t>
        </w:r>
      </w:hyperlink>
      <w:r w:rsidRPr="00DA76FF">
        <w:rPr>
          <w:rFonts w:asciiTheme="minorHAnsi" w:hAnsiTheme="minorHAnsi" w:cstheme="minorBidi"/>
          <w:sz w:val="22"/>
          <w:szCs w:val="22"/>
        </w:rPr>
        <w:t>.</w:t>
      </w:r>
      <w:r w:rsidR="00153653">
        <w:rPr>
          <w:rFonts w:asciiTheme="minorHAnsi" w:hAnsiTheme="minorHAnsi" w:cstheme="minorBidi"/>
          <w:sz w:val="22"/>
          <w:szCs w:val="22"/>
        </w:rPr>
        <w:t>)</w:t>
      </w:r>
    </w:p>
    <w:p w14:paraId="1ABAEBE8" w14:textId="77777777" w:rsidR="006A1532" w:rsidRPr="00DA76FF" w:rsidRDefault="006A1532" w:rsidP="00B96F88">
      <w:pPr>
        <w:spacing w:after="120"/>
        <w:jc w:val="both"/>
        <w:rPr>
          <w:rFonts w:eastAsiaTheme="minorEastAsia" w:cstheme="minorBidi"/>
          <w:b/>
          <w:bCs/>
          <w:sz w:val="22"/>
          <w:szCs w:val="22"/>
        </w:rPr>
      </w:pPr>
      <w:bookmarkStart w:id="79" w:name="_5.7_Green_Digital"/>
      <w:bookmarkEnd w:id="74"/>
      <w:bookmarkEnd w:id="78"/>
      <w:bookmarkEnd w:id="79"/>
      <w:r w:rsidRPr="00DA76FF">
        <w:rPr>
          <w:rFonts w:eastAsiaTheme="minorEastAsia" w:cstheme="minorBidi"/>
          <w:b/>
          <w:bCs/>
          <w:sz w:val="22"/>
          <w:szCs w:val="22"/>
        </w:rPr>
        <w:t>World Standards Cooperation</w:t>
      </w:r>
    </w:p>
    <w:p w14:paraId="57AA09C7" w14:textId="77777777" w:rsidR="006A1532" w:rsidRDefault="006A1532" w:rsidP="00B96F88">
      <w:pPr>
        <w:spacing w:after="120"/>
        <w:jc w:val="both"/>
        <w:rPr>
          <w:sz w:val="22"/>
          <w:szCs w:val="22"/>
        </w:rPr>
      </w:pPr>
      <w:r w:rsidRPr="00DA76FF">
        <w:rPr>
          <w:sz w:val="22"/>
          <w:szCs w:val="22"/>
        </w:rPr>
        <w:t xml:space="preserve">The </w:t>
      </w:r>
      <w:hyperlink r:id="rId280" w:history="1">
        <w:r w:rsidRPr="00DA76FF">
          <w:rPr>
            <w:rStyle w:val="Hyperlink"/>
            <w:sz w:val="22"/>
            <w:szCs w:val="22"/>
          </w:rPr>
          <w:t>World Standards Cooperation (WSC)</w:t>
        </w:r>
      </w:hyperlink>
      <w:r w:rsidRPr="00DA76FF">
        <w:rPr>
          <w:sz w:val="22"/>
          <w:szCs w:val="22"/>
        </w:rPr>
        <w:t xml:space="preserve"> is a partnership of ITU, the International Organization for Standardization (ISO) and the International Electrotechnical Commission (IEC) to advance the voluntary consensus-based international standardization system. </w:t>
      </w:r>
    </w:p>
    <w:p w14:paraId="2D287523" w14:textId="44BC7C2B" w:rsidR="00C33BBE" w:rsidRPr="00DA76FF" w:rsidRDefault="00C33BBE" w:rsidP="00B96F88">
      <w:pPr>
        <w:spacing w:after="120"/>
        <w:jc w:val="both"/>
        <w:rPr>
          <w:sz w:val="22"/>
          <w:szCs w:val="22"/>
        </w:rPr>
      </w:pPr>
      <w:r>
        <w:rPr>
          <w:sz w:val="22"/>
          <w:szCs w:val="22"/>
        </w:rPr>
        <w:t>Among the partnership’s key activities in 2024 were:</w:t>
      </w:r>
    </w:p>
    <w:bookmarkStart w:id="80" w:name="_Hlk120564290"/>
    <w:p w14:paraId="3145FDA5" w14:textId="3643DAEE" w:rsidR="006A1532" w:rsidRPr="00DA76FF" w:rsidRDefault="006A1532" w:rsidP="00462A0A">
      <w:pPr>
        <w:numPr>
          <w:ilvl w:val="0"/>
          <w:numId w:val="10"/>
        </w:numPr>
        <w:tabs>
          <w:tab w:val="clear" w:pos="567"/>
          <w:tab w:val="clear" w:pos="1134"/>
          <w:tab w:val="clear" w:pos="1701"/>
          <w:tab w:val="clear" w:pos="2268"/>
          <w:tab w:val="clear" w:pos="2835"/>
        </w:tabs>
        <w:overflowPunct/>
        <w:autoSpaceDE/>
        <w:autoSpaceDN/>
        <w:adjustRightInd/>
        <w:spacing w:before="60" w:after="120"/>
        <w:ind w:left="567" w:hanging="283"/>
        <w:jc w:val="both"/>
        <w:textAlignment w:val="auto"/>
        <w:rPr>
          <w:sz w:val="22"/>
          <w:szCs w:val="22"/>
        </w:rPr>
      </w:pPr>
      <w:r w:rsidRPr="00DA76FF">
        <w:rPr>
          <w:rStyle w:val="Hyperlink"/>
          <w:sz w:val="22"/>
          <w:szCs w:val="22"/>
        </w:rPr>
        <w:fldChar w:fldCharType="begin"/>
      </w:r>
      <w:r w:rsidRPr="00DA76FF">
        <w:rPr>
          <w:rStyle w:val="Hyperlink"/>
          <w:sz w:val="22"/>
          <w:szCs w:val="22"/>
        </w:rPr>
        <w:instrText>HYPERLINK "https://www.worldstandardsday.org/home.html"</w:instrText>
      </w:r>
      <w:r w:rsidRPr="00DA76FF">
        <w:rPr>
          <w:rStyle w:val="Hyperlink"/>
          <w:sz w:val="22"/>
          <w:szCs w:val="22"/>
        </w:rPr>
      </w:r>
      <w:r w:rsidRPr="00DA76FF">
        <w:rPr>
          <w:rStyle w:val="Hyperlink"/>
          <w:sz w:val="22"/>
          <w:szCs w:val="22"/>
        </w:rPr>
        <w:fldChar w:fldCharType="separate"/>
      </w:r>
      <w:r w:rsidRPr="00DA76FF">
        <w:rPr>
          <w:rStyle w:val="Hyperlink"/>
          <w:sz w:val="22"/>
          <w:szCs w:val="22"/>
        </w:rPr>
        <w:t>World Standards Day</w:t>
      </w:r>
      <w:r w:rsidRPr="00DA76FF">
        <w:rPr>
          <w:rStyle w:val="Hyperlink"/>
          <w:sz w:val="22"/>
          <w:szCs w:val="22"/>
        </w:rPr>
        <w:fldChar w:fldCharType="end"/>
      </w:r>
      <w:r w:rsidR="00C33BBE" w:rsidRPr="00DA76FF">
        <w:rPr>
          <w:rStyle w:val="Hyperlink"/>
          <w:sz w:val="22"/>
          <w:szCs w:val="22"/>
        </w:rPr>
        <w:t xml:space="preserve"> </w:t>
      </w:r>
      <w:r w:rsidR="00C33BBE">
        <w:rPr>
          <w:rStyle w:val="Hyperlink"/>
          <w:sz w:val="22"/>
          <w:szCs w:val="22"/>
        </w:rPr>
        <w:t>(</w:t>
      </w:r>
      <w:r w:rsidRPr="00DA76FF">
        <w:rPr>
          <w:rStyle w:val="Hyperlink"/>
          <w:sz w:val="22"/>
          <w:szCs w:val="22"/>
        </w:rPr>
        <w:t>14 October</w:t>
      </w:r>
      <w:r w:rsidR="006C42D4">
        <w:rPr>
          <w:rStyle w:val="Hyperlink"/>
          <w:sz w:val="22"/>
          <w:szCs w:val="22"/>
        </w:rPr>
        <w:t xml:space="preserve"> 2024</w:t>
      </w:r>
      <w:r w:rsidR="00C33BBE">
        <w:rPr>
          <w:rStyle w:val="Hyperlink"/>
          <w:sz w:val="22"/>
          <w:szCs w:val="22"/>
        </w:rPr>
        <w:t>)</w:t>
      </w:r>
      <w:r w:rsidR="00C33BBE">
        <w:rPr>
          <w:sz w:val="22"/>
          <w:szCs w:val="22"/>
        </w:rPr>
        <w:t>, when</w:t>
      </w:r>
      <w:r w:rsidRPr="00DA76FF">
        <w:rPr>
          <w:sz w:val="22"/>
          <w:szCs w:val="22"/>
        </w:rPr>
        <w:t xml:space="preserve"> ITU, ISO and IEC led celebrations of “A Shared Vision for a Better World</w:t>
      </w:r>
      <w:r w:rsidR="00282F71">
        <w:rPr>
          <w:sz w:val="22"/>
          <w:szCs w:val="22"/>
        </w:rPr>
        <w:t>.</w:t>
      </w:r>
      <w:r w:rsidRPr="00DA76FF">
        <w:rPr>
          <w:sz w:val="22"/>
          <w:szCs w:val="22"/>
        </w:rPr>
        <w:t xml:space="preserve">" </w:t>
      </w:r>
      <w:r w:rsidR="00157A25">
        <w:rPr>
          <w:sz w:val="22"/>
          <w:szCs w:val="22"/>
        </w:rPr>
        <w:t xml:space="preserve">(See </w:t>
      </w:r>
      <w:hyperlink r:id="rId281" w:history="1">
        <w:r w:rsidRPr="00DA76FF">
          <w:rPr>
            <w:rStyle w:val="Hyperlink"/>
            <w:sz w:val="22"/>
            <w:szCs w:val="22"/>
          </w:rPr>
          <w:t>past editions of World Standards Day</w:t>
        </w:r>
      </w:hyperlink>
      <w:r w:rsidR="00157A25">
        <w:t>)</w:t>
      </w:r>
      <w:r w:rsidRPr="00DA76FF">
        <w:rPr>
          <w:sz w:val="22"/>
          <w:szCs w:val="22"/>
        </w:rPr>
        <w:t>.</w:t>
      </w:r>
    </w:p>
    <w:p w14:paraId="6520816D" w14:textId="7F02490B" w:rsidR="006A1532" w:rsidRPr="00DA76FF" w:rsidRDefault="006A1532" w:rsidP="00462A0A">
      <w:pPr>
        <w:pStyle w:val="ListParagraph"/>
        <w:numPr>
          <w:ilvl w:val="0"/>
          <w:numId w:val="10"/>
        </w:numPr>
        <w:spacing w:before="60" w:after="120"/>
        <w:ind w:left="567" w:hanging="283"/>
        <w:rPr>
          <w:lang w:val="en-GB"/>
        </w:rPr>
      </w:pPr>
      <w:hyperlink r:id="rId282" w:history="1">
        <w:r w:rsidRPr="00DA76FF">
          <w:rPr>
            <w:rStyle w:val="Hyperlink"/>
            <w:lang w:val="en-GB"/>
          </w:rPr>
          <w:t>AI and Multimedia Authenticity Standards Collaboration</w:t>
        </w:r>
        <w:r w:rsidR="00157A25">
          <w:rPr>
            <w:rStyle w:val="Hyperlink"/>
            <w:lang w:val="en-GB"/>
          </w:rPr>
          <w:t>:</w:t>
        </w:r>
        <w:r w:rsidRPr="00DA76FF">
          <w:rPr>
            <w:rStyle w:val="Hyperlink"/>
            <w:lang w:val="en-GB"/>
          </w:rPr>
          <w:t xml:space="preserve"> ‘’AI Watermarking’’</w:t>
        </w:r>
      </w:hyperlink>
      <w:r w:rsidRPr="00DA76FF">
        <w:rPr>
          <w:rFonts w:eastAsia="MS Mincho"/>
          <w:lang w:val="en-GB" w:eastAsia="en-US"/>
        </w:rPr>
        <w:t xml:space="preserve"> convened by ITU under the </w:t>
      </w:r>
      <w:r w:rsidR="0073190D">
        <w:rPr>
          <w:rFonts w:eastAsia="MS Mincho"/>
          <w:lang w:val="en-GB" w:eastAsia="en-US"/>
        </w:rPr>
        <w:t xml:space="preserve">World Standards Cooperation (see </w:t>
      </w:r>
      <w:hyperlink r:id="rId283" w:history="1">
        <w:r w:rsidR="0073190D">
          <w:rPr>
            <w:rStyle w:val="Hyperlink"/>
            <w:rFonts w:eastAsia="MS Mincho"/>
            <w:lang w:val="en-GB" w:eastAsia="en-US"/>
          </w:rPr>
          <w:t>t</w:t>
        </w:r>
        <w:r w:rsidRPr="00DA76FF">
          <w:rPr>
            <w:rStyle w:val="Hyperlink"/>
            <w:rFonts w:eastAsia="MS Mincho"/>
            <w:lang w:val="en-GB" w:eastAsia="en-US"/>
          </w:rPr>
          <w:t>erms of reference</w:t>
        </w:r>
      </w:hyperlink>
      <w:r w:rsidR="0073190D">
        <w:rPr>
          <w:rFonts w:eastAsia="MS Mincho"/>
          <w:lang w:val="en-GB" w:eastAsia="en-US"/>
        </w:rPr>
        <w:t>).</w:t>
      </w:r>
    </w:p>
    <w:bookmarkEnd w:id="80"/>
    <w:p w14:paraId="2B120E50" w14:textId="48492D4D" w:rsidR="006A1532" w:rsidRPr="00DA76FF" w:rsidRDefault="006A1532" w:rsidP="00CE074D">
      <w:pPr>
        <w:numPr>
          <w:ilvl w:val="0"/>
          <w:numId w:val="10"/>
        </w:numPr>
        <w:tabs>
          <w:tab w:val="clear" w:pos="567"/>
          <w:tab w:val="clear" w:pos="1134"/>
          <w:tab w:val="clear" w:pos="1701"/>
          <w:tab w:val="clear" w:pos="2268"/>
          <w:tab w:val="clear" w:pos="2835"/>
        </w:tabs>
        <w:overflowPunct/>
        <w:autoSpaceDE/>
        <w:autoSpaceDN/>
        <w:adjustRightInd/>
        <w:spacing w:before="60" w:after="120"/>
        <w:jc w:val="both"/>
        <w:textAlignment w:val="auto"/>
        <w:rPr>
          <w:sz w:val="22"/>
          <w:szCs w:val="22"/>
        </w:rPr>
      </w:pPr>
      <w:r w:rsidRPr="00DA76FF">
        <w:rPr>
          <w:sz w:val="22"/>
          <w:szCs w:val="22"/>
        </w:rPr>
        <w:fldChar w:fldCharType="begin"/>
      </w:r>
      <w:r w:rsidRPr="00DA76FF">
        <w:rPr>
          <w:sz w:val="22"/>
          <w:szCs w:val="22"/>
        </w:rPr>
        <w:instrText>HYPERLINK "https://aiforgood.itu.int/ai-standards/"</w:instrText>
      </w:r>
      <w:r w:rsidRPr="00DA76FF">
        <w:rPr>
          <w:sz w:val="22"/>
          <w:szCs w:val="22"/>
        </w:rPr>
      </w:r>
      <w:r w:rsidRPr="00DA76FF">
        <w:rPr>
          <w:sz w:val="22"/>
          <w:szCs w:val="22"/>
        </w:rPr>
        <w:fldChar w:fldCharType="separate"/>
      </w:r>
      <w:r w:rsidR="009D6115">
        <w:rPr>
          <w:rStyle w:val="Hyperlink"/>
          <w:sz w:val="22"/>
          <w:szCs w:val="22"/>
        </w:rPr>
        <w:t xml:space="preserve">The </w:t>
      </w:r>
      <w:r w:rsidRPr="00DA76FF">
        <w:rPr>
          <w:rStyle w:val="Hyperlink"/>
          <w:sz w:val="22"/>
          <w:szCs w:val="22"/>
        </w:rPr>
        <w:t>International AI Standards Summit</w:t>
      </w:r>
      <w:r w:rsidRPr="00DA76FF">
        <w:rPr>
          <w:sz w:val="22"/>
          <w:szCs w:val="22"/>
        </w:rPr>
        <w:fldChar w:fldCharType="end"/>
      </w:r>
      <w:r w:rsidR="00EE2276">
        <w:rPr>
          <w:sz w:val="22"/>
          <w:szCs w:val="22"/>
        </w:rPr>
        <w:t xml:space="preserve"> launch</w:t>
      </w:r>
      <w:r w:rsidRPr="00DA76FF">
        <w:rPr>
          <w:sz w:val="22"/>
          <w:szCs w:val="22"/>
        </w:rPr>
        <w:t xml:space="preserve">, </w:t>
      </w:r>
      <w:r w:rsidR="009D6115">
        <w:rPr>
          <w:sz w:val="22"/>
          <w:szCs w:val="22"/>
        </w:rPr>
        <w:t xml:space="preserve">in </w:t>
      </w:r>
      <w:r w:rsidRPr="00DA76FF">
        <w:rPr>
          <w:sz w:val="22"/>
          <w:szCs w:val="22"/>
        </w:rPr>
        <w:t>New Delhi</w:t>
      </w:r>
      <w:r w:rsidR="006C42D4">
        <w:rPr>
          <w:sz w:val="22"/>
          <w:szCs w:val="22"/>
        </w:rPr>
        <w:t>, India,</w:t>
      </w:r>
      <w:r w:rsidR="009D6115">
        <w:rPr>
          <w:sz w:val="22"/>
          <w:szCs w:val="22"/>
        </w:rPr>
        <w:t xml:space="preserve"> in October</w:t>
      </w:r>
      <w:r w:rsidR="006C42D4">
        <w:rPr>
          <w:sz w:val="22"/>
          <w:szCs w:val="22"/>
        </w:rPr>
        <w:t xml:space="preserve"> 2024</w:t>
      </w:r>
      <w:r w:rsidR="00924918">
        <w:rPr>
          <w:sz w:val="22"/>
          <w:szCs w:val="22"/>
        </w:rPr>
        <w:t xml:space="preserve">, </w:t>
      </w:r>
      <w:r w:rsidRPr="00DA76FF">
        <w:rPr>
          <w:sz w:val="22"/>
          <w:szCs w:val="22"/>
        </w:rPr>
        <w:t>answer</w:t>
      </w:r>
      <w:r w:rsidR="009D6115">
        <w:rPr>
          <w:sz w:val="22"/>
          <w:szCs w:val="22"/>
        </w:rPr>
        <w:t>ing</w:t>
      </w:r>
      <w:r w:rsidRPr="00DA76FF">
        <w:rPr>
          <w:sz w:val="22"/>
          <w:szCs w:val="22"/>
        </w:rPr>
        <w:t xml:space="preserve"> the call from the global community on an AI</w:t>
      </w:r>
      <w:r w:rsidR="006C42D4">
        <w:rPr>
          <w:sz w:val="22"/>
          <w:szCs w:val="22"/>
        </w:rPr>
        <w:t xml:space="preserve"> </w:t>
      </w:r>
      <w:r w:rsidRPr="00DA76FF">
        <w:rPr>
          <w:sz w:val="22"/>
          <w:szCs w:val="22"/>
        </w:rPr>
        <w:t>standards exchange.</w:t>
      </w:r>
      <w:r w:rsidR="00CE074D">
        <w:rPr>
          <w:sz w:val="22"/>
          <w:szCs w:val="22"/>
        </w:rPr>
        <w:t xml:space="preserve"> This </w:t>
      </w:r>
      <w:r w:rsidR="00E61336">
        <w:rPr>
          <w:sz w:val="22"/>
          <w:szCs w:val="22"/>
        </w:rPr>
        <w:t>is p</w:t>
      </w:r>
      <w:r w:rsidR="00D96CFA">
        <w:rPr>
          <w:sz w:val="22"/>
          <w:szCs w:val="22"/>
        </w:rPr>
        <w:t>art</w:t>
      </w:r>
      <w:r w:rsidR="00CE074D">
        <w:rPr>
          <w:sz w:val="22"/>
          <w:szCs w:val="22"/>
        </w:rPr>
        <w:t xml:space="preserve"> of the </w:t>
      </w:r>
      <w:r w:rsidR="00CE074D" w:rsidRPr="00CE074D">
        <w:rPr>
          <w:sz w:val="22"/>
          <w:szCs w:val="22"/>
        </w:rPr>
        <w:t>Global Digital Compac</w:t>
      </w:r>
      <w:r w:rsidR="00CE074D">
        <w:rPr>
          <w:sz w:val="22"/>
          <w:szCs w:val="22"/>
        </w:rPr>
        <w:t>t (</w:t>
      </w:r>
      <w:r w:rsidR="00CE074D" w:rsidRPr="00CE074D">
        <w:rPr>
          <w:sz w:val="22"/>
          <w:szCs w:val="22"/>
        </w:rPr>
        <w:t>global framework for digital cooperation and governance of artificial intelligence</w:t>
      </w:r>
      <w:r w:rsidR="00CE074D">
        <w:rPr>
          <w:sz w:val="22"/>
          <w:szCs w:val="22"/>
        </w:rPr>
        <w:t>)</w:t>
      </w:r>
    </w:p>
    <w:p w14:paraId="6EBBD320" w14:textId="7E6EA6B8" w:rsidR="006A1532" w:rsidRPr="00DA76FF" w:rsidRDefault="006A1532" w:rsidP="00462A0A">
      <w:pPr>
        <w:numPr>
          <w:ilvl w:val="0"/>
          <w:numId w:val="10"/>
        </w:numPr>
        <w:tabs>
          <w:tab w:val="clear" w:pos="567"/>
          <w:tab w:val="clear" w:pos="1134"/>
          <w:tab w:val="clear" w:pos="1701"/>
          <w:tab w:val="clear" w:pos="2268"/>
          <w:tab w:val="clear" w:pos="2835"/>
        </w:tabs>
        <w:overflowPunct/>
        <w:autoSpaceDE/>
        <w:autoSpaceDN/>
        <w:adjustRightInd/>
        <w:spacing w:before="60" w:after="120"/>
        <w:ind w:left="567" w:hanging="283"/>
        <w:jc w:val="both"/>
        <w:textAlignment w:val="auto"/>
        <w:rPr>
          <w:sz w:val="22"/>
          <w:szCs w:val="22"/>
        </w:rPr>
      </w:pPr>
      <w:r w:rsidRPr="00DA76FF">
        <w:rPr>
          <w:sz w:val="22"/>
          <w:szCs w:val="22"/>
        </w:rPr>
        <w:t>Joint presence at the Standards Pavillion at COP29 and continuing Green Digital Action (GDA) collaboration under the Green Standards Pillar on embedding sustainability in</w:t>
      </w:r>
      <w:r w:rsidR="00493974">
        <w:rPr>
          <w:sz w:val="22"/>
          <w:szCs w:val="22"/>
        </w:rPr>
        <w:t>to</w:t>
      </w:r>
      <w:r w:rsidRPr="00DA76FF">
        <w:rPr>
          <w:sz w:val="22"/>
          <w:szCs w:val="22"/>
        </w:rPr>
        <w:t xml:space="preserve"> technical standards by design</w:t>
      </w:r>
      <w:r w:rsidR="00493974">
        <w:rPr>
          <w:sz w:val="22"/>
          <w:szCs w:val="22"/>
        </w:rPr>
        <w:t xml:space="preserve">, </w:t>
      </w:r>
      <w:r w:rsidR="008C4AFF">
        <w:rPr>
          <w:sz w:val="22"/>
          <w:szCs w:val="22"/>
        </w:rPr>
        <w:t>aimed at achieving</w:t>
      </w:r>
      <w:r w:rsidRPr="00DA76FF">
        <w:rPr>
          <w:sz w:val="22"/>
          <w:szCs w:val="22"/>
        </w:rPr>
        <w:t xml:space="preserve"> net-zero emissions and a resource-efficient, circular, and low-carbon economy.</w:t>
      </w:r>
    </w:p>
    <w:p w14:paraId="7E32B84E" w14:textId="42F84D5A" w:rsidR="007265F6" w:rsidRPr="00DA76FF" w:rsidRDefault="008360C5" w:rsidP="00B96F88">
      <w:pPr>
        <w:tabs>
          <w:tab w:val="clear" w:pos="567"/>
          <w:tab w:val="clear" w:pos="1134"/>
          <w:tab w:val="clear" w:pos="1701"/>
          <w:tab w:val="clear" w:pos="2268"/>
          <w:tab w:val="clear" w:pos="2835"/>
        </w:tabs>
        <w:overflowPunct/>
        <w:autoSpaceDE/>
        <w:autoSpaceDN/>
        <w:adjustRightInd/>
        <w:spacing w:after="120"/>
        <w:jc w:val="both"/>
        <w:textAlignment w:val="auto"/>
        <w:rPr>
          <w:b/>
          <w:bCs/>
          <w:sz w:val="22"/>
          <w:szCs w:val="22"/>
        </w:rPr>
      </w:pPr>
      <w:r>
        <w:rPr>
          <w:b/>
          <w:bCs/>
          <w:sz w:val="22"/>
          <w:szCs w:val="22"/>
        </w:rPr>
        <w:t>Leveraging</w:t>
      </w:r>
      <w:r w:rsidR="007265F6" w:rsidRPr="00DA76FF">
        <w:rPr>
          <w:b/>
          <w:bCs/>
          <w:sz w:val="22"/>
          <w:szCs w:val="22"/>
        </w:rPr>
        <w:t xml:space="preserve"> AI </w:t>
      </w:r>
      <w:r>
        <w:rPr>
          <w:b/>
          <w:bCs/>
          <w:sz w:val="22"/>
          <w:szCs w:val="22"/>
        </w:rPr>
        <w:t>as part of</w:t>
      </w:r>
      <w:r w:rsidR="007265F6" w:rsidRPr="00DA76FF">
        <w:rPr>
          <w:b/>
          <w:bCs/>
          <w:sz w:val="22"/>
          <w:szCs w:val="22"/>
        </w:rPr>
        <w:t xml:space="preserve"> Early Warnings for </w:t>
      </w:r>
      <w:r w:rsidR="00981181">
        <w:rPr>
          <w:b/>
          <w:bCs/>
          <w:sz w:val="22"/>
          <w:szCs w:val="22"/>
        </w:rPr>
        <w:t>A</w:t>
      </w:r>
      <w:r w:rsidR="007265F6" w:rsidRPr="00DA76FF">
        <w:rPr>
          <w:b/>
          <w:bCs/>
          <w:sz w:val="22"/>
          <w:szCs w:val="22"/>
        </w:rPr>
        <w:t>ll</w:t>
      </w:r>
    </w:p>
    <w:p w14:paraId="59AC7AA2" w14:textId="2A363782" w:rsidR="00623906" w:rsidRDefault="004D5DAC" w:rsidP="00B96F88">
      <w:pPr>
        <w:tabs>
          <w:tab w:val="clear" w:pos="567"/>
          <w:tab w:val="clear" w:pos="1134"/>
          <w:tab w:val="clear" w:pos="1701"/>
          <w:tab w:val="clear" w:pos="2268"/>
          <w:tab w:val="clear" w:pos="2835"/>
        </w:tabs>
        <w:overflowPunct/>
        <w:autoSpaceDE/>
        <w:autoSpaceDN/>
        <w:adjustRightInd/>
        <w:spacing w:after="120"/>
        <w:jc w:val="both"/>
        <w:textAlignment w:val="auto"/>
        <w:rPr>
          <w:rFonts w:eastAsia="Calibri" w:cs="Calibri"/>
          <w:sz w:val="22"/>
          <w:szCs w:val="22"/>
        </w:rPr>
      </w:pPr>
      <w:r w:rsidRPr="00DA76FF">
        <w:rPr>
          <w:rFonts w:eastAsia="Calibri" w:cs="Calibri"/>
          <w:sz w:val="22"/>
          <w:szCs w:val="22"/>
        </w:rPr>
        <w:t xml:space="preserve">ITU, together with WMO, </w:t>
      </w:r>
      <w:r w:rsidR="006C42D4">
        <w:rPr>
          <w:rFonts w:eastAsia="Calibri" w:cs="Calibri"/>
          <w:sz w:val="22"/>
          <w:szCs w:val="22"/>
        </w:rPr>
        <w:t>the UN Office for Disaster Risk Reduction (</w:t>
      </w:r>
      <w:r w:rsidRPr="00DA76FF">
        <w:rPr>
          <w:rFonts w:eastAsia="Calibri" w:cs="Calibri"/>
          <w:sz w:val="22"/>
          <w:szCs w:val="22"/>
        </w:rPr>
        <w:t>UNDRR</w:t>
      </w:r>
      <w:r w:rsidR="006C42D4">
        <w:rPr>
          <w:rFonts w:eastAsia="Calibri" w:cs="Calibri"/>
          <w:sz w:val="22"/>
          <w:szCs w:val="22"/>
        </w:rPr>
        <w:t>)</w:t>
      </w:r>
      <w:r w:rsidRPr="00DA76FF">
        <w:rPr>
          <w:rFonts w:eastAsia="Calibri" w:cs="Calibri"/>
          <w:sz w:val="22"/>
          <w:szCs w:val="22"/>
        </w:rPr>
        <w:t xml:space="preserve">, and </w:t>
      </w:r>
      <w:r w:rsidR="006C42D4">
        <w:rPr>
          <w:rFonts w:eastAsia="Calibri" w:cs="Calibri"/>
          <w:sz w:val="22"/>
          <w:szCs w:val="22"/>
        </w:rPr>
        <w:t>the International Federation of Red Cross and Red Crescent Societies (</w:t>
      </w:r>
      <w:r w:rsidRPr="00DA76FF">
        <w:rPr>
          <w:rFonts w:eastAsia="Calibri" w:cs="Calibri"/>
          <w:sz w:val="22"/>
          <w:szCs w:val="22"/>
        </w:rPr>
        <w:t>IFRC</w:t>
      </w:r>
      <w:r w:rsidR="006C42D4">
        <w:rPr>
          <w:rFonts w:eastAsia="Calibri" w:cs="Calibri"/>
          <w:sz w:val="22"/>
          <w:szCs w:val="22"/>
        </w:rPr>
        <w:t>)</w:t>
      </w:r>
      <w:r w:rsidRPr="00DA76FF">
        <w:rPr>
          <w:rFonts w:eastAsia="Calibri" w:cs="Calibri"/>
          <w:sz w:val="22"/>
          <w:szCs w:val="22"/>
        </w:rPr>
        <w:t xml:space="preserve"> formed the </w:t>
      </w:r>
      <w:hyperlink r:id="rId284" w:history="1">
        <w:r w:rsidRPr="00DA76FF">
          <w:rPr>
            <w:rStyle w:val="Hyperlink"/>
            <w:rFonts w:eastAsia="Calibri" w:cs="Calibri"/>
            <w:sz w:val="22"/>
            <w:szCs w:val="22"/>
          </w:rPr>
          <w:t>AI Sub-group of the Early Warnings for all Initiative</w:t>
        </w:r>
      </w:hyperlink>
      <w:r w:rsidRPr="00DA76FF">
        <w:rPr>
          <w:rFonts w:eastAsia="Calibri" w:cs="Calibri"/>
          <w:sz w:val="22"/>
          <w:szCs w:val="22"/>
        </w:rPr>
        <w:t xml:space="preserve"> to leverage AI to enhance early warning systems by uniting experts in AI, data science, and disaster risk management. The group bridges the gap between AI research and the practical needs of early warning practitioners and communities worldwide, where work is ongoing to facilitate pilot initiatives in countries.</w:t>
      </w:r>
    </w:p>
    <w:p w14:paraId="56A34E20" w14:textId="622CF251" w:rsidR="004D5DAC" w:rsidRPr="00DA76FF" w:rsidRDefault="00623906" w:rsidP="00B96F88">
      <w:pPr>
        <w:tabs>
          <w:tab w:val="clear" w:pos="567"/>
          <w:tab w:val="clear" w:pos="1134"/>
          <w:tab w:val="clear" w:pos="1701"/>
          <w:tab w:val="clear" w:pos="2268"/>
          <w:tab w:val="clear" w:pos="2835"/>
        </w:tabs>
        <w:overflowPunct/>
        <w:autoSpaceDE/>
        <w:autoSpaceDN/>
        <w:adjustRightInd/>
        <w:spacing w:after="120"/>
        <w:jc w:val="both"/>
        <w:textAlignment w:val="auto"/>
        <w:rPr>
          <w:rFonts w:eastAsia="Calibri" w:cs="Calibri"/>
          <w:sz w:val="22"/>
          <w:szCs w:val="22"/>
        </w:rPr>
      </w:pPr>
      <w:r>
        <w:rPr>
          <w:rFonts w:eastAsia="Calibri" w:cs="Calibri"/>
          <w:sz w:val="22"/>
          <w:szCs w:val="22"/>
        </w:rPr>
        <w:t>For instance</w:t>
      </w:r>
      <w:r w:rsidR="004D5DAC" w:rsidRPr="00DA76FF">
        <w:rPr>
          <w:rFonts w:eastAsia="Calibri" w:cs="Calibri"/>
          <w:sz w:val="22"/>
          <w:szCs w:val="22"/>
        </w:rPr>
        <w:t xml:space="preserve">, using the </w:t>
      </w:r>
      <w:hyperlink r:id="rId285" w:history="1">
        <w:r w:rsidR="004D5DAC" w:rsidRPr="00DA76FF">
          <w:rPr>
            <w:rStyle w:val="Hyperlink"/>
            <w:rFonts w:eastAsia="Calibri" w:cs="Calibri"/>
            <w:sz w:val="22"/>
            <w:szCs w:val="22"/>
          </w:rPr>
          <w:t>Disaster Connectivity Map</w:t>
        </w:r>
      </w:hyperlink>
      <w:r w:rsidR="004D5DAC" w:rsidRPr="00DA76FF">
        <w:rPr>
          <w:rFonts w:eastAsia="Calibri" w:cs="Calibri"/>
          <w:sz w:val="22"/>
          <w:szCs w:val="22"/>
        </w:rPr>
        <w:t xml:space="preserve">, ITU has partnered with Microsoft AI for Good Lab, Planet and Institute of Health Metrics Evaluation to use AI to analyse satellite imagery and create high-resolution population density maps. </w:t>
      </w:r>
      <w:hyperlink r:id="rId286" w:history="1">
        <w:r w:rsidR="004D5DAC" w:rsidRPr="00DA76FF">
          <w:rPr>
            <w:rStyle w:val="Hyperlink"/>
            <w:rFonts w:eastAsia="Calibri" w:cs="Calibri"/>
            <w:sz w:val="22"/>
            <w:szCs w:val="22"/>
          </w:rPr>
          <w:t>The Global Map of the Unconnected too</w:t>
        </w:r>
      </w:hyperlink>
      <w:r w:rsidR="004D5DAC" w:rsidRPr="00DA76FF">
        <w:rPr>
          <w:rFonts w:eastAsia="Calibri" w:cs="Calibri"/>
          <w:sz w:val="22"/>
          <w:szCs w:val="22"/>
        </w:rPr>
        <w:t xml:space="preserve">l identifies areas lacking connectivity, aiding early warning dissemination. Initially piloted in Fiji, Tonga, and Vanuatu, work is being scaled to 30+ countries under the </w:t>
      </w:r>
      <w:r w:rsidR="00D961E9">
        <w:rPr>
          <w:rFonts w:eastAsia="Calibri" w:cs="Calibri"/>
          <w:sz w:val="22"/>
          <w:szCs w:val="22"/>
        </w:rPr>
        <w:t>Early Warnings for All initiative</w:t>
      </w:r>
      <w:r w:rsidR="004D5DAC" w:rsidRPr="00DA76FF">
        <w:rPr>
          <w:rFonts w:eastAsia="Calibri" w:cs="Calibri"/>
          <w:sz w:val="22"/>
          <w:szCs w:val="22"/>
        </w:rPr>
        <w:t>.</w:t>
      </w:r>
    </w:p>
    <w:p w14:paraId="3A9AC474" w14:textId="0873EC86" w:rsidR="008D14D7" w:rsidRPr="00462A0A" w:rsidRDefault="008D14D7" w:rsidP="00462A0A">
      <w:pPr>
        <w:keepNext/>
        <w:keepLines/>
        <w:spacing w:after="120"/>
        <w:jc w:val="both"/>
        <w:rPr>
          <w:rFonts w:eastAsia="Calibri" w:cs="Calibri"/>
          <w:b/>
          <w:bCs/>
          <w:sz w:val="22"/>
          <w:szCs w:val="22"/>
        </w:rPr>
      </w:pPr>
      <w:r w:rsidRPr="00462A0A">
        <w:rPr>
          <w:rFonts w:eastAsia="Calibri" w:cs="Calibri"/>
          <w:b/>
          <w:bCs/>
          <w:sz w:val="22"/>
          <w:szCs w:val="22"/>
        </w:rPr>
        <w:t>Advancing AI-driven disaster resilience</w:t>
      </w:r>
    </w:p>
    <w:p w14:paraId="6481D1BC" w14:textId="5A1BE723" w:rsidR="004D5DAC" w:rsidRPr="00462A0A" w:rsidRDefault="004D5DAC" w:rsidP="00462A0A">
      <w:pPr>
        <w:keepNext/>
        <w:keepLines/>
        <w:spacing w:after="120"/>
        <w:jc w:val="both"/>
        <w:rPr>
          <w:rFonts w:eastAsia="Calibri" w:cs="Calibri"/>
          <w:sz w:val="22"/>
          <w:szCs w:val="22"/>
        </w:rPr>
      </w:pPr>
      <w:r w:rsidRPr="00462A0A">
        <w:rPr>
          <w:rFonts w:eastAsia="Calibri" w:cs="Calibri"/>
          <w:sz w:val="22"/>
          <w:szCs w:val="22"/>
        </w:rPr>
        <w:t xml:space="preserve">ITU collaborates with WMO, UNEP and </w:t>
      </w:r>
      <w:r w:rsidR="00063BCB" w:rsidRPr="00462A0A">
        <w:rPr>
          <w:rFonts w:eastAsia="Calibri" w:cs="Calibri"/>
          <w:sz w:val="22"/>
          <w:szCs w:val="22"/>
        </w:rPr>
        <w:t>other UN organizations</w:t>
      </w:r>
      <w:r w:rsidRPr="00462A0A">
        <w:rPr>
          <w:rFonts w:eastAsia="Calibri" w:cs="Calibri"/>
          <w:sz w:val="22"/>
          <w:szCs w:val="22"/>
        </w:rPr>
        <w:t xml:space="preserve"> to advance AI-driven disaster resilience and lay the foundation</w:t>
      </w:r>
      <w:r w:rsidR="00623906" w:rsidRPr="00462A0A">
        <w:rPr>
          <w:rFonts w:eastAsia="Calibri" w:cs="Calibri"/>
          <w:sz w:val="22"/>
          <w:szCs w:val="22"/>
        </w:rPr>
        <w:t>s</w:t>
      </w:r>
      <w:r w:rsidRPr="00462A0A">
        <w:rPr>
          <w:rFonts w:eastAsia="Calibri" w:cs="Calibri"/>
          <w:sz w:val="22"/>
          <w:szCs w:val="22"/>
        </w:rPr>
        <w:t xml:space="preserve"> for the development of standards </w:t>
      </w:r>
      <w:r w:rsidR="00623906" w:rsidRPr="00462A0A">
        <w:rPr>
          <w:rFonts w:eastAsia="Calibri" w:cs="Calibri"/>
          <w:sz w:val="22"/>
          <w:szCs w:val="22"/>
        </w:rPr>
        <w:t>to apply AI</w:t>
      </w:r>
      <w:r w:rsidRPr="00462A0A">
        <w:rPr>
          <w:rFonts w:eastAsia="Calibri" w:cs="Calibri"/>
          <w:sz w:val="22"/>
          <w:szCs w:val="22"/>
        </w:rPr>
        <w:t xml:space="preserve"> in disaster management.</w:t>
      </w:r>
    </w:p>
    <w:p w14:paraId="635808DD" w14:textId="58F76475" w:rsidR="004D5DAC" w:rsidRPr="00462A0A" w:rsidRDefault="00286BDF" w:rsidP="00B96F88">
      <w:pPr>
        <w:spacing w:after="120"/>
        <w:jc w:val="both"/>
        <w:rPr>
          <w:rFonts w:eastAsia="Calibri" w:cs="Calibri"/>
          <w:sz w:val="22"/>
          <w:szCs w:val="22"/>
        </w:rPr>
      </w:pPr>
      <w:r w:rsidRPr="00462A0A">
        <w:rPr>
          <w:rFonts w:eastAsia="Calibri" w:cs="Calibri"/>
          <w:sz w:val="22"/>
          <w:szCs w:val="22"/>
        </w:rPr>
        <w:t xml:space="preserve">The </w:t>
      </w:r>
      <w:hyperlink r:id="rId287" w:history="1">
        <w:r w:rsidR="004D5DAC" w:rsidRPr="00462A0A">
          <w:rPr>
            <w:rStyle w:val="Hyperlink"/>
            <w:rFonts w:eastAsia="Calibri" w:cs="Calibri"/>
            <w:sz w:val="22"/>
            <w:szCs w:val="22"/>
          </w:rPr>
          <w:t>ITU/WMO/UNEP Focus Group on AI for Natural Disaster Management (FG-AI4NDM)</w:t>
        </w:r>
      </w:hyperlink>
      <w:r w:rsidRPr="00462A0A">
        <w:rPr>
          <w:rFonts w:eastAsia="Calibri" w:cs="Calibri"/>
          <w:sz w:val="22"/>
          <w:szCs w:val="22"/>
        </w:rPr>
        <w:t>,</w:t>
      </w:r>
      <w:r w:rsidR="004D5DAC" w:rsidRPr="00462A0A">
        <w:rPr>
          <w:rFonts w:eastAsia="Calibri" w:cs="Calibri"/>
          <w:sz w:val="22"/>
          <w:szCs w:val="22"/>
        </w:rPr>
        <w:t xml:space="preserve"> </w:t>
      </w:r>
      <w:r w:rsidRPr="00462A0A">
        <w:rPr>
          <w:rFonts w:eastAsia="Calibri" w:cs="Calibri"/>
          <w:sz w:val="22"/>
          <w:szCs w:val="22"/>
        </w:rPr>
        <w:t xml:space="preserve">established in 2020, </w:t>
      </w:r>
      <w:r w:rsidR="004D5DAC" w:rsidRPr="00462A0A">
        <w:rPr>
          <w:rFonts w:eastAsia="Calibri" w:cs="Calibri"/>
          <w:sz w:val="22"/>
          <w:szCs w:val="22"/>
        </w:rPr>
        <w:t xml:space="preserve">explored AI's potential in improving data collection and handling, improving modelling across </w:t>
      </w:r>
      <w:r w:rsidR="004D5DAC" w:rsidRPr="00462A0A">
        <w:rPr>
          <w:rFonts w:eastAsia="Calibri" w:cs="Calibri"/>
          <w:spacing w:val="-2"/>
          <w:sz w:val="22"/>
          <w:szCs w:val="22"/>
        </w:rPr>
        <w:t>spatial and temporal scales, and facilitating effective communication during disaster events.</w:t>
      </w:r>
      <w:r w:rsidR="004D5DAC" w:rsidRPr="00462A0A">
        <w:rPr>
          <w:rFonts w:eastAsia="Calibri" w:cs="Calibri"/>
          <w:sz w:val="22"/>
          <w:szCs w:val="22"/>
        </w:rPr>
        <w:t xml:space="preserve"> FG-AI4NDM developed the following outputs</w:t>
      </w:r>
      <w:r w:rsidR="00242F8F" w:rsidRPr="00462A0A">
        <w:rPr>
          <w:rFonts w:eastAsia="Calibri" w:cs="Calibri"/>
          <w:sz w:val="22"/>
          <w:szCs w:val="22"/>
        </w:rPr>
        <w:t xml:space="preserve"> in 2024</w:t>
      </w:r>
      <w:r w:rsidR="004D5DAC" w:rsidRPr="00462A0A">
        <w:rPr>
          <w:rFonts w:eastAsia="Calibri" w:cs="Calibri"/>
          <w:sz w:val="22"/>
          <w:szCs w:val="22"/>
        </w:rPr>
        <w:t>:</w:t>
      </w:r>
    </w:p>
    <w:p w14:paraId="4358F1E2" w14:textId="77777777" w:rsidR="004D5DAC" w:rsidRPr="00462A0A" w:rsidRDefault="004D5DAC" w:rsidP="00462A0A">
      <w:pPr>
        <w:numPr>
          <w:ilvl w:val="0"/>
          <w:numId w:val="18"/>
        </w:numPr>
        <w:tabs>
          <w:tab w:val="clear" w:pos="567"/>
          <w:tab w:val="clear" w:pos="720"/>
        </w:tabs>
        <w:spacing w:before="60" w:after="60"/>
        <w:ind w:left="567" w:hanging="283"/>
        <w:jc w:val="both"/>
        <w:rPr>
          <w:rFonts w:eastAsia="Calibri" w:cs="Calibri"/>
          <w:sz w:val="22"/>
          <w:szCs w:val="22"/>
        </w:rPr>
      </w:pPr>
      <w:hyperlink r:id="rId288" w:history="1">
        <w:r w:rsidRPr="00462A0A">
          <w:rPr>
            <w:rStyle w:val="Hyperlink"/>
            <w:rFonts w:eastAsia="Calibri" w:cs="Calibri"/>
            <w:sz w:val="22"/>
            <w:szCs w:val="22"/>
          </w:rPr>
          <w:t>AI for communications: Towards natural disaster management</w:t>
        </w:r>
      </w:hyperlink>
    </w:p>
    <w:p w14:paraId="46443EA6" w14:textId="0C203A84" w:rsidR="004D5DAC" w:rsidRPr="00462A0A" w:rsidRDefault="004D5DAC" w:rsidP="00462A0A">
      <w:pPr>
        <w:numPr>
          <w:ilvl w:val="0"/>
          <w:numId w:val="18"/>
        </w:numPr>
        <w:tabs>
          <w:tab w:val="clear" w:pos="567"/>
          <w:tab w:val="clear" w:pos="720"/>
        </w:tabs>
        <w:spacing w:before="60" w:after="60"/>
        <w:ind w:left="567" w:hanging="283"/>
        <w:jc w:val="both"/>
        <w:rPr>
          <w:rFonts w:eastAsia="Calibri" w:cs="Calibri"/>
          <w:sz w:val="22"/>
          <w:szCs w:val="22"/>
        </w:rPr>
      </w:pPr>
      <w:hyperlink r:id="rId289" w:history="1">
        <w:r w:rsidRPr="00462A0A">
          <w:rPr>
            <w:rStyle w:val="Hyperlink"/>
            <w:rFonts w:eastAsia="Calibri" w:cs="Calibri"/>
            <w:sz w:val="22"/>
            <w:szCs w:val="22"/>
          </w:rPr>
          <w:t>Standardization Roadmap on Natural Disaster Management: Trends and Gaps in Standardization</w:t>
        </w:r>
      </w:hyperlink>
    </w:p>
    <w:p w14:paraId="43242E16" w14:textId="0307E7CE" w:rsidR="004D5DAC" w:rsidRPr="00462A0A" w:rsidRDefault="004D5DAC" w:rsidP="00462A0A">
      <w:pPr>
        <w:numPr>
          <w:ilvl w:val="0"/>
          <w:numId w:val="18"/>
        </w:numPr>
        <w:tabs>
          <w:tab w:val="clear" w:pos="567"/>
          <w:tab w:val="clear" w:pos="720"/>
        </w:tabs>
        <w:spacing w:before="60" w:after="60"/>
        <w:ind w:left="567" w:hanging="283"/>
        <w:jc w:val="both"/>
        <w:rPr>
          <w:rFonts w:eastAsia="Calibri" w:cs="Calibri"/>
          <w:sz w:val="22"/>
          <w:szCs w:val="22"/>
        </w:rPr>
      </w:pPr>
      <w:hyperlink r:id="rId290" w:history="1">
        <w:r w:rsidRPr="00462A0A">
          <w:rPr>
            <w:rStyle w:val="Hyperlink"/>
            <w:rFonts w:eastAsia="Calibri" w:cs="Calibri"/>
            <w:sz w:val="22"/>
            <w:szCs w:val="22"/>
          </w:rPr>
          <w:t>Glossary - Artificial Intelligence for Natural Disaster Management</w:t>
        </w:r>
      </w:hyperlink>
    </w:p>
    <w:p w14:paraId="5E08DC47" w14:textId="615478D1" w:rsidR="004D5DAC" w:rsidRPr="00462A0A" w:rsidRDefault="004D5DAC" w:rsidP="00462A0A">
      <w:pPr>
        <w:numPr>
          <w:ilvl w:val="0"/>
          <w:numId w:val="18"/>
        </w:numPr>
        <w:tabs>
          <w:tab w:val="clear" w:pos="567"/>
          <w:tab w:val="clear" w:pos="720"/>
        </w:tabs>
        <w:spacing w:before="60" w:after="60"/>
        <w:ind w:left="567" w:hanging="283"/>
        <w:jc w:val="both"/>
        <w:rPr>
          <w:rFonts w:eastAsia="Calibri" w:cs="Calibri"/>
          <w:spacing w:val="-2"/>
          <w:sz w:val="22"/>
          <w:szCs w:val="22"/>
        </w:rPr>
      </w:pPr>
      <w:hyperlink r:id="rId291" w:history="1">
        <w:r w:rsidRPr="00462A0A">
          <w:rPr>
            <w:rStyle w:val="Hyperlink"/>
            <w:rFonts w:eastAsia="Calibri" w:cs="Calibri"/>
            <w:spacing w:val="-2"/>
            <w:sz w:val="22"/>
            <w:szCs w:val="22"/>
          </w:rPr>
          <w:t>Innovative Approaches to Natural Disaster Management: Leveraging AI for Data-related processes</w:t>
        </w:r>
      </w:hyperlink>
    </w:p>
    <w:p w14:paraId="14F78B47" w14:textId="77777777" w:rsidR="004D5DAC" w:rsidRPr="00462A0A" w:rsidRDefault="004D5DAC" w:rsidP="00462A0A">
      <w:pPr>
        <w:numPr>
          <w:ilvl w:val="0"/>
          <w:numId w:val="18"/>
        </w:numPr>
        <w:tabs>
          <w:tab w:val="clear" w:pos="567"/>
          <w:tab w:val="clear" w:pos="720"/>
        </w:tabs>
        <w:spacing w:before="60" w:after="60"/>
        <w:ind w:left="567" w:hanging="283"/>
        <w:jc w:val="both"/>
        <w:rPr>
          <w:rFonts w:eastAsia="Calibri" w:cs="Calibri"/>
          <w:sz w:val="22"/>
          <w:szCs w:val="22"/>
        </w:rPr>
      </w:pPr>
      <w:hyperlink r:id="rId292" w:history="1">
        <w:r w:rsidRPr="00462A0A">
          <w:rPr>
            <w:rStyle w:val="Hyperlink"/>
            <w:rFonts w:eastAsia="Calibri" w:cs="Calibri"/>
            <w:sz w:val="22"/>
            <w:szCs w:val="22"/>
          </w:rPr>
          <w:t>Transformative AI Models for Natural Disaster Management</w:t>
        </w:r>
      </w:hyperlink>
    </w:p>
    <w:p w14:paraId="77A6E374" w14:textId="68B4E697" w:rsidR="004D5DAC" w:rsidRPr="00462A0A" w:rsidRDefault="004D5DAC" w:rsidP="00A1269A">
      <w:pPr>
        <w:spacing w:before="240" w:after="120"/>
        <w:jc w:val="both"/>
        <w:rPr>
          <w:rFonts w:eastAsia="Calibri" w:cs="Calibri"/>
          <w:sz w:val="22"/>
          <w:szCs w:val="22"/>
        </w:rPr>
      </w:pPr>
      <w:r w:rsidRPr="00462A0A">
        <w:rPr>
          <w:rFonts w:eastAsia="Calibri" w:cs="Calibri"/>
          <w:sz w:val="22"/>
          <w:szCs w:val="22"/>
        </w:rPr>
        <w:lastRenderedPageBreak/>
        <w:t xml:space="preserve">FG-AI4NDM organized 12 meetings and </w:t>
      </w:r>
      <w:hyperlink r:id="rId293" w:history="1">
        <w:r w:rsidRPr="00462A0A">
          <w:rPr>
            <w:rStyle w:val="Hyperlink"/>
            <w:rFonts w:eastAsia="Calibri" w:cs="Calibri"/>
            <w:sz w:val="22"/>
            <w:szCs w:val="22"/>
          </w:rPr>
          <w:t>10 Workshop/Webinars</w:t>
        </w:r>
      </w:hyperlink>
      <w:r w:rsidRPr="00462A0A">
        <w:rPr>
          <w:rFonts w:eastAsia="Calibri" w:cs="Calibri"/>
          <w:sz w:val="22"/>
          <w:szCs w:val="22"/>
        </w:rPr>
        <w:t xml:space="preserve"> between March 2021 to March 2024</w:t>
      </w:r>
      <w:r w:rsidR="00732131" w:rsidRPr="00462A0A">
        <w:rPr>
          <w:rFonts w:eastAsia="Calibri" w:cs="Calibri"/>
          <w:sz w:val="22"/>
          <w:szCs w:val="22"/>
        </w:rPr>
        <w:t xml:space="preserve"> (as outlined in the</w:t>
      </w:r>
      <w:r w:rsidRPr="00462A0A">
        <w:rPr>
          <w:rFonts w:eastAsia="Calibri" w:cs="Calibri"/>
          <w:sz w:val="22"/>
          <w:szCs w:val="22"/>
        </w:rPr>
        <w:t xml:space="preserve"> </w:t>
      </w:r>
      <w:hyperlink r:id="rId294" w:history="1">
        <w:r w:rsidR="00732131" w:rsidRPr="00462A0A">
          <w:rPr>
            <w:rStyle w:val="Hyperlink"/>
            <w:rFonts w:eastAsia="Calibri" w:cs="Calibri"/>
            <w:sz w:val="22"/>
            <w:szCs w:val="22"/>
          </w:rPr>
          <w:t>FG-AI4NDM s</w:t>
        </w:r>
        <w:r w:rsidRPr="00462A0A">
          <w:rPr>
            <w:rStyle w:val="Hyperlink"/>
            <w:rFonts w:eastAsia="Calibri" w:cs="Calibri"/>
            <w:sz w:val="22"/>
            <w:szCs w:val="22"/>
          </w:rPr>
          <w:t>napshot report</w:t>
        </w:r>
      </w:hyperlink>
      <w:r w:rsidR="00732131" w:rsidRPr="00462A0A">
        <w:rPr>
          <w:sz w:val="22"/>
          <w:szCs w:val="22"/>
        </w:rPr>
        <w:t>)</w:t>
      </w:r>
      <w:r w:rsidRPr="00462A0A">
        <w:rPr>
          <w:rFonts w:eastAsia="Calibri" w:cs="Calibri"/>
          <w:sz w:val="22"/>
          <w:szCs w:val="22"/>
        </w:rPr>
        <w:t xml:space="preserve">. The best practices developed by the FG-AI4NDM are being implemented by the EU-funded project – </w:t>
      </w:r>
      <w:hyperlink r:id="rId295" w:history="1">
        <w:r w:rsidRPr="00462A0A">
          <w:rPr>
            <w:rStyle w:val="Hyperlink"/>
            <w:rFonts w:eastAsia="Calibri" w:cs="Calibri"/>
            <w:sz w:val="22"/>
            <w:szCs w:val="22"/>
          </w:rPr>
          <w:t>MedEWSa</w:t>
        </w:r>
      </w:hyperlink>
      <w:r w:rsidRPr="00462A0A">
        <w:rPr>
          <w:rFonts w:eastAsia="Calibri" w:cs="Calibri"/>
          <w:sz w:val="22"/>
          <w:szCs w:val="22"/>
        </w:rPr>
        <w:t xml:space="preserve"> which brings together a consortium of partners, including Justus-Liebig-Universität, WMO, and the European Centre for Medium-Range Weather Forecasts (ECMWF), among others.</w:t>
      </w:r>
    </w:p>
    <w:p w14:paraId="5870CFFA" w14:textId="1DA0C25C" w:rsidR="004D5DAC" w:rsidRPr="00462A0A" w:rsidRDefault="004D5DAC" w:rsidP="00B96F88">
      <w:pPr>
        <w:spacing w:after="120"/>
        <w:jc w:val="both"/>
        <w:rPr>
          <w:rFonts w:eastAsia="Calibri" w:cs="Calibri"/>
          <w:sz w:val="22"/>
          <w:szCs w:val="22"/>
        </w:rPr>
      </w:pPr>
      <w:r w:rsidRPr="00462A0A">
        <w:rPr>
          <w:rFonts w:eastAsia="Calibri" w:cs="Calibri"/>
          <w:sz w:val="22"/>
          <w:szCs w:val="22"/>
        </w:rPr>
        <w:t xml:space="preserve">Building on the work of FG-AI4NDM, the </w:t>
      </w:r>
      <w:hyperlink r:id="rId296" w:history="1">
        <w:r w:rsidRPr="00462A0A">
          <w:rPr>
            <w:rStyle w:val="Hyperlink"/>
            <w:rFonts w:eastAsia="Calibri" w:cs="Calibri"/>
            <w:sz w:val="22"/>
            <w:szCs w:val="22"/>
          </w:rPr>
          <w:t>Global Initiative on Resilience to Natural Hazards through AI Solutions</w:t>
        </w:r>
      </w:hyperlink>
      <w:r w:rsidRPr="00462A0A">
        <w:rPr>
          <w:rFonts w:eastAsia="Calibri" w:cs="Calibri"/>
          <w:sz w:val="22"/>
          <w:szCs w:val="22"/>
        </w:rPr>
        <w:t xml:space="preserve"> was announced in May 2024 during the AI for Good Global Summit. This Global Initiative is a collaborative effort of ITU, </w:t>
      </w:r>
      <w:r w:rsidR="00063BCB" w:rsidRPr="00462A0A">
        <w:rPr>
          <w:rFonts w:eastAsia="Calibri" w:cs="Calibri"/>
          <w:sz w:val="22"/>
          <w:szCs w:val="22"/>
        </w:rPr>
        <w:t xml:space="preserve">WMO, </w:t>
      </w:r>
      <w:r w:rsidRPr="00462A0A">
        <w:rPr>
          <w:rFonts w:eastAsia="Calibri" w:cs="Calibri"/>
          <w:sz w:val="22"/>
          <w:szCs w:val="22"/>
        </w:rPr>
        <w:t xml:space="preserve">UNEP, UNFCCC, </w:t>
      </w:r>
      <w:r w:rsidR="00063BCB" w:rsidRPr="00462A0A">
        <w:rPr>
          <w:rFonts w:eastAsia="Calibri" w:cs="Calibri"/>
          <w:sz w:val="22"/>
          <w:szCs w:val="22"/>
        </w:rPr>
        <w:t xml:space="preserve">and </w:t>
      </w:r>
      <w:r w:rsidRPr="00462A0A">
        <w:rPr>
          <w:rFonts w:eastAsia="Calibri" w:cs="Calibri"/>
          <w:sz w:val="22"/>
          <w:szCs w:val="22"/>
        </w:rPr>
        <w:t>UPU. It continues to examine how AI can be harnessed to enhance resilience against natural hazards by providing expert guidance, supporting research and innovation, and laying the foundation for standards development related to the use of AI across the disaster management cycle.</w:t>
      </w:r>
    </w:p>
    <w:p w14:paraId="7AE786F4" w14:textId="58F92E0B" w:rsidR="004D5DAC" w:rsidRPr="00462A0A" w:rsidRDefault="004D5DAC" w:rsidP="00B96F88">
      <w:pPr>
        <w:spacing w:after="120"/>
        <w:jc w:val="both"/>
        <w:rPr>
          <w:rFonts w:eastAsia="Calibri" w:cs="Calibri"/>
          <w:sz w:val="22"/>
          <w:szCs w:val="22"/>
        </w:rPr>
      </w:pPr>
      <w:r w:rsidRPr="00462A0A">
        <w:rPr>
          <w:rFonts w:eastAsia="Calibri" w:cs="Calibri"/>
          <w:sz w:val="22"/>
          <w:szCs w:val="22"/>
        </w:rPr>
        <w:t>The Global Initiative held its first meeting in Barcelona, Spain</w:t>
      </w:r>
      <w:r w:rsidR="006C42D4" w:rsidRPr="00462A0A">
        <w:rPr>
          <w:rFonts w:eastAsia="Calibri" w:cs="Calibri"/>
          <w:sz w:val="22"/>
          <w:szCs w:val="22"/>
        </w:rPr>
        <w:t>,</w:t>
      </w:r>
      <w:r w:rsidRPr="00462A0A">
        <w:rPr>
          <w:rFonts w:eastAsia="Calibri" w:cs="Calibri"/>
          <w:sz w:val="22"/>
          <w:szCs w:val="22"/>
        </w:rPr>
        <w:t xml:space="preserve"> on 6 November 2024, hosted by the Barcelona Supercomputing Centre.</w:t>
      </w:r>
    </w:p>
    <w:p w14:paraId="1F313661" w14:textId="514DF2E3" w:rsidR="004D5DAC" w:rsidRPr="00462A0A" w:rsidRDefault="004D5DAC" w:rsidP="00B96F88">
      <w:pPr>
        <w:spacing w:after="120"/>
        <w:jc w:val="both"/>
        <w:outlineLvl w:val="4"/>
        <w:rPr>
          <w:b/>
          <w:bCs/>
          <w:sz w:val="22"/>
          <w:szCs w:val="22"/>
        </w:rPr>
      </w:pPr>
      <w:r w:rsidRPr="00462A0A">
        <w:rPr>
          <w:b/>
          <w:bCs/>
          <w:sz w:val="22"/>
          <w:szCs w:val="22"/>
        </w:rPr>
        <w:t xml:space="preserve">AI and IoT for </w:t>
      </w:r>
      <w:r w:rsidR="008D14D7" w:rsidRPr="00462A0A">
        <w:rPr>
          <w:b/>
          <w:bCs/>
          <w:sz w:val="22"/>
          <w:szCs w:val="22"/>
        </w:rPr>
        <w:t>d</w:t>
      </w:r>
      <w:r w:rsidRPr="00462A0A">
        <w:rPr>
          <w:b/>
          <w:bCs/>
          <w:sz w:val="22"/>
          <w:szCs w:val="22"/>
        </w:rPr>
        <w:t xml:space="preserve">igital </w:t>
      </w:r>
      <w:r w:rsidR="008D14D7" w:rsidRPr="00462A0A">
        <w:rPr>
          <w:b/>
          <w:bCs/>
          <w:sz w:val="22"/>
          <w:szCs w:val="22"/>
        </w:rPr>
        <w:t>a</w:t>
      </w:r>
      <w:r w:rsidRPr="00462A0A">
        <w:rPr>
          <w:b/>
          <w:bCs/>
          <w:sz w:val="22"/>
          <w:szCs w:val="22"/>
        </w:rPr>
        <w:t>griculture</w:t>
      </w:r>
    </w:p>
    <w:p w14:paraId="6E586DB9" w14:textId="77777777" w:rsidR="006C42D4" w:rsidRPr="00462A0A" w:rsidRDefault="004D5DAC" w:rsidP="00B96F88">
      <w:pPr>
        <w:shd w:val="clear" w:color="auto" w:fill="FFFFFF" w:themeFill="background1"/>
        <w:spacing w:after="120"/>
        <w:jc w:val="both"/>
        <w:rPr>
          <w:sz w:val="22"/>
          <w:szCs w:val="22"/>
          <w:lang w:eastAsia="zh-CN"/>
        </w:rPr>
      </w:pPr>
      <w:r w:rsidRPr="00462A0A">
        <w:rPr>
          <w:sz w:val="22"/>
          <w:szCs w:val="22"/>
          <w:lang w:eastAsia="zh-CN"/>
        </w:rPr>
        <w:t xml:space="preserve">The </w:t>
      </w:r>
      <w:hyperlink r:id="rId297" w:history="1">
        <w:r w:rsidRPr="00462A0A">
          <w:rPr>
            <w:rStyle w:val="Hyperlink"/>
            <w:sz w:val="22"/>
            <w:szCs w:val="22"/>
            <w:lang w:eastAsia="zh-CN"/>
          </w:rPr>
          <w:t>ITU/FAO Focus Group on Artificial Intelligence for Agriculture (FG-AI4A)</w:t>
        </w:r>
      </w:hyperlink>
      <w:r w:rsidRPr="00462A0A">
        <w:rPr>
          <w:sz w:val="22"/>
          <w:szCs w:val="22"/>
          <w:lang w:eastAsia="zh-CN"/>
        </w:rPr>
        <w:t xml:space="preserve">, established in October 2021, was dedicated to exploring how AI, Internet of Things (IoT) and other emerging technologies can enhance agricultural productivity, and global food security. The FG-AI4A held 10 meetings and </w:t>
      </w:r>
      <w:hyperlink r:id="rId298" w:history="1">
        <w:r w:rsidRPr="00462A0A">
          <w:rPr>
            <w:rStyle w:val="Hyperlink"/>
            <w:sz w:val="22"/>
            <w:szCs w:val="22"/>
            <w:lang w:eastAsia="zh-CN"/>
          </w:rPr>
          <w:t>10</w:t>
        </w:r>
        <w:r w:rsidR="006C42D4" w:rsidRPr="00462A0A">
          <w:rPr>
            <w:rStyle w:val="Hyperlink"/>
            <w:sz w:val="22"/>
            <w:szCs w:val="22"/>
            <w:lang w:eastAsia="zh-CN"/>
          </w:rPr>
          <w:t> </w:t>
        </w:r>
        <w:r w:rsidRPr="00462A0A">
          <w:rPr>
            <w:rStyle w:val="Hyperlink"/>
            <w:sz w:val="22"/>
            <w:szCs w:val="22"/>
            <w:lang w:eastAsia="zh-CN"/>
          </w:rPr>
          <w:t>Workshops/Webinars</w:t>
        </w:r>
      </w:hyperlink>
      <w:r w:rsidRPr="00462A0A">
        <w:rPr>
          <w:sz w:val="22"/>
          <w:szCs w:val="22"/>
          <w:lang w:eastAsia="zh-CN"/>
        </w:rPr>
        <w:t xml:space="preserve"> between March 2022 to June 2024 and brought together experts from diverse sectors, including government agencies, academia, industry, and international organizations, to underscore AI-driven solutions for the agricultural sector.</w:t>
      </w:r>
    </w:p>
    <w:p w14:paraId="1CFD5E91" w14:textId="517635B6" w:rsidR="004D5DAC" w:rsidRPr="00462A0A" w:rsidRDefault="004D5DAC" w:rsidP="00B96F88">
      <w:pPr>
        <w:shd w:val="clear" w:color="auto" w:fill="FFFFFF" w:themeFill="background1"/>
        <w:spacing w:after="120"/>
        <w:jc w:val="both"/>
        <w:rPr>
          <w:rFonts w:eastAsia="Calibri" w:cs="Calibri"/>
          <w:color w:val="212529"/>
          <w:sz w:val="22"/>
          <w:szCs w:val="22"/>
        </w:rPr>
      </w:pPr>
      <w:r w:rsidRPr="00462A0A">
        <w:rPr>
          <w:sz w:val="22"/>
          <w:szCs w:val="22"/>
          <w:lang w:eastAsia="zh-CN"/>
        </w:rPr>
        <w:t xml:space="preserve">During its tenure, FG-AI4A worked to identify standardization gaps, facilitate knowledge exchange, and develop best practices in leveraging AI for precision farming, climate resilience and resource optimization across agricultural production processes </w:t>
      </w:r>
      <w:r w:rsidR="00732131" w:rsidRPr="00462A0A">
        <w:rPr>
          <w:sz w:val="22"/>
          <w:szCs w:val="22"/>
          <w:lang w:eastAsia="zh-CN"/>
        </w:rPr>
        <w:t xml:space="preserve">(outlined in the </w:t>
      </w:r>
      <w:hyperlink r:id="rId299" w:anchor="p=1" w:history="1">
        <w:r w:rsidR="00732131" w:rsidRPr="00462A0A">
          <w:rPr>
            <w:rStyle w:val="Hyperlink"/>
            <w:sz w:val="22"/>
            <w:szCs w:val="22"/>
            <w:lang w:eastAsia="zh-CN"/>
          </w:rPr>
          <w:t>FG-AI4A s</w:t>
        </w:r>
        <w:r w:rsidRPr="00462A0A">
          <w:rPr>
            <w:rStyle w:val="Hyperlink"/>
            <w:sz w:val="22"/>
            <w:szCs w:val="22"/>
            <w:lang w:eastAsia="zh-CN"/>
          </w:rPr>
          <w:t>napshot report</w:t>
        </w:r>
      </w:hyperlink>
      <w:r w:rsidR="002C3C8C" w:rsidRPr="00462A0A">
        <w:rPr>
          <w:sz w:val="22"/>
          <w:szCs w:val="22"/>
          <w:lang w:eastAsia="zh-CN"/>
        </w:rPr>
        <w:t>)</w:t>
      </w:r>
      <w:r w:rsidRPr="00462A0A">
        <w:rPr>
          <w:sz w:val="22"/>
          <w:szCs w:val="22"/>
          <w:lang w:eastAsia="zh-CN"/>
        </w:rPr>
        <w:t>.</w:t>
      </w:r>
    </w:p>
    <w:p w14:paraId="152A5DA2" w14:textId="1CBC1955" w:rsidR="00537504" w:rsidRPr="00462A0A" w:rsidRDefault="003C4D13" w:rsidP="00A1269A">
      <w:pPr>
        <w:pStyle w:val="Heading2"/>
        <w:spacing w:before="360" w:after="120"/>
        <w:rPr>
          <w:sz w:val="22"/>
          <w:szCs w:val="22"/>
        </w:rPr>
      </w:pPr>
      <w:bookmarkStart w:id="81" w:name="_Toc198569386"/>
      <w:r w:rsidRPr="00462A0A">
        <w:rPr>
          <w:sz w:val="22"/>
          <w:szCs w:val="22"/>
        </w:rPr>
        <w:t>5.6</w:t>
      </w:r>
      <w:r w:rsidRPr="00462A0A">
        <w:rPr>
          <w:sz w:val="22"/>
          <w:szCs w:val="22"/>
        </w:rPr>
        <w:tab/>
      </w:r>
      <w:r w:rsidR="002A089C" w:rsidRPr="00462A0A">
        <w:rPr>
          <w:sz w:val="22"/>
          <w:szCs w:val="22"/>
        </w:rPr>
        <w:t>Resource mobilization</w:t>
      </w:r>
      <w:bookmarkEnd w:id="81"/>
    </w:p>
    <w:p w14:paraId="05C04C9B" w14:textId="15A2C375" w:rsidR="009D103A" w:rsidRPr="00462A0A" w:rsidRDefault="00883DE4" w:rsidP="00A1269A">
      <w:pPr>
        <w:overflowPunct/>
        <w:autoSpaceDE/>
        <w:autoSpaceDN/>
        <w:adjustRightInd/>
        <w:spacing w:after="120"/>
        <w:jc w:val="both"/>
        <w:textAlignment w:val="auto"/>
        <w:rPr>
          <w:rFonts w:asciiTheme="minorHAnsi" w:eastAsiaTheme="minorEastAsia" w:hAnsiTheme="minorHAnsi" w:cstheme="minorBidi"/>
          <w:bCs/>
          <w:sz w:val="22"/>
          <w:szCs w:val="22"/>
          <w:lang w:eastAsia="zh-CN"/>
        </w:rPr>
      </w:pPr>
      <w:r w:rsidRPr="00462A0A">
        <w:rPr>
          <w:rFonts w:asciiTheme="minorHAnsi" w:eastAsiaTheme="minorEastAsia" w:hAnsiTheme="minorHAnsi" w:cstheme="minorBidi"/>
          <w:bCs/>
          <w:sz w:val="22"/>
          <w:szCs w:val="22"/>
          <w:lang w:eastAsia="zh-CN"/>
        </w:rPr>
        <w:t>T</w:t>
      </w:r>
      <w:r w:rsidR="007C5ED7" w:rsidRPr="00462A0A">
        <w:rPr>
          <w:rFonts w:asciiTheme="minorHAnsi" w:eastAsiaTheme="minorEastAsia" w:hAnsiTheme="minorHAnsi" w:cstheme="minorBidi"/>
          <w:bCs/>
          <w:sz w:val="22"/>
          <w:szCs w:val="22"/>
          <w:lang w:eastAsia="zh-CN"/>
        </w:rPr>
        <w:t>he ITU</w:t>
      </w:r>
      <w:r w:rsidR="00996BCA" w:rsidRPr="00462A0A">
        <w:rPr>
          <w:rFonts w:asciiTheme="minorHAnsi" w:eastAsiaTheme="minorEastAsia" w:hAnsiTheme="minorHAnsi" w:cstheme="minorBidi"/>
          <w:bCs/>
          <w:sz w:val="22"/>
          <w:szCs w:val="22"/>
          <w:lang w:eastAsia="zh-CN"/>
        </w:rPr>
        <w:t xml:space="preserve"> Council </w:t>
      </w:r>
      <w:r w:rsidRPr="00462A0A">
        <w:rPr>
          <w:rFonts w:asciiTheme="minorHAnsi" w:eastAsiaTheme="minorEastAsia" w:hAnsiTheme="minorHAnsi" w:cstheme="minorBidi"/>
          <w:bCs/>
          <w:sz w:val="22"/>
          <w:szCs w:val="22"/>
          <w:lang w:eastAsia="zh-CN"/>
        </w:rPr>
        <w:t xml:space="preserve">– following instructions from the </w:t>
      </w:r>
      <w:r w:rsidR="00F55226" w:rsidRPr="00462A0A">
        <w:rPr>
          <w:rFonts w:asciiTheme="minorHAnsi" w:eastAsiaTheme="minorEastAsia" w:hAnsiTheme="minorHAnsi" w:cstheme="minorBidi"/>
          <w:bCs/>
          <w:sz w:val="22"/>
          <w:szCs w:val="22"/>
          <w:lang w:eastAsia="zh-CN"/>
        </w:rPr>
        <w:t xml:space="preserve">2022 Plenipotentiary Conference (PP-22) – </w:t>
      </w:r>
      <w:r w:rsidR="00996BCA" w:rsidRPr="00462A0A">
        <w:rPr>
          <w:rFonts w:asciiTheme="minorHAnsi" w:eastAsiaTheme="minorEastAsia" w:hAnsiTheme="minorHAnsi" w:cstheme="minorBidi"/>
          <w:bCs/>
          <w:sz w:val="22"/>
          <w:szCs w:val="22"/>
          <w:lang w:eastAsia="zh-CN"/>
        </w:rPr>
        <w:t>adopted a resource mobilization strategy proposed by the Secretary</w:t>
      </w:r>
      <w:r w:rsidR="00AF3A75" w:rsidRPr="00462A0A">
        <w:rPr>
          <w:rFonts w:asciiTheme="minorHAnsi" w:eastAsiaTheme="minorEastAsia" w:hAnsiTheme="minorHAnsi" w:cstheme="minorBidi"/>
          <w:bCs/>
          <w:sz w:val="22"/>
          <w:szCs w:val="22"/>
          <w:lang w:eastAsia="zh-CN"/>
        </w:rPr>
        <w:t>-</w:t>
      </w:r>
      <w:r w:rsidR="00996BCA" w:rsidRPr="00462A0A">
        <w:rPr>
          <w:rFonts w:asciiTheme="minorHAnsi" w:eastAsiaTheme="minorEastAsia" w:hAnsiTheme="minorHAnsi" w:cstheme="minorBidi"/>
          <w:bCs/>
          <w:sz w:val="22"/>
          <w:szCs w:val="22"/>
          <w:lang w:eastAsia="zh-CN"/>
        </w:rPr>
        <w:t xml:space="preserve">General at </w:t>
      </w:r>
      <w:r w:rsidR="008C28A2" w:rsidRPr="00462A0A">
        <w:rPr>
          <w:rFonts w:asciiTheme="minorHAnsi" w:eastAsiaTheme="minorEastAsia" w:hAnsiTheme="minorHAnsi" w:cstheme="minorBidi"/>
          <w:bCs/>
          <w:sz w:val="22"/>
          <w:szCs w:val="22"/>
          <w:lang w:eastAsia="zh-CN"/>
        </w:rPr>
        <w:t xml:space="preserve">the </w:t>
      </w:r>
      <w:r w:rsidR="006C42D4" w:rsidRPr="00462A0A">
        <w:rPr>
          <w:rFonts w:asciiTheme="minorHAnsi" w:eastAsiaTheme="minorEastAsia" w:hAnsiTheme="minorHAnsi" w:cstheme="minorBidi"/>
          <w:bCs/>
          <w:sz w:val="22"/>
          <w:szCs w:val="22"/>
          <w:lang w:eastAsia="zh-CN"/>
        </w:rPr>
        <w:t>2024 session of the Council</w:t>
      </w:r>
      <w:r w:rsidR="0007036C" w:rsidRPr="00462A0A">
        <w:rPr>
          <w:rFonts w:asciiTheme="minorHAnsi" w:eastAsiaTheme="minorEastAsia" w:hAnsiTheme="minorHAnsi" w:cstheme="minorBidi"/>
          <w:bCs/>
          <w:sz w:val="22"/>
          <w:szCs w:val="22"/>
          <w:lang w:eastAsia="zh-CN"/>
        </w:rPr>
        <w:t xml:space="preserve">. The strategy </w:t>
      </w:r>
      <w:r w:rsidR="00996BCA" w:rsidRPr="00462A0A">
        <w:rPr>
          <w:rFonts w:asciiTheme="minorHAnsi" w:eastAsiaTheme="minorEastAsia" w:hAnsiTheme="minorHAnsi" w:cstheme="minorBidi"/>
          <w:bCs/>
          <w:sz w:val="22"/>
          <w:szCs w:val="22"/>
          <w:lang w:eastAsia="zh-CN"/>
        </w:rPr>
        <w:t>has three main pillars, including strengthening member engagement and revenues, leveraging events, products, and services, and increasing voluntary contributions.</w:t>
      </w:r>
    </w:p>
    <w:p w14:paraId="237CF170" w14:textId="4EEF6246" w:rsidR="000A04C2" w:rsidRPr="00462A0A" w:rsidRDefault="009D103A" w:rsidP="00A1269A">
      <w:pPr>
        <w:overflowPunct/>
        <w:autoSpaceDE/>
        <w:autoSpaceDN/>
        <w:adjustRightInd/>
        <w:spacing w:after="120"/>
        <w:jc w:val="both"/>
        <w:textAlignment w:val="auto"/>
        <w:rPr>
          <w:rFonts w:asciiTheme="minorHAnsi" w:eastAsia="Calibri" w:hAnsiTheme="minorHAnsi" w:cstheme="minorBidi"/>
          <w:color w:val="000000" w:themeColor="text1"/>
          <w:sz w:val="22"/>
          <w:szCs w:val="22"/>
        </w:rPr>
      </w:pPr>
      <w:r w:rsidRPr="00462A0A">
        <w:rPr>
          <w:rFonts w:asciiTheme="minorHAnsi" w:eastAsiaTheme="minorEastAsia" w:hAnsiTheme="minorHAnsi" w:cstheme="minorBidi"/>
          <w:bCs/>
          <w:sz w:val="22"/>
          <w:szCs w:val="22"/>
          <w:lang w:eastAsia="zh-CN"/>
        </w:rPr>
        <w:t>Member State unit contributions account for about 70</w:t>
      </w:r>
      <w:r w:rsidR="00AB77FE" w:rsidRPr="00462A0A">
        <w:rPr>
          <w:rFonts w:asciiTheme="minorHAnsi" w:eastAsiaTheme="minorEastAsia" w:hAnsiTheme="minorHAnsi" w:cstheme="minorBidi"/>
          <w:bCs/>
          <w:sz w:val="22"/>
          <w:szCs w:val="22"/>
          <w:lang w:eastAsia="zh-CN"/>
        </w:rPr>
        <w:t xml:space="preserve"> per cent</w:t>
      </w:r>
      <w:r w:rsidRPr="00462A0A">
        <w:rPr>
          <w:rFonts w:asciiTheme="minorHAnsi" w:eastAsiaTheme="minorEastAsia" w:hAnsiTheme="minorHAnsi" w:cstheme="minorBidi"/>
          <w:bCs/>
          <w:sz w:val="22"/>
          <w:szCs w:val="22"/>
          <w:lang w:eastAsia="zh-CN"/>
        </w:rPr>
        <w:t xml:space="preserve"> of regular budget revenues. </w:t>
      </w:r>
      <w:r w:rsidR="000218DE" w:rsidRPr="00462A0A">
        <w:rPr>
          <w:rFonts w:asciiTheme="minorHAnsi" w:eastAsiaTheme="minorEastAsia" w:hAnsiTheme="minorHAnsi" w:cstheme="minorBidi"/>
          <w:bCs/>
          <w:sz w:val="22"/>
          <w:szCs w:val="22"/>
          <w:lang w:eastAsia="zh-CN"/>
        </w:rPr>
        <w:t>In the preparation of the strategy</w:t>
      </w:r>
      <w:r w:rsidR="000917AC" w:rsidRPr="00462A0A">
        <w:rPr>
          <w:rFonts w:asciiTheme="minorHAnsi" w:eastAsiaTheme="minorEastAsia" w:hAnsiTheme="minorHAnsi" w:cstheme="minorBidi"/>
          <w:bCs/>
          <w:sz w:val="22"/>
          <w:szCs w:val="22"/>
          <w:lang w:eastAsia="zh-CN"/>
        </w:rPr>
        <w:t xml:space="preserve"> through the </w:t>
      </w:r>
      <w:r w:rsidR="00486B97" w:rsidRPr="00462A0A">
        <w:rPr>
          <w:rFonts w:asciiTheme="minorHAnsi" w:eastAsiaTheme="minorEastAsia" w:hAnsiTheme="minorHAnsi" w:cstheme="minorBidi"/>
          <w:bCs/>
          <w:sz w:val="22"/>
          <w:szCs w:val="22"/>
          <w:lang w:eastAsia="zh-CN"/>
        </w:rPr>
        <w:t xml:space="preserve">Council Working Group on </w:t>
      </w:r>
      <w:r w:rsidR="00FC1F9C" w:rsidRPr="00462A0A">
        <w:rPr>
          <w:rFonts w:asciiTheme="minorHAnsi" w:eastAsiaTheme="minorEastAsia" w:hAnsiTheme="minorHAnsi" w:cstheme="minorBidi"/>
          <w:bCs/>
          <w:sz w:val="22"/>
          <w:szCs w:val="22"/>
          <w:lang w:eastAsia="zh-CN"/>
        </w:rPr>
        <w:t xml:space="preserve">financial </w:t>
      </w:r>
      <w:r w:rsidR="00486B97" w:rsidRPr="00462A0A">
        <w:rPr>
          <w:rFonts w:asciiTheme="minorHAnsi" w:eastAsiaTheme="minorEastAsia" w:hAnsiTheme="minorHAnsi" w:cstheme="minorBidi"/>
          <w:bCs/>
          <w:sz w:val="22"/>
          <w:szCs w:val="22"/>
          <w:lang w:eastAsia="zh-CN"/>
        </w:rPr>
        <w:t xml:space="preserve">and </w:t>
      </w:r>
      <w:r w:rsidR="00FC1F9C" w:rsidRPr="00462A0A">
        <w:rPr>
          <w:rFonts w:asciiTheme="minorHAnsi" w:eastAsiaTheme="minorEastAsia" w:hAnsiTheme="minorHAnsi" w:cstheme="minorBidi"/>
          <w:bCs/>
          <w:sz w:val="22"/>
          <w:szCs w:val="22"/>
          <w:lang w:eastAsia="zh-CN"/>
        </w:rPr>
        <w:t xml:space="preserve">human resources </w:t>
      </w:r>
      <w:r w:rsidR="00486B97" w:rsidRPr="00462A0A">
        <w:rPr>
          <w:rFonts w:asciiTheme="minorHAnsi" w:eastAsiaTheme="minorEastAsia" w:hAnsiTheme="minorHAnsi" w:cstheme="minorBidi"/>
          <w:bCs/>
          <w:sz w:val="22"/>
          <w:szCs w:val="22"/>
          <w:lang w:eastAsia="zh-CN"/>
        </w:rPr>
        <w:t>(CWG-FHR)</w:t>
      </w:r>
      <w:r w:rsidR="000218DE" w:rsidRPr="00462A0A">
        <w:rPr>
          <w:rFonts w:asciiTheme="minorHAnsi" w:eastAsiaTheme="minorEastAsia" w:hAnsiTheme="minorHAnsi" w:cstheme="minorBidi"/>
          <w:bCs/>
          <w:sz w:val="22"/>
          <w:szCs w:val="22"/>
          <w:lang w:eastAsia="zh-CN"/>
        </w:rPr>
        <w:t xml:space="preserve">, delegates asked the </w:t>
      </w:r>
      <w:r w:rsidR="000A04C2" w:rsidRPr="00462A0A">
        <w:rPr>
          <w:rFonts w:asciiTheme="minorHAnsi" w:eastAsiaTheme="minorEastAsia" w:hAnsiTheme="minorHAnsi" w:cstheme="minorBidi"/>
          <w:bCs/>
          <w:sz w:val="22"/>
          <w:szCs w:val="22"/>
          <w:lang w:eastAsia="zh-CN"/>
        </w:rPr>
        <w:t xml:space="preserve">ITU </w:t>
      </w:r>
      <w:r w:rsidR="00FC1F9C" w:rsidRPr="00462A0A">
        <w:rPr>
          <w:rFonts w:asciiTheme="minorHAnsi" w:eastAsiaTheme="minorEastAsia" w:hAnsiTheme="minorHAnsi" w:cstheme="minorBidi"/>
          <w:bCs/>
          <w:sz w:val="22"/>
          <w:szCs w:val="22"/>
          <w:lang w:eastAsia="zh-CN"/>
        </w:rPr>
        <w:t xml:space="preserve">secretariat </w:t>
      </w:r>
      <w:r w:rsidR="000218DE" w:rsidRPr="00462A0A">
        <w:rPr>
          <w:rFonts w:asciiTheme="minorHAnsi" w:eastAsiaTheme="minorEastAsia" w:hAnsiTheme="minorHAnsi" w:cstheme="minorBidi"/>
          <w:bCs/>
          <w:sz w:val="22"/>
          <w:szCs w:val="22"/>
          <w:lang w:eastAsia="zh-CN"/>
        </w:rPr>
        <w:t xml:space="preserve">for </w:t>
      </w:r>
      <w:r w:rsidR="00646129" w:rsidRPr="00462A0A">
        <w:rPr>
          <w:rFonts w:asciiTheme="minorHAnsi" w:eastAsiaTheme="minorEastAsia" w:hAnsiTheme="minorHAnsi" w:cstheme="minorBidi"/>
          <w:bCs/>
          <w:sz w:val="22"/>
          <w:szCs w:val="22"/>
          <w:lang w:eastAsia="zh-CN"/>
        </w:rPr>
        <w:t>assistance in making the case for ITU within their own administrations</w:t>
      </w:r>
      <w:r w:rsidR="00355E96" w:rsidRPr="00462A0A">
        <w:rPr>
          <w:rFonts w:asciiTheme="minorHAnsi" w:eastAsiaTheme="minorEastAsia" w:hAnsiTheme="minorHAnsi" w:cstheme="minorBidi"/>
          <w:bCs/>
          <w:sz w:val="22"/>
          <w:szCs w:val="22"/>
          <w:lang w:eastAsia="zh-CN"/>
        </w:rPr>
        <w:t xml:space="preserve"> for maintaining or increasing their unit contributions</w:t>
      </w:r>
      <w:r w:rsidR="00646129" w:rsidRPr="00462A0A">
        <w:rPr>
          <w:rFonts w:asciiTheme="minorHAnsi" w:eastAsiaTheme="minorEastAsia" w:hAnsiTheme="minorHAnsi" w:cstheme="minorBidi"/>
          <w:bCs/>
          <w:sz w:val="22"/>
          <w:szCs w:val="22"/>
          <w:lang w:eastAsia="zh-CN"/>
        </w:rPr>
        <w:t xml:space="preserve">. </w:t>
      </w:r>
      <w:r w:rsidR="00AA47AA" w:rsidRPr="00462A0A">
        <w:rPr>
          <w:rFonts w:asciiTheme="minorHAnsi" w:eastAsiaTheme="minorEastAsia" w:hAnsiTheme="minorHAnsi" w:cstheme="minorBidi"/>
          <w:bCs/>
          <w:sz w:val="22"/>
          <w:szCs w:val="22"/>
          <w:lang w:eastAsia="zh-CN"/>
        </w:rPr>
        <w:t>T</w:t>
      </w:r>
      <w:r w:rsidR="000917AC" w:rsidRPr="00462A0A">
        <w:rPr>
          <w:rFonts w:asciiTheme="minorHAnsi" w:eastAsia="Calibri" w:hAnsiTheme="minorHAnsi" w:cstheme="minorBidi"/>
          <w:color w:val="000000" w:themeColor="text1"/>
          <w:sz w:val="22"/>
          <w:szCs w:val="22"/>
        </w:rPr>
        <w:t>he secretariat is developing an investment case for ITU</w:t>
      </w:r>
      <w:r w:rsidR="005E6F17" w:rsidRPr="00462A0A">
        <w:rPr>
          <w:rFonts w:asciiTheme="minorHAnsi" w:eastAsia="Calibri" w:hAnsiTheme="minorHAnsi" w:cstheme="minorBidi"/>
          <w:color w:val="000000" w:themeColor="text1"/>
          <w:sz w:val="22"/>
          <w:szCs w:val="22"/>
        </w:rPr>
        <w:t>, along with executive briefing materials</w:t>
      </w:r>
      <w:r w:rsidR="000B1A31" w:rsidRPr="00462A0A">
        <w:rPr>
          <w:rFonts w:asciiTheme="minorHAnsi" w:eastAsia="Calibri" w:hAnsiTheme="minorHAnsi" w:cstheme="minorBidi"/>
          <w:color w:val="000000" w:themeColor="text1"/>
          <w:sz w:val="22"/>
          <w:szCs w:val="22"/>
        </w:rPr>
        <w:t xml:space="preserve"> and updated related web resources</w:t>
      </w:r>
      <w:r w:rsidR="005E6F17" w:rsidRPr="00462A0A">
        <w:rPr>
          <w:rFonts w:asciiTheme="minorHAnsi" w:eastAsia="Calibri" w:hAnsiTheme="minorHAnsi" w:cstheme="minorBidi"/>
          <w:color w:val="000000" w:themeColor="text1"/>
          <w:sz w:val="22"/>
          <w:szCs w:val="22"/>
        </w:rPr>
        <w:t xml:space="preserve"> that can be used by delegations for internal consultations. </w:t>
      </w:r>
    </w:p>
    <w:p w14:paraId="6E5AC2BE" w14:textId="169F0089" w:rsidR="00996BCA" w:rsidRPr="00DA76FF" w:rsidRDefault="00DC5D9F" w:rsidP="00A1269A">
      <w:pPr>
        <w:overflowPunct/>
        <w:autoSpaceDE/>
        <w:autoSpaceDN/>
        <w:adjustRightInd/>
        <w:spacing w:after="120"/>
        <w:jc w:val="both"/>
        <w:textAlignment w:val="auto"/>
        <w:rPr>
          <w:rFonts w:asciiTheme="minorHAnsi" w:eastAsiaTheme="minorEastAsia" w:hAnsiTheme="minorHAnsi" w:cstheme="minorBidi"/>
          <w:bCs/>
          <w:sz w:val="22"/>
          <w:szCs w:val="22"/>
          <w:lang w:eastAsia="zh-CN"/>
        </w:rPr>
      </w:pPr>
      <w:r w:rsidRPr="00462A0A">
        <w:rPr>
          <w:rFonts w:asciiTheme="minorHAnsi" w:eastAsia="Calibri" w:hAnsiTheme="minorHAnsi" w:cstheme="minorBidi"/>
          <w:color w:val="000000" w:themeColor="text1"/>
          <w:sz w:val="22"/>
          <w:szCs w:val="22"/>
        </w:rPr>
        <w:t>The secretariat is also</w:t>
      </w:r>
      <w:r w:rsidR="00017948" w:rsidRPr="00462A0A">
        <w:rPr>
          <w:rFonts w:asciiTheme="minorHAnsi" w:eastAsia="Calibri" w:hAnsiTheme="minorHAnsi" w:cstheme="minorBidi"/>
          <w:color w:val="000000" w:themeColor="text1"/>
          <w:sz w:val="22"/>
          <w:szCs w:val="22"/>
        </w:rPr>
        <w:t xml:space="preserve"> undertaking a significant effort to modernize its operations, generating new effic</w:t>
      </w:r>
      <w:r w:rsidR="00422F72" w:rsidRPr="00462A0A">
        <w:rPr>
          <w:rFonts w:asciiTheme="minorHAnsi" w:eastAsia="Calibri" w:hAnsiTheme="minorHAnsi" w:cstheme="minorBidi"/>
          <w:color w:val="000000" w:themeColor="text1"/>
          <w:sz w:val="22"/>
          <w:szCs w:val="22"/>
        </w:rPr>
        <w:t>iencies</w:t>
      </w:r>
      <w:r w:rsidR="00017948" w:rsidRPr="00462A0A">
        <w:rPr>
          <w:rFonts w:asciiTheme="minorHAnsi" w:eastAsia="Calibri" w:hAnsiTheme="minorHAnsi" w:cstheme="minorBidi"/>
          <w:color w:val="000000" w:themeColor="text1"/>
          <w:sz w:val="22"/>
          <w:szCs w:val="22"/>
        </w:rPr>
        <w:t>, and</w:t>
      </w:r>
      <w:r w:rsidRPr="00462A0A">
        <w:rPr>
          <w:rFonts w:asciiTheme="minorHAnsi" w:eastAsia="Calibri" w:hAnsiTheme="minorHAnsi" w:cstheme="minorBidi"/>
          <w:color w:val="000000" w:themeColor="text1"/>
          <w:sz w:val="22"/>
          <w:szCs w:val="22"/>
        </w:rPr>
        <w:t xml:space="preserve"> preparing more detailed</w:t>
      </w:r>
      <w:r w:rsidR="00B407B4" w:rsidRPr="00462A0A">
        <w:rPr>
          <w:rFonts w:asciiTheme="minorHAnsi" w:eastAsia="Calibri" w:hAnsiTheme="minorHAnsi" w:cstheme="minorBidi"/>
          <w:color w:val="000000" w:themeColor="text1"/>
          <w:sz w:val="22"/>
          <w:szCs w:val="22"/>
        </w:rPr>
        <w:t>, transparent</w:t>
      </w:r>
      <w:r w:rsidRPr="00462A0A">
        <w:rPr>
          <w:rFonts w:asciiTheme="minorHAnsi" w:eastAsia="Calibri" w:hAnsiTheme="minorHAnsi" w:cstheme="minorBidi"/>
          <w:color w:val="000000" w:themeColor="text1"/>
          <w:sz w:val="22"/>
          <w:szCs w:val="22"/>
        </w:rPr>
        <w:t xml:space="preserve"> reporting </w:t>
      </w:r>
      <w:r w:rsidR="00B407B4" w:rsidRPr="00462A0A">
        <w:rPr>
          <w:rFonts w:asciiTheme="minorHAnsi" w:eastAsia="Calibri" w:hAnsiTheme="minorHAnsi" w:cstheme="minorBidi"/>
          <w:color w:val="000000" w:themeColor="text1"/>
          <w:sz w:val="22"/>
          <w:szCs w:val="22"/>
        </w:rPr>
        <w:t xml:space="preserve">for </w:t>
      </w:r>
      <w:r w:rsidR="00017948" w:rsidRPr="00462A0A">
        <w:rPr>
          <w:rFonts w:asciiTheme="minorHAnsi" w:eastAsia="Calibri" w:hAnsiTheme="minorHAnsi" w:cstheme="minorBidi"/>
          <w:color w:val="000000" w:themeColor="text1"/>
          <w:sz w:val="22"/>
          <w:szCs w:val="22"/>
        </w:rPr>
        <w:t>Member States</w:t>
      </w:r>
      <w:r w:rsidR="00B407B4" w:rsidRPr="00462A0A">
        <w:rPr>
          <w:rFonts w:asciiTheme="minorHAnsi" w:eastAsia="Calibri" w:hAnsiTheme="minorHAnsi" w:cstheme="minorBidi"/>
          <w:color w:val="000000" w:themeColor="text1"/>
          <w:sz w:val="22"/>
          <w:szCs w:val="22"/>
        </w:rPr>
        <w:t>.</w:t>
      </w:r>
      <w:r w:rsidR="000B1A31" w:rsidRPr="00462A0A">
        <w:rPr>
          <w:rFonts w:asciiTheme="minorHAnsi" w:eastAsia="Calibri" w:hAnsiTheme="minorHAnsi" w:cstheme="minorBidi"/>
          <w:color w:val="000000" w:themeColor="text1"/>
          <w:sz w:val="22"/>
          <w:szCs w:val="22"/>
        </w:rPr>
        <w:t xml:space="preserve"> Lastly,</w:t>
      </w:r>
      <w:r w:rsidR="000A526B" w:rsidRPr="00462A0A">
        <w:rPr>
          <w:rFonts w:asciiTheme="minorHAnsi" w:eastAsia="Calibri" w:hAnsiTheme="minorHAnsi" w:cstheme="minorBidi"/>
          <w:color w:val="000000" w:themeColor="text1"/>
          <w:sz w:val="22"/>
          <w:szCs w:val="22"/>
        </w:rPr>
        <w:t xml:space="preserve"> under the guidance of </w:t>
      </w:r>
      <w:r w:rsidR="000B1A31" w:rsidRPr="00462A0A">
        <w:rPr>
          <w:rFonts w:asciiTheme="minorHAnsi" w:eastAsia="Calibri" w:hAnsiTheme="minorHAnsi" w:cstheme="minorBidi"/>
          <w:color w:val="000000" w:themeColor="text1"/>
          <w:sz w:val="22"/>
          <w:szCs w:val="22"/>
        </w:rPr>
        <w:t xml:space="preserve">the </w:t>
      </w:r>
      <w:r w:rsidR="00363A3E" w:rsidRPr="00462A0A">
        <w:rPr>
          <w:rFonts w:asciiTheme="minorHAnsi" w:eastAsia="Calibri" w:hAnsiTheme="minorHAnsi" w:cstheme="minorBidi"/>
          <w:color w:val="000000" w:themeColor="text1"/>
          <w:sz w:val="22"/>
          <w:szCs w:val="22"/>
        </w:rPr>
        <w:t xml:space="preserve">Council Working Group for </w:t>
      </w:r>
      <w:r w:rsidR="00FC1F9C" w:rsidRPr="00462A0A">
        <w:rPr>
          <w:rFonts w:asciiTheme="minorHAnsi" w:eastAsia="Calibri" w:hAnsiTheme="minorHAnsi" w:cstheme="minorBidi"/>
          <w:color w:val="000000" w:themeColor="text1"/>
          <w:sz w:val="22"/>
          <w:szCs w:val="22"/>
        </w:rPr>
        <w:t xml:space="preserve">strategic </w:t>
      </w:r>
      <w:r w:rsidR="00363A3E" w:rsidRPr="00462A0A">
        <w:rPr>
          <w:rFonts w:asciiTheme="minorHAnsi" w:eastAsia="Calibri" w:hAnsiTheme="minorHAnsi" w:cstheme="minorBidi"/>
          <w:color w:val="000000" w:themeColor="text1"/>
          <w:sz w:val="22"/>
          <w:szCs w:val="22"/>
        </w:rPr>
        <w:t xml:space="preserve">and </w:t>
      </w:r>
      <w:r w:rsidR="00FC1F9C" w:rsidRPr="00462A0A">
        <w:rPr>
          <w:rFonts w:asciiTheme="minorHAnsi" w:eastAsia="Calibri" w:hAnsiTheme="minorHAnsi" w:cstheme="minorBidi"/>
          <w:color w:val="000000" w:themeColor="text1"/>
          <w:sz w:val="22"/>
          <w:szCs w:val="22"/>
        </w:rPr>
        <w:t>financial</w:t>
      </w:r>
      <w:r w:rsidR="00FC1F9C" w:rsidRPr="2C0EAE0F">
        <w:rPr>
          <w:rFonts w:asciiTheme="minorHAnsi" w:eastAsia="Calibri" w:hAnsiTheme="minorHAnsi" w:cstheme="minorBidi"/>
          <w:color w:val="000000" w:themeColor="text1"/>
          <w:sz w:val="22"/>
          <w:szCs w:val="22"/>
        </w:rPr>
        <w:t xml:space="preserve"> plans </w:t>
      </w:r>
      <w:r w:rsidR="00363A3E" w:rsidRPr="2C0EAE0F">
        <w:rPr>
          <w:rFonts w:asciiTheme="minorHAnsi" w:eastAsia="Calibri" w:hAnsiTheme="minorHAnsi" w:cstheme="minorBidi"/>
          <w:color w:val="000000" w:themeColor="text1"/>
          <w:sz w:val="22"/>
          <w:szCs w:val="22"/>
        </w:rPr>
        <w:t>(</w:t>
      </w:r>
      <w:r w:rsidR="000B1A31" w:rsidRPr="2C0EAE0F">
        <w:rPr>
          <w:rFonts w:asciiTheme="minorHAnsi" w:eastAsia="Calibri" w:hAnsiTheme="minorHAnsi" w:cstheme="minorBidi"/>
          <w:color w:val="000000" w:themeColor="text1"/>
          <w:sz w:val="22"/>
          <w:szCs w:val="22"/>
        </w:rPr>
        <w:t>CWG-SFP</w:t>
      </w:r>
      <w:r w:rsidR="00363A3E" w:rsidRPr="2C0EAE0F">
        <w:rPr>
          <w:rFonts w:asciiTheme="minorHAnsi" w:eastAsia="Calibri" w:hAnsiTheme="minorHAnsi" w:cstheme="minorBidi"/>
          <w:color w:val="000000" w:themeColor="text1"/>
          <w:sz w:val="22"/>
          <w:szCs w:val="22"/>
        </w:rPr>
        <w:t>)</w:t>
      </w:r>
      <w:r w:rsidR="000B1A31" w:rsidRPr="2C0EAE0F">
        <w:rPr>
          <w:rFonts w:asciiTheme="minorHAnsi" w:eastAsia="Calibri" w:hAnsiTheme="minorHAnsi" w:cstheme="minorBidi"/>
          <w:color w:val="000000" w:themeColor="text1"/>
          <w:sz w:val="22"/>
          <w:szCs w:val="22"/>
        </w:rPr>
        <w:t xml:space="preserve">, </w:t>
      </w:r>
      <w:r w:rsidR="000A526B" w:rsidRPr="2C0EAE0F">
        <w:rPr>
          <w:rFonts w:asciiTheme="minorHAnsi" w:eastAsia="Calibri" w:hAnsiTheme="minorHAnsi" w:cstheme="minorBidi"/>
          <w:color w:val="000000" w:themeColor="text1"/>
          <w:sz w:val="22"/>
          <w:szCs w:val="22"/>
        </w:rPr>
        <w:t xml:space="preserve">an ITU-wide effort is underway to </w:t>
      </w:r>
      <w:r w:rsidR="006D6129" w:rsidRPr="2C0EAE0F">
        <w:rPr>
          <w:rFonts w:asciiTheme="minorHAnsi" w:eastAsia="Calibri" w:hAnsiTheme="minorHAnsi" w:cstheme="minorBidi"/>
          <w:color w:val="000000" w:themeColor="text1"/>
          <w:sz w:val="22"/>
          <w:szCs w:val="22"/>
        </w:rPr>
        <w:t xml:space="preserve">improve the presentation of the ITU </w:t>
      </w:r>
      <w:r w:rsidR="00A447C7" w:rsidRPr="2C0EAE0F">
        <w:rPr>
          <w:rFonts w:asciiTheme="minorHAnsi" w:eastAsia="Calibri" w:hAnsiTheme="minorHAnsi" w:cstheme="minorBidi"/>
          <w:color w:val="000000" w:themeColor="text1"/>
          <w:sz w:val="22"/>
          <w:szCs w:val="22"/>
        </w:rPr>
        <w:t>budget and</w:t>
      </w:r>
      <w:r w:rsidR="006D6129" w:rsidRPr="2C0EAE0F">
        <w:rPr>
          <w:rFonts w:asciiTheme="minorHAnsi" w:eastAsia="Calibri" w:hAnsiTheme="minorHAnsi" w:cstheme="minorBidi"/>
          <w:color w:val="000000" w:themeColor="text1"/>
          <w:sz w:val="22"/>
          <w:szCs w:val="22"/>
        </w:rPr>
        <w:t xml:space="preserve"> make clear</w:t>
      </w:r>
      <w:r w:rsidR="00242F8F" w:rsidRPr="2C0EAE0F">
        <w:rPr>
          <w:rFonts w:asciiTheme="minorHAnsi" w:eastAsia="Calibri" w:hAnsiTheme="minorHAnsi" w:cstheme="minorBidi"/>
          <w:color w:val="000000" w:themeColor="text1"/>
          <w:sz w:val="22"/>
          <w:szCs w:val="22"/>
        </w:rPr>
        <w:t>er</w:t>
      </w:r>
      <w:r w:rsidR="006D6129" w:rsidRPr="2C0EAE0F">
        <w:rPr>
          <w:rFonts w:asciiTheme="minorHAnsi" w:eastAsia="Calibri" w:hAnsiTheme="minorHAnsi" w:cstheme="minorBidi"/>
          <w:color w:val="000000" w:themeColor="text1"/>
          <w:sz w:val="22"/>
          <w:szCs w:val="22"/>
        </w:rPr>
        <w:t xml:space="preserve"> links between </w:t>
      </w:r>
      <w:r w:rsidR="000A526B" w:rsidRPr="2C0EAE0F">
        <w:rPr>
          <w:rFonts w:asciiTheme="minorHAnsi" w:eastAsia="Calibri" w:hAnsiTheme="minorHAnsi" w:cstheme="minorBidi"/>
          <w:color w:val="000000" w:themeColor="text1"/>
          <w:sz w:val="22"/>
          <w:szCs w:val="22"/>
        </w:rPr>
        <w:t xml:space="preserve">the </w:t>
      </w:r>
      <w:r w:rsidR="00644B6D" w:rsidRPr="2C0EAE0F">
        <w:rPr>
          <w:rFonts w:asciiTheme="minorHAnsi" w:eastAsia="Calibri" w:hAnsiTheme="minorHAnsi" w:cstheme="minorBidi"/>
          <w:color w:val="000000" w:themeColor="text1"/>
          <w:sz w:val="22"/>
          <w:szCs w:val="22"/>
        </w:rPr>
        <w:t xml:space="preserve">budget and operational and strategic plans, identifying </w:t>
      </w:r>
      <w:r w:rsidR="006D6129" w:rsidRPr="2C0EAE0F">
        <w:rPr>
          <w:rFonts w:asciiTheme="minorHAnsi" w:eastAsia="Calibri" w:hAnsiTheme="minorHAnsi" w:cstheme="minorBidi"/>
          <w:color w:val="000000" w:themeColor="text1"/>
          <w:sz w:val="22"/>
          <w:szCs w:val="22"/>
        </w:rPr>
        <w:t>funding gaps.</w:t>
      </w:r>
      <w:r w:rsidR="008D7E9C" w:rsidRPr="2C0EAE0F">
        <w:rPr>
          <w:rFonts w:asciiTheme="minorHAnsi" w:eastAsia="Calibri" w:hAnsiTheme="minorHAnsi" w:cstheme="minorBidi"/>
          <w:color w:val="000000" w:themeColor="text1"/>
          <w:sz w:val="22"/>
          <w:szCs w:val="22"/>
        </w:rPr>
        <w:t xml:space="preserve"> </w:t>
      </w:r>
      <w:r w:rsidR="00996BCA" w:rsidRPr="00DA76FF">
        <w:rPr>
          <w:rFonts w:asciiTheme="minorHAnsi" w:eastAsiaTheme="minorEastAsia" w:hAnsiTheme="minorHAnsi" w:cstheme="minorBidi"/>
          <w:bCs/>
          <w:sz w:val="22"/>
          <w:szCs w:val="22"/>
          <w:lang w:eastAsia="zh-CN"/>
        </w:rPr>
        <w:t xml:space="preserve">To strengthen </w:t>
      </w:r>
      <w:r w:rsidR="00996BCA" w:rsidRPr="00DA76FF">
        <w:rPr>
          <w:rFonts w:asciiTheme="minorHAnsi" w:eastAsiaTheme="minorEastAsia" w:hAnsiTheme="minorHAnsi" w:cstheme="minorBidi"/>
          <w:bCs/>
          <w:i/>
          <w:iCs/>
          <w:sz w:val="22"/>
          <w:szCs w:val="22"/>
          <w:lang w:eastAsia="zh-CN"/>
        </w:rPr>
        <w:t>Sector Member</w:t>
      </w:r>
      <w:r w:rsidR="00996BCA" w:rsidRPr="00DA76FF">
        <w:rPr>
          <w:rFonts w:asciiTheme="minorHAnsi" w:eastAsiaTheme="minorEastAsia" w:hAnsiTheme="minorHAnsi" w:cstheme="minorBidi"/>
          <w:bCs/>
          <w:sz w:val="22"/>
          <w:szCs w:val="22"/>
          <w:lang w:eastAsia="zh-CN"/>
        </w:rPr>
        <w:t xml:space="preserve"> engagement and revenues, </w:t>
      </w:r>
      <w:r w:rsidR="002A6732" w:rsidRPr="00DA76FF">
        <w:rPr>
          <w:rFonts w:asciiTheme="minorHAnsi" w:eastAsiaTheme="minorEastAsia" w:hAnsiTheme="minorHAnsi" w:cstheme="minorBidi"/>
          <w:bCs/>
          <w:sz w:val="22"/>
          <w:szCs w:val="22"/>
          <w:lang w:eastAsia="zh-CN"/>
        </w:rPr>
        <w:t>which account for about 10</w:t>
      </w:r>
      <w:r w:rsidR="00AB77FE">
        <w:rPr>
          <w:rFonts w:asciiTheme="minorHAnsi" w:eastAsiaTheme="minorEastAsia" w:hAnsiTheme="minorHAnsi" w:cstheme="minorBidi"/>
          <w:bCs/>
          <w:sz w:val="22"/>
          <w:szCs w:val="22"/>
          <w:lang w:eastAsia="zh-CN"/>
        </w:rPr>
        <w:t xml:space="preserve"> per cent</w:t>
      </w:r>
      <w:r w:rsidR="002A6732" w:rsidRPr="00DA76FF">
        <w:rPr>
          <w:rFonts w:asciiTheme="minorHAnsi" w:eastAsiaTheme="minorEastAsia" w:hAnsiTheme="minorHAnsi" w:cstheme="minorBidi"/>
          <w:bCs/>
          <w:sz w:val="22"/>
          <w:szCs w:val="22"/>
          <w:lang w:eastAsia="zh-CN"/>
        </w:rPr>
        <w:t xml:space="preserve"> of regular budget revenues, </w:t>
      </w:r>
      <w:r w:rsidR="00996BCA" w:rsidRPr="00DA76FF">
        <w:rPr>
          <w:rFonts w:asciiTheme="minorHAnsi" w:eastAsiaTheme="minorEastAsia" w:hAnsiTheme="minorHAnsi" w:cstheme="minorBidi"/>
          <w:bCs/>
          <w:sz w:val="22"/>
          <w:szCs w:val="22"/>
          <w:lang w:eastAsia="zh-CN"/>
        </w:rPr>
        <w:t xml:space="preserve">the strategy calls for a review of Sector </w:t>
      </w:r>
      <w:r w:rsidR="00FC1F9C" w:rsidRPr="00DA76FF">
        <w:rPr>
          <w:rFonts w:asciiTheme="minorHAnsi" w:eastAsiaTheme="minorEastAsia" w:hAnsiTheme="minorHAnsi" w:cstheme="minorBidi"/>
          <w:bCs/>
          <w:sz w:val="22"/>
          <w:szCs w:val="22"/>
          <w:lang w:eastAsia="zh-CN"/>
        </w:rPr>
        <w:t xml:space="preserve">membership </w:t>
      </w:r>
      <w:r w:rsidR="00996BCA" w:rsidRPr="00DA76FF">
        <w:rPr>
          <w:rFonts w:asciiTheme="minorHAnsi" w:eastAsiaTheme="minorEastAsia" w:hAnsiTheme="minorHAnsi" w:cstheme="minorBidi"/>
          <w:bCs/>
          <w:sz w:val="22"/>
          <w:szCs w:val="22"/>
          <w:lang w:eastAsia="zh-CN"/>
        </w:rPr>
        <w:t>in consultation with the Sector Advisory Groups. This includes considering benefits that would encourage existing Sector Members to have memberships across multiple Sectors</w:t>
      </w:r>
      <w:r w:rsidR="00E558AB">
        <w:rPr>
          <w:rFonts w:asciiTheme="minorHAnsi" w:eastAsiaTheme="minorEastAsia" w:hAnsiTheme="minorHAnsi" w:cstheme="minorBidi"/>
          <w:bCs/>
          <w:sz w:val="22"/>
          <w:szCs w:val="22"/>
          <w:lang w:eastAsia="zh-CN"/>
        </w:rPr>
        <w:t>,</w:t>
      </w:r>
      <w:r w:rsidR="00996BCA" w:rsidRPr="00DA76FF">
        <w:rPr>
          <w:rFonts w:asciiTheme="minorHAnsi" w:eastAsiaTheme="minorEastAsia" w:hAnsiTheme="minorHAnsi" w:cstheme="minorBidi"/>
          <w:bCs/>
          <w:sz w:val="22"/>
          <w:szCs w:val="22"/>
          <w:lang w:eastAsia="zh-CN"/>
        </w:rPr>
        <w:t xml:space="preserve"> and Associates to upgrade to full Sector membership. It also includes reviewing and modernizing key member services like </w:t>
      </w:r>
      <w:r w:rsidR="00AF7E31">
        <w:rPr>
          <w:rFonts w:asciiTheme="minorHAnsi" w:eastAsiaTheme="minorEastAsia" w:hAnsiTheme="minorHAnsi" w:cstheme="minorBidi"/>
          <w:bCs/>
          <w:sz w:val="22"/>
          <w:szCs w:val="22"/>
          <w:lang w:eastAsia="zh-CN"/>
        </w:rPr>
        <w:t>s</w:t>
      </w:r>
      <w:r w:rsidR="00996BCA" w:rsidRPr="00DA76FF">
        <w:rPr>
          <w:rFonts w:asciiTheme="minorHAnsi" w:eastAsiaTheme="minorEastAsia" w:hAnsiTheme="minorHAnsi" w:cstheme="minorBidi"/>
          <w:bCs/>
          <w:sz w:val="22"/>
          <w:szCs w:val="22"/>
          <w:lang w:eastAsia="zh-CN"/>
        </w:rPr>
        <w:t xml:space="preserve">tudy </w:t>
      </w:r>
      <w:r w:rsidR="00AF7E31">
        <w:rPr>
          <w:rFonts w:asciiTheme="minorHAnsi" w:eastAsiaTheme="minorEastAsia" w:hAnsiTheme="minorHAnsi" w:cstheme="minorBidi"/>
          <w:bCs/>
          <w:sz w:val="22"/>
          <w:szCs w:val="22"/>
          <w:lang w:eastAsia="zh-CN"/>
        </w:rPr>
        <w:t>g</w:t>
      </w:r>
      <w:r w:rsidR="00996BCA" w:rsidRPr="00DA76FF">
        <w:rPr>
          <w:rFonts w:asciiTheme="minorHAnsi" w:eastAsiaTheme="minorEastAsia" w:hAnsiTheme="minorHAnsi" w:cstheme="minorBidi"/>
          <w:bCs/>
          <w:sz w:val="22"/>
          <w:szCs w:val="22"/>
          <w:lang w:eastAsia="zh-CN"/>
        </w:rPr>
        <w:t>roups.</w:t>
      </w:r>
      <w:r w:rsidR="006E2DB3" w:rsidRPr="00DA76FF">
        <w:rPr>
          <w:rFonts w:asciiTheme="minorHAnsi" w:eastAsiaTheme="minorEastAsia" w:hAnsiTheme="minorHAnsi" w:cstheme="minorBidi"/>
          <w:bCs/>
          <w:sz w:val="22"/>
          <w:szCs w:val="22"/>
          <w:lang w:eastAsia="zh-CN"/>
        </w:rPr>
        <w:t xml:space="preserve"> To this end, the CWG-FHR sent a liaison statement to the advisory groups calling for inputs. This topic will be on the advisory group agendas of each sector in 2025, with reporting back to the CWG-FHR’s fall session.</w:t>
      </w:r>
    </w:p>
    <w:p w14:paraId="449E4491" w14:textId="3B4B9CB0" w:rsidR="006E2DB3" w:rsidRPr="00DA76FF" w:rsidRDefault="00C13652" w:rsidP="00A1269A">
      <w:pPr>
        <w:overflowPunct/>
        <w:autoSpaceDE/>
        <w:autoSpaceDN/>
        <w:adjustRightInd/>
        <w:spacing w:after="120"/>
        <w:jc w:val="both"/>
        <w:textAlignment w:val="auto"/>
        <w:rPr>
          <w:rFonts w:asciiTheme="minorHAnsi" w:eastAsiaTheme="minorEastAsia" w:hAnsiTheme="minorHAnsi" w:cstheme="minorBidi"/>
          <w:sz w:val="22"/>
          <w:szCs w:val="22"/>
          <w:lang w:eastAsia="zh-CN"/>
        </w:rPr>
      </w:pPr>
      <w:r w:rsidRPr="2C0EAE0F">
        <w:rPr>
          <w:rFonts w:asciiTheme="minorHAnsi" w:eastAsiaTheme="minorEastAsia" w:hAnsiTheme="minorHAnsi" w:cstheme="minorBidi"/>
          <w:sz w:val="22"/>
          <w:szCs w:val="22"/>
          <w:lang w:eastAsia="zh-CN"/>
        </w:rPr>
        <w:t>The</w:t>
      </w:r>
      <w:r w:rsidR="004E1F61" w:rsidRPr="2C0EAE0F">
        <w:rPr>
          <w:rFonts w:asciiTheme="minorHAnsi" w:eastAsiaTheme="minorEastAsia" w:hAnsiTheme="minorHAnsi" w:cstheme="minorBidi"/>
          <w:sz w:val="22"/>
          <w:szCs w:val="22"/>
          <w:lang w:eastAsia="zh-CN"/>
        </w:rPr>
        <w:t xml:space="preserve"> resource mobilization strategy also </w:t>
      </w:r>
      <w:r w:rsidR="005B0EC2" w:rsidRPr="2C0EAE0F">
        <w:rPr>
          <w:rFonts w:asciiTheme="minorHAnsi" w:eastAsiaTheme="minorEastAsia" w:hAnsiTheme="minorHAnsi" w:cstheme="minorBidi"/>
          <w:sz w:val="22"/>
          <w:szCs w:val="22"/>
          <w:lang w:eastAsia="zh-CN"/>
        </w:rPr>
        <w:t>calls for reviews of various events, products and services</w:t>
      </w:r>
      <w:r w:rsidR="003D6596" w:rsidRPr="2C0EAE0F">
        <w:rPr>
          <w:rFonts w:asciiTheme="minorHAnsi" w:eastAsiaTheme="minorEastAsia" w:hAnsiTheme="minorHAnsi" w:cstheme="minorBidi"/>
          <w:sz w:val="22"/>
          <w:szCs w:val="22"/>
          <w:lang w:eastAsia="zh-CN"/>
        </w:rPr>
        <w:t xml:space="preserve">. Products and services </w:t>
      </w:r>
      <w:r w:rsidR="005F6251" w:rsidRPr="2C0EAE0F">
        <w:rPr>
          <w:rFonts w:asciiTheme="minorHAnsi" w:eastAsiaTheme="minorEastAsia" w:hAnsiTheme="minorHAnsi" w:cstheme="minorBidi"/>
          <w:sz w:val="22"/>
          <w:szCs w:val="22"/>
          <w:lang w:eastAsia="zh-CN"/>
        </w:rPr>
        <w:t>account for about 20</w:t>
      </w:r>
      <w:r w:rsidR="00AB77FE" w:rsidRPr="2C0EAE0F">
        <w:rPr>
          <w:rFonts w:asciiTheme="minorHAnsi" w:eastAsiaTheme="minorEastAsia" w:hAnsiTheme="minorHAnsi" w:cstheme="minorBidi"/>
          <w:sz w:val="22"/>
          <w:szCs w:val="22"/>
          <w:lang w:eastAsia="zh-CN"/>
        </w:rPr>
        <w:t xml:space="preserve"> per cent</w:t>
      </w:r>
      <w:r w:rsidR="005F6251" w:rsidRPr="2C0EAE0F">
        <w:rPr>
          <w:rFonts w:asciiTheme="minorHAnsi" w:eastAsiaTheme="minorEastAsia" w:hAnsiTheme="minorHAnsi" w:cstheme="minorBidi"/>
          <w:sz w:val="22"/>
          <w:szCs w:val="22"/>
          <w:lang w:eastAsia="zh-CN"/>
        </w:rPr>
        <w:t xml:space="preserve"> of the regular budget</w:t>
      </w:r>
      <w:r w:rsidR="003D6596" w:rsidRPr="2C0EAE0F">
        <w:rPr>
          <w:rFonts w:asciiTheme="minorHAnsi" w:eastAsiaTheme="minorEastAsia" w:hAnsiTheme="minorHAnsi" w:cstheme="minorBidi"/>
          <w:sz w:val="22"/>
          <w:szCs w:val="22"/>
          <w:lang w:eastAsia="zh-CN"/>
        </w:rPr>
        <w:t xml:space="preserve"> through cost recovery</w:t>
      </w:r>
      <w:r w:rsidR="005F6251" w:rsidRPr="2C0EAE0F">
        <w:rPr>
          <w:rFonts w:asciiTheme="minorHAnsi" w:eastAsiaTheme="minorEastAsia" w:hAnsiTheme="minorHAnsi" w:cstheme="minorBidi"/>
          <w:sz w:val="22"/>
          <w:szCs w:val="22"/>
          <w:lang w:eastAsia="zh-CN"/>
        </w:rPr>
        <w:t xml:space="preserve">. </w:t>
      </w:r>
      <w:r w:rsidR="00EE5AAC" w:rsidRPr="2C0EAE0F">
        <w:rPr>
          <w:rFonts w:asciiTheme="minorHAnsi" w:eastAsiaTheme="minorEastAsia" w:hAnsiTheme="minorHAnsi" w:cstheme="minorBidi"/>
          <w:sz w:val="22"/>
          <w:szCs w:val="22"/>
          <w:lang w:eastAsia="zh-CN"/>
        </w:rPr>
        <w:lastRenderedPageBreak/>
        <w:t>I</w:t>
      </w:r>
      <w:r w:rsidR="00FF158C" w:rsidRPr="2C0EAE0F">
        <w:rPr>
          <w:rFonts w:asciiTheme="minorHAnsi" w:eastAsiaTheme="minorEastAsia" w:hAnsiTheme="minorHAnsi" w:cstheme="minorBidi"/>
          <w:sz w:val="22"/>
          <w:szCs w:val="22"/>
          <w:lang w:eastAsia="zh-CN"/>
        </w:rPr>
        <w:t>nvestments</w:t>
      </w:r>
      <w:r w:rsidR="00EE5AAC" w:rsidRPr="2C0EAE0F">
        <w:rPr>
          <w:rFonts w:asciiTheme="minorHAnsi" w:eastAsiaTheme="minorEastAsia" w:hAnsiTheme="minorHAnsi" w:cstheme="minorBidi"/>
          <w:sz w:val="22"/>
          <w:szCs w:val="22"/>
          <w:lang w:eastAsia="zh-CN"/>
        </w:rPr>
        <w:t xml:space="preserve"> </w:t>
      </w:r>
      <w:r w:rsidR="00FF158C" w:rsidRPr="2C0EAE0F">
        <w:rPr>
          <w:rFonts w:asciiTheme="minorHAnsi" w:eastAsiaTheme="minorEastAsia" w:hAnsiTheme="minorHAnsi" w:cstheme="minorBidi"/>
          <w:sz w:val="22"/>
          <w:szCs w:val="22"/>
          <w:lang w:eastAsia="zh-CN"/>
        </w:rPr>
        <w:t xml:space="preserve">in new systems </w:t>
      </w:r>
      <w:r w:rsidR="00FB0C6A" w:rsidRPr="2C0EAE0F">
        <w:rPr>
          <w:rFonts w:asciiTheme="minorHAnsi" w:eastAsiaTheme="minorEastAsia" w:hAnsiTheme="minorHAnsi" w:cstheme="minorBidi"/>
          <w:sz w:val="22"/>
          <w:szCs w:val="22"/>
          <w:lang w:eastAsia="zh-CN"/>
        </w:rPr>
        <w:t>have been made to modernize delivery of maritime products, which account for the other half of cost recovery revenues, and further investments are planned</w:t>
      </w:r>
      <w:r w:rsidR="00EE5AAC" w:rsidRPr="2C0EAE0F">
        <w:rPr>
          <w:rFonts w:asciiTheme="minorHAnsi" w:eastAsiaTheme="minorEastAsia" w:hAnsiTheme="minorHAnsi" w:cstheme="minorBidi"/>
          <w:sz w:val="22"/>
          <w:szCs w:val="22"/>
          <w:lang w:eastAsia="zh-CN"/>
        </w:rPr>
        <w:t xml:space="preserve"> to support the </w:t>
      </w:r>
      <w:r w:rsidR="00876369" w:rsidRPr="2C0EAE0F">
        <w:rPr>
          <w:rFonts w:asciiTheme="minorHAnsi" w:eastAsiaTheme="minorEastAsia" w:hAnsiTheme="minorHAnsi" w:cstheme="minorBidi"/>
          <w:sz w:val="22"/>
          <w:szCs w:val="22"/>
          <w:lang w:eastAsia="zh-CN"/>
        </w:rPr>
        <w:t>sale of digital products and moderniz</w:t>
      </w:r>
      <w:r w:rsidR="00BF1BC3" w:rsidRPr="2C0EAE0F">
        <w:rPr>
          <w:rFonts w:asciiTheme="minorHAnsi" w:eastAsiaTheme="minorEastAsia" w:hAnsiTheme="minorHAnsi" w:cstheme="minorBidi"/>
          <w:sz w:val="22"/>
          <w:szCs w:val="22"/>
          <w:lang w:eastAsia="zh-CN"/>
        </w:rPr>
        <w:t>ation of ITU’s</w:t>
      </w:r>
      <w:r w:rsidR="00876369" w:rsidRPr="2C0EAE0F">
        <w:rPr>
          <w:rFonts w:asciiTheme="minorHAnsi" w:eastAsiaTheme="minorEastAsia" w:hAnsiTheme="minorHAnsi" w:cstheme="minorBidi"/>
          <w:sz w:val="22"/>
          <w:szCs w:val="22"/>
          <w:lang w:eastAsia="zh-CN"/>
        </w:rPr>
        <w:t xml:space="preserve"> event experience, which would open the door to potential new revenue streams. In addition, m</w:t>
      </w:r>
      <w:r w:rsidR="005B0EC2" w:rsidRPr="2C0EAE0F">
        <w:rPr>
          <w:rFonts w:asciiTheme="minorHAnsi" w:eastAsiaTheme="minorEastAsia" w:hAnsiTheme="minorHAnsi" w:cstheme="minorBidi"/>
          <w:sz w:val="22"/>
          <w:szCs w:val="22"/>
          <w:lang w:eastAsia="zh-CN"/>
        </w:rPr>
        <w:t>ajor events like AI for Good a</w:t>
      </w:r>
      <w:r w:rsidR="00FF158C" w:rsidRPr="2C0EAE0F">
        <w:rPr>
          <w:rFonts w:asciiTheme="minorHAnsi" w:eastAsiaTheme="minorEastAsia" w:hAnsiTheme="minorHAnsi" w:cstheme="minorBidi"/>
          <w:sz w:val="22"/>
          <w:szCs w:val="22"/>
          <w:lang w:eastAsia="zh-CN"/>
        </w:rPr>
        <w:t>re</w:t>
      </w:r>
      <w:r w:rsidR="00522EF1" w:rsidRPr="2C0EAE0F">
        <w:rPr>
          <w:rFonts w:asciiTheme="minorHAnsi" w:eastAsiaTheme="minorEastAsia" w:hAnsiTheme="minorHAnsi" w:cstheme="minorBidi"/>
          <w:sz w:val="22"/>
          <w:szCs w:val="22"/>
          <w:lang w:eastAsia="zh-CN"/>
        </w:rPr>
        <w:t xml:space="preserve"> testing</w:t>
      </w:r>
      <w:r w:rsidR="00DD76A2" w:rsidRPr="2C0EAE0F">
        <w:rPr>
          <w:rFonts w:asciiTheme="minorHAnsi" w:eastAsiaTheme="minorEastAsia" w:hAnsiTheme="minorHAnsi" w:cstheme="minorBidi"/>
          <w:sz w:val="22"/>
          <w:szCs w:val="22"/>
          <w:lang w:eastAsia="zh-CN"/>
        </w:rPr>
        <w:t xml:space="preserve"> various</w:t>
      </w:r>
      <w:r w:rsidR="00522EF1" w:rsidRPr="2C0EAE0F">
        <w:rPr>
          <w:rFonts w:asciiTheme="minorHAnsi" w:eastAsiaTheme="minorEastAsia" w:hAnsiTheme="minorHAnsi" w:cstheme="minorBidi"/>
          <w:sz w:val="22"/>
          <w:szCs w:val="22"/>
          <w:lang w:eastAsia="zh-CN"/>
        </w:rPr>
        <w:t xml:space="preserve"> </w:t>
      </w:r>
      <w:r w:rsidR="00FF158C" w:rsidRPr="2C0EAE0F">
        <w:rPr>
          <w:rFonts w:asciiTheme="minorHAnsi" w:eastAsiaTheme="minorEastAsia" w:hAnsiTheme="minorHAnsi" w:cstheme="minorBidi"/>
          <w:sz w:val="22"/>
          <w:szCs w:val="22"/>
          <w:lang w:eastAsia="zh-CN"/>
        </w:rPr>
        <w:t>revenue models</w:t>
      </w:r>
      <w:r w:rsidR="00522EF1" w:rsidRPr="2C0EAE0F">
        <w:rPr>
          <w:rFonts w:asciiTheme="minorHAnsi" w:eastAsiaTheme="minorEastAsia" w:hAnsiTheme="minorHAnsi" w:cstheme="minorBidi"/>
          <w:sz w:val="22"/>
          <w:szCs w:val="22"/>
          <w:lang w:eastAsia="zh-CN"/>
        </w:rPr>
        <w:t>.</w:t>
      </w:r>
    </w:p>
    <w:p w14:paraId="5E65F91A" w14:textId="73C45FDA" w:rsidR="00847C0E" w:rsidRPr="00DA76FF" w:rsidRDefault="274AC07A" w:rsidP="00A1269A">
      <w:pPr>
        <w:overflowPunct/>
        <w:autoSpaceDE/>
        <w:autoSpaceDN/>
        <w:adjustRightInd/>
        <w:spacing w:after="120"/>
        <w:jc w:val="both"/>
        <w:textAlignment w:val="auto"/>
        <w:rPr>
          <w:rFonts w:asciiTheme="minorHAnsi" w:eastAsiaTheme="minorEastAsia" w:hAnsiTheme="minorHAnsi" w:cstheme="minorBidi"/>
          <w:sz w:val="22"/>
          <w:szCs w:val="18"/>
          <w:lang w:eastAsia="zh-CN"/>
        </w:rPr>
      </w:pPr>
      <w:r w:rsidRPr="00DA76FF">
        <w:rPr>
          <w:rFonts w:asciiTheme="minorHAnsi" w:eastAsiaTheme="minorEastAsia" w:hAnsiTheme="minorHAnsi" w:cstheme="minorBidi"/>
          <w:sz w:val="22"/>
          <w:szCs w:val="18"/>
          <w:lang w:eastAsia="zh-CN"/>
        </w:rPr>
        <w:t xml:space="preserve">Regarding voluntary contributions, </w:t>
      </w:r>
      <w:r w:rsidR="4B36A486" w:rsidRPr="00DA76FF">
        <w:rPr>
          <w:rFonts w:asciiTheme="minorHAnsi" w:eastAsiaTheme="minorEastAsia" w:hAnsiTheme="minorHAnsi" w:cstheme="minorBidi"/>
          <w:sz w:val="22"/>
          <w:szCs w:val="18"/>
          <w:lang w:eastAsia="zh-CN"/>
        </w:rPr>
        <w:t xml:space="preserve">which are used to supplement the regular budget, </w:t>
      </w:r>
      <w:r w:rsidRPr="00DA76FF">
        <w:rPr>
          <w:rFonts w:asciiTheme="minorHAnsi" w:eastAsiaTheme="minorEastAsia" w:hAnsiTheme="minorHAnsi" w:cstheme="minorBidi"/>
          <w:sz w:val="22"/>
          <w:szCs w:val="18"/>
          <w:lang w:eastAsia="zh-CN"/>
        </w:rPr>
        <w:t>the World Telecommunication Development Conference in 2025</w:t>
      </w:r>
      <w:r w:rsidR="00FC1F9C">
        <w:rPr>
          <w:rFonts w:asciiTheme="minorHAnsi" w:eastAsiaTheme="minorEastAsia" w:hAnsiTheme="minorHAnsi" w:cstheme="minorBidi"/>
          <w:sz w:val="22"/>
          <w:szCs w:val="18"/>
          <w:lang w:eastAsia="zh-CN"/>
        </w:rPr>
        <w:t xml:space="preserve"> (WTDC-25)</w:t>
      </w:r>
      <w:r w:rsidRPr="00DA76FF">
        <w:rPr>
          <w:rFonts w:asciiTheme="minorHAnsi" w:eastAsiaTheme="minorEastAsia" w:hAnsiTheme="minorHAnsi" w:cstheme="minorBidi"/>
          <w:sz w:val="22"/>
          <w:szCs w:val="18"/>
          <w:lang w:eastAsia="zh-CN"/>
        </w:rPr>
        <w:t xml:space="preserve"> presents an opportunity to explore new approaches </w:t>
      </w:r>
      <w:r w:rsidR="222F5A10" w:rsidRPr="00DA76FF">
        <w:rPr>
          <w:rFonts w:asciiTheme="minorHAnsi" w:eastAsiaTheme="minorEastAsia" w:hAnsiTheme="minorHAnsi" w:cstheme="minorBidi"/>
          <w:sz w:val="22"/>
          <w:szCs w:val="18"/>
          <w:lang w:eastAsia="zh-CN"/>
        </w:rPr>
        <w:t xml:space="preserve">to </w:t>
      </w:r>
      <w:r w:rsidR="26316933" w:rsidRPr="00DA76FF">
        <w:rPr>
          <w:rFonts w:asciiTheme="minorHAnsi" w:eastAsiaTheme="minorEastAsia" w:hAnsiTheme="minorHAnsi" w:cstheme="minorBidi"/>
          <w:sz w:val="22"/>
          <w:szCs w:val="18"/>
          <w:lang w:eastAsia="zh-CN"/>
        </w:rPr>
        <w:t>raise</w:t>
      </w:r>
      <w:r w:rsidR="222F5A10" w:rsidRPr="00DA76FF">
        <w:rPr>
          <w:rFonts w:asciiTheme="minorHAnsi" w:eastAsiaTheme="minorEastAsia" w:hAnsiTheme="minorHAnsi" w:cstheme="minorBidi"/>
          <w:sz w:val="22"/>
          <w:szCs w:val="18"/>
          <w:lang w:eastAsia="zh-CN"/>
        </w:rPr>
        <w:t xml:space="preserve"> funds </w:t>
      </w:r>
      <w:r w:rsidR="58B9BE79" w:rsidRPr="00DA76FF">
        <w:rPr>
          <w:rFonts w:asciiTheme="minorHAnsi" w:eastAsiaTheme="minorEastAsia" w:hAnsiTheme="minorHAnsi" w:cstheme="minorBidi"/>
          <w:sz w:val="22"/>
          <w:szCs w:val="18"/>
          <w:lang w:eastAsia="zh-CN"/>
        </w:rPr>
        <w:t xml:space="preserve">for projects and initiatives. </w:t>
      </w:r>
      <w:r w:rsidR="26316933" w:rsidRPr="00DA76FF">
        <w:rPr>
          <w:rFonts w:asciiTheme="minorHAnsi" w:eastAsiaTheme="minorEastAsia" w:hAnsiTheme="minorHAnsi" w:cstheme="minorBidi"/>
          <w:sz w:val="22"/>
          <w:szCs w:val="18"/>
          <w:lang w:eastAsia="zh-CN"/>
        </w:rPr>
        <w:t>Initiatives like G</w:t>
      </w:r>
      <w:r w:rsidR="00C86EA7">
        <w:rPr>
          <w:rFonts w:asciiTheme="minorHAnsi" w:eastAsiaTheme="minorEastAsia" w:hAnsiTheme="minorHAnsi" w:cstheme="minorBidi"/>
          <w:sz w:val="22"/>
          <w:szCs w:val="18"/>
          <w:lang w:eastAsia="zh-CN"/>
        </w:rPr>
        <w:t>iga</w:t>
      </w:r>
      <w:r w:rsidR="26316933" w:rsidRPr="00DA76FF">
        <w:rPr>
          <w:rFonts w:asciiTheme="minorHAnsi" w:eastAsiaTheme="minorEastAsia" w:hAnsiTheme="minorHAnsi" w:cstheme="minorBidi"/>
          <w:sz w:val="22"/>
          <w:szCs w:val="18"/>
          <w:lang w:eastAsia="zh-CN"/>
        </w:rPr>
        <w:t xml:space="preserve"> </w:t>
      </w:r>
      <w:r w:rsidR="00C86EA7">
        <w:rPr>
          <w:rFonts w:asciiTheme="minorHAnsi" w:eastAsiaTheme="minorEastAsia" w:hAnsiTheme="minorHAnsi" w:cstheme="minorBidi"/>
          <w:sz w:val="22"/>
          <w:szCs w:val="18"/>
          <w:lang w:eastAsia="zh-CN"/>
        </w:rPr>
        <w:t>confirm</w:t>
      </w:r>
      <w:r w:rsidR="26316933" w:rsidRPr="00DA76FF">
        <w:rPr>
          <w:rFonts w:asciiTheme="minorHAnsi" w:eastAsiaTheme="minorEastAsia" w:hAnsiTheme="minorHAnsi" w:cstheme="minorBidi"/>
          <w:sz w:val="22"/>
          <w:szCs w:val="18"/>
          <w:lang w:eastAsia="zh-CN"/>
        </w:rPr>
        <w:t xml:space="preserve"> the potential</w:t>
      </w:r>
      <w:r w:rsidR="451D7270" w:rsidRPr="00DA76FF">
        <w:rPr>
          <w:rFonts w:asciiTheme="minorHAnsi" w:eastAsiaTheme="minorEastAsia" w:hAnsiTheme="minorHAnsi" w:cstheme="minorBidi"/>
          <w:sz w:val="22"/>
          <w:szCs w:val="18"/>
          <w:lang w:eastAsia="zh-CN"/>
        </w:rPr>
        <w:t xml:space="preserve"> </w:t>
      </w:r>
      <w:r w:rsidR="6C6517D8" w:rsidRPr="00DA76FF">
        <w:rPr>
          <w:rFonts w:asciiTheme="minorHAnsi" w:eastAsiaTheme="minorEastAsia" w:hAnsiTheme="minorHAnsi" w:cstheme="minorBidi"/>
          <w:sz w:val="22"/>
          <w:szCs w:val="18"/>
          <w:lang w:eastAsia="zh-CN"/>
        </w:rPr>
        <w:t xml:space="preserve">to </w:t>
      </w:r>
      <w:r w:rsidR="00A90FF2">
        <w:rPr>
          <w:rFonts w:asciiTheme="minorHAnsi" w:eastAsiaTheme="minorEastAsia" w:hAnsiTheme="minorHAnsi" w:cstheme="minorBidi"/>
          <w:sz w:val="22"/>
          <w:szCs w:val="18"/>
          <w:lang w:eastAsia="zh-CN"/>
        </w:rPr>
        <w:t>boost</w:t>
      </w:r>
      <w:r w:rsidR="00A90FF2" w:rsidRPr="00DA76FF">
        <w:rPr>
          <w:rFonts w:asciiTheme="minorHAnsi" w:eastAsiaTheme="minorEastAsia" w:hAnsiTheme="minorHAnsi" w:cstheme="minorBidi"/>
          <w:sz w:val="22"/>
          <w:szCs w:val="18"/>
          <w:lang w:eastAsia="zh-CN"/>
        </w:rPr>
        <w:t xml:space="preserve"> </w:t>
      </w:r>
      <w:r w:rsidR="6C6517D8" w:rsidRPr="00DA76FF">
        <w:rPr>
          <w:rFonts w:asciiTheme="minorHAnsi" w:eastAsiaTheme="minorEastAsia" w:hAnsiTheme="minorHAnsi" w:cstheme="minorBidi"/>
          <w:sz w:val="22"/>
          <w:szCs w:val="18"/>
          <w:lang w:eastAsia="zh-CN"/>
        </w:rPr>
        <w:t xml:space="preserve">funding </w:t>
      </w:r>
      <w:r w:rsidR="00A90FF2">
        <w:rPr>
          <w:rFonts w:asciiTheme="minorHAnsi" w:eastAsiaTheme="minorEastAsia" w:hAnsiTheme="minorHAnsi" w:cstheme="minorBidi"/>
          <w:sz w:val="22"/>
          <w:szCs w:val="18"/>
          <w:lang w:eastAsia="zh-CN"/>
        </w:rPr>
        <w:t xml:space="preserve">and maximize impact </w:t>
      </w:r>
      <w:r w:rsidR="26316933" w:rsidRPr="00DA76FF">
        <w:rPr>
          <w:rFonts w:asciiTheme="minorHAnsi" w:eastAsiaTheme="minorEastAsia" w:hAnsiTheme="minorHAnsi" w:cstheme="minorBidi"/>
          <w:sz w:val="22"/>
          <w:szCs w:val="18"/>
          <w:lang w:eastAsia="zh-CN"/>
        </w:rPr>
        <w:t xml:space="preserve">by partnering with other UN agencies. </w:t>
      </w:r>
      <w:r w:rsidR="20C29504" w:rsidRPr="00DA76FF">
        <w:rPr>
          <w:rFonts w:asciiTheme="minorHAnsi" w:eastAsiaTheme="minorEastAsia" w:hAnsiTheme="minorHAnsi" w:cstheme="minorBidi"/>
          <w:sz w:val="22"/>
          <w:szCs w:val="18"/>
          <w:lang w:eastAsia="zh-CN"/>
        </w:rPr>
        <w:t>The secretariat is also working to address key enablers of project implementation, including streamlined hiring and procurement processes</w:t>
      </w:r>
      <w:r w:rsidR="35BA0732" w:rsidRPr="00DA76FF">
        <w:rPr>
          <w:rFonts w:asciiTheme="minorHAnsi" w:eastAsiaTheme="minorEastAsia" w:hAnsiTheme="minorHAnsi" w:cstheme="minorBidi"/>
          <w:sz w:val="22"/>
          <w:szCs w:val="18"/>
          <w:lang w:eastAsia="zh-CN"/>
        </w:rPr>
        <w:t xml:space="preserve">, new </w:t>
      </w:r>
      <w:r w:rsidR="00BC3FB7">
        <w:rPr>
          <w:rFonts w:asciiTheme="minorHAnsi" w:eastAsiaTheme="minorEastAsia" w:hAnsiTheme="minorHAnsi" w:cstheme="minorBidi"/>
          <w:sz w:val="22"/>
          <w:szCs w:val="18"/>
          <w:lang w:eastAsia="zh-CN"/>
        </w:rPr>
        <w:t>information</w:t>
      </w:r>
      <w:r w:rsidR="0059208B">
        <w:rPr>
          <w:rFonts w:asciiTheme="minorHAnsi" w:eastAsiaTheme="minorEastAsia" w:hAnsiTheme="minorHAnsi" w:cstheme="minorBidi"/>
          <w:sz w:val="22"/>
          <w:szCs w:val="18"/>
          <w:lang w:eastAsia="zh-CN"/>
        </w:rPr>
        <w:t xml:space="preserve"> </w:t>
      </w:r>
      <w:r w:rsidR="00BC3FB7">
        <w:rPr>
          <w:rFonts w:asciiTheme="minorHAnsi" w:eastAsiaTheme="minorEastAsia" w:hAnsiTheme="minorHAnsi" w:cstheme="minorBidi"/>
          <w:sz w:val="22"/>
          <w:szCs w:val="18"/>
          <w:lang w:eastAsia="zh-CN"/>
        </w:rPr>
        <w:t>technology (IT)</w:t>
      </w:r>
      <w:r w:rsidR="35BA0732" w:rsidRPr="00DA76FF">
        <w:rPr>
          <w:rFonts w:asciiTheme="minorHAnsi" w:eastAsiaTheme="minorEastAsia" w:hAnsiTheme="minorHAnsi" w:cstheme="minorBidi"/>
          <w:sz w:val="22"/>
          <w:szCs w:val="18"/>
          <w:lang w:eastAsia="zh-CN"/>
        </w:rPr>
        <w:t xml:space="preserve"> systems</w:t>
      </w:r>
      <w:r w:rsidR="4B36A486" w:rsidRPr="00DA76FF">
        <w:rPr>
          <w:rFonts w:asciiTheme="minorHAnsi" w:eastAsiaTheme="minorEastAsia" w:hAnsiTheme="minorHAnsi" w:cstheme="minorBidi"/>
          <w:sz w:val="22"/>
          <w:szCs w:val="18"/>
          <w:lang w:eastAsia="zh-CN"/>
        </w:rPr>
        <w:t xml:space="preserve"> to support efficient </w:t>
      </w:r>
      <w:r w:rsidR="35BA0732" w:rsidRPr="00DA76FF">
        <w:rPr>
          <w:rFonts w:asciiTheme="minorHAnsi" w:eastAsiaTheme="minorEastAsia" w:hAnsiTheme="minorHAnsi" w:cstheme="minorBidi"/>
          <w:sz w:val="22"/>
          <w:szCs w:val="18"/>
          <w:lang w:eastAsia="zh-CN"/>
        </w:rPr>
        <w:t>ITU-wide coordination of outreach to members and partners,</w:t>
      </w:r>
      <w:r w:rsidR="20C29504" w:rsidRPr="00DA76FF">
        <w:rPr>
          <w:rFonts w:asciiTheme="minorHAnsi" w:eastAsiaTheme="minorEastAsia" w:hAnsiTheme="minorHAnsi" w:cstheme="minorBidi"/>
          <w:sz w:val="22"/>
          <w:szCs w:val="18"/>
          <w:lang w:eastAsia="zh-CN"/>
        </w:rPr>
        <w:t xml:space="preserve"> and a new partnership strategy to </w:t>
      </w:r>
      <w:r w:rsidR="19CDE31E" w:rsidRPr="00DA76FF">
        <w:rPr>
          <w:rFonts w:asciiTheme="minorHAnsi" w:eastAsiaTheme="minorEastAsia" w:hAnsiTheme="minorHAnsi" w:cstheme="minorBidi"/>
          <w:sz w:val="22"/>
          <w:szCs w:val="18"/>
          <w:lang w:eastAsia="zh-CN"/>
        </w:rPr>
        <w:t xml:space="preserve">leverage </w:t>
      </w:r>
      <w:r w:rsidR="53C523AE" w:rsidRPr="00DA76FF">
        <w:rPr>
          <w:rFonts w:asciiTheme="minorHAnsi" w:eastAsiaTheme="minorEastAsia" w:hAnsiTheme="minorHAnsi" w:cstheme="minorBidi"/>
          <w:sz w:val="22"/>
          <w:szCs w:val="18"/>
          <w:lang w:eastAsia="zh-CN"/>
        </w:rPr>
        <w:t>partnerships</w:t>
      </w:r>
      <w:r w:rsidR="7E1E1330" w:rsidRPr="00DA76FF">
        <w:rPr>
          <w:rFonts w:asciiTheme="minorHAnsi" w:eastAsiaTheme="minorEastAsia" w:hAnsiTheme="minorHAnsi" w:cstheme="minorBidi"/>
          <w:sz w:val="22"/>
          <w:szCs w:val="18"/>
          <w:lang w:eastAsia="zh-CN"/>
        </w:rPr>
        <w:t xml:space="preserve"> for impact and</w:t>
      </w:r>
      <w:r w:rsidR="53C523AE" w:rsidRPr="00DA76FF">
        <w:rPr>
          <w:rFonts w:asciiTheme="minorHAnsi" w:eastAsiaTheme="minorEastAsia" w:hAnsiTheme="minorHAnsi" w:cstheme="minorBidi"/>
          <w:sz w:val="22"/>
          <w:szCs w:val="18"/>
          <w:lang w:eastAsia="zh-CN"/>
        </w:rPr>
        <w:t xml:space="preserve"> </w:t>
      </w:r>
      <w:r w:rsidR="20C29504" w:rsidRPr="00DA76FF">
        <w:rPr>
          <w:rFonts w:asciiTheme="minorHAnsi" w:eastAsiaTheme="minorEastAsia" w:hAnsiTheme="minorHAnsi" w:cstheme="minorBidi"/>
          <w:sz w:val="22"/>
          <w:szCs w:val="18"/>
          <w:lang w:eastAsia="zh-CN"/>
        </w:rPr>
        <w:t>provide greater</w:t>
      </w:r>
      <w:r w:rsidR="35BA0732" w:rsidRPr="00DA76FF">
        <w:rPr>
          <w:rFonts w:asciiTheme="minorHAnsi" w:eastAsiaTheme="minorEastAsia" w:hAnsiTheme="minorHAnsi" w:cstheme="minorBidi"/>
          <w:sz w:val="22"/>
          <w:szCs w:val="18"/>
          <w:lang w:eastAsia="zh-CN"/>
        </w:rPr>
        <w:t xml:space="preserve"> transparency,</w:t>
      </w:r>
      <w:r w:rsidR="20C29504" w:rsidRPr="00DA76FF">
        <w:rPr>
          <w:rFonts w:asciiTheme="minorHAnsi" w:eastAsiaTheme="minorEastAsia" w:hAnsiTheme="minorHAnsi" w:cstheme="minorBidi"/>
          <w:sz w:val="22"/>
          <w:szCs w:val="18"/>
          <w:lang w:eastAsia="zh-CN"/>
        </w:rPr>
        <w:t xml:space="preserve"> while protecting the reputation of ITU.</w:t>
      </w:r>
      <w:r w:rsidR="58B9BE79" w:rsidRPr="00DA76FF">
        <w:rPr>
          <w:rFonts w:asciiTheme="minorHAnsi" w:eastAsiaTheme="minorEastAsia" w:hAnsiTheme="minorHAnsi" w:cstheme="minorBidi"/>
          <w:sz w:val="22"/>
          <w:szCs w:val="18"/>
          <w:lang w:eastAsia="zh-CN"/>
        </w:rPr>
        <w:t xml:space="preserve"> </w:t>
      </w:r>
    </w:p>
    <w:p w14:paraId="78ED6B89" w14:textId="506635A5" w:rsidR="00537504" w:rsidRPr="00DA76FF" w:rsidRDefault="006C1647" w:rsidP="00A1269A">
      <w:pPr>
        <w:pStyle w:val="Heading2"/>
        <w:spacing w:before="360" w:after="120"/>
      </w:pPr>
      <w:bookmarkStart w:id="82" w:name="_Toc198569387"/>
      <w:r w:rsidRPr="00DA76FF">
        <w:t>5</w:t>
      </w:r>
      <w:r w:rsidR="00F1194F" w:rsidRPr="00DA76FF">
        <w:t>.7</w:t>
      </w:r>
      <w:r w:rsidR="00F1194F" w:rsidRPr="00DA76FF">
        <w:tab/>
      </w:r>
      <w:r w:rsidR="00537504" w:rsidRPr="00DA76FF">
        <w:t>Excellence in human resources and organizational innovation</w:t>
      </w:r>
      <w:bookmarkEnd w:id="82"/>
    </w:p>
    <w:p w14:paraId="3F72C2AA" w14:textId="3A297EB6" w:rsidR="0095356B" w:rsidRDefault="0095356B" w:rsidP="00A1269A">
      <w:pPr>
        <w:pStyle w:val="Heading2"/>
        <w:spacing w:before="120" w:after="120"/>
        <w:rPr>
          <w:sz w:val="22"/>
          <w:szCs w:val="22"/>
        </w:rPr>
      </w:pPr>
      <w:bookmarkStart w:id="83" w:name="_Toc198569388"/>
      <w:r>
        <w:rPr>
          <w:sz w:val="22"/>
          <w:szCs w:val="22"/>
        </w:rPr>
        <w:t>5.7.1</w:t>
      </w:r>
      <w:r>
        <w:tab/>
      </w:r>
      <w:r>
        <w:rPr>
          <w:sz w:val="22"/>
          <w:szCs w:val="22"/>
        </w:rPr>
        <w:t>Human resources</w:t>
      </w:r>
    </w:p>
    <w:bookmarkEnd w:id="83"/>
    <w:p w14:paraId="2D47A4FB" w14:textId="3A1549AE" w:rsidR="00F42CEB" w:rsidRPr="00DA76FF" w:rsidRDefault="007323A1" w:rsidP="00A1269A">
      <w:pPr>
        <w:spacing w:after="120"/>
        <w:jc w:val="both"/>
        <w:rPr>
          <w:sz w:val="22"/>
          <w:szCs w:val="22"/>
        </w:rPr>
      </w:pPr>
      <w:r w:rsidRPr="00DA76FF">
        <w:rPr>
          <w:sz w:val="22"/>
          <w:szCs w:val="22"/>
        </w:rPr>
        <w:t xml:space="preserve">In 2024, ITU advanced its vision of building an agile, capable, and empowered workforce, while fostering a </w:t>
      </w:r>
      <w:r w:rsidR="000F1729">
        <w:rPr>
          <w:sz w:val="22"/>
          <w:szCs w:val="22"/>
        </w:rPr>
        <w:t xml:space="preserve">welcoming work </w:t>
      </w:r>
      <w:r w:rsidRPr="00DA76FF">
        <w:rPr>
          <w:sz w:val="22"/>
          <w:szCs w:val="22"/>
        </w:rPr>
        <w:t>culture and delivering people-centred HR services. These efforts formed a core component of ITU’s organizational transformation, reinforcing its ability to respond to evolving priorities and deliver on its mandate.</w:t>
      </w:r>
    </w:p>
    <w:p w14:paraId="68270014" w14:textId="2DECCB78" w:rsidR="007653E1" w:rsidRPr="00DA76FF" w:rsidRDefault="007323A1" w:rsidP="00A1269A">
      <w:pPr>
        <w:pStyle w:val="ListParagraph"/>
        <w:numPr>
          <w:ilvl w:val="0"/>
          <w:numId w:val="34"/>
        </w:numPr>
        <w:spacing w:after="120"/>
        <w:ind w:left="567" w:hanging="283"/>
        <w:jc w:val="both"/>
        <w:rPr>
          <w:lang w:val="en-GB"/>
        </w:rPr>
      </w:pPr>
      <w:r w:rsidRPr="00DA76FF">
        <w:rPr>
          <w:b/>
          <w:bCs/>
          <w:lang w:val="en-GB"/>
        </w:rPr>
        <w:t>People</w:t>
      </w:r>
      <w:r w:rsidRPr="00FC1F9C">
        <w:rPr>
          <w:lang w:val="en-GB"/>
        </w:rPr>
        <w:t xml:space="preserve"> </w:t>
      </w:r>
      <w:r w:rsidR="00FC1F9C" w:rsidRPr="00FC1F9C">
        <w:rPr>
          <w:lang w:val="en-GB"/>
        </w:rPr>
        <w:t>–</w:t>
      </w:r>
      <w:r w:rsidRPr="00DA76FF">
        <w:rPr>
          <w:lang w:val="en-GB"/>
        </w:rPr>
        <w:t xml:space="preserve"> A cost-effective Learning Plan was implemented leveraging a hybrid model and external platforms to enhance accessibility and control costs. The performance management system was streamlined through the introduction of a simplified ePMDS tool and targeted trainings to promote accountability, ongoing feedback, and professional growth</w:t>
      </w:r>
      <w:r w:rsidR="007653E1" w:rsidRPr="00DA76FF">
        <w:rPr>
          <w:lang w:val="en-GB"/>
        </w:rPr>
        <w:t>.</w:t>
      </w:r>
    </w:p>
    <w:p w14:paraId="09F53D93" w14:textId="26EEED44" w:rsidR="001B0DA6" w:rsidRPr="00DA76FF" w:rsidRDefault="007323A1" w:rsidP="00462A0A">
      <w:pPr>
        <w:pStyle w:val="ListParagraph"/>
        <w:keepNext/>
        <w:keepLines/>
        <w:spacing w:after="360"/>
        <w:ind w:left="567"/>
        <w:jc w:val="both"/>
        <w:rPr>
          <w:lang w:val="en-GB"/>
        </w:rPr>
      </w:pPr>
      <w:r w:rsidRPr="00DA76FF">
        <w:rPr>
          <w:lang w:val="en-GB"/>
        </w:rPr>
        <w:t>Talent development was strengthened through the implementation of Young Professionals Programme, the expansion of the Junior Professional Officer (JPO</w:t>
      </w:r>
      <w:r w:rsidR="00BF3562" w:rsidRPr="00DA76FF">
        <w:rPr>
          <w:lang w:val="en-GB"/>
        </w:rPr>
        <w:t>, 8 in March 2025 with more expected over the year</w:t>
      </w:r>
      <w:r w:rsidRPr="00DA76FF">
        <w:rPr>
          <w:lang w:val="en-GB"/>
        </w:rPr>
        <w:t>) scheme, and a new partnership with UN Volunteers (UNV), enhancing workforce agility. A second tranche of the Voluntary Separation Programme was launched, enabling enhanced organizational agility and supporting structural realignment.</w:t>
      </w:r>
      <w:r w:rsidR="007D27ED" w:rsidRPr="00DA76FF">
        <w:rPr>
          <w:lang w:val="en-GB"/>
        </w:rPr>
        <w:t xml:space="preserve"> The </w:t>
      </w:r>
      <w:hyperlink r:id="rId300" w:history="1">
        <w:r w:rsidR="007D27ED" w:rsidRPr="00DA76FF">
          <w:rPr>
            <w:rStyle w:val="Hyperlink"/>
            <w:lang w:val="en-GB"/>
          </w:rPr>
          <w:t>Workforce Analytics Dashboard</w:t>
        </w:r>
      </w:hyperlink>
      <w:r w:rsidR="007D27ED" w:rsidRPr="00DA76FF">
        <w:rPr>
          <w:lang w:val="en-GB"/>
        </w:rPr>
        <w:t xml:space="preserve"> is available to Member States through the Council website: Microsoft Power BI</w:t>
      </w:r>
      <w:r w:rsidR="00344CD6" w:rsidRPr="00DA76FF">
        <w:rPr>
          <w:lang w:val="en-GB"/>
        </w:rPr>
        <w:t>.</w:t>
      </w:r>
    </w:p>
    <w:p w14:paraId="4F89593C" w14:textId="444E014E" w:rsidR="001B0DA6" w:rsidRPr="00DA76FF" w:rsidRDefault="001B0DA6" w:rsidP="00A1269A">
      <w:pPr>
        <w:pStyle w:val="ListParagraph"/>
        <w:spacing w:after="120"/>
        <w:ind w:left="720"/>
        <w:jc w:val="center"/>
        <w:rPr>
          <w:lang w:val="en-GB"/>
        </w:rPr>
      </w:pPr>
      <w:r w:rsidRPr="00DA76FF">
        <w:rPr>
          <w:noProof/>
          <w:lang w:val="en-GB"/>
        </w:rPr>
        <w:drawing>
          <wp:inline distT="0" distB="0" distL="0" distR="0" wp14:anchorId="7F94DEC8" wp14:editId="4CDB3D38">
            <wp:extent cx="3803015" cy="2171714"/>
            <wp:effectExtent l="0" t="0" r="6985" b="0"/>
            <wp:docPr id="131825263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2632" name="Picture 1" descr="A screenshot of a computer screen&#10;&#10;AI-generated content may be incorrect."/>
                    <pic:cNvPicPr/>
                  </pic:nvPicPr>
                  <pic:blipFill>
                    <a:blip r:embed="rId301"/>
                    <a:stretch>
                      <a:fillRect/>
                    </a:stretch>
                  </pic:blipFill>
                  <pic:spPr>
                    <a:xfrm>
                      <a:off x="0" y="0"/>
                      <a:ext cx="3803015" cy="2171714"/>
                    </a:xfrm>
                    <a:prstGeom prst="rect">
                      <a:avLst/>
                    </a:prstGeom>
                  </pic:spPr>
                </pic:pic>
              </a:graphicData>
            </a:graphic>
          </wp:inline>
        </w:drawing>
      </w:r>
    </w:p>
    <w:p w14:paraId="4138ABAB" w14:textId="772BA575" w:rsidR="007323A1" w:rsidRPr="00DA76FF" w:rsidRDefault="007323A1" w:rsidP="00462A0A">
      <w:pPr>
        <w:pStyle w:val="ListParagraph"/>
        <w:numPr>
          <w:ilvl w:val="0"/>
          <w:numId w:val="34"/>
        </w:numPr>
        <w:spacing w:before="480" w:after="120"/>
        <w:ind w:left="567" w:hanging="283"/>
        <w:jc w:val="both"/>
        <w:rPr>
          <w:lang w:val="en-GB"/>
        </w:rPr>
      </w:pPr>
      <w:r w:rsidRPr="00DA76FF">
        <w:rPr>
          <w:b/>
          <w:bCs/>
          <w:lang w:val="en-GB"/>
        </w:rPr>
        <w:t>Culture</w:t>
      </w:r>
      <w:r w:rsidRPr="00FC1F9C">
        <w:rPr>
          <w:lang w:val="en-GB"/>
        </w:rPr>
        <w:t xml:space="preserve"> </w:t>
      </w:r>
      <w:r w:rsidR="00FC1F9C" w:rsidRPr="00FC1F9C">
        <w:rPr>
          <w:lang w:val="en-GB"/>
        </w:rPr>
        <w:t>–</w:t>
      </w:r>
      <w:r w:rsidRPr="00DA76FF">
        <w:rPr>
          <w:lang w:val="en-GB"/>
        </w:rPr>
        <w:t xml:space="preserve"> The outsourcing of the Ombudsman function to UNOMS marked a significant step in strengthening ITU’s internal support mechanisms. The first ‘Inclusive Leadership’ programme was successfully rolled out for staff at P5 level and above, as part of a wider, more comprehensive Leadership program. A new Mandatory Learning Policy was introduced to build </w:t>
      </w:r>
      <w:r w:rsidRPr="00DA76FF">
        <w:rPr>
          <w:lang w:val="en-GB"/>
        </w:rPr>
        <w:lastRenderedPageBreak/>
        <w:t xml:space="preserve">a common foundation of knowledge and reinforce organizational standards and behaviours. </w:t>
      </w:r>
      <w:r w:rsidR="00DA76FF" w:rsidRPr="00DA76FF">
        <w:rPr>
          <w:lang w:val="en-GB"/>
        </w:rPr>
        <w:t xml:space="preserve">Our </w:t>
      </w:r>
      <w:r w:rsidRPr="00DA76FF">
        <w:rPr>
          <w:lang w:val="en-GB"/>
        </w:rPr>
        <w:t>first Gender Parity Implementation Plan and first Mental Health and Wellbeing Action Plan were developed, and extensive counselling and wellbeing initiatives further promoted staff engagement and workplace inclusion. The first employee engagement survey was developed and conducted to assess staff members’ level of commitment, motivation, and connection to their work and the Organization, with the aim of informing strategies to strengthen organizational efficiency and effectiveness. It achieved a response rate of 72 per cent.</w:t>
      </w:r>
    </w:p>
    <w:p w14:paraId="3F6AAFBA" w14:textId="6A0F00FA" w:rsidR="003B21D5" w:rsidRPr="00DA76FF" w:rsidRDefault="007323A1" w:rsidP="00A1269A">
      <w:pPr>
        <w:pStyle w:val="ListParagraph"/>
        <w:numPr>
          <w:ilvl w:val="0"/>
          <w:numId w:val="34"/>
        </w:numPr>
        <w:spacing w:after="120"/>
        <w:ind w:left="567" w:hanging="283"/>
        <w:jc w:val="both"/>
        <w:rPr>
          <w:lang w:val="en-GB"/>
        </w:rPr>
      </w:pPr>
      <w:r w:rsidRPr="00DA76FF">
        <w:rPr>
          <w:b/>
          <w:bCs/>
          <w:lang w:val="en-GB"/>
        </w:rPr>
        <w:t>Services</w:t>
      </w:r>
      <w:r w:rsidRPr="00FC1F9C">
        <w:rPr>
          <w:lang w:val="en-GB"/>
        </w:rPr>
        <w:t xml:space="preserve"> </w:t>
      </w:r>
      <w:r w:rsidR="00FC1F9C" w:rsidRPr="00FC1F9C">
        <w:rPr>
          <w:lang w:val="en-GB"/>
        </w:rPr>
        <w:t>–</w:t>
      </w:r>
      <w:r w:rsidRPr="00FC1F9C">
        <w:rPr>
          <w:lang w:val="en-GB"/>
        </w:rPr>
        <w:t xml:space="preserve"> </w:t>
      </w:r>
      <w:r w:rsidR="00FC1F9C">
        <w:rPr>
          <w:lang w:val="en-GB"/>
        </w:rPr>
        <w:t>The Human resource management department (</w:t>
      </w:r>
      <w:r w:rsidRPr="00DA76FF">
        <w:rPr>
          <w:lang w:val="en-GB"/>
        </w:rPr>
        <w:t>HRMD</w:t>
      </w:r>
      <w:r w:rsidR="00FC1F9C">
        <w:rPr>
          <w:lang w:val="en-GB"/>
        </w:rPr>
        <w:t>)</w:t>
      </w:r>
      <w:r w:rsidRPr="00DA76FF">
        <w:rPr>
          <w:lang w:val="en-GB"/>
        </w:rPr>
        <w:t xml:space="preserve"> advanced efforts to strengthen the regulatory framework, aligning HR policies with evolving workforce needs and UN system best practices. Key achievements included the development of a new teleworking and flexible working policy, the launch of the first phase of the HR Delegation of Authority Framework, and the introduction of SOPs for SSA payments and emergency procedures for staff in Field Offices and on missions. ITU contributed actively to the first inter-agency generative AI project, developing an AI chatbot to automate policy queries and improve access to HR information. The UNJSPF Financial Interface Phase</w:t>
      </w:r>
      <w:r w:rsidR="00FC1F9C">
        <w:rPr>
          <w:lang w:val="en-GB"/>
        </w:rPr>
        <w:t> </w:t>
      </w:r>
      <w:r w:rsidRPr="00DA76FF">
        <w:rPr>
          <w:lang w:val="en-GB"/>
        </w:rPr>
        <w:t>I went live, automating annual reporting and improving pension reconciliation. Engagement with regional offices and delivery of induction and pre-retirement seminars further supported staff across duty stations. ITU’s workforce analytics dashboard continues to serve Member States and promote transparency.</w:t>
      </w:r>
    </w:p>
    <w:p w14:paraId="497A8EC0" w14:textId="02156250" w:rsidR="00B73545" w:rsidRPr="0095356B" w:rsidRDefault="003B21D5" w:rsidP="00A1269A">
      <w:pPr>
        <w:pStyle w:val="ListParagraph"/>
        <w:spacing w:after="120"/>
        <w:ind w:left="567"/>
        <w:jc w:val="both"/>
        <w:rPr>
          <w:lang w:val="en-GB"/>
        </w:rPr>
      </w:pPr>
      <w:r w:rsidRPr="00DA76FF">
        <w:rPr>
          <w:lang w:val="en-GB"/>
        </w:rPr>
        <w:t>For further details, please refer to the Council document</w:t>
      </w:r>
      <w:r w:rsidR="00FC1F9C">
        <w:rPr>
          <w:lang w:val="en-GB"/>
        </w:rPr>
        <w:t xml:space="preserve"> on</w:t>
      </w:r>
      <w:r w:rsidRPr="00DA76FF">
        <w:rPr>
          <w:lang w:val="en-GB"/>
        </w:rPr>
        <w:t xml:space="preserve"> Progress Report on the Implementation of the HR Transformation Plan (</w:t>
      </w:r>
      <w:hyperlink r:id="rId302" w:history="1">
        <w:r w:rsidRPr="00BC713B">
          <w:rPr>
            <w:rStyle w:val="Hyperlink"/>
            <w:lang w:val="en-GB"/>
          </w:rPr>
          <w:t>C25/</w:t>
        </w:r>
        <w:r w:rsidR="00834D41" w:rsidRPr="00834D41">
          <w:rPr>
            <w:rStyle w:val="Hyperlink"/>
            <w:lang w:val="en-GB"/>
          </w:rPr>
          <w:t>66</w:t>
        </w:r>
      </w:hyperlink>
      <w:r w:rsidRPr="00DA76FF">
        <w:rPr>
          <w:lang w:val="en-GB"/>
        </w:rPr>
        <w:t>).</w:t>
      </w:r>
    </w:p>
    <w:p w14:paraId="546CE4AC" w14:textId="7C26B9C2" w:rsidR="00F329E1" w:rsidRDefault="00F329E1" w:rsidP="00462A0A">
      <w:pPr>
        <w:pStyle w:val="Heading3"/>
        <w:tabs>
          <w:tab w:val="clear" w:pos="567"/>
        </w:tabs>
        <w:spacing w:before="120" w:after="120"/>
      </w:pPr>
      <w:bookmarkStart w:id="84" w:name="_Toc198569389"/>
      <w:r>
        <w:t>5.</w:t>
      </w:r>
      <w:r w:rsidR="0095356B">
        <w:t>7.2</w:t>
      </w:r>
      <w:r>
        <w:tab/>
        <w:t>Transformation Process</w:t>
      </w:r>
      <w:bookmarkEnd w:id="84"/>
    </w:p>
    <w:p w14:paraId="59BC99B6" w14:textId="0ECA621A" w:rsidR="000C4D98" w:rsidRDefault="000C4D98" w:rsidP="00462A0A">
      <w:pPr>
        <w:pStyle w:val="NoSpacing"/>
        <w:keepNext/>
        <w:keepLines/>
        <w:spacing w:before="120" w:after="120"/>
        <w:jc w:val="both"/>
      </w:pPr>
      <w:r>
        <w:t xml:space="preserve">Following the previous status update at the Council Working Group on </w:t>
      </w:r>
      <w:r w:rsidR="00FC1F9C">
        <w:t xml:space="preserve">finance </w:t>
      </w:r>
      <w:r>
        <w:t xml:space="preserve">and </w:t>
      </w:r>
      <w:r w:rsidR="00FC1F9C">
        <w:t xml:space="preserve">human resources </w:t>
      </w:r>
      <w:r>
        <w:t>in February 2025 and November 2024, the Council</w:t>
      </w:r>
      <w:r w:rsidR="00FC1F9C">
        <w:t>-</w:t>
      </w:r>
      <w:r>
        <w:t>25 document (</w:t>
      </w:r>
      <w:hyperlink r:id="rId303" w:history="1">
        <w:r w:rsidRPr="00BC713B">
          <w:rPr>
            <w:rStyle w:val="Hyperlink"/>
          </w:rPr>
          <w:t>C25/</w:t>
        </w:r>
        <w:r w:rsidR="00B81E90" w:rsidRPr="00B81E90">
          <w:rPr>
            <w:rStyle w:val="Hyperlink"/>
          </w:rPr>
          <w:t>55</w:t>
        </w:r>
      </w:hyperlink>
      <w:r>
        <w:t xml:space="preserve">) provides further information on ITU's ongoing Transformation Process, which is crucial for achieving organizational excellence and supporting the ITU's Strategic Plan for 2024-2027. ITU Transformation is guided by a comprehensive roadmap outlined in Council document </w:t>
      </w:r>
      <w:hyperlink r:id="rId304" w:history="1">
        <w:r w:rsidRPr="00FC1F9C">
          <w:rPr>
            <w:rStyle w:val="Hyperlink"/>
          </w:rPr>
          <w:t>C24/52</w:t>
        </w:r>
      </w:hyperlink>
      <w:r>
        <w:t>, focusing on five pillars: Governance, Systems, Processes and Tools, People and Culture, Resource Optimization, and Members and Partners.</w:t>
      </w:r>
    </w:p>
    <w:p w14:paraId="52672328" w14:textId="45905660" w:rsidR="000C4D98" w:rsidRDefault="000C4D98" w:rsidP="00A1269A">
      <w:pPr>
        <w:pStyle w:val="NoSpacing"/>
        <w:spacing w:before="120" w:after="120"/>
        <w:jc w:val="both"/>
      </w:pPr>
      <w:r>
        <w:t>This period of Transformation has been defined by project implementation and tangible deliverables across the five pillars. To date, the Transformation Team has strengthened its resources with an additional AI Data Programme Manager to facilitate ITU's AI implementation plans and strengthen AI learning across a broad cross-section of staff at all levels. As before, feedback, engagement and participation from across the ITU and its membership remain vital as the Transformation journey matures and develops.</w:t>
      </w:r>
    </w:p>
    <w:p w14:paraId="150FB9FE" w14:textId="66549A31" w:rsidR="002871D8" w:rsidRDefault="002871D8" w:rsidP="00A1269A">
      <w:pPr>
        <w:pStyle w:val="NoSpacing"/>
        <w:spacing w:before="120" w:after="120"/>
        <w:jc w:val="both"/>
      </w:pPr>
      <w:r w:rsidRPr="002871D8">
        <w:rPr>
          <w:b/>
          <w:bCs/>
        </w:rPr>
        <w:t>Key achievements</w:t>
      </w:r>
    </w:p>
    <w:p w14:paraId="68397404" w14:textId="28B3726B" w:rsidR="00B73545" w:rsidRDefault="00B73545" w:rsidP="00A1269A">
      <w:pPr>
        <w:pStyle w:val="NoSpacing"/>
        <w:spacing w:before="120" w:after="120"/>
        <w:jc w:val="both"/>
      </w:pPr>
      <w:r>
        <w:t>The Transformation's key achievements continue to include, but are not limited to, enhancements to our internal performance management process including a more modern tool for staff to set their goals, a more robust strategy to manage underperformance, and a just and fair rewards and recognition system; financial resources transformation; advancing ITU</w:t>
      </w:r>
      <w:r w:rsidR="00FC1F9C">
        <w:t>’</w:t>
      </w:r>
      <w:r>
        <w:t>s internal AI learning and skills path; training for improvements in our leadership culture, and efficiency gains in our official Recruitment, Travel, and Mobility processes. The roadmap includes digital transformation initiatives to modernize our systems and tools including the new website project, assessment of our document management processes and systems, CRM for account and partner management, developing fit-for-future data foundations and AI enablement.</w:t>
      </w:r>
    </w:p>
    <w:p w14:paraId="1AC6FC1D" w14:textId="19803BC5" w:rsidR="00D16B72" w:rsidRPr="00DA76FF" w:rsidRDefault="00B73545" w:rsidP="00A1269A">
      <w:pPr>
        <w:pStyle w:val="NoSpacing"/>
        <w:spacing w:before="120" w:after="120"/>
        <w:jc w:val="both"/>
      </w:pPr>
      <w:r>
        <w:t xml:space="preserve">For more details, please refer to document </w:t>
      </w:r>
      <w:hyperlink r:id="rId305" w:history="1">
        <w:r w:rsidRPr="00BC713B">
          <w:rPr>
            <w:rStyle w:val="Hyperlink"/>
          </w:rPr>
          <w:t>C25</w:t>
        </w:r>
        <w:r w:rsidR="00514CE1" w:rsidRPr="00BC713B">
          <w:rPr>
            <w:rStyle w:val="Hyperlink"/>
          </w:rPr>
          <w:t>/55</w:t>
        </w:r>
      </w:hyperlink>
      <w:r w:rsidR="00FC1F9C">
        <w:t>.</w:t>
      </w:r>
    </w:p>
    <w:p w14:paraId="2A6E9E9D" w14:textId="3B20D524" w:rsidR="6F56BF93" w:rsidRDefault="008364CD" w:rsidP="008364CD">
      <w:pPr>
        <w:pStyle w:val="Heading1"/>
        <w:rPr>
          <w:color w:val="365F91" w:themeColor="accent1" w:themeShade="BF"/>
          <w:sz w:val="32"/>
          <w:szCs w:val="32"/>
        </w:rPr>
      </w:pPr>
      <w:bookmarkStart w:id="85" w:name="_Toc198569390"/>
      <w:bookmarkEnd w:id="26"/>
      <w:bookmarkEnd w:id="27"/>
      <w:bookmarkEnd w:id="28"/>
      <w:r>
        <w:rPr>
          <w:color w:val="365F91" w:themeColor="accent1" w:themeShade="BF"/>
          <w:sz w:val="32"/>
          <w:szCs w:val="32"/>
        </w:rPr>
        <w:lastRenderedPageBreak/>
        <w:t>6</w:t>
      </w:r>
      <w:r>
        <w:rPr>
          <w:color w:val="365F91" w:themeColor="accent1" w:themeShade="BF"/>
          <w:sz w:val="32"/>
          <w:szCs w:val="32"/>
        </w:rPr>
        <w:tab/>
      </w:r>
      <w:r w:rsidR="506A05C6" w:rsidRPr="00BC713B">
        <w:rPr>
          <w:color w:val="365F91" w:themeColor="accent1" w:themeShade="BF"/>
          <w:sz w:val="32"/>
          <w:szCs w:val="32"/>
        </w:rPr>
        <w:t>Implementation of the Resolutions from the Plenipotentiary Conference</w:t>
      </w:r>
      <w:bookmarkEnd w:id="85"/>
    </w:p>
    <w:p w14:paraId="057CFFEB" w14:textId="6936BF31" w:rsidR="6F56BF93" w:rsidRDefault="34486F15" w:rsidP="00BC713B">
      <w:pPr>
        <w:spacing w:before="360"/>
        <w:jc w:val="both"/>
        <w:rPr>
          <w:rFonts w:asciiTheme="minorHAnsi" w:eastAsiaTheme="minorEastAsia" w:hAnsiTheme="minorHAnsi" w:cstheme="minorBidi"/>
          <w:sz w:val="22"/>
          <w:szCs w:val="22"/>
          <w:lang w:eastAsia="zh-CN"/>
        </w:rPr>
      </w:pPr>
      <w:r w:rsidRPr="006146EC">
        <w:rPr>
          <w:rFonts w:asciiTheme="minorHAnsi" w:eastAsiaTheme="minorEastAsia" w:hAnsiTheme="minorHAnsi" w:cstheme="minorBidi"/>
          <w:sz w:val="22"/>
          <w:szCs w:val="22"/>
          <w:lang w:eastAsia="zh-CN"/>
        </w:rPr>
        <w:t>The status of implementation of PP Resolutions can be found in the dedicated Web platfor</w:t>
      </w:r>
      <w:r w:rsidRPr="00093969">
        <w:rPr>
          <w:rFonts w:asciiTheme="minorHAnsi" w:eastAsiaTheme="minorEastAsia" w:hAnsiTheme="minorHAnsi" w:cstheme="minorBidi"/>
          <w:sz w:val="22"/>
          <w:szCs w:val="22"/>
          <w:lang w:eastAsia="zh-CN"/>
        </w:rPr>
        <w:t xml:space="preserve">m </w:t>
      </w:r>
      <w:hyperlink r:id="rId306" w:history="1">
        <w:hyperlink r:id="rId307" w:history="1">
          <w:r w:rsidRPr="00AD3A45">
            <w:rPr>
              <w:rStyle w:val="Hyperlink"/>
              <w:rFonts w:asciiTheme="minorHAnsi" w:eastAsiaTheme="minorEastAsia" w:hAnsiTheme="minorHAnsi" w:cstheme="minorBidi"/>
              <w:sz w:val="22"/>
              <w:szCs w:val="22"/>
              <w:lang w:eastAsia="zh-CN"/>
            </w:rPr>
            <w:t>h</w:t>
          </w:r>
          <w:r w:rsidRPr="00AD3A45">
            <w:rPr>
              <w:rStyle w:val="Hyperlink"/>
              <w:rFonts w:asciiTheme="minorHAnsi" w:eastAsiaTheme="minorEastAsia" w:hAnsiTheme="minorHAnsi" w:cstheme="minorBidi"/>
              <w:sz w:val="22"/>
              <w:szCs w:val="22"/>
              <w:lang w:eastAsia="zh-CN"/>
            </w:rPr>
            <w:t>e</w:t>
          </w:r>
          <w:r w:rsidRPr="00AD3A45">
            <w:rPr>
              <w:rStyle w:val="Hyperlink"/>
              <w:rFonts w:asciiTheme="minorHAnsi" w:eastAsiaTheme="minorEastAsia" w:hAnsiTheme="minorHAnsi" w:cstheme="minorBidi"/>
              <w:sz w:val="22"/>
              <w:szCs w:val="22"/>
              <w:lang w:eastAsia="zh-CN"/>
            </w:rPr>
            <w:t>re</w:t>
          </w:r>
        </w:hyperlink>
      </w:hyperlink>
      <w:r w:rsidRPr="00093969">
        <w:rPr>
          <w:rFonts w:asciiTheme="minorHAnsi" w:eastAsiaTheme="minorEastAsia" w:hAnsiTheme="minorHAnsi" w:cstheme="minorBidi"/>
          <w:sz w:val="22"/>
          <w:szCs w:val="22"/>
          <w:lang w:eastAsia="zh-CN"/>
        </w:rPr>
        <w:t>.</w:t>
      </w:r>
    </w:p>
    <w:p w14:paraId="5225FB69" w14:textId="41978C63" w:rsidR="6F56BF93" w:rsidRDefault="6F56BF93" w:rsidP="6F56BF93">
      <w:pPr>
        <w:pStyle w:val="NoSpacing"/>
        <w:spacing w:before="120" w:after="120"/>
        <w:jc w:val="both"/>
      </w:pPr>
    </w:p>
    <w:p w14:paraId="6B3D1206" w14:textId="68004EEC" w:rsidR="00D16B72" w:rsidRPr="00DA76FF" w:rsidRDefault="00FC1F9C" w:rsidP="00462A0A">
      <w:pPr>
        <w:pStyle w:val="NoSpacing"/>
        <w:spacing w:before="480"/>
        <w:jc w:val="center"/>
      </w:pPr>
      <w:r>
        <w:t>_____________</w:t>
      </w:r>
    </w:p>
    <w:sectPr w:rsidR="00D16B72" w:rsidRPr="00DA76FF" w:rsidSect="00BD6928">
      <w:headerReference w:type="default" r:id="rId308"/>
      <w:footerReference w:type="default" r:id="rId309"/>
      <w:headerReference w:type="first" r:id="rId310"/>
      <w:footerReference w:type="first" r:id="rId311"/>
      <w:pgSz w:w="11907" w:h="16834"/>
      <w:pgMar w:top="1134" w:right="1418" w:bottom="1134"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83F2B" w14:textId="77777777" w:rsidR="00FA542C" w:rsidRDefault="00FA542C">
      <w:r>
        <w:separator/>
      </w:r>
    </w:p>
  </w:endnote>
  <w:endnote w:type="continuationSeparator" w:id="0">
    <w:p w14:paraId="715C8E7A" w14:textId="77777777" w:rsidR="00FA542C" w:rsidRDefault="00FA542C">
      <w:r>
        <w:continuationSeparator/>
      </w:r>
    </w:p>
  </w:endnote>
  <w:endnote w:type="continuationNotice" w:id="1">
    <w:p w14:paraId="62E34A19" w14:textId="77777777" w:rsidR="00FA542C" w:rsidRDefault="00FA542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venir Nxt2 W1G Medium">
    <w:altName w:val="Calibri"/>
    <w:panose1 w:val="020B0603020202020204"/>
    <w:charset w:val="00"/>
    <w:family w:val="swiss"/>
    <w:notTrueType/>
    <w:pitch w:val="variable"/>
    <w:sig w:usb0="A00002EF" w:usb1="00000003" w:usb2="00000000" w:usb3="00000000" w:csb0="000001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venir">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952B8" w:rsidRPr="00A952B8" w14:paraId="33F4056E" w14:textId="77777777">
      <w:trPr>
        <w:jc w:val="center"/>
      </w:trPr>
      <w:tc>
        <w:tcPr>
          <w:tcW w:w="1803" w:type="dxa"/>
          <w:vAlign w:val="center"/>
        </w:tcPr>
        <w:p w14:paraId="5D7D121E" w14:textId="77777777" w:rsidR="00A952B8" w:rsidRPr="00A952B8" w:rsidRDefault="00A952B8" w:rsidP="00A952B8">
          <w:pPr>
            <w:tabs>
              <w:tab w:val="clear" w:pos="567"/>
              <w:tab w:val="clear" w:pos="1134"/>
              <w:tab w:val="clear" w:pos="1701"/>
              <w:tab w:val="clear" w:pos="2268"/>
              <w:tab w:val="clear" w:pos="2835"/>
            </w:tabs>
            <w:spacing w:before="0"/>
            <w:rPr>
              <w:noProof/>
              <w:color w:val="7F7F7F" w:themeColor="text1" w:themeTint="80"/>
              <w:sz w:val="18"/>
            </w:rPr>
          </w:pPr>
          <w:r w:rsidRPr="00A952B8">
            <w:rPr>
              <w:noProof/>
              <w:color w:val="7F7F7F" w:themeColor="text1" w:themeTint="80"/>
              <w:sz w:val="18"/>
            </w:rPr>
            <w:t>gDoc #</w:t>
          </w:r>
        </w:p>
      </w:tc>
      <w:tc>
        <w:tcPr>
          <w:tcW w:w="8261" w:type="dxa"/>
        </w:tcPr>
        <w:p w14:paraId="222D03B5" w14:textId="386DA148" w:rsidR="00A952B8" w:rsidRPr="00A952B8" w:rsidRDefault="00A952B8" w:rsidP="00A952B8">
          <w:pPr>
            <w:tabs>
              <w:tab w:val="clear" w:pos="567"/>
              <w:tab w:val="clear" w:pos="1134"/>
              <w:tab w:val="clear" w:pos="1701"/>
              <w:tab w:val="clear" w:pos="2268"/>
              <w:tab w:val="clear" w:pos="2835"/>
              <w:tab w:val="left" w:pos="6164"/>
              <w:tab w:val="right" w:pos="8505"/>
              <w:tab w:val="right" w:pos="9639"/>
            </w:tabs>
            <w:spacing w:before="0"/>
            <w:rPr>
              <w:rFonts w:ascii="Arial" w:hAnsi="Arial" w:cs="Arial"/>
              <w:b/>
              <w:bCs/>
              <w:color w:val="7F7F7F" w:themeColor="text1" w:themeTint="80"/>
              <w:sz w:val="18"/>
              <w:szCs w:val="18"/>
            </w:rPr>
          </w:pPr>
          <w:r w:rsidRPr="00A952B8">
            <w:rPr>
              <w:bCs/>
              <w:color w:val="7F7F7F" w:themeColor="text1" w:themeTint="80"/>
              <w:sz w:val="18"/>
            </w:rPr>
            <w:tab/>
            <w:t>C25/</w:t>
          </w:r>
          <w:r>
            <w:rPr>
              <w:bCs/>
              <w:color w:val="7F7F7F" w:themeColor="text1" w:themeTint="80"/>
              <w:sz w:val="18"/>
            </w:rPr>
            <w:t>35</w:t>
          </w:r>
          <w:r w:rsidRPr="00A952B8">
            <w:rPr>
              <w:bCs/>
              <w:color w:val="7F7F7F" w:themeColor="text1" w:themeTint="80"/>
              <w:sz w:val="18"/>
            </w:rPr>
            <w:t>-E</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sidRPr="00A952B8">
            <w:rPr>
              <w:color w:val="7F7F7F" w:themeColor="text1" w:themeTint="80"/>
              <w:sz w:val="18"/>
            </w:rPr>
            <w:t>1</w:t>
          </w:r>
          <w:r w:rsidRPr="00A952B8">
            <w:rPr>
              <w:noProof/>
              <w:color w:val="7F7F7F" w:themeColor="text1" w:themeTint="80"/>
              <w:sz w:val="18"/>
            </w:rPr>
            <w:fldChar w:fldCharType="end"/>
          </w:r>
        </w:p>
      </w:tc>
    </w:tr>
  </w:tbl>
  <w:p w14:paraId="1DDCB4D1" w14:textId="77777777" w:rsidR="00DE38D4" w:rsidRDefault="00DE3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8261"/>
    </w:tblGrid>
    <w:tr w:rsidR="00A952B8" w:rsidRPr="00A952B8" w14:paraId="5CD70179" w14:textId="77777777">
      <w:trPr>
        <w:jc w:val="center"/>
      </w:trPr>
      <w:tc>
        <w:tcPr>
          <w:tcW w:w="1803" w:type="dxa"/>
          <w:vAlign w:val="center"/>
        </w:tcPr>
        <w:p w14:paraId="3FBCDEF1" w14:textId="77777777" w:rsidR="00A952B8" w:rsidRPr="00A952B8" w:rsidRDefault="00A952B8" w:rsidP="00A952B8">
          <w:pPr>
            <w:tabs>
              <w:tab w:val="clear" w:pos="567"/>
              <w:tab w:val="clear" w:pos="1134"/>
              <w:tab w:val="clear" w:pos="1701"/>
              <w:tab w:val="clear" w:pos="2268"/>
              <w:tab w:val="clear" w:pos="2835"/>
            </w:tabs>
            <w:spacing w:before="0"/>
            <w:rPr>
              <w:noProof/>
              <w:color w:val="7F7F7F" w:themeColor="text1" w:themeTint="80"/>
              <w:sz w:val="18"/>
            </w:rPr>
          </w:pPr>
          <w:hyperlink r:id="rId1" w:history="1">
            <w:r w:rsidRPr="00A952B8">
              <w:rPr>
                <w:color w:val="4F81BD" w:themeColor="accent1"/>
                <w:sz w:val="18"/>
              </w:rPr>
              <w:t>council.itu.int/2025</w:t>
            </w:r>
          </w:hyperlink>
        </w:p>
      </w:tc>
      <w:tc>
        <w:tcPr>
          <w:tcW w:w="8261" w:type="dxa"/>
        </w:tcPr>
        <w:p w14:paraId="4BC19752" w14:textId="359FCF17" w:rsidR="00A952B8" w:rsidRPr="00A952B8" w:rsidRDefault="00A952B8" w:rsidP="00A952B8">
          <w:pPr>
            <w:tabs>
              <w:tab w:val="clear" w:pos="567"/>
              <w:tab w:val="clear" w:pos="1134"/>
              <w:tab w:val="clear" w:pos="1701"/>
              <w:tab w:val="clear" w:pos="2268"/>
              <w:tab w:val="clear" w:pos="2835"/>
              <w:tab w:val="left" w:pos="6448"/>
              <w:tab w:val="right" w:pos="8505"/>
              <w:tab w:val="right" w:pos="9639"/>
            </w:tabs>
            <w:spacing w:before="0"/>
            <w:rPr>
              <w:rFonts w:ascii="Arial" w:hAnsi="Arial" w:cs="Arial"/>
              <w:b/>
              <w:bCs/>
              <w:color w:val="7F7F7F" w:themeColor="text1" w:themeTint="80"/>
              <w:sz w:val="18"/>
              <w:szCs w:val="18"/>
            </w:rPr>
          </w:pPr>
          <w:r w:rsidRPr="00A952B8">
            <w:rPr>
              <w:bCs/>
              <w:color w:val="7F7F7F" w:themeColor="text1" w:themeTint="80"/>
              <w:sz w:val="18"/>
            </w:rPr>
            <w:tab/>
            <w:t>C25/</w:t>
          </w:r>
          <w:r>
            <w:rPr>
              <w:bCs/>
              <w:color w:val="7F7F7F" w:themeColor="text1" w:themeTint="80"/>
              <w:sz w:val="18"/>
            </w:rPr>
            <w:t>35</w:t>
          </w:r>
          <w:r w:rsidRPr="00A952B8">
            <w:rPr>
              <w:bCs/>
              <w:color w:val="7F7F7F" w:themeColor="text1" w:themeTint="80"/>
              <w:sz w:val="18"/>
            </w:rPr>
            <w:t>-E</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sidRPr="00A952B8">
            <w:rPr>
              <w:color w:val="7F7F7F" w:themeColor="text1" w:themeTint="80"/>
              <w:sz w:val="18"/>
            </w:rPr>
            <w:t>1</w:t>
          </w:r>
          <w:r w:rsidRPr="00A952B8">
            <w:rPr>
              <w:noProof/>
              <w:color w:val="7F7F7F" w:themeColor="text1" w:themeTint="80"/>
              <w:sz w:val="18"/>
            </w:rPr>
            <w:fldChar w:fldCharType="end"/>
          </w:r>
        </w:p>
      </w:tc>
    </w:tr>
  </w:tbl>
  <w:p w14:paraId="4D694B77" w14:textId="10D5828D" w:rsidR="00F454CA" w:rsidRPr="004840A5" w:rsidRDefault="00F454CA" w:rsidP="008A31F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952B8" w:rsidRPr="00A952B8" w14:paraId="17285473" w14:textId="77777777">
      <w:trPr>
        <w:jc w:val="center"/>
      </w:trPr>
      <w:tc>
        <w:tcPr>
          <w:tcW w:w="1803" w:type="dxa"/>
          <w:vAlign w:val="center"/>
        </w:tcPr>
        <w:p w14:paraId="61E6FC7E" w14:textId="77777777" w:rsidR="00A952B8" w:rsidRPr="00A952B8" w:rsidRDefault="00A952B8" w:rsidP="00A952B8">
          <w:pPr>
            <w:tabs>
              <w:tab w:val="clear" w:pos="567"/>
              <w:tab w:val="clear" w:pos="1134"/>
              <w:tab w:val="clear" w:pos="1701"/>
              <w:tab w:val="clear" w:pos="2268"/>
              <w:tab w:val="clear" w:pos="2835"/>
            </w:tabs>
            <w:spacing w:before="0"/>
            <w:rPr>
              <w:noProof/>
              <w:color w:val="7F7F7F" w:themeColor="text1" w:themeTint="80"/>
              <w:sz w:val="18"/>
            </w:rPr>
          </w:pPr>
          <w:r w:rsidRPr="00A952B8">
            <w:rPr>
              <w:noProof/>
              <w:color w:val="7F7F7F" w:themeColor="text1" w:themeTint="80"/>
              <w:sz w:val="18"/>
            </w:rPr>
            <w:t>gDoc #</w:t>
          </w:r>
        </w:p>
      </w:tc>
      <w:tc>
        <w:tcPr>
          <w:tcW w:w="8261" w:type="dxa"/>
        </w:tcPr>
        <w:p w14:paraId="75715073" w14:textId="32B17EF7" w:rsidR="00A952B8" w:rsidRPr="00A952B8" w:rsidRDefault="00A952B8" w:rsidP="00A952B8">
          <w:pPr>
            <w:tabs>
              <w:tab w:val="clear" w:pos="567"/>
              <w:tab w:val="clear" w:pos="1134"/>
              <w:tab w:val="clear" w:pos="1701"/>
              <w:tab w:val="clear" w:pos="2268"/>
              <w:tab w:val="clear" w:pos="2835"/>
              <w:tab w:val="left" w:pos="6164"/>
              <w:tab w:val="right" w:pos="8505"/>
              <w:tab w:val="right" w:pos="9639"/>
            </w:tabs>
            <w:spacing w:before="0"/>
            <w:rPr>
              <w:rFonts w:ascii="Arial" w:hAnsi="Arial" w:cs="Arial"/>
              <w:b/>
              <w:bCs/>
              <w:color w:val="7F7F7F" w:themeColor="text1" w:themeTint="80"/>
              <w:sz w:val="18"/>
              <w:szCs w:val="18"/>
            </w:rPr>
          </w:pPr>
          <w:r w:rsidRPr="00A952B8">
            <w:rPr>
              <w:bCs/>
              <w:color w:val="7F7F7F" w:themeColor="text1" w:themeTint="80"/>
              <w:sz w:val="18"/>
            </w:rPr>
            <w:tab/>
            <w:t>C25/</w:t>
          </w:r>
          <w:r>
            <w:rPr>
              <w:bCs/>
              <w:color w:val="7F7F7F" w:themeColor="text1" w:themeTint="80"/>
              <w:sz w:val="18"/>
            </w:rPr>
            <w:t>35</w:t>
          </w:r>
          <w:r w:rsidRPr="00A952B8">
            <w:rPr>
              <w:bCs/>
              <w:color w:val="7F7F7F" w:themeColor="text1" w:themeTint="80"/>
              <w:sz w:val="18"/>
            </w:rPr>
            <w:t>-E</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sidRPr="00A952B8">
            <w:rPr>
              <w:color w:val="7F7F7F" w:themeColor="text1" w:themeTint="80"/>
              <w:sz w:val="18"/>
            </w:rPr>
            <w:t>1</w:t>
          </w:r>
          <w:r w:rsidRPr="00A952B8">
            <w:rPr>
              <w:noProof/>
              <w:color w:val="7F7F7F" w:themeColor="text1" w:themeTint="80"/>
              <w:sz w:val="18"/>
            </w:rPr>
            <w:fldChar w:fldCharType="end"/>
          </w:r>
        </w:p>
      </w:tc>
    </w:tr>
  </w:tbl>
  <w:p w14:paraId="6C6FB1E8" w14:textId="77777777" w:rsidR="00F454CA" w:rsidRPr="00DB1936" w:rsidRDefault="00F454CA" w:rsidP="00EE49E8">
    <w:pPr>
      <w:pStyle w:val="Header"/>
      <w:tabs>
        <w:tab w:val="left" w:pos="8080"/>
        <w:tab w:val="right" w:pos="9072"/>
      </w:tabs>
      <w:jc w:val="left"/>
      <w:rPr>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952B8" w:rsidRPr="00A952B8" w14:paraId="3A3543C0" w14:textId="77777777">
      <w:trPr>
        <w:jc w:val="center"/>
      </w:trPr>
      <w:tc>
        <w:tcPr>
          <w:tcW w:w="1803" w:type="dxa"/>
          <w:vAlign w:val="center"/>
        </w:tcPr>
        <w:p w14:paraId="641BA7BE" w14:textId="77777777" w:rsidR="00A952B8" w:rsidRPr="00A952B8" w:rsidRDefault="00A952B8" w:rsidP="00A952B8">
          <w:pPr>
            <w:tabs>
              <w:tab w:val="clear" w:pos="567"/>
              <w:tab w:val="clear" w:pos="1134"/>
              <w:tab w:val="clear" w:pos="1701"/>
              <w:tab w:val="clear" w:pos="2268"/>
              <w:tab w:val="clear" w:pos="2835"/>
            </w:tabs>
            <w:spacing w:before="0"/>
            <w:rPr>
              <w:noProof/>
              <w:color w:val="7F7F7F" w:themeColor="text1" w:themeTint="80"/>
              <w:sz w:val="18"/>
            </w:rPr>
          </w:pPr>
          <w:r w:rsidRPr="00A952B8">
            <w:rPr>
              <w:noProof/>
              <w:color w:val="7F7F7F" w:themeColor="text1" w:themeTint="80"/>
              <w:sz w:val="18"/>
            </w:rPr>
            <w:t>gDoc #</w:t>
          </w:r>
        </w:p>
      </w:tc>
      <w:tc>
        <w:tcPr>
          <w:tcW w:w="8261" w:type="dxa"/>
        </w:tcPr>
        <w:p w14:paraId="13FF0A27" w14:textId="66A4F8BB" w:rsidR="00A952B8" w:rsidRPr="00A952B8" w:rsidRDefault="00A952B8" w:rsidP="00A952B8">
          <w:pPr>
            <w:tabs>
              <w:tab w:val="clear" w:pos="567"/>
              <w:tab w:val="clear" w:pos="1134"/>
              <w:tab w:val="clear" w:pos="1701"/>
              <w:tab w:val="clear" w:pos="2268"/>
              <w:tab w:val="clear" w:pos="2835"/>
              <w:tab w:val="left" w:pos="6164"/>
              <w:tab w:val="right" w:pos="8505"/>
              <w:tab w:val="right" w:pos="9639"/>
            </w:tabs>
            <w:spacing w:before="0"/>
            <w:rPr>
              <w:rFonts w:ascii="Arial" w:hAnsi="Arial" w:cs="Arial"/>
              <w:b/>
              <w:bCs/>
              <w:color w:val="7F7F7F" w:themeColor="text1" w:themeTint="80"/>
              <w:sz w:val="18"/>
              <w:szCs w:val="18"/>
            </w:rPr>
          </w:pPr>
          <w:r w:rsidRPr="00A952B8">
            <w:rPr>
              <w:bCs/>
              <w:color w:val="7F7F7F" w:themeColor="text1" w:themeTint="80"/>
              <w:sz w:val="18"/>
            </w:rPr>
            <w:tab/>
            <w:t>C25/</w:t>
          </w:r>
          <w:r>
            <w:rPr>
              <w:bCs/>
              <w:color w:val="7F7F7F" w:themeColor="text1" w:themeTint="80"/>
              <w:sz w:val="18"/>
            </w:rPr>
            <w:t>35</w:t>
          </w:r>
          <w:r w:rsidRPr="00A952B8">
            <w:rPr>
              <w:bCs/>
              <w:color w:val="7F7F7F" w:themeColor="text1" w:themeTint="80"/>
              <w:sz w:val="18"/>
            </w:rPr>
            <w:t>-E</w:t>
          </w:r>
          <w:r w:rsidRPr="00A952B8">
            <w:rPr>
              <w:bCs/>
              <w:color w:val="7F7F7F" w:themeColor="text1" w:themeTint="80"/>
              <w:sz w:val="18"/>
            </w:rPr>
            <w:tab/>
          </w:r>
          <w:r w:rsidRPr="00A952B8">
            <w:rPr>
              <w:color w:val="7F7F7F" w:themeColor="text1" w:themeTint="80"/>
              <w:sz w:val="18"/>
            </w:rPr>
            <w:fldChar w:fldCharType="begin"/>
          </w:r>
          <w:r w:rsidRPr="00A952B8">
            <w:rPr>
              <w:color w:val="7F7F7F" w:themeColor="text1" w:themeTint="80"/>
              <w:sz w:val="18"/>
            </w:rPr>
            <w:instrText>PAGE</w:instrText>
          </w:r>
          <w:r w:rsidRPr="00A952B8">
            <w:rPr>
              <w:color w:val="7F7F7F" w:themeColor="text1" w:themeTint="80"/>
              <w:sz w:val="18"/>
            </w:rPr>
            <w:fldChar w:fldCharType="separate"/>
          </w:r>
          <w:r w:rsidRPr="00A952B8">
            <w:rPr>
              <w:color w:val="7F7F7F" w:themeColor="text1" w:themeTint="80"/>
              <w:sz w:val="18"/>
            </w:rPr>
            <w:t>1</w:t>
          </w:r>
          <w:r w:rsidRPr="00A952B8">
            <w:rPr>
              <w:noProof/>
              <w:color w:val="7F7F7F" w:themeColor="text1" w:themeTint="80"/>
              <w:sz w:val="18"/>
            </w:rPr>
            <w:fldChar w:fldCharType="end"/>
          </w:r>
        </w:p>
      </w:tc>
    </w:tr>
  </w:tbl>
  <w:p w14:paraId="7A1F1124" w14:textId="77777777" w:rsidR="00F454CA" w:rsidRPr="00623AE3" w:rsidRDefault="00F454CA" w:rsidP="00EE49E8">
    <w:pPr>
      <w:pStyle w:val="Header"/>
      <w:tabs>
        <w:tab w:val="left" w:pos="8080"/>
        <w:tab w:val="right" w:pos="9072"/>
      </w:tabs>
      <w:jc w:val="right"/>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0A828" w14:textId="77777777" w:rsidR="00FA542C" w:rsidRDefault="00FA542C">
      <w:r>
        <w:t>____________________</w:t>
      </w:r>
    </w:p>
  </w:footnote>
  <w:footnote w:type="continuationSeparator" w:id="0">
    <w:p w14:paraId="483449F9" w14:textId="77777777" w:rsidR="00FA542C" w:rsidRDefault="00FA542C">
      <w:r>
        <w:continuationSeparator/>
      </w:r>
    </w:p>
  </w:footnote>
  <w:footnote w:type="continuationNotice" w:id="1">
    <w:p w14:paraId="30014DF9" w14:textId="77777777" w:rsidR="00FA542C" w:rsidRDefault="00FA542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B622" w14:textId="77777777" w:rsidR="00F454CA" w:rsidRPr="00FC54BD" w:rsidRDefault="00F454CA" w:rsidP="008A31FD">
    <w:pPr>
      <w:pStyle w:val="Header"/>
      <w:rPr>
        <w:lang w:val="en-US"/>
      </w:rPr>
    </w:pPr>
    <w:r>
      <w:rPr>
        <w:color w:val="0F5288"/>
        <w:szCs w:val="18"/>
      </w:rPr>
      <w:t>Report on the implementation of the strategic plan and activities of the Union</w:t>
    </w:r>
  </w:p>
  <w:p w14:paraId="3B4C30DC" w14:textId="77777777" w:rsidR="00F454CA" w:rsidRDefault="00F454CA" w:rsidP="008A31FD">
    <w:pPr>
      <w:pStyle w:val="Header"/>
      <w:rPr>
        <w:lang w:val="en-US"/>
      </w:rPr>
    </w:pPr>
  </w:p>
  <w:p w14:paraId="77C9B2BA" w14:textId="77777777" w:rsidR="00DE38D4" w:rsidRPr="00673405" w:rsidRDefault="00DE38D4" w:rsidP="008A31FD">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8"/>
      <w:gridCol w:w="4022"/>
    </w:tblGrid>
    <w:tr w:rsidR="00A952B8" w:rsidRPr="00A952B8" w14:paraId="3327ABA2" w14:textId="77777777">
      <w:trPr>
        <w:trHeight w:val="1104"/>
        <w:jc w:val="center"/>
      </w:trPr>
      <w:tc>
        <w:tcPr>
          <w:tcW w:w="4390" w:type="dxa"/>
          <w:vAlign w:val="center"/>
        </w:tcPr>
        <w:p w14:paraId="621C76E6" w14:textId="77777777" w:rsidR="00A952B8" w:rsidRPr="00A952B8" w:rsidRDefault="00A952B8" w:rsidP="00A952B8">
          <w:pPr>
            <w:tabs>
              <w:tab w:val="clear" w:pos="567"/>
              <w:tab w:val="clear" w:pos="1134"/>
              <w:tab w:val="clear" w:pos="1701"/>
              <w:tab w:val="clear" w:pos="2268"/>
              <w:tab w:val="clear" w:pos="2835"/>
            </w:tabs>
            <w:spacing w:before="0"/>
            <w:rPr>
              <w:rFonts w:ascii="Arial" w:hAnsi="Arial" w:cs="Arial"/>
              <w:b/>
              <w:bCs/>
              <w:color w:val="009CD6"/>
              <w:sz w:val="36"/>
              <w:szCs w:val="36"/>
            </w:rPr>
          </w:pPr>
          <w:bookmarkStart w:id="8" w:name="_Hlk133422111"/>
          <w:bookmarkStart w:id="9" w:name="_Hlk68810887"/>
          <w:r w:rsidRPr="00A952B8">
            <w:rPr>
              <w:rFonts w:ascii="Arial" w:hAnsi="Arial" w:cs="Arial"/>
              <w:b/>
              <w:bCs/>
              <w:noProof/>
              <w:color w:val="009CD6"/>
              <w:sz w:val="36"/>
              <w:szCs w:val="36"/>
            </w:rPr>
            <w:drawing>
              <wp:inline distT="0" distB="0" distL="0" distR="0" wp14:anchorId="13F03ECB" wp14:editId="02A5BC87">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5630" w:type="dxa"/>
        </w:tcPr>
        <w:p w14:paraId="790A3F5A" w14:textId="77777777" w:rsidR="00A952B8" w:rsidRPr="00A952B8" w:rsidRDefault="00A952B8" w:rsidP="00A952B8">
          <w:pPr>
            <w:tabs>
              <w:tab w:val="clear" w:pos="567"/>
              <w:tab w:val="clear" w:pos="1134"/>
              <w:tab w:val="clear" w:pos="1701"/>
              <w:tab w:val="clear" w:pos="2268"/>
              <w:tab w:val="clear" w:pos="2835"/>
            </w:tabs>
            <w:spacing w:before="0"/>
            <w:jc w:val="right"/>
            <w:rPr>
              <w:rFonts w:ascii="Arial" w:hAnsi="Arial" w:cs="Arial"/>
              <w:b/>
              <w:bCs/>
              <w:color w:val="009CD6"/>
              <w:sz w:val="18"/>
              <w:szCs w:val="18"/>
            </w:rPr>
          </w:pPr>
        </w:p>
        <w:p w14:paraId="192D4BD2" w14:textId="77777777" w:rsidR="00A952B8" w:rsidRPr="00A952B8" w:rsidRDefault="00A952B8" w:rsidP="00A952B8">
          <w:pPr>
            <w:tabs>
              <w:tab w:val="clear" w:pos="567"/>
              <w:tab w:val="clear" w:pos="1134"/>
              <w:tab w:val="clear" w:pos="1701"/>
              <w:tab w:val="clear" w:pos="2268"/>
              <w:tab w:val="clear" w:pos="2835"/>
            </w:tabs>
            <w:spacing w:before="0"/>
            <w:jc w:val="right"/>
            <w:rPr>
              <w:rFonts w:ascii="Arial" w:hAnsi="Arial" w:cs="Arial"/>
              <w:b/>
              <w:bCs/>
              <w:color w:val="009CD6"/>
              <w:sz w:val="18"/>
              <w:szCs w:val="18"/>
            </w:rPr>
          </w:pPr>
        </w:p>
        <w:p w14:paraId="79C26EF5" w14:textId="77777777" w:rsidR="00A952B8" w:rsidRPr="00A952B8" w:rsidRDefault="00A952B8" w:rsidP="00A952B8">
          <w:pPr>
            <w:tabs>
              <w:tab w:val="clear" w:pos="567"/>
              <w:tab w:val="clear" w:pos="1134"/>
              <w:tab w:val="clear" w:pos="1701"/>
              <w:tab w:val="clear" w:pos="2268"/>
              <w:tab w:val="clear" w:pos="2835"/>
            </w:tabs>
            <w:spacing w:before="0"/>
            <w:jc w:val="right"/>
            <w:rPr>
              <w:rFonts w:ascii="Arial" w:hAnsi="Arial" w:cs="Arial"/>
              <w:color w:val="009CD6"/>
              <w:sz w:val="18"/>
              <w:szCs w:val="18"/>
            </w:rPr>
          </w:pPr>
          <w:r w:rsidRPr="00A952B8">
            <w:rPr>
              <w:rFonts w:ascii="Arial" w:hAnsi="Arial" w:cs="Arial"/>
              <w:b/>
              <w:bCs/>
              <w:color w:val="009CD6"/>
              <w:sz w:val="18"/>
              <w:szCs w:val="18"/>
            </w:rPr>
            <w:t xml:space="preserve"> </w:t>
          </w:r>
        </w:p>
      </w:tc>
    </w:tr>
  </w:tbl>
  <w:bookmarkEnd w:id="8"/>
  <w:p w14:paraId="65FCC8AC" w14:textId="68282E83" w:rsidR="00F454CA" w:rsidRPr="00FC54BD" w:rsidRDefault="00DE38D4" w:rsidP="008A31FD">
    <w:pPr>
      <w:pStyle w:val="Header"/>
      <w:rPr>
        <w:lang w:val="en-US"/>
      </w:rPr>
    </w:pPr>
    <w:r w:rsidRPr="00802C2C">
      <w:rPr>
        <w:rFonts w:ascii="Avenir Nxt2 W1G Medium" w:eastAsia="Avenir Nxt2 W1G Medium" w:hAnsi="Avenir Nxt2 W1G Medium" w:cs="Avenir Nxt2 W1G Medium"/>
        <w:noProof/>
        <w:lang w:val="fr-FR" w:eastAsia="fr-FR"/>
      </w:rPr>
      <mc:AlternateContent>
        <mc:Choice Requires="wps">
          <w:drawing>
            <wp:anchor distT="0" distB="0" distL="114300" distR="114300" simplePos="0" relativeHeight="251658240" behindDoc="0" locked="0" layoutInCell="1" allowOverlap="1" wp14:anchorId="348D0F8D" wp14:editId="418F4383">
              <wp:simplePos x="0" y="0"/>
              <wp:positionH relativeFrom="page">
                <wp:posOffset>18679</wp:posOffset>
              </wp:positionH>
              <wp:positionV relativeFrom="topMargin">
                <wp:posOffset>516255</wp:posOffset>
              </wp:positionV>
              <wp:extent cx="92075" cy="360680"/>
              <wp:effectExtent l="0" t="0" r="3175" b="127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8231C" id="Rectangle 5" o:spid="_x0000_s1026" style="position:absolute;margin-left:1.45pt;margin-top:40.65pt;width:7.25pt;height:2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" fillcolor="#009cd5" stroked="f">
              <o:lock v:ext="edit" aspectratio="t"/>
              <w10:wrap anchorx="page" anchory="margin"/>
            </v:rect>
          </w:pict>
        </mc:Fallback>
      </mc:AlternateContent>
    </w:r>
  </w:p>
  <w:bookmarkEnd w:id="9"/>
  <w:p w14:paraId="2DAB6D0A" w14:textId="69B976B8" w:rsidR="00F454CA" w:rsidRPr="004840A5" w:rsidRDefault="00F454CA">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9937" w14:textId="77777777" w:rsidR="00DE38D4" w:rsidRPr="00FC54BD" w:rsidRDefault="00DE38D4" w:rsidP="008A31FD">
    <w:pPr>
      <w:pStyle w:val="Header"/>
      <w:rPr>
        <w:lang w:val="en-US"/>
      </w:rPr>
    </w:pPr>
    <w:r>
      <w:rPr>
        <w:color w:val="0F5288"/>
        <w:szCs w:val="18"/>
      </w:rPr>
      <w:t>Report on the implementation of the strategic plan and activities of the Union</w:t>
    </w:r>
  </w:p>
  <w:p w14:paraId="0940899B" w14:textId="77777777" w:rsidR="00DE38D4" w:rsidRPr="00673405" w:rsidRDefault="00DE38D4" w:rsidP="008A31FD">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0BDC9" w14:textId="708D495D" w:rsidR="00F454CA" w:rsidRDefault="00DE38D4">
    <w:pPr>
      <w:pStyle w:val="Header"/>
    </w:pPr>
    <w:r>
      <w:rPr>
        <w:color w:val="0F5288"/>
        <w:szCs w:val="18"/>
      </w:rPr>
      <w:t>Report on the implementation of the strategic plan and activities of the Union</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F749A"/>
    <w:multiLevelType w:val="hybridMultilevel"/>
    <w:tmpl w:val="2714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10CEB"/>
    <w:multiLevelType w:val="multilevel"/>
    <w:tmpl w:val="9F4E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07BE3"/>
    <w:multiLevelType w:val="multilevel"/>
    <w:tmpl w:val="1FD6950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C1501F"/>
    <w:multiLevelType w:val="multilevel"/>
    <w:tmpl w:val="F5BCD45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EE6CAF"/>
    <w:multiLevelType w:val="hybridMultilevel"/>
    <w:tmpl w:val="70FA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35461"/>
    <w:multiLevelType w:val="hybridMultilevel"/>
    <w:tmpl w:val="B8FAE67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E840777"/>
    <w:multiLevelType w:val="hybridMultilevel"/>
    <w:tmpl w:val="29B8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201E1"/>
    <w:multiLevelType w:val="multilevel"/>
    <w:tmpl w:val="DD3617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C17B6F"/>
    <w:multiLevelType w:val="multilevel"/>
    <w:tmpl w:val="F12A7F76"/>
    <w:lvl w:ilvl="0">
      <w:start w:val="1"/>
      <w:numFmt w:val="decimal"/>
      <w:lvlText w:val="%1."/>
      <w:lvlJc w:val="left"/>
      <w:pPr>
        <w:ind w:left="712" w:hanging="570"/>
      </w:pPr>
      <w:rPr>
        <w:rFonts w:hint="default"/>
        <w:color w:val="365F91" w:themeColor="accent1" w:themeShade="BF"/>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4113B6"/>
    <w:multiLevelType w:val="hybridMultilevel"/>
    <w:tmpl w:val="9CBECCDC"/>
    <w:lvl w:ilvl="0" w:tplc="55CAAEC0">
      <w:start w:val="1"/>
      <w:numFmt w:val="bullet"/>
      <w:pStyle w:val="boxbullet"/>
      <w:lvlText w:val="•"/>
      <w:lvlJc w:val="left"/>
      <w:pPr>
        <w:tabs>
          <w:tab w:val="num" w:pos="720"/>
        </w:tabs>
        <w:ind w:left="720" w:hanging="360"/>
      </w:pPr>
      <w:rPr>
        <w:rFonts w:ascii="Arial" w:hAnsi="Arial" w:hint="default"/>
      </w:rPr>
    </w:lvl>
    <w:lvl w:ilvl="1" w:tplc="C9D0C296">
      <w:numFmt w:val="bullet"/>
      <w:pStyle w:val="Boxbullet2"/>
      <w:lvlText w:val="–"/>
      <w:lvlJc w:val="left"/>
      <w:pPr>
        <w:tabs>
          <w:tab w:val="num" w:pos="1440"/>
        </w:tabs>
        <w:ind w:left="1440" w:hanging="360"/>
      </w:pPr>
      <w:rPr>
        <w:rFonts w:ascii="Arial" w:hAnsi="Arial" w:hint="default"/>
      </w:rPr>
    </w:lvl>
    <w:lvl w:ilvl="2" w:tplc="6B3AEB26" w:tentative="1">
      <w:start w:val="1"/>
      <w:numFmt w:val="bullet"/>
      <w:lvlText w:val="•"/>
      <w:lvlJc w:val="left"/>
      <w:pPr>
        <w:tabs>
          <w:tab w:val="num" w:pos="2160"/>
        </w:tabs>
        <w:ind w:left="2160" w:hanging="360"/>
      </w:pPr>
      <w:rPr>
        <w:rFonts w:ascii="Arial" w:hAnsi="Arial" w:hint="default"/>
      </w:rPr>
    </w:lvl>
    <w:lvl w:ilvl="3" w:tplc="9E5A5CAE" w:tentative="1">
      <w:start w:val="1"/>
      <w:numFmt w:val="bullet"/>
      <w:lvlText w:val="•"/>
      <w:lvlJc w:val="left"/>
      <w:pPr>
        <w:tabs>
          <w:tab w:val="num" w:pos="2880"/>
        </w:tabs>
        <w:ind w:left="2880" w:hanging="360"/>
      </w:pPr>
      <w:rPr>
        <w:rFonts w:ascii="Arial" w:hAnsi="Arial" w:hint="default"/>
      </w:rPr>
    </w:lvl>
    <w:lvl w:ilvl="4" w:tplc="DD3CF324" w:tentative="1">
      <w:start w:val="1"/>
      <w:numFmt w:val="bullet"/>
      <w:lvlText w:val="•"/>
      <w:lvlJc w:val="left"/>
      <w:pPr>
        <w:tabs>
          <w:tab w:val="num" w:pos="3600"/>
        </w:tabs>
        <w:ind w:left="3600" w:hanging="360"/>
      </w:pPr>
      <w:rPr>
        <w:rFonts w:ascii="Arial" w:hAnsi="Arial" w:hint="default"/>
      </w:rPr>
    </w:lvl>
    <w:lvl w:ilvl="5" w:tplc="67CEA002" w:tentative="1">
      <w:start w:val="1"/>
      <w:numFmt w:val="bullet"/>
      <w:lvlText w:val="•"/>
      <w:lvlJc w:val="left"/>
      <w:pPr>
        <w:tabs>
          <w:tab w:val="num" w:pos="4320"/>
        </w:tabs>
        <w:ind w:left="4320" w:hanging="360"/>
      </w:pPr>
      <w:rPr>
        <w:rFonts w:ascii="Arial" w:hAnsi="Arial" w:hint="default"/>
      </w:rPr>
    </w:lvl>
    <w:lvl w:ilvl="6" w:tplc="D9E47C00" w:tentative="1">
      <w:start w:val="1"/>
      <w:numFmt w:val="bullet"/>
      <w:lvlText w:val="•"/>
      <w:lvlJc w:val="left"/>
      <w:pPr>
        <w:tabs>
          <w:tab w:val="num" w:pos="5040"/>
        </w:tabs>
        <w:ind w:left="5040" w:hanging="360"/>
      </w:pPr>
      <w:rPr>
        <w:rFonts w:ascii="Arial" w:hAnsi="Arial" w:hint="default"/>
      </w:rPr>
    </w:lvl>
    <w:lvl w:ilvl="7" w:tplc="6FDEFE32" w:tentative="1">
      <w:start w:val="1"/>
      <w:numFmt w:val="bullet"/>
      <w:lvlText w:val="•"/>
      <w:lvlJc w:val="left"/>
      <w:pPr>
        <w:tabs>
          <w:tab w:val="num" w:pos="5760"/>
        </w:tabs>
        <w:ind w:left="5760" w:hanging="360"/>
      </w:pPr>
      <w:rPr>
        <w:rFonts w:ascii="Arial" w:hAnsi="Arial" w:hint="default"/>
      </w:rPr>
    </w:lvl>
    <w:lvl w:ilvl="8" w:tplc="784425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883BA7"/>
    <w:multiLevelType w:val="multilevel"/>
    <w:tmpl w:val="1710441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90B131"/>
    <w:multiLevelType w:val="multilevel"/>
    <w:tmpl w:val="7564FC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A6153A"/>
    <w:multiLevelType w:val="multilevel"/>
    <w:tmpl w:val="35BA93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CE649C"/>
    <w:multiLevelType w:val="hybridMultilevel"/>
    <w:tmpl w:val="D1D2E094"/>
    <w:lvl w:ilvl="0" w:tplc="0409000F">
      <w:start w:val="1"/>
      <w:numFmt w:val="decimal"/>
      <w:lvlText w:val="%1."/>
      <w:lvlJc w:val="left"/>
      <w:pPr>
        <w:ind w:left="704" w:hanging="420"/>
      </w:pPr>
      <w:rPr>
        <w:rFont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1542370A"/>
    <w:multiLevelType w:val="multilevel"/>
    <w:tmpl w:val="1FD6950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340EAE"/>
    <w:multiLevelType w:val="multilevel"/>
    <w:tmpl w:val="A4BA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544C61"/>
    <w:multiLevelType w:val="multilevel"/>
    <w:tmpl w:val="DC6E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98461C"/>
    <w:multiLevelType w:val="hybridMultilevel"/>
    <w:tmpl w:val="48F203A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7E01CB1"/>
    <w:multiLevelType w:val="multilevel"/>
    <w:tmpl w:val="BBF650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9A2BE9"/>
    <w:multiLevelType w:val="multilevel"/>
    <w:tmpl w:val="7754736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9D70B0"/>
    <w:multiLevelType w:val="multilevel"/>
    <w:tmpl w:val="C490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C94C86"/>
    <w:multiLevelType w:val="hybridMultilevel"/>
    <w:tmpl w:val="A51E1166"/>
    <w:lvl w:ilvl="0" w:tplc="731455E2">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EB0A14"/>
    <w:multiLevelType w:val="multilevel"/>
    <w:tmpl w:val="9B2433B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1CD62ED"/>
    <w:multiLevelType w:val="multilevel"/>
    <w:tmpl w:val="E60AAAE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20D17B7"/>
    <w:multiLevelType w:val="hybridMultilevel"/>
    <w:tmpl w:val="DF9AACE4"/>
    <w:lvl w:ilvl="0" w:tplc="93E05D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5E867E6"/>
    <w:multiLevelType w:val="multilevel"/>
    <w:tmpl w:val="67603D8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615282F"/>
    <w:multiLevelType w:val="hybridMultilevel"/>
    <w:tmpl w:val="A836BF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8D34E00"/>
    <w:multiLevelType w:val="multilevel"/>
    <w:tmpl w:val="245C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251F54"/>
    <w:multiLevelType w:val="multilevel"/>
    <w:tmpl w:val="0AFE34D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9761A07"/>
    <w:multiLevelType w:val="multilevel"/>
    <w:tmpl w:val="DB04AC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D0E3561"/>
    <w:multiLevelType w:val="hybridMultilevel"/>
    <w:tmpl w:val="C8142D46"/>
    <w:lvl w:ilvl="0" w:tplc="4F1EA24A">
      <w:start w:val="1"/>
      <w:numFmt w:val="decimal"/>
      <w:pStyle w:val="normalWSIS"/>
      <w:lvlText w:val="%1."/>
      <w:lvlJc w:val="left"/>
      <w:pPr>
        <w:ind w:left="3195" w:hanging="360"/>
      </w:pPr>
      <w:rPr>
        <w:b w:val="0"/>
        <w:bCs w:val="0"/>
        <w:color w:val="auto"/>
        <w:sz w:val="20"/>
        <w:szCs w:val="20"/>
      </w:rPr>
    </w:lvl>
    <w:lvl w:ilvl="1" w:tplc="04090019">
      <w:start w:val="1"/>
      <w:numFmt w:val="lowerLetter"/>
      <w:lvlText w:val="%2."/>
      <w:lvlJc w:val="left"/>
      <w:pPr>
        <w:ind w:left="3566" w:hanging="360"/>
      </w:pPr>
    </w:lvl>
    <w:lvl w:ilvl="2" w:tplc="0409001B">
      <w:start w:val="1"/>
      <w:numFmt w:val="lowerRoman"/>
      <w:lvlText w:val="%3."/>
      <w:lvlJc w:val="right"/>
      <w:pPr>
        <w:ind w:left="4286" w:hanging="180"/>
      </w:pPr>
    </w:lvl>
    <w:lvl w:ilvl="3" w:tplc="0409000F">
      <w:start w:val="1"/>
      <w:numFmt w:val="decimal"/>
      <w:lvlText w:val="%4."/>
      <w:lvlJc w:val="left"/>
      <w:pPr>
        <w:ind w:left="5006" w:hanging="360"/>
      </w:pPr>
    </w:lvl>
    <w:lvl w:ilvl="4" w:tplc="04090019">
      <w:start w:val="1"/>
      <w:numFmt w:val="lowerLetter"/>
      <w:lvlText w:val="%5."/>
      <w:lvlJc w:val="left"/>
      <w:pPr>
        <w:ind w:left="5726" w:hanging="360"/>
      </w:pPr>
    </w:lvl>
    <w:lvl w:ilvl="5" w:tplc="0409001B">
      <w:start w:val="1"/>
      <w:numFmt w:val="lowerRoman"/>
      <w:lvlText w:val="%6."/>
      <w:lvlJc w:val="right"/>
      <w:pPr>
        <w:ind w:left="6446" w:hanging="180"/>
      </w:pPr>
    </w:lvl>
    <w:lvl w:ilvl="6" w:tplc="0409000F">
      <w:start w:val="1"/>
      <w:numFmt w:val="decimal"/>
      <w:lvlText w:val="%7."/>
      <w:lvlJc w:val="left"/>
      <w:pPr>
        <w:ind w:left="7166" w:hanging="360"/>
      </w:pPr>
    </w:lvl>
    <w:lvl w:ilvl="7" w:tplc="04090019">
      <w:start w:val="1"/>
      <w:numFmt w:val="lowerLetter"/>
      <w:lvlText w:val="%8."/>
      <w:lvlJc w:val="left"/>
      <w:pPr>
        <w:ind w:left="7886" w:hanging="360"/>
      </w:pPr>
    </w:lvl>
    <w:lvl w:ilvl="8" w:tplc="0409001B">
      <w:start w:val="1"/>
      <w:numFmt w:val="lowerRoman"/>
      <w:lvlText w:val="%9."/>
      <w:lvlJc w:val="right"/>
      <w:pPr>
        <w:ind w:left="8606" w:hanging="180"/>
      </w:pPr>
    </w:lvl>
  </w:abstractNum>
  <w:abstractNum w:abstractNumId="31" w15:restartNumberingAfterBreak="0">
    <w:nsid w:val="2E4B2DCC"/>
    <w:multiLevelType w:val="hybridMultilevel"/>
    <w:tmpl w:val="411A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1162BE"/>
    <w:multiLevelType w:val="hybridMultilevel"/>
    <w:tmpl w:val="A5D8B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353D34"/>
    <w:multiLevelType w:val="hybridMultilevel"/>
    <w:tmpl w:val="9B6E5194"/>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618677D"/>
    <w:multiLevelType w:val="hybridMultilevel"/>
    <w:tmpl w:val="FFFFFFFF"/>
    <w:lvl w:ilvl="0" w:tplc="95A08718">
      <w:start w:val="1"/>
      <w:numFmt w:val="bullet"/>
      <w:lvlText w:val=""/>
      <w:lvlJc w:val="left"/>
      <w:pPr>
        <w:ind w:left="720" w:hanging="360"/>
      </w:pPr>
      <w:rPr>
        <w:rFonts w:ascii="Symbol" w:hAnsi="Symbol" w:hint="default"/>
      </w:rPr>
    </w:lvl>
    <w:lvl w:ilvl="1" w:tplc="2F6224D8">
      <w:start w:val="1"/>
      <w:numFmt w:val="bullet"/>
      <w:lvlText w:val="o"/>
      <w:lvlJc w:val="left"/>
      <w:pPr>
        <w:ind w:left="1440" w:hanging="360"/>
      </w:pPr>
      <w:rPr>
        <w:rFonts w:ascii="Courier New" w:hAnsi="Courier New" w:hint="default"/>
      </w:rPr>
    </w:lvl>
    <w:lvl w:ilvl="2" w:tplc="BD36754A">
      <w:start w:val="1"/>
      <w:numFmt w:val="bullet"/>
      <w:lvlText w:val=""/>
      <w:lvlJc w:val="left"/>
      <w:pPr>
        <w:ind w:left="2160" w:hanging="360"/>
      </w:pPr>
      <w:rPr>
        <w:rFonts w:ascii="Wingdings" w:hAnsi="Wingdings" w:hint="default"/>
      </w:rPr>
    </w:lvl>
    <w:lvl w:ilvl="3" w:tplc="28F6DBFE">
      <w:start w:val="1"/>
      <w:numFmt w:val="bullet"/>
      <w:lvlText w:val=""/>
      <w:lvlJc w:val="left"/>
      <w:pPr>
        <w:ind w:left="2880" w:hanging="360"/>
      </w:pPr>
      <w:rPr>
        <w:rFonts w:ascii="Symbol" w:hAnsi="Symbol" w:hint="default"/>
      </w:rPr>
    </w:lvl>
    <w:lvl w:ilvl="4" w:tplc="311EA2E2">
      <w:start w:val="1"/>
      <w:numFmt w:val="bullet"/>
      <w:lvlText w:val="o"/>
      <w:lvlJc w:val="left"/>
      <w:pPr>
        <w:ind w:left="3600" w:hanging="360"/>
      </w:pPr>
      <w:rPr>
        <w:rFonts w:ascii="Courier New" w:hAnsi="Courier New" w:hint="default"/>
      </w:rPr>
    </w:lvl>
    <w:lvl w:ilvl="5" w:tplc="6212BF66">
      <w:start w:val="1"/>
      <w:numFmt w:val="bullet"/>
      <w:lvlText w:val=""/>
      <w:lvlJc w:val="left"/>
      <w:pPr>
        <w:ind w:left="4320" w:hanging="360"/>
      </w:pPr>
      <w:rPr>
        <w:rFonts w:ascii="Wingdings" w:hAnsi="Wingdings" w:hint="default"/>
      </w:rPr>
    </w:lvl>
    <w:lvl w:ilvl="6" w:tplc="39305CF0">
      <w:start w:val="1"/>
      <w:numFmt w:val="bullet"/>
      <w:lvlText w:val=""/>
      <w:lvlJc w:val="left"/>
      <w:pPr>
        <w:ind w:left="5040" w:hanging="360"/>
      </w:pPr>
      <w:rPr>
        <w:rFonts w:ascii="Symbol" w:hAnsi="Symbol" w:hint="default"/>
      </w:rPr>
    </w:lvl>
    <w:lvl w:ilvl="7" w:tplc="BBE858FA">
      <w:start w:val="1"/>
      <w:numFmt w:val="bullet"/>
      <w:lvlText w:val="o"/>
      <w:lvlJc w:val="left"/>
      <w:pPr>
        <w:ind w:left="5760" w:hanging="360"/>
      </w:pPr>
      <w:rPr>
        <w:rFonts w:ascii="Courier New" w:hAnsi="Courier New" w:hint="default"/>
      </w:rPr>
    </w:lvl>
    <w:lvl w:ilvl="8" w:tplc="E586054A">
      <w:start w:val="1"/>
      <w:numFmt w:val="bullet"/>
      <w:lvlText w:val=""/>
      <w:lvlJc w:val="left"/>
      <w:pPr>
        <w:ind w:left="6480" w:hanging="360"/>
      </w:pPr>
      <w:rPr>
        <w:rFonts w:ascii="Wingdings" w:hAnsi="Wingdings" w:hint="default"/>
      </w:rPr>
    </w:lvl>
  </w:abstractNum>
  <w:abstractNum w:abstractNumId="35" w15:restartNumberingAfterBreak="0">
    <w:nsid w:val="37922DB3"/>
    <w:multiLevelType w:val="multilevel"/>
    <w:tmpl w:val="CD9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0E7531"/>
    <w:multiLevelType w:val="multilevel"/>
    <w:tmpl w:val="72E4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582472"/>
    <w:multiLevelType w:val="hybridMultilevel"/>
    <w:tmpl w:val="9BC44A5C"/>
    <w:lvl w:ilvl="0" w:tplc="F7E2637E">
      <w:start w:val="1"/>
      <w:numFmt w:val="lowerRoman"/>
      <w:lvlText w:val="%1."/>
      <w:lvlJc w:val="left"/>
      <w:pPr>
        <w:ind w:left="1290" w:hanging="720"/>
      </w:pPr>
      <w:rPr>
        <w:rFonts w:ascii="Calibri" w:eastAsia="Times New Roman" w:hAnsi="Calibri" w:cs="Times New Roman"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8" w15:restartNumberingAfterBreak="0">
    <w:nsid w:val="4BE42DD6"/>
    <w:multiLevelType w:val="multilevel"/>
    <w:tmpl w:val="482C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D7F3C0"/>
    <w:multiLevelType w:val="hybridMultilevel"/>
    <w:tmpl w:val="FFFFFFFF"/>
    <w:lvl w:ilvl="0" w:tplc="E9A0397C">
      <w:start w:val="1"/>
      <w:numFmt w:val="bullet"/>
      <w:lvlText w:val=""/>
      <w:lvlJc w:val="left"/>
      <w:pPr>
        <w:ind w:left="720" w:hanging="360"/>
      </w:pPr>
      <w:rPr>
        <w:rFonts w:ascii="Symbol" w:hAnsi="Symbol" w:hint="default"/>
      </w:rPr>
    </w:lvl>
    <w:lvl w:ilvl="1" w:tplc="D450BF16">
      <w:start w:val="1"/>
      <w:numFmt w:val="bullet"/>
      <w:lvlText w:val="o"/>
      <w:lvlJc w:val="left"/>
      <w:pPr>
        <w:ind w:left="1440" w:hanging="360"/>
      </w:pPr>
      <w:rPr>
        <w:rFonts w:ascii="Courier New" w:hAnsi="Courier New" w:hint="default"/>
      </w:rPr>
    </w:lvl>
    <w:lvl w:ilvl="2" w:tplc="6442A86E">
      <w:start w:val="1"/>
      <w:numFmt w:val="bullet"/>
      <w:lvlText w:val=""/>
      <w:lvlJc w:val="left"/>
      <w:pPr>
        <w:ind w:left="2160" w:hanging="360"/>
      </w:pPr>
      <w:rPr>
        <w:rFonts w:ascii="Wingdings" w:hAnsi="Wingdings" w:hint="default"/>
      </w:rPr>
    </w:lvl>
    <w:lvl w:ilvl="3" w:tplc="1BD4F692">
      <w:start w:val="1"/>
      <w:numFmt w:val="bullet"/>
      <w:lvlText w:val=""/>
      <w:lvlJc w:val="left"/>
      <w:pPr>
        <w:ind w:left="2880" w:hanging="360"/>
      </w:pPr>
      <w:rPr>
        <w:rFonts w:ascii="Symbol" w:hAnsi="Symbol" w:hint="default"/>
      </w:rPr>
    </w:lvl>
    <w:lvl w:ilvl="4" w:tplc="D59AF06E">
      <w:start w:val="1"/>
      <w:numFmt w:val="bullet"/>
      <w:lvlText w:val="o"/>
      <w:lvlJc w:val="left"/>
      <w:pPr>
        <w:ind w:left="3600" w:hanging="360"/>
      </w:pPr>
      <w:rPr>
        <w:rFonts w:ascii="Courier New" w:hAnsi="Courier New" w:hint="default"/>
      </w:rPr>
    </w:lvl>
    <w:lvl w:ilvl="5" w:tplc="63901886">
      <w:start w:val="1"/>
      <w:numFmt w:val="bullet"/>
      <w:lvlText w:val=""/>
      <w:lvlJc w:val="left"/>
      <w:pPr>
        <w:ind w:left="4320" w:hanging="360"/>
      </w:pPr>
      <w:rPr>
        <w:rFonts w:ascii="Wingdings" w:hAnsi="Wingdings" w:hint="default"/>
      </w:rPr>
    </w:lvl>
    <w:lvl w:ilvl="6" w:tplc="53BA851A">
      <w:start w:val="1"/>
      <w:numFmt w:val="bullet"/>
      <w:lvlText w:val=""/>
      <w:lvlJc w:val="left"/>
      <w:pPr>
        <w:ind w:left="5040" w:hanging="360"/>
      </w:pPr>
      <w:rPr>
        <w:rFonts w:ascii="Symbol" w:hAnsi="Symbol" w:hint="default"/>
      </w:rPr>
    </w:lvl>
    <w:lvl w:ilvl="7" w:tplc="985A1E92">
      <w:start w:val="1"/>
      <w:numFmt w:val="bullet"/>
      <w:lvlText w:val="o"/>
      <w:lvlJc w:val="left"/>
      <w:pPr>
        <w:ind w:left="5760" w:hanging="360"/>
      </w:pPr>
      <w:rPr>
        <w:rFonts w:ascii="Courier New" w:hAnsi="Courier New" w:hint="default"/>
      </w:rPr>
    </w:lvl>
    <w:lvl w:ilvl="8" w:tplc="09FC70BC">
      <w:start w:val="1"/>
      <w:numFmt w:val="bullet"/>
      <w:lvlText w:val=""/>
      <w:lvlJc w:val="left"/>
      <w:pPr>
        <w:ind w:left="6480" w:hanging="360"/>
      </w:pPr>
      <w:rPr>
        <w:rFonts w:ascii="Wingdings" w:hAnsi="Wingdings" w:hint="default"/>
      </w:rPr>
    </w:lvl>
  </w:abstractNum>
  <w:abstractNum w:abstractNumId="40" w15:restartNumberingAfterBreak="0">
    <w:nsid w:val="4E31035C"/>
    <w:multiLevelType w:val="multilevel"/>
    <w:tmpl w:val="00980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6B50BA"/>
    <w:multiLevelType w:val="hybridMultilevel"/>
    <w:tmpl w:val="867E07F2"/>
    <w:lvl w:ilvl="0" w:tplc="08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4C42F85"/>
    <w:multiLevelType w:val="multilevel"/>
    <w:tmpl w:val="6A40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5A1831"/>
    <w:multiLevelType w:val="hybridMultilevel"/>
    <w:tmpl w:val="88E4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7ADC2B"/>
    <w:multiLevelType w:val="multilevel"/>
    <w:tmpl w:val="C7688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03771F9"/>
    <w:multiLevelType w:val="multilevel"/>
    <w:tmpl w:val="749E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FF5215"/>
    <w:multiLevelType w:val="multilevel"/>
    <w:tmpl w:val="7384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673A88"/>
    <w:multiLevelType w:val="multilevel"/>
    <w:tmpl w:val="57EC937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3D93AE9"/>
    <w:multiLevelType w:val="hybridMultilevel"/>
    <w:tmpl w:val="6ACC90E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0A4D87"/>
    <w:multiLevelType w:val="multilevel"/>
    <w:tmpl w:val="D84C9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15612B"/>
    <w:multiLevelType w:val="multilevel"/>
    <w:tmpl w:val="0618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1B2B10"/>
    <w:multiLevelType w:val="multilevel"/>
    <w:tmpl w:val="7F8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2EA76A"/>
    <w:multiLevelType w:val="multilevel"/>
    <w:tmpl w:val="7F344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F71ACB"/>
    <w:multiLevelType w:val="hybridMultilevel"/>
    <w:tmpl w:val="4C2202BA"/>
    <w:lvl w:ilvl="0" w:tplc="1CEE2610">
      <w:start w:val="1"/>
      <w:numFmt w:val="decimal"/>
      <w:lvlText w:val="%1."/>
      <w:lvlJc w:val="left"/>
      <w:pPr>
        <w:ind w:left="1020" w:hanging="360"/>
      </w:pPr>
    </w:lvl>
    <w:lvl w:ilvl="1" w:tplc="B09A9D4E">
      <w:start w:val="1"/>
      <w:numFmt w:val="decimal"/>
      <w:lvlText w:val="%2."/>
      <w:lvlJc w:val="left"/>
      <w:pPr>
        <w:ind w:left="1020" w:hanging="360"/>
      </w:pPr>
    </w:lvl>
    <w:lvl w:ilvl="2" w:tplc="3378055C">
      <w:start w:val="1"/>
      <w:numFmt w:val="decimal"/>
      <w:lvlText w:val="%3."/>
      <w:lvlJc w:val="left"/>
      <w:pPr>
        <w:ind w:left="1020" w:hanging="360"/>
      </w:pPr>
    </w:lvl>
    <w:lvl w:ilvl="3" w:tplc="D40C808C">
      <w:start w:val="1"/>
      <w:numFmt w:val="decimal"/>
      <w:lvlText w:val="%4."/>
      <w:lvlJc w:val="left"/>
      <w:pPr>
        <w:ind w:left="1020" w:hanging="360"/>
      </w:pPr>
    </w:lvl>
    <w:lvl w:ilvl="4" w:tplc="160ACAC0">
      <w:start w:val="1"/>
      <w:numFmt w:val="decimal"/>
      <w:lvlText w:val="%5."/>
      <w:lvlJc w:val="left"/>
      <w:pPr>
        <w:ind w:left="1020" w:hanging="360"/>
      </w:pPr>
    </w:lvl>
    <w:lvl w:ilvl="5" w:tplc="CA9A0CA6">
      <w:start w:val="1"/>
      <w:numFmt w:val="decimal"/>
      <w:lvlText w:val="%6."/>
      <w:lvlJc w:val="left"/>
      <w:pPr>
        <w:ind w:left="1020" w:hanging="360"/>
      </w:pPr>
    </w:lvl>
    <w:lvl w:ilvl="6" w:tplc="9F46D9FA">
      <w:start w:val="1"/>
      <w:numFmt w:val="decimal"/>
      <w:lvlText w:val="%7."/>
      <w:lvlJc w:val="left"/>
      <w:pPr>
        <w:ind w:left="1020" w:hanging="360"/>
      </w:pPr>
    </w:lvl>
    <w:lvl w:ilvl="7" w:tplc="06FEB1BE">
      <w:start w:val="1"/>
      <w:numFmt w:val="decimal"/>
      <w:lvlText w:val="%8."/>
      <w:lvlJc w:val="left"/>
      <w:pPr>
        <w:ind w:left="1020" w:hanging="360"/>
      </w:pPr>
    </w:lvl>
    <w:lvl w:ilvl="8" w:tplc="3DAC47BC">
      <w:start w:val="1"/>
      <w:numFmt w:val="decimal"/>
      <w:lvlText w:val="%9."/>
      <w:lvlJc w:val="left"/>
      <w:pPr>
        <w:ind w:left="1020" w:hanging="360"/>
      </w:pPr>
    </w:lvl>
  </w:abstractNum>
  <w:abstractNum w:abstractNumId="54" w15:restartNumberingAfterBreak="0">
    <w:nsid w:val="6F37652B"/>
    <w:multiLevelType w:val="multilevel"/>
    <w:tmpl w:val="D036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2D94393"/>
    <w:multiLevelType w:val="multilevel"/>
    <w:tmpl w:val="4324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BC5031"/>
    <w:multiLevelType w:val="multilevel"/>
    <w:tmpl w:val="5994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52C6D85"/>
    <w:multiLevelType w:val="hybridMultilevel"/>
    <w:tmpl w:val="9BC44A5C"/>
    <w:lvl w:ilvl="0" w:tplc="FFFFFFFF">
      <w:start w:val="1"/>
      <w:numFmt w:val="lowerRoman"/>
      <w:lvlText w:val="%1."/>
      <w:lvlJc w:val="left"/>
      <w:pPr>
        <w:ind w:left="1290" w:hanging="720"/>
      </w:pPr>
      <w:rPr>
        <w:rFonts w:ascii="Calibri" w:eastAsia="Times New Roman" w:hAnsi="Calibri" w:cs="Times New Roman" w:hint="default"/>
        <w:b/>
        <w:bCs w:val="0"/>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num w:numId="1" w16cid:durableId="1748502503">
    <w:abstractNumId w:val="12"/>
  </w:num>
  <w:num w:numId="2" w16cid:durableId="636689328">
    <w:abstractNumId w:val="7"/>
  </w:num>
  <w:num w:numId="3" w16cid:durableId="1679229799">
    <w:abstractNumId w:val="44"/>
  </w:num>
  <w:num w:numId="4" w16cid:durableId="489911959">
    <w:abstractNumId w:val="11"/>
  </w:num>
  <w:num w:numId="5" w16cid:durableId="1115712524">
    <w:abstractNumId w:val="29"/>
  </w:num>
  <w:num w:numId="6" w16cid:durableId="264921807">
    <w:abstractNumId w:val="52"/>
  </w:num>
  <w:num w:numId="7" w16cid:durableId="13905732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88687172">
    <w:abstractNumId w:val="9"/>
  </w:num>
  <w:num w:numId="9" w16cid:durableId="1825393827">
    <w:abstractNumId w:val="8"/>
  </w:num>
  <w:num w:numId="10" w16cid:durableId="1527207171">
    <w:abstractNumId w:val="21"/>
  </w:num>
  <w:num w:numId="11" w16cid:durableId="1597865550">
    <w:abstractNumId w:val="5"/>
  </w:num>
  <w:num w:numId="12" w16cid:durableId="371422147">
    <w:abstractNumId w:val="19"/>
  </w:num>
  <w:num w:numId="13" w16cid:durableId="2133134990">
    <w:abstractNumId w:val="37"/>
  </w:num>
  <w:num w:numId="14" w16cid:durableId="628628995">
    <w:abstractNumId w:val="6"/>
  </w:num>
  <w:num w:numId="15" w16cid:durableId="1270047341">
    <w:abstractNumId w:val="32"/>
  </w:num>
  <w:num w:numId="16" w16cid:durableId="78722033">
    <w:abstractNumId w:val="26"/>
  </w:num>
  <w:num w:numId="17" w16cid:durableId="1802336801">
    <w:abstractNumId w:val="14"/>
  </w:num>
  <w:num w:numId="18" w16cid:durableId="1934120430">
    <w:abstractNumId w:val="18"/>
  </w:num>
  <w:num w:numId="19" w16cid:durableId="648099921">
    <w:abstractNumId w:val="39"/>
  </w:num>
  <w:num w:numId="20" w16cid:durableId="1992782981">
    <w:abstractNumId w:val="34"/>
  </w:num>
  <w:num w:numId="21" w16cid:durableId="127407012">
    <w:abstractNumId w:val="27"/>
  </w:num>
  <w:num w:numId="22" w16cid:durableId="1143304643">
    <w:abstractNumId w:val="4"/>
  </w:num>
  <w:num w:numId="23" w16cid:durableId="823164692">
    <w:abstractNumId w:val="48"/>
  </w:num>
  <w:num w:numId="24" w16cid:durableId="811755368">
    <w:abstractNumId w:val="41"/>
  </w:num>
  <w:num w:numId="25" w16cid:durableId="807236818">
    <w:abstractNumId w:val="47"/>
  </w:num>
  <w:num w:numId="26" w16cid:durableId="1875733568">
    <w:abstractNumId w:val="23"/>
  </w:num>
  <w:num w:numId="27" w16cid:durableId="1318461589">
    <w:abstractNumId w:val="3"/>
  </w:num>
  <w:num w:numId="28" w16cid:durableId="835456268">
    <w:abstractNumId w:val="13"/>
  </w:num>
  <w:num w:numId="29" w16cid:durableId="1804275467">
    <w:abstractNumId w:val="33"/>
  </w:num>
  <w:num w:numId="30" w16cid:durableId="847643485">
    <w:abstractNumId w:val="22"/>
  </w:num>
  <w:num w:numId="31" w16cid:durableId="1856191071">
    <w:abstractNumId w:val="25"/>
  </w:num>
  <w:num w:numId="32" w16cid:durableId="24798490">
    <w:abstractNumId w:val="28"/>
  </w:num>
  <w:num w:numId="33" w16cid:durableId="1177616643">
    <w:abstractNumId w:val="24"/>
  </w:num>
  <w:num w:numId="34" w16cid:durableId="1693602295">
    <w:abstractNumId w:val="17"/>
  </w:num>
  <w:num w:numId="35" w16cid:durableId="2063599533">
    <w:abstractNumId w:val="15"/>
  </w:num>
  <w:num w:numId="36" w16cid:durableId="618293660">
    <w:abstractNumId w:val="53"/>
  </w:num>
  <w:num w:numId="37" w16cid:durableId="683168146">
    <w:abstractNumId w:val="49"/>
  </w:num>
  <w:num w:numId="38" w16cid:durableId="820925664">
    <w:abstractNumId w:val="42"/>
  </w:num>
  <w:num w:numId="39" w16cid:durableId="1613515983">
    <w:abstractNumId w:val="50"/>
  </w:num>
  <w:num w:numId="40" w16cid:durableId="2140107513">
    <w:abstractNumId w:val="54"/>
  </w:num>
  <w:num w:numId="41" w16cid:durableId="1686327172">
    <w:abstractNumId w:val="36"/>
  </w:num>
  <w:num w:numId="42" w16cid:durableId="277955184">
    <w:abstractNumId w:val="38"/>
  </w:num>
  <w:num w:numId="43" w16cid:durableId="1257205251">
    <w:abstractNumId w:val="16"/>
  </w:num>
  <w:num w:numId="44" w16cid:durableId="961885115">
    <w:abstractNumId w:val="46"/>
  </w:num>
  <w:num w:numId="45" w16cid:durableId="1909459769">
    <w:abstractNumId w:val="51"/>
  </w:num>
  <w:num w:numId="46" w16cid:durableId="2019188900">
    <w:abstractNumId w:val="1"/>
  </w:num>
  <w:num w:numId="47" w16cid:durableId="1776438329">
    <w:abstractNumId w:val="40"/>
  </w:num>
  <w:num w:numId="48" w16cid:durableId="1265452614">
    <w:abstractNumId w:val="45"/>
  </w:num>
  <w:num w:numId="49" w16cid:durableId="1513496085">
    <w:abstractNumId w:val="20"/>
  </w:num>
  <w:num w:numId="50" w16cid:durableId="585191579">
    <w:abstractNumId w:val="35"/>
  </w:num>
  <w:num w:numId="51" w16cid:durableId="595291112">
    <w:abstractNumId w:val="10"/>
  </w:num>
  <w:num w:numId="52" w16cid:durableId="1639411305">
    <w:abstractNumId w:val="0"/>
  </w:num>
  <w:num w:numId="53" w16cid:durableId="1739942090">
    <w:abstractNumId w:val="57"/>
  </w:num>
  <w:num w:numId="54" w16cid:durableId="1618683494">
    <w:abstractNumId w:val="43"/>
  </w:num>
  <w:num w:numId="55" w16cid:durableId="1120417566">
    <w:abstractNumId w:val="31"/>
  </w:num>
  <w:num w:numId="56" w16cid:durableId="1959214599">
    <w:abstractNumId w:val="2"/>
  </w:num>
  <w:num w:numId="57" w16cid:durableId="1909612706">
    <w:abstractNumId w:val="56"/>
  </w:num>
  <w:num w:numId="58" w16cid:durableId="1859813045">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G2MDY0NDW0NDezNDJT0lEKTi0uzszPAykwNKgFAInSxA8tAAAA"/>
  </w:docVars>
  <w:rsids>
    <w:rsidRoot w:val="00A54171"/>
    <w:rsid w:val="000005CF"/>
    <w:rsid w:val="00000FE7"/>
    <w:rsid w:val="00001158"/>
    <w:rsid w:val="00001AFD"/>
    <w:rsid w:val="00001C92"/>
    <w:rsid w:val="000026FD"/>
    <w:rsid w:val="00003411"/>
    <w:rsid w:val="00003B16"/>
    <w:rsid w:val="00003BA0"/>
    <w:rsid w:val="0000473E"/>
    <w:rsid w:val="00004881"/>
    <w:rsid w:val="00005091"/>
    <w:rsid w:val="0000614A"/>
    <w:rsid w:val="00006179"/>
    <w:rsid w:val="000065E2"/>
    <w:rsid w:val="00006B10"/>
    <w:rsid w:val="00006C11"/>
    <w:rsid w:val="00007735"/>
    <w:rsid w:val="00010257"/>
    <w:rsid w:val="000104A3"/>
    <w:rsid w:val="00010D94"/>
    <w:rsid w:val="00010EA4"/>
    <w:rsid w:val="00010EB9"/>
    <w:rsid w:val="000116D0"/>
    <w:rsid w:val="00011878"/>
    <w:rsid w:val="00011B05"/>
    <w:rsid w:val="00012023"/>
    <w:rsid w:val="00012948"/>
    <w:rsid w:val="00012993"/>
    <w:rsid w:val="00012B21"/>
    <w:rsid w:val="00012D6E"/>
    <w:rsid w:val="00012EFC"/>
    <w:rsid w:val="00013157"/>
    <w:rsid w:val="000142E9"/>
    <w:rsid w:val="00014E6C"/>
    <w:rsid w:val="00015183"/>
    <w:rsid w:val="00015288"/>
    <w:rsid w:val="0001542F"/>
    <w:rsid w:val="00015CD1"/>
    <w:rsid w:val="00015F1C"/>
    <w:rsid w:val="0001631E"/>
    <w:rsid w:val="00016786"/>
    <w:rsid w:val="00017948"/>
    <w:rsid w:val="00017B35"/>
    <w:rsid w:val="00020810"/>
    <w:rsid w:val="00020B32"/>
    <w:rsid w:val="00020D18"/>
    <w:rsid w:val="000210D4"/>
    <w:rsid w:val="000210DC"/>
    <w:rsid w:val="000218DE"/>
    <w:rsid w:val="00021B47"/>
    <w:rsid w:val="00021EA3"/>
    <w:rsid w:val="000222F1"/>
    <w:rsid w:val="0002238D"/>
    <w:rsid w:val="00022B8D"/>
    <w:rsid w:val="000233A4"/>
    <w:rsid w:val="00023A81"/>
    <w:rsid w:val="00023CC3"/>
    <w:rsid w:val="000244F3"/>
    <w:rsid w:val="0002560D"/>
    <w:rsid w:val="00026BBA"/>
    <w:rsid w:val="00027109"/>
    <w:rsid w:val="0002722F"/>
    <w:rsid w:val="000275ED"/>
    <w:rsid w:val="00027BA3"/>
    <w:rsid w:val="0003074E"/>
    <w:rsid w:val="00030A5C"/>
    <w:rsid w:val="00030C7E"/>
    <w:rsid w:val="00030DFE"/>
    <w:rsid w:val="00031112"/>
    <w:rsid w:val="00031F8C"/>
    <w:rsid w:val="00031FBD"/>
    <w:rsid w:val="0003238F"/>
    <w:rsid w:val="00032A5D"/>
    <w:rsid w:val="0003361C"/>
    <w:rsid w:val="0003373E"/>
    <w:rsid w:val="0003400A"/>
    <w:rsid w:val="000348BD"/>
    <w:rsid w:val="00034986"/>
    <w:rsid w:val="000354FA"/>
    <w:rsid w:val="0003695F"/>
    <w:rsid w:val="00036B64"/>
    <w:rsid w:val="00036D52"/>
    <w:rsid w:val="00036DE6"/>
    <w:rsid w:val="000375FA"/>
    <w:rsid w:val="00037A60"/>
    <w:rsid w:val="00037AFC"/>
    <w:rsid w:val="00040356"/>
    <w:rsid w:val="000407AA"/>
    <w:rsid w:val="00040811"/>
    <w:rsid w:val="00041525"/>
    <w:rsid w:val="00041E17"/>
    <w:rsid w:val="0004226B"/>
    <w:rsid w:val="000425E3"/>
    <w:rsid w:val="0004268E"/>
    <w:rsid w:val="00042F6D"/>
    <w:rsid w:val="00043AF6"/>
    <w:rsid w:val="0004414B"/>
    <w:rsid w:val="000442DA"/>
    <w:rsid w:val="00044746"/>
    <w:rsid w:val="00044FB8"/>
    <w:rsid w:val="000452EE"/>
    <w:rsid w:val="00045423"/>
    <w:rsid w:val="00045907"/>
    <w:rsid w:val="00045982"/>
    <w:rsid w:val="00045AD8"/>
    <w:rsid w:val="000466FA"/>
    <w:rsid w:val="000467FC"/>
    <w:rsid w:val="000468AC"/>
    <w:rsid w:val="00046C59"/>
    <w:rsid w:val="00046E6E"/>
    <w:rsid w:val="00047347"/>
    <w:rsid w:val="000476BC"/>
    <w:rsid w:val="00047E1A"/>
    <w:rsid w:val="00050622"/>
    <w:rsid w:val="00050B7E"/>
    <w:rsid w:val="00050DC7"/>
    <w:rsid w:val="00051C1A"/>
    <w:rsid w:val="0005219F"/>
    <w:rsid w:val="000521F9"/>
    <w:rsid w:val="00052C02"/>
    <w:rsid w:val="00052CE2"/>
    <w:rsid w:val="000531AC"/>
    <w:rsid w:val="00053B54"/>
    <w:rsid w:val="000541EE"/>
    <w:rsid w:val="00054DF1"/>
    <w:rsid w:val="000551F5"/>
    <w:rsid w:val="00055249"/>
    <w:rsid w:val="0005628F"/>
    <w:rsid w:val="00056769"/>
    <w:rsid w:val="00056983"/>
    <w:rsid w:val="000571DC"/>
    <w:rsid w:val="00057525"/>
    <w:rsid w:val="0005EA02"/>
    <w:rsid w:val="000606F0"/>
    <w:rsid w:val="00060BA6"/>
    <w:rsid w:val="00060DB9"/>
    <w:rsid w:val="00061194"/>
    <w:rsid w:val="00061480"/>
    <w:rsid w:val="00061981"/>
    <w:rsid w:val="00061C65"/>
    <w:rsid w:val="00062E4C"/>
    <w:rsid w:val="00063016"/>
    <w:rsid w:val="00063180"/>
    <w:rsid w:val="00063BCB"/>
    <w:rsid w:val="00063CED"/>
    <w:rsid w:val="00063F9C"/>
    <w:rsid w:val="00064346"/>
    <w:rsid w:val="0006543B"/>
    <w:rsid w:val="0006672E"/>
    <w:rsid w:val="00066795"/>
    <w:rsid w:val="00066A35"/>
    <w:rsid w:val="000670FE"/>
    <w:rsid w:val="00067CD2"/>
    <w:rsid w:val="00067D15"/>
    <w:rsid w:val="00067E44"/>
    <w:rsid w:val="00070096"/>
    <w:rsid w:val="0007036C"/>
    <w:rsid w:val="00071022"/>
    <w:rsid w:val="00071369"/>
    <w:rsid w:val="000723E8"/>
    <w:rsid w:val="000724BB"/>
    <w:rsid w:val="00073065"/>
    <w:rsid w:val="000737B1"/>
    <w:rsid w:val="00073B79"/>
    <w:rsid w:val="00074E0F"/>
    <w:rsid w:val="00074F29"/>
    <w:rsid w:val="000756D5"/>
    <w:rsid w:val="000756F6"/>
    <w:rsid w:val="00075801"/>
    <w:rsid w:val="000758B0"/>
    <w:rsid w:val="00075F93"/>
    <w:rsid w:val="000766DD"/>
    <w:rsid w:val="00076860"/>
    <w:rsid w:val="000768C6"/>
    <w:rsid w:val="000769C4"/>
    <w:rsid w:val="000769CC"/>
    <w:rsid w:val="00076ADC"/>
    <w:rsid w:val="00076AF6"/>
    <w:rsid w:val="00076BB7"/>
    <w:rsid w:val="00076FFD"/>
    <w:rsid w:val="00080042"/>
    <w:rsid w:val="00080407"/>
    <w:rsid w:val="00080F88"/>
    <w:rsid w:val="000810D3"/>
    <w:rsid w:val="00081719"/>
    <w:rsid w:val="000821B6"/>
    <w:rsid w:val="00082410"/>
    <w:rsid w:val="0008250E"/>
    <w:rsid w:val="0008274F"/>
    <w:rsid w:val="00083008"/>
    <w:rsid w:val="000830E7"/>
    <w:rsid w:val="000835F5"/>
    <w:rsid w:val="00083B0C"/>
    <w:rsid w:val="00083B47"/>
    <w:rsid w:val="00083D5C"/>
    <w:rsid w:val="000849AA"/>
    <w:rsid w:val="00084C08"/>
    <w:rsid w:val="00084C1B"/>
    <w:rsid w:val="00084CCF"/>
    <w:rsid w:val="00085451"/>
    <w:rsid w:val="000856E2"/>
    <w:rsid w:val="00085CF2"/>
    <w:rsid w:val="00085D29"/>
    <w:rsid w:val="0008685C"/>
    <w:rsid w:val="000869BC"/>
    <w:rsid w:val="00086D3E"/>
    <w:rsid w:val="00087268"/>
    <w:rsid w:val="00087F81"/>
    <w:rsid w:val="0009048C"/>
    <w:rsid w:val="000917AC"/>
    <w:rsid w:val="00092288"/>
    <w:rsid w:val="000923BC"/>
    <w:rsid w:val="00092E98"/>
    <w:rsid w:val="00093542"/>
    <w:rsid w:val="00093573"/>
    <w:rsid w:val="00093575"/>
    <w:rsid w:val="000938C6"/>
    <w:rsid w:val="00093969"/>
    <w:rsid w:val="00093A3F"/>
    <w:rsid w:val="000941E9"/>
    <w:rsid w:val="000942E7"/>
    <w:rsid w:val="00094F4A"/>
    <w:rsid w:val="00095035"/>
    <w:rsid w:val="00095214"/>
    <w:rsid w:val="0009549B"/>
    <w:rsid w:val="00095573"/>
    <w:rsid w:val="00095EF2"/>
    <w:rsid w:val="000966BE"/>
    <w:rsid w:val="000967A4"/>
    <w:rsid w:val="000A036F"/>
    <w:rsid w:val="000A04C2"/>
    <w:rsid w:val="000A0CE5"/>
    <w:rsid w:val="000A1A04"/>
    <w:rsid w:val="000A1B06"/>
    <w:rsid w:val="000A1D12"/>
    <w:rsid w:val="000A20EA"/>
    <w:rsid w:val="000A2895"/>
    <w:rsid w:val="000A2C89"/>
    <w:rsid w:val="000A30D9"/>
    <w:rsid w:val="000A3A61"/>
    <w:rsid w:val="000A3D53"/>
    <w:rsid w:val="000A3FF7"/>
    <w:rsid w:val="000A4120"/>
    <w:rsid w:val="000A4650"/>
    <w:rsid w:val="000A495C"/>
    <w:rsid w:val="000A4EE3"/>
    <w:rsid w:val="000A4F82"/>
    <w:rsid w:val="000A526B"/>
    <w:rsid w:val="000A61E3"/>
    <w:rsid w:val="000A6CEC"/>
    <w:rsid w:val="000A731F"/>
    <w:rsid w:val="000B075F"/>
    <w:rsid w:val="000B116D"/>
    <w:rsid w:val="000B136A"/>
    <w:rsid w:val="000B1705"/>
    <w:rsid w:val="000B1A31"/>
    <w:rsid w:val="000B1B37"/>
    <w:rsid w:val="000B1F5D"/>
    <w:rsid w:val="000B246B"/>
    <w:rsid w:val="000B26FF"/>
    <w:rsid w:val="000B2C4F"/>
    <w:rsid w:val="000B36AC"/>
    <w:rsid w:val="000B3FF9"/>
    <w:rsid w:val="000B445A"/>
    <w:rsid w:val="000B47E3"/>
    <w:rsid w:val="000B4A2E"/>
    <w:rsid w:val="000B4A59"/>
    <w:rsid w:val="000B4CC8"/>
    <w:rsid w:val="000B4DEB"/>
    <w:rsid w:val="000B66E3"/>
    <w:rsid w:val="000B7081"/>
    <w:rsid w:val="000B7EC1"/>
    <w:rsid w:val="000C0009"/>
    <w:rsid w:val="000C08CC"/>
    <w:rsid w:val="000C08E5"/>
    <w:rsid w:val="000C1089"/>
    <w:rsid w:val="000C18FA"/>
    <w:rsid w:val="000C1C32"/>
    <w:rsid w:val="000C20CB"/>
    <w:rsid w:val="000C2277"/>
    <w:rsid w:val="000C2AC0"/>
    <w:rsid w:val="000C2BBF"/>
    <w:rsid w:val="000C2FD8"/>
    <w:rsid w:val="000C31B6"/>
    <w:rsid w:val="000C362E"/>
    <w:rsid w:val="000C37FE"/>
    <w:rsid w:val="000C396C"/>
    <w:rsid w:val="000C3A45"/>
    <w:rsid w:val="000C3A9B"/>
    <w:rsid w:val="000C3D1B"/>
    <w:rsid w:val="000C41F9"/>
    <w:rsid w:val="000C4576"/>
    <w:rsid w:val="000C4697"/>
    <w:rsid w:val="000C4D98"/>
    <w:rsid w:val="000C4ED3"/>
    <w:rsid w:val="000C4FFF"/>
    <w:rsid w:val="000C50A4"/>
    <w:rsid w:val="000C5309"/>
    <w:rsid w:val="000C5C3C"/>
    <w:rsid w:val="000C5C4F"/>
    <w:rsid w:val="000C6C68"/>
    <w:rsid w:val="000C6FAF"/>
    <w:rsid w:val="000C70CC"/>
    <w:rsid w:val="000C7F19"/>
    <w:rsid w:val="000D044F"/>
    <w:rsid w:val="000D09B3"/>
    <w:rsid w:val="000D0C1C"/>
    <w:rsid w:val="000D0F96"/>
    <w:rsid w:val="000D16CE"/>
    <w:rsid w:val="000D1BA2"/>
    <w:rsid w:val="000D1D2C"/>
    <w:rsid w:val="000D1DDD"/>
    <w:rsid w:val="000D1FF0"/>
    <w:rsid w:val="000D24D2"/>
    <w:rsid w:val="000D2DD5"/>
    <w:rsid w:val="000D374F"/>
    <w:rsid w:val="000D3B66"/>
    <w:rsid w:val="000D3F36"/>
    <w:rsid w:val="000D4611"/>
    <w:rsid w:val="000D4676"/>
    <w:rsid w:val="000D46A3"/>
    <w:rsid w:val="000D487A"/>
    <w:rsid w:val="000D4DBF"/>
    <w:rsid w:val="000D5342"/>
    <w:rsid w:val="000D5585"/>
    <w:rsid w:val="000D55EA"/>
    <w:rsid w:val="000D5803"/>
    <w:rsid w:val="000D5988"/>
    <w:rsid w:val="000D5D39"/>
    <w:rsid w:val="000D6791"/>
    <w:rsid w:val="000D6814"/>
    <w:rsid w:val="000D6948"/>
    <w:rsid w:val="000D6B8E"/>
    <w:rsid w:val="000D6B9B"/>
    <w:rsid w:val="000D75B2"/>
    <w:rsid w:val="000D789C"/>
    <w:rsid w:val="000D7A58"/>
    <w:rsid w:val="000D7AB3"/>
    <w:rsid w:val="000D7B83"/>
    <w:rsid w:val="000E0226"/>
    <w:rsid w:val="000E039E"/>
    <w:rsid w:val="000E0528"/>
    <w:rsid w:val="000E06D7"/>
    <w:rsid w:val="000E0922"/>
    <w:rsid w:val="000E0D4E"/>
    <w:rsid w:val="000E102E"/>
    <w:rsid w:val="000E10E3"/>
    <w:rsid w:val="000E1C4E"/>
    <w:rsid w:val="000E27D1"/>
    <w:rsid w:val="000E2A64"/>
    <w:rsid w:val="000E376C"/>
    <w:rsid w:val="000E3B9C"/>
    <w:rsid w:val="000E4537"/>
    <w:rsid w:val="000E4692"/>
    <w:rsid w:val="000E46E0"/>
    <w:rsid w:val="000E49A3"/>
    <w:rsid w:val="000E4CFB"/>
    <w:rsid w:val="000E4D40"/>
    <w:rsid w:val="000E5137"/>
    <w:rsid w:val="000E5713"/>
    <w:rsid w:val="000E6B78"/>
    <w:rsid w:val="000E7753"/>
    <w:rsid w:val="000E7A25"/>
    <w:rsid w:val="000E7EE2"/>
    <w:rsid w:val="000F05C9"/>
    <w:rsid w:val="000F06A3"/>
    <w:rsid w:val="000F0B03"/>
    <w:rsid w:val="000F1400"/>
    <w:rsid w:val="000F158F"/>
    <w:rsid w:val="000F1729"/>
    <w:rsid w:val="000F196A"/>
    <w:rsid w:val="000F2183"/>
    <w:rsid w:val="000F25F9"/>
    <w:rsid w:val="000F29F5"/>
    <w:rsid w:val="000F2E77"/>
    <w:rsid w:val="000F3306"/>
    <w:rsid w:val="000F338E"/>
    <w:rsid w:val="000F3406"/>
    <w:rsid w:val="000F34BC"/>
    <w:rsid w:val="000F364D"/>
    <w:rsid w:val="000F36E5"/>
    <w:rsid w:val="000F3C7A"/>
    <w:rsid w:val="000F3EC5"/>
    <w:rsid w:val="000F5D2E"/>
    <w:rsid w:val="000F5E34"/>
    <w:rsid w:val="000F6145"/>
    <w:rsid w:val="000F6D40"/>
    <w:rsid w:val="000F6E4B"/>
    <w:rsid w:val="000F6E5A"/>
    <w:rsid w:val="000F70EE"/>
    <w:rsid w:val="000F74CA"/>
    <w:rsid w:val="000F7B4E"/>
    <w:rsid w:val="0010081E"/>
    <w:rsid w:val="00100A5C"/>
    <w:rsid w:val="001016D3"/>
    <w:rsid w:val="00101754"/>
    <w:rsid w:val="00101A41"/>
    <w:rsid w:val="0010312E"/>
    <w:rsid w:val="00103453"/>
    <w:rsid w:val="00103E9C"/>
    <w:rsid w:val="00103FB5"/>
    <w:rsid w:val="00104772"/>
    <w:rsid w:val="00104EE0"/>
    <w:rsid w:val="001058BB"/>
    <w:rsid w:val="00105AD6"/>
    <w:rsid w:val="00106039"/>
    <w:rsid w:val="001060F9"/>
    <w:rsid w:val="00106133"/>
    <w:rsid w:val="00106C51"/>
    <w:rsid w:val="00107044"/>
    <w:rsid w:val="00110338"/>
    <w:rsid w:val="00110C82"/>
    <w:rsid w:val="00110FF8"/>
    <w:rsid w:val="00111D72"/>
    <w:rsid w:val="00112087"/>
    <w:rsid w:val="001121F5"/>
    <w:rsid w:val="00112264"/>
    <w:rsid w:val="001127B2"/>
    <w:rsid w:val="0011293F"/>
    <w:rsid w:val="0011335A"/>
    <w:rsid w:val="00114432"/>
    <w:rsid w:val="0011467A"/>
    <w:rsid w:val="001166DD"/>
    <w:rsid w:val="00116B73"/>
    <w:rsid w:val="00116BBB"/>
    <w:rsid w:val="00116DE2"/>
    <w:rsid w:val="00116F14"/>
    <w:rsid w:val="00116F7A"/>
    <w:rsid w:val="00117411"/>
    <w:rsid w:val="0011744C"/>
    <w:rsid w:val="001200E1"/>
    <w:rsid w:val="00120615"/>
    <w:rsid w:val="00120899"/>
    <w:rsid w:val="00121340"/>
    <w:rsid w:val="00121A34"/>
    <w:rsid w:val="0012248F"/>
    <w:rsid w:val="00122A35"/>
    <w:rsid w:val="00122B5D"/>
    <w:rsid w:val="00122C09"/>
    <w:rsid w:val="00122C61"/>
    <w:rsid w:val="00122E85"/>
    <w:rsid w:val="00123131"/>
    <w:rsid w:val="0012345E"/>
    <w:rsid w:val="00123884"/>
    <w:rsid w:val="00123D2B"/>
    <w:rsid w:val="0012495B"/>
    <w:rsid w:val="00124CD3"/>
    <w:rsid w:val="001251F9"/>
    <w:rsid w:val="00125CC1"/>
    <w:rsid w:val="0012685B"/>
    <w:rsid w:val="00127E50"/>
    <w:rsid w:val="00127FE0"/>
    <w:rsid w:val="0013008C"/>
    <w:rsid w:val="001306AB"/>
    <w:rsid w:val="001311F7"/>
    <w:rsid w:val="0013172F"/>
    <w:rsid w:val="00131A3D"/>
    <w:rsid w:val="001320A4"/>
    <w:rsid w:val="0013255B"/>
    <w:rsid w:val="00132C6F"/>
    <w:rsid w:val="00132FA4"/>
    <w:rsid w:val="00133C8B"/>
    <w:rsid w:val="001345CC"/>
    <w:rsid w:val="001346B1"/>
    <w:rsid w:val="00134AC3"/>
    <w:rsid w:val="00135B42"/>
    <w:rsid w:val="00135BC3"/>
    <w:rsid w:val="00136887"/>
    <w:rsid w:val="00136A36"/>
    <w:rsid w:val="001400DC"/>
    <w:rsid w:val="001401CC"/>
    <w:rsid w:val="00140B4E"/>
    <w:rsid w:val="00140CE1"/>
    <w:rsid w:val="00140E2D"/>
    <w:rsid w:val="00141300"/>
    <w:rsid w:val="00141E37"/>
    <w:rsid w:val="00141F91"/>
    <w:rsid w:val="0014212E"/>
    <w:rsid w:val="00142B2C"/>
    <w:rsid w:val="00143037"/>
    <w:rsid w:val="00143394"/>
    <w:rsid w:val="00143595"/>
    <w:rsid w:val="00143BEA"/>
    <w:rsid w:val="00144142"/>
    <w:rsid w:val="0014466C"/>
    <w:rsid w:val="00144BE3"/>
    <w:rsid w:val="00144D42"/>
    <w:rsid w:val="001452E7"/>
    <w:rsid w:val="0014533D"/>
    <w:rsid w:val="00145734"/>
    <w:rsid w:val="00145781"/>
    <w:rsid w:val="00145B2E"/>
    <w:rsid w:val="00145D25"/>
    <w:rsid w:val="00145EF2"/>
    <w:rsid w:val="00145FD6"/>
    <w:rsid w:val="0014636D"/>
    <w:rsid w:val="001466FA"/>
    <w:rsid w:val="0014684E"/>
    <w:rsid w:val="00146F32"/>
    <w:rsid w:val="0014789E"/>
    <w:rsid w:val="0014793F"/>
    <w:rsid w:val="00150401"/>
    <w:rsid w:val="00150A0B"/>
    <w:rsid w:val="00150C96"/>
    <w:rsid w:val="001516F0"/>
    <w:rsid w:val="00151956"/>
    <w:rsid w:val="00151D4C"/>
    <w:rsid w:val="00153653"/>
    <w:rsid w:val="00153E9F"/>
    <w:rsid w:val="00154CD4"/>
    <w:rsid w:val="00154EEF"/>
    <w:rsid w:val="00155F9A"/>
    <w:rsid w:val="0015607C"/>
    <w:rsid w:val="0015652C"/>
    <w:rsid w:val="00156693"/>
    <w:rsid w:val="00156C12"/>
    <w:rsid w:val="00156C63"/>
    <w:rsid w:val="00157A25"/>
    <w:rsid w:val="00157C66"/>
    <w:rsid w:val="001600BF"/>
    <w:rsid w:val="00160366"/>
    <w:rsid w:val="00160534"/>
    <w:rsid w:val="001605B6"/>
    <w:rsid w:val="00161097"/>
    <w:rsid w:val="001614FE"/>
    <w:rsid w:val="00161534"/>
    <w:rsid w:val="00161E2E"/>
    <w:rsid w:val="00161E55"/>
    <w:rsid w:val="0016275F"/>
    <w:rsid w:val="00163ADC"/>
    <w:rsid w:val="00163FA8"/>
    <w:rsid w:val="001640A3"/>
    <w:rsid w:val="0016427A"/>
    <w:rsid w:val="00164671"/>
    <w:rsid w:val="00164F1A"/>
    <w:rsid w:val="00165439"/>
    <w:rsid w:val="00165CDD"/>
    <w:rsid w:val="00166388"/>
    <w:rsid w:val="001663E0"/>
    <w:rsid w:val="00166C19"/>
    <w:rsid w:val="00166C90"/>
    <w:rsid w:val="00166DC1"/>
    <w:rsid w:val="0016728E"/>
    <w:rsid w:val="0016790F"/>
    <w:rsid w:val="00167BDF"/>
    <w:rsid w:val="00167E09"/>
    <w:rsid w:val="001704BD"/>
    <w:rsid w:val="00170CCF"/>
    <w:rsid w:val="00170EC5"/>
    <w:rsid w:val="00171CE7"/>
    <w:rsid w:val="00171FDF"/>
    <w:rsid w:val="001720E4"/>
    <w:rsid w:val="00172559"/>
    <w:rsid w:val="00172D43"/>
    <w:rsid w:val="00173503"/>
    <w:rsid w:val="00173520"/>
    <w:rsid w:val="0017374C"/>
    <w:rsid w:val="0017418B"/>
    <w:rsid w:val="00174357"/>
    <w:rsid w:val="00174489"/>
    <w:rsid w:val="00174527"/>
    <w:rsid w:val="001746C2"/>
    <w:rsid w:val="001747D9"/>
    <w:rsid w:val="00174B68"/>
    <w:rsid w:val="0017539C"/>
    <w:rsid w:val="001759C2"/>
    <w:rsid w:val="00175AC2"/>
    <w:rsid w:val="00175FA2"/>
    <w:rsid w:val="0017609F"/>
    <w:rsid w:val="00176D1E"/>
    <w:rsid w:val="00177C78"/>
    <w:rsid w:val="001801C9"/>
    <w:rsid w:val="00180F1D"/>
    <w:rsid w:val="0018165D"/>
    <w:rsid w:val="001819CD"/>
    <w:rsid w:val="001819E7"/>
    <w:rsid w:val="0018289A"/>
    <w:rsid w:val="00182C0F"/>
    <w:rsid w:val="001834A1"/>
    <w:rsid w:val="001842AE"/>
    <w:rsid w:val="00184917"/>
    <w:rsid w:val="0018502E"/>
    <w:rsid w:val="001855FB"/>
    <w:rsid w:val="00185915"/>
    <w:rsid w:val="00185FC2"/>
    <w:rsid w:val="00186E36"/>
    <w:rsid w:val="00186ED3"/>
    <w:rsid w:val="00186FA6"/>
    <w:rsid w:val="0018792B"/>
    <w:rsid w:val="00187BEE"/>
    <w:rsid w:val="0019088B"/>
    <w:rsid w:val="001914FB"/>
    <w:rsid w:val="001916AF"/>
    <w:rsid w:val="00192147"/>
    <w:rsid w:val="001921A8"/>
    <w:rsid w:val="001921ED"/>
    <w:rsid w:val="001922F6"/>
    <w:rsid w:val="00192411"/>
    <w:rsid w:val="00192903"/>
    <w:rsid w:val="00192B01"/>
    <w:rsid w:val="001931E3"/>
    <w:rsid w:val="00194261"/>
    <w:rsid w:val="0019479D"/>
    <w:rsid w:val="00195076"/>
    <w:rsid w:val="00195658"/>
    <w:rsid w:val="001965E3"/>
    <w:rsid w:val="00196C66"/>
    <w:rsid w:val="00197C6D"/>
    <w:rsid w:val="001A0008"/>
    <w:rsid w:val="001A0588"/>
    <w:rsid w:val="001A0770"/>
    <w:rsid w:val="001A0D2D"/>
    <w:rsid w:val="001A0E9B"/>
    <w:rsid w:val="001A0F2E"/>
    <w:rsid w:val="001A1AEA"/>
    <w:rsid w:val="001A1B58"/>
    <w:rsid w:val="001A1E34"/>
    <w:rsid w:val="001A1F40"/>
    <w:rsid w:val="001A2ABD"/>
    <w:rsid w:val="001A2C20"/>
    <w:rsid w:val="001A3A7D"/>
    <w:rsid w:val="001A3A80"/>
    <w:rsid w:val="001A4594"/>
    <w:rsid w:val="001A4A59"/>
    <w:rsid w:val="001A51B4"/>
    <w:rsid w:val="001A60DD"/>
    <w:rsid w:val="001A61AA"/>
    <w:rsid w:val="001A62B5"/>
    <w:rsid w:val="001A6E85"/>
    <w:rsid w:val="001A7826"/>
    <w:rsid w:val="001A7D1D"/>
    <w:rsid w:val="001B0D41"/>
    <w:rsid w:val="001B0DA6"/>
    <w:rsid w:val="001B0FF1"/>
    <w:rsid w:val="001B1162"/>
    <w:rsid w:val="001B14E2"/>
    <w:rsid w:val="001B1FE2"/>
    <w:rsid w:val="001B2657"/>
    <w:rsid w:val="001B270B"/>
    <w:rsid w:val="001B2CB2"/>
    <w:rsid w:val="001B2F04"/>
    <w:rsid w:val="001B315C"/>
    <w:rsid w:val="001B32BF"/>
    <w:rsid w:val="001B3508"/>
    <w:rsid w:val="001B3B4E"/>
    <w:rsid w:val="001B3C9A"/>
    <w:rsid w:val="001B3D4D"/>
    <w:rsid w:val="001B3E85"/>
    <w:rsid w:val="001B3F28"/>
    <w:rsid w:val="001B3F9A"/>
    <w:rsid w:val="001B44B1"/>
    <w:rsid w:val="001B47F9"/>
    <w:rsid w:val="001B4BFF"/>
    <w:rsid w:val="001B51DD"/>
    <w:rsid w:val="001B5303"/>
    <w:rsid w:val="001B5A89"/>
    <w:rsid w:val="001B629C"/>
    <w:rsid w:val="001B639E"/>
    <w:rsid w:val="001B7083"/>
    <w:rsid w:val="001B7267"/>
    <w:rsid w:val="001B74EF"/>
    <w:rsid w:val="001B7DD4"/>
    <w:rsid w:val="001B7EB1"/>
    <w:rsid w:val="001C0155"/>
    <w:rsid w:val="001C04FF"/>
    <w:rsid w:val="001C05AC"/>
    <w:rsid w:val="001C0C0E"/>
    <w:rsid w:val="001C1993"/>
    <w:rsid w:val="001C1D36"/>
    <w:rsid w:val="001C2449"/>
    <w:rsid w:val="001C2AB8"/>
    <w:rsid w:val="001C3FC7"/>
    <w:rsid w:val="001C4013"/>
    <w:rsid w:val="001C4060"/>
    <w:rsid w:val="001C428B"/>
    <w:rsid w:val="001C45A6"/>
    <w:rsid w:val="001C5012"/>
    <w:rsid w:val="001C51EA"/>
    <w:rsid w:val="001C583F"/>
    <w:rsid w:val="001C5B7F"/>
    <w:rsid w:val="001C5BE9"/>
    <w:rsid w:val="001C628E"/>
    <w:rsid w:val="001C68E6"/>
    <w:rsid w:val="001C6D36"/>
    <w:rsid w:val="001C6EC6"/>
    <w:rsid w:val="001C6FDB"/>
    <w:rsid w:val="001C7699"/>
    <w:rsid w:val="001C7852"/>
    <w:rsid w:val="001C7B94"/>
    <w:rsid w:val="001C7CE9"/>
    <w:rsid w:val="001D030A"/>
    <w:rsid w:val="001D04DE"/>
    <w:rsid w:val="001D0884"/>
    <w:rsid w:val="001D0D5E"/>
    <w:rsid w:val="001D0D86"/>
    <w:rsid w:val="001D0EAB"/>
    <w:rsid w:val="001D0F0D"/>
    <w:rsid w:val="001D107A"/>
    <w:rsid w:val="001D1CF6"/>
    <w:rsid w:val="001D1DF3"/>
    <w:rsid w:val="001D2060"/>
    <w:rsid w:val="001D2CB7"/>
    <w:rsid w:val="001D2ED1"/>
    <w:rsid w:val="001D3432"/>
    <w:rsid w:val="001D38FE"/>
    <w:rsid w:val="001D3B2F"/>
    <w:rsid w:val="001D4063"/>
    <w:rsid w:val="001D4158"/>
    <w:rsid w:val="001D4660"/>
    <w:rsid w:val="001D5933"/>
    <w:rsid w:val="001D7A7A"/>
    <w:rsid w:val="001E0146"/>
    <w:rsid w:val="001E03E8"/>
    <w:rsid w:val="001E0502"/>
    <w:rsid w:val="001E0ADF"/>
    <w:rsid w:val="001E0B7B"/>
    <w:rsid w:val="001E0BF1"/>
    <w:rsid w:val="001E0DDA"/>
    <w:rsid w:val="001E0F7B"/>
    <w:rsid w:val="001E105F"/>
    <w:rsid w:val="001E12FF"/>
    <w:rsid w:val="001E14B6"/>
    <w:rsid w:val="001E17D7"/>
    <w:rsid w:val="001E185D"/>
    <w:rsid w:val="001E296B"/>
    <w:rsid w:val="001E2AED"/>
    <w:rsid w:val="001E2E74"/>
    <w:rsid w:val="001E30C2"/>
    <w:rsid w:val="001E3CAD"/>
    <w:rsid w:val="001E405F"/>
    <w:rsid w:val="001E4968"/>
    <w:rsid w:val="001E5737"/>
    <w:rsid w:val="001E5A51"/>
    <w:rsid w:val="001E6235"/>
    <w:rsid w:val="001E6B79"/>
    <w:rsid w:val="001E6BD6"/>
    <w:rsid w:val="001E701A"/>
    <w:rsid w:val="001E7304"/>
    <w:rsid w:val="001E7546"/>
    <w:rsid w:val="001F0A36"/>
    <w:rsid w:val="001F0A5C"/>
    <w:rsid w:val="001F16EA"/>
    <w:rsid w:val="001F1973"/>
    <w:rsid w:val="001F1FF5"/>
    <w:rsid w:val="001F217E"/>
    <w:rsid w:val="001F23AD"/>
    <w:rsid w:val="001F2CC2"/>
    <w:rsid w:val="001F2DE9"/>
    <w:rsid w:val="001F3062"/>
    <w:rsid w:val="001F3579"/>
    <w:rsid w:val="001F37B6"/>
    <w:rsid w:val="001F4076"/>
    <w:rsid w:val="001F4EC4"/>
    <w:rsid w:val="001F4F92"/>
    <w:rsid w:val="001F4FB3"/>
    <w:rsid w:val="001F5216"/>
    <w:rsid w:val="001F54C3"/>
    <w:rsid w:val="001F5722"/>
    <w:rsid w:val="001F5E6A"/>
    <w:rsid w:val="001F5ED0"/>
    <w:rsid w:val="001F5F1D"/>
    <w:rsid w:val="001F69A7"/>
    <w:rsid w:val="001F6DF7"/>
    <w:rsid w:val="001F714B"/>
    <w:rsid w:val="001F75A2"/>
    <w:rsid w:val="001F7965"/>
    <w:rsid w:val="001F7B55"/>
    <w:rsid w:val="001F7C77"/>
    <w:rsid w:val="001F7FB0"/>
    <w:rsid w:val="00200015"/>
    <w:rsid w:val="002000D8"/>
    <w:rsid w:val="00200111"/>
    <w:rsid w:val="002002C7"/>
    <w:rsid w:val="00200821"/>
    <w:rsid w:val="00200911"/>
    <w:rsid w:val="00200BBA"/>
    <w:rsid w:val="00200BF8"/>
    <w:rsid w:val="00200C92"/>
    <w:rsid w:val="00200EB1"/>
    <w:rsid w:val="00201B2F"/>
    <w:rsid w:val="00201D22"/>
    <w:rsid w:val="002027B3"/>
    <w:rsid w:val="00202FC1"/>
    <w:rsid w:val="0020363C"/>
    <w:rsid w:val="00204937"/>
    <w:rsid w:val="00204C18"/>
    <w:rsid w:val="002050B4"/>
    <w:rsid w:val="00205425"/>
    <w:rsid w:val="00205955"/>
    <w:rsid w:val="00205B18"/>
    <w:rsid w:val="00205F1D"/>
    <w:rsid w:val="0020602B"/>
    <w:rsid w:val="002062EA"/>
    <w:rsid w:val="0020630C"/>
    <w:rsid w:val="00206D45"/>
    <w:rsid w:val="002077BF"/>
    <w:rsid w:val="00210521"/>
    <w:rsid w:val="00210564"/>
    <w:rsid w:val="00210708"/>
    <w:rsid w:val="00210BC5"/>
    <w:rsid w:val="00210D67"/>
    <w:rsid w:val="00211239"/>
    <w:rsid w:val="002117BB"/>
    <w:rsid w:val="002119FD"/>
    <w:rsid w:val="0021211D"/>
    <w:rsid w:val="002129C2"/>
    <w:rsid w:val="00212B78"/>
    <w:rsid w:val="00213069"/>
    <w:rsid w:val="002130E0"/>
    <w:rsid w:val="002138C0"/>
    <w:rsid w:val="00213D05"/>
    <w:rsid w:val="00213E0F"/>
    <w:rsid w:val="00213E33"/>
    <w:rsid w:val="00213FC8"/>
    <w:rsid w:val="0021411A"/>
    <w:rsid w:val="00214DFC"/>
    <w:rsid w:val="002154EB"/>
    <w:rsid w:val="00215619"/>
    <w:rsid w:val="002156C8"/>
    <w:rsid w:val="00215ACC"/>
    <w:rsid w:val="00215F88"/>
    <w:rsid w:val="00215FB2"/>
    <w:rsid w:val="00216365"/>
    <w:rsid w:val="00216A29"/>
    <w:rsid w:val="00216AC8"/>
    <w:rsid w:val="00216C59"/>
    <w:rsid w:val="002174D5"/>
    <w:rsid w:val="0021751A"/>
    <w:rsid w:val="00217654"/>
    <w:rsid w:val="00220027"/>
    <w:rsid w:val="00220EB9"/>
    <w:rsid w:val="00221514"/>
    <w:rsid w:val="002218A1"/>
    <w:rsid w:val="00221DF8"/>
    <w:rsid w:val="00221EEA"/>
    <w:rsid w:val="002236A9"/>
    <w:rsid w:val="00223ADD"/>
    <w:rsid w:val="00223DA1"/>
    <w:rsid w:val="00223E67"/>
    <w:rsid w:val="002240C1"/>
    <w:rsid w:val="0022425F"/>
    <w:rsid w:val="00224338"/>
    <w:rsid w:val="00224964"/>
    <w:rsid w:val="00224B19"/>
    <w:rsid w:val="00224D82"/>
    <w:rsid w:val="0022511F"/>
    <w:rsid w:val="002252A9"/>
    <w:rsid w:val="00225BD7"/>
    <w:rsid w:val="00226B57"/>
    <w:rsid w:val="0022793B"/>
    <w:rsid w:val="0022794B"/>
    <w:rsid w:val="002279FB"/>
    <w:rsid w:val="0023028E"/>
    <w:rsid w:val="002306B2"/>
    <w:rsid w:val="00230D3A"/>
    <w:rsid w:val="00230EEC"/>
    <w:rsid w:val="002312B1"/>
    <w:rsid w:val="002312D0"/>
    <w:rsid w:val="00231BC4"/>
    <w:rsid w:val="0023203A"/>
    <w:rsid w:val="002320BD"/>
    <w:rsid w:val="002324C0"/>
    <w:rsid w:val="00232793"/>
    <w:rsid w:val="00232D0B"/>
    <w:rsid w:val="002331B2"/>
    <w:rsid w:val="002334F6"/>
    <w:rsid w:val="0023453D"/>
    <w:rsid w:val="0023492E"/>
    <w:rsid w:val="00235366"/>
    <w:rsid w:val="002358EB"/>
    <w:rsid w:val="00236418"/>
    <w:rsid w:val="00237098"/>
    <w:rsid w:val="002373A0"/>
    <w:rsid w:val="00237730"/>
    <w:rsid w:val="00237D34"/>
    <w:rsid w:val="00240D35"/>
    <w:rsid w:val="00240D68"/>
    <w:rsid w:val="00240D86"/>
    <w:rsid w:val="00241002"/>
    <w:rsid w:val="00241447"/>
    <w:rsid w:val="002419E2"/>
    <w:rsid w:val="002423ED"/>
    <w:rsid w:val="002426A5"/>
    <w:rsid w:val="00242C59"/>
    <w:rsid w:val="00242F8F"/>
    <w:rsid w:val="00243799"/>
    <w:rsid w:val="00243A71"/>
    <w:rsid w:val="0024466F"/>
    <w:rsid w:val="002454CD"/>
    <w:rsid w:val="0024596E"/>
    <w:rsid w:val="0024673D"/>
    <w:rsid w:val="00246C44"/>
    <w:rsid w:val="00246D6A"/>
    <w:rsid w:val="00246EDB"/>
    <w:rsid w:val="002477D7"/>
    <w:rsid w:val="0025018C"/>
    <w:rsid w:val="002512E7"/>
    <w:rsid w:val="002517F3"/>
    <w:rsid w:val="00252507"/>
    <w:rsid w:val="00252EDA"/>
    <w:rsid w:val="0025373E"/>
    <w:rsid w:val="00253824"/>
    <w:rsid w:val="002538A4"/>
    <w:rsid w:val="00253902"/>
    <w:rsid w:val="002542CE"/>
    <w:rsid w:val="002543A4"/>
    <w:rsid w:val="00255F36"/>
    <w:rsid w:val="00256BFD"/>
    <w:rsid w:val="002579AF"/>
    <w:rsid w:val="00260AA1"/>
    <w:rsid w:val="00261071"/>
    <w:rsid w:val="002615E6"/>
    <w:rsid w:val="00261994"/>
    <w:rsid w:val="00261E08"/>
    <w:rsid w:val="00262A23"/>
    <w:rsid w:val="002635D9"/>
    <w:rsid w:val="00263621"/>
    <w:rsid w:val="00263B60"/>
    <w:rsid w:val="00264425"/>
    <w:rsid w:val="002653A0"/>
    <w:rsid w:val="00265582"/>
    <w:rsid w:val="00265875"/>
    <w:rsid w:val="002658D1"/>
    <w:rsid w:val="00265D61"/>
    <w:rsid w:val="002660D4"/>
    <w:rsid w:val="0026659A"/>
    <w:rsid w:val="00266818"/>
    <w:rsid w:val="00266D8A"/>
    <w:rsid w:val="0026733A"/>
    <w:rsid w:val="00267658"/>
    <w:rsid w:val="00267EC0"/>
    <w:rsid w:val="00270AFE"/>
    <w:rsid w:val="00271013"/>
    <w:rsid w:val="002712EE"/>
    <w:rsid w:val="00271A7D"/>
    <w:rsid w:val="00271DBF"/>
    <w:rsid w:val="00272EEA"/>
    <w:rsid w:val="0027303B"/>
    <w:rsid w:val="00273192"/>
    <w:rsid w:val="002738F4"/>
    <w:rsid w:val="00273CC4"/>
    <w:rsid w:val="00273DB2"/>
    <w:rsid w:val="00273DFF"/>
    <w:rsid w:val="00274629"/>
    <w:rsid w:val="002746E1"/>
    <w:rsid w:val="002747AE"/>
    <w:rsid w:val="0027514C"/>
    <w:rsid w:val="0027532E"/>
    <w:rsid w:val="002761C7"/>
    <w:rsid w:val="002766DF"/>
    <w:rsid w:val="00276CD7"/>
    <w:rsid w:val="00276E34"/>
    <w:rsid w:val="00276E6D"/>
    <w:rsid w:val="00276FCC"/>
    <w:rsid w:val="002775A7"/>
    <w:rsid w:val="002776DB"/>
    <w:rsid w:val="00280043"/>
    <w:rsid w:val="002803A8"/>
    <w:rsid w:val="00280439"/>
    <w:rsid w:val="0028072C"/>
    <w:rsid w:val="0028109B"/>
    <w:rsid w:val="0028120A"/>
    <w:rsid w:val="00281618"/>
    <w:rsid w:val="0028164D"/>
    <w:rsid w:val="0028174C"/>
    <w:rsid w:val="00281C4B"/>
    <w:rsid w:val="00281CC9"/>
    <w:rsid w:val="00282156"/>
    <w:rsid w:val="0028267D"/>
    <w:rsid w:val="002827C8"/>
    <w:rsid w:val="00282F71"/>
    <w:rsid w:val="00283BD2"/>
    <w:rsid w:val="00283F1F"/>
    <w:rsid w:val="00284044"/>
    <w:rsid w:val="002842D7"/>
    <w:rsid w:val="00284AC8"/>
    <w:rsid w:val="00285522"/>
    <w:rsid w:val="00285609"/>
    <w:rsid w:val="002859B2"/>
    <w:rsid w:val="00285C60"/>
    <w:rsid w:val="00286433"/>
    <w:rsid w:val="00286927"/>
    <w:rsid w:val="00286BDF"/>
    <w:rsid w:val="00286EE9"/>
    <w:rsid w:val="002871D8"/>
    <w:rsid w:val="00287AA8"/>
    <w:rsid w:val="0029048D"/>
    <w:rsid w:val="00290B1D"/>
    <w:rsid w:val="00290B2C"/>
    <w:rsid w:val="00290EAD"/>
    <w:rsid w:val="00290EDD"/>
    <w:rsid w:val="00290FBB"/>
    <w:rsid w:val="002917F1"/>
    <w:rsid w:val="00291D77"/>
    <w:rsid w:val="00292410"/>
    <w:rsid w:val="002925C6"/>
    <w:rsid w:val="002930A1"/>
    <w:rsid w:val="002933E3"/>
    <w:rsid w:val="00293B8D"/>
    <w:rsid w:val="00293C65"/>
    <w:rsid w:val="0029470F"/>
    <w:rsid w:val="002952EB"/>
    <w:rsid w:val="00295C86"/>
    <w:rsid w:val="00295DAA"/>
    <w:rsid w:val="00296385"/>
    <w:rsid w:val="0029642D"/>
    <w:rsid w:val="002964FF"/>
    <w:rsid w:val="00296931"/>
    <w:rsid w:val="00296C51"/>
    <w:rsid w:val="0029701F"/>
    <w:rsid w:val="002978DE"/>
    <w:rsid w:val="002A089C"/>
    <w:rsid w:val="002A0A9D"/>
    <w:rsid w:val="002A121A"/>
    <w:rsid w:val="002A1A7B"/>
    <w:rsid w:val="002A1C6A"/>
    <w:rsid w:val="002A2188"/>
    <w:rsid w:val="002A2531"/>
    <w:rsid w:val="002A2692"/>
    <w:rsid w:val="002A2930"/>
    <w:rsid w:val="002A2B7A"/>
    <w:rsid w:val="002A2DEE"/>
    <w:rsid w:val="002A3250"/>
    <w:rsid w:val="002A3C70"/>
    <w:rsid w:val="002A3C84"/>
    <w:rsid w:val="002A3C8C"/>
    <w:rsid w:val="002A3F4A"/>
    <w:rsid w:val="002A4291"/>
    <w:rsid w:val="002A4722"/>
    <w:rsid w:val="002A481C"/>
    <w:rsid w:val="002A4C80"/>
    <w:rsid w:val="002A5138"/>
    <w:rsid w:val="002A58E2"/>
    <w:rsid w:val="002A5D19"/>
    <w:rsid w:val="002A636D"/>
    <w:rsid w:val="002A66B9"/>
    <w:rsid w:val="002A6732"/>
    <w:rsid w:val="002A6A52"/>
    <w:rsid w:val="002A6C48"/>
    <w:rsid w:val="002A742A"/>
    <w:rsid w:val="002A79F6"/>
    <w:rsid w:val="002A7C18"/>
    <w:rsid w:val="002B1F58"/>
    <w:rsid w:val="002B2074"/>
    <w:rsid w:val="002B22C6"/>
    <w:rsid w:val="002B22DE"/>
    <w:rsid w:val="002B238B"/>
    <w:rsid w:val="002B24A1"/>
    <w:rsid w:val="002B2CEB"/>
    <w:rsid w:val="002B2FEE"/>
    <w:rsid w:val="002B3137"/>
    <w:rsid w:val="002B35EC"/>
    <w:rsid w:val="002B369F"/>
    <w:rsid w:val="002B38AA"/>
    <w:rsid w:val="002B3C02"/>
    <w:rsid w:val="002B41F0"/>
    <w:rsid w:val="002B4C25"/>
    <w:rsid w:val="002B4EC2"/>
    <w:rsid w:val="002B5318"/>
    <w:rsid w:val="002B5EF7"/>
    <w:rsid w:val="002B60EA"/>
    <w:rsid w:val="002B659B"/>
    <w:rsid w:val="002B70D9"/>
    <w:rsid w:val="002B7489"/>
    <w:rsid w:val="002B7A02"/>
    <w:rsid w:val="002C00F1"/>
    <w:rsid w:val="002C0367"/>
    <w:rsid w:val="002C0385"/>
    <w:rsid w:val="002C0445"/>
    <w:rsid w:val="002C0AFF"/>
    <w:rsid w:val="002C1114"/>
    <w:rsid w:val="002C1399"/>
    <w:rsid w:val="002C188D"/>
    <w:rsid w:val="002C1972"/>
    <w:rsid w:val="002C1A27"/>
    <w:rsid w:val="002C1A86"/>
    <w:rsid w:val="002C1C7A"/>
    <w:rsid w:val="002C31C3"/>
    <w:rsid w:val="002C3231"/>
    <w:rsid w:val="002C3295"/>
    <w:rsid w:val="002C3C08"/>
    <w:rsid w:val="002C3C8C"/>
    <w:rsid w:val="002C3CBE"/>
    <w:rsid w:val="002C3F2F"/>
    <w:rsid w:val="002C3F63"/>
    <w:rsid w:val="002C4226"/>
    <w:rsid w:val="002C45F8"/>
    <w:rsid w:val="002C467D"/>
    <w:rsid w:val="002C4854"/>
    <w:rsid w:val="002C4A0C"/>
    <w:rsid w:val="002C4A56"/>
    <w:rsid w:val="002C54E2"/>
    <w:rsid w:val="002C5909"/>
    <w:rsid w:val="002C5CFB"/>
    <w:rsid w:val="002C6341"/>
    <w:rsid w:val="002C673F"/>
    <w:rsid w:val="002C7079"/>
    <w:rsid w:val="002C728D"/>
    <w:rsid w:val="002C7586"/>
    <w:rsid w:val="002C76FC"/>
    <w:rsid w:val="002C7840"/>
    <w:rsid w:val="002C7855"/>
    <w:rsid w:val="002C7BB6"/>
    <w:rsid w:val="002C7C1E"/>
    <w:rsid w:val="002CB105"/>
    <w:rsid w:val="002D009E"/>
    <w:rsid w:val="002D0CE6"/>
    <w:rsid w:val="002D0D61"/>
    <w:rsid w:val="002D0E9E"/>
    <w:rsid w:val="002D117C"/>
    <w:rsid w:val="002D200A"/>
    <w:rsid w:val="002D20AA"/>
    <w:rsid w:val="002D2438"/>
    <w:rsid w:val="002D2923"/>
    <w:rsid w:val="002D2AEF"/>
    <w:rsid w:val="002D2F5C"/>
    <w:rsid w:val="002D30D6"/>
    <w:rsid w:val="002D313D"/>
    <w:rsid w:val="002D3792"/>
    <w:rsid w:val="002D39F2"/>
    <w:rsid w:val="002D3BC3"/>
    <w:rsid w:val="002D4039"/>
    <w:rsid w:val="002D41DE"/>
    <w:rsid w:val="002D43C7"/>
    <w:rsid w:val="002D43F3"/>
    <w:rsid w:val="002D446E"/>
    <w:rsid w:val="002D459A"/>
    <w:rsid w:val="002D476A"/>
    <w:rsid w:val="002D4C9B"/>
    <w:rsid w:val="002D55D3"/>
    <w:rsid w:val="002D60F2"/>
    <w:rsid w:val="002D61D8"/>
    <w:rsid w:val="002D656A"/>
    <w:rsid w:val="002D6586"/>
    <w:rsid w:val="002D65FC"/>
    <w:rsid w:val="002D686C"/>
    <w:rsid w:val="002D6C64"/>
    <w:rsid w:val="002E011B"/>
    <w:rsid w:val="002E0474"/>
    <w:rsid w:val="002E05BB"/>
    <w:rsid w:val="002E08D4"/>
    <w:rsid w:val="002E0A8C"/>
    <w:rsid w:val="002E0D88"/>
    <w:rsid w:val="002E0E73"/>
    <w:rsid w:val="002E0E7D"/>
    <w:rsid w:val="002E1488"/>
    <w:rsid w:val="002E182F"/>
    <w:rsid w:val="002E1FC2"/>
    <w:rsid w:val="002E273A"/>
    <w:rsid w:val="002E286F"/>
    <w:rsid w:val="002E2E3F"/>
    <w:rsid w:val="002E2E5C"/>
    <w:rsid w:val="002E3169"/>
    <w:rsid w:val="002E32A4"/>
    <w:rsid w:val="002E38D4"/>
    <w:rsid w:val="002E4412"/>
    <w:rsid w:val="002E493A"/>
    <w:rsid w:val="002E4D0A"/>
    <w:rsid w:val="002E5B19"/>
    <w:rsid w:val="002E5F65"/>
    <w:rsid w:val="002E65EC"/>
    <w:rsid w:val="002E67FD"/>
    <w:rsid w:val="002F0229"/>
    <w:rsid w:val="002F03F2"/>
    <w:rsid w:val="002F0849"/>
    <w:rsid w:val="002F0A05"/>
    <w:rsid w:val="002F159D"/>
    <w:rsid w:val="002F1AEE"/>
    <w:rsid w:val="002F1C51"/>
    <w:rsid w:val="002F1DD2"/>
    <w:rsid w:val="002F1EE7"/>
    <w:rsid w:val="002F1F93"/>
    <w:rsid w:val="002F2199"/>
    <w:rsid w:val="002F2699"/>
    <w:rsid w:val="002F2ADF"/>
    <w:rsid w:val="002F3A1C"/>
    <w:rsid w:val="002F3D96"/>
    <w:rsid w:val="002F43C5"/>
    <w:rsid w:val="002F44D3"/>
    <w:rsid w:val="002F4513"/>
    <w:rsid w:val="002F4672"/>
    <w:rsid w:val="002F504B"/>
    <w:rsid w:val="002F50CA"/>
    <w:rsid w:val="002F53B7"/>
    <w:rsid w:val="002F645F"/>
    <w:rsid w:val="002F68E6"/>
    <w:rsid w:val="002F69D9"/>
    <w:rsid w:val="002F6A71"/>
    <w:rsid w:val="002F7029"/>
    <w:rsid w:val="002F71A2"/>
    <w:rsid w:val="002F7724"/>
    <w:rsid w:val="002F7CBC"/>
    <w:rsid w:val="002FF80D"/>
    <w:rsid w:val="00300456"/>
    <w:rsid w:val="003004FA"/>
    <w:rsid w:val="00300D08"/>
    <w:rsid w:val="00300E1D"/>
    <w:rsid w:val="003010C8"/>
    <w:rsid w:val="0030160F"/>
    <w:rsid w:val="003024F3"/>
    <w:rsid w:val="00302C68"/>
    <w:rsid w:val="00303396"/>
    <w:rsid w:val="003035A7"/>
    <w:rsid w:val="003036B0"/>
    <w:rsid w:val="00303807"/>
    <w:rsid w:val="00304159"/>
    <w:rsid w:val="00304296"/>
    <w:rsid w:val="003048D2"/>
    <w:rsid w:val="00304FA1"/>
    <w:rsid w:val="00305ADF"/>
    <w:rsid w:val="00305E13"/>
    <w:rsid w:val="0030640A"/>
    <w:rsid w:val="00306C91"/>
    <w:rsid w:val="00306E1E"/>
    <w:rsid w:val="00306EB2"/>
    <w:rsid w:val="0030707C"/>
    <w:rsid w:val="003071D6"/>
    <w:rsid w:val="0030720B"/>
    <w:rsid w:val="00307638"/>
    <w:rsid w:val="003079CC"/>
    <w:rsid w:val="00307EBD"/>
    <w:rsid w:val="00310108"/>
    <w:rsid w:val="00310351"/>
    <w:rsid w:val="003109F4"/>
    <w:rsid w:val="00310B76"/>
    <w:rsid w:val="00310DE8"/>
    <w:rsid w:val="00311018"/>
    <w:rsid w:val="00311419"/>
    <w:rsid w:val="00311FB4"/>
    <w:rsid w:val="00312487"/>
    <w:rsid w:val="003129DB"/>
    <w:rsid w:val="003133C3"/>
    <w:rsid w:val="00313EE8"/>
    <w:rsid w:val="00314F68"/>
    <w:rsid w:val="00315062"/>
    <w:rsid w:val="00315373"/>
    <w:rsid w:val="00315888"/>
    <w:rsid w:val="00315FA5"/>
    <w:rsid w:val="00316114"/>
    <w:rsid w:val="00316636"/>
    <w:rsid w:val="003168B9"/>
    <w:rsid w:val="00316DC6"/>
    <w:rsid w:val="00317607"/>
    <w:rsid w:val="003200A8"/>
    <w:rsid w:val="00320223"/>
    <w:rsid w:val="003206AA"/>
    <w:rsid w:val="00321306"/>
    <w:rsid w:val="00321AD4"/>
    <w:rsid w:val="0032253D"/>
    <w:rsid w:val="00322BEA"/>
    <w:rsid w:val="00322D0D"/>
    <w:rsid w:val="00323A1D"/>
    <w:rsid w:val="00323E50"/>
    <w:rsid w:val="00324D24"/>
    <w:rsid w:val="00325129"/>
    <w:rsid w:val="003251C7"/>
    <w:rsid w:val="00325273"/>
    <w:rsid w:val="003256F5"/>
    <w:rsid w:val="0032571B"/>
    <w:rsid w:val="00325BE1"/>
    <w:rsid w:val="0032623A"/>
    <w:rsid w:val="003262F5"/>
    <w:rsid w:val="003263DA"/>
    <w:rsid w:val="003268E1"/>
    <w:rsid w:val="00327AC5"/>
    <w:rsid w:val="00327C5F"/>
    <w:rsid w:val="00327D33"/>
    <w:rsid w:val="00327F19"/>
    <w:rsid w:val="003311AE"/>
    <w:rsid w:val="003312F1"/>
    <w:rsid w:val="003317DC"/>
    <w:rsid w:val="00331A37"/>
    <w:rsid w:val="00332040"/>
    <w:rsid w:val="00332404"/>
    <w:rsid w:val="00333589"/>
    <w:rsid w:val="00333C0F"/>
    <w:rsid w:val="003345D1"/>
    <w:rsid w:val="003348B3"/>
    <w:rsid w:val="00334D5C"/>
    <w:rsid w:val="00334FA9"/>
    <w:rsid w:val="003351D9"/>
    <w:rsid w:val="00335BAB"/>
    <w:rsid w:val="00335F20"/>
    <w:rsid w:val="00335F89"/>
    <w:rsid w:val="0033685F"/>
    <w:rsid w:val="00336F78"/>
    <w:rsid w:val="00337104"/>
    <w:rsid w:val="0033720E"/>
    <w:rsid w:val="00337430"/>
    <w:rsid w:val="0034073D"/>
    <w:rsid w:val="003411DF"/>
    <w:rsid w:val="0034134F"/>
    <w:rsid w:val="0034189E"/>
    <w:rsid w:val="003419E2"/>
    <w:rsid w:val="00341CD8"/>
    <w:rsid w:val="00342096"/>
    <w:rsid w:val="00342507"/>
    <w:rsid w:val="003425D5"/>
    <w:rsid w:val="0034261D"/>
    <w:rsid w:val="003428B3"/>
    <w:rsid w:val="00342928"/>
    <w:rsid w:val="00342E73"/>
    <w:rsid w:val="00342EE4"/>
    <w:rsid w:val="00343E19"/>
    <w:rsid w:val="00344224"/>
    <w:rsid w:val="0034445E"/>
    <w:rsid w:val="003449DD"/>
    <w:rsid w:val="00344CD6"/>
    <w:rsid w:val="00344D3D"/>
    <w:rsid w:val="003450DB"/>
    <w:rsid w:val="003464B9"/>
    <w:rsid w:val="00346C1F"/>
    <w:rsid w:val="00346EE1"/>
    <w:rsid w:val="00347315"/>
    <w:rsid w:val="00347812"/>
    <w:rsid w:val="00347FDE"/>
    <w:rsid w:val="003505C7"/>
    <w:rsid w:val="003506B2"/>
    <w:rsid w:val="00350FA8"/>
    <w:rsid w:val="003513F0"/>
    <w:rsid w:val="00351506"/>
    <w:rsid w:val="003517D7"/>
    <w:rsid w:val="00351FC5"/>
    <w:rsid w:val="003523F0"/>
    <w:rsid w:val="00352BAF"/>
    <w:rsid w:val="00353333"/>
    <w:rsid w:val="0035336A"/>
    <w:rsid w:val="00353A8A"/>
    <w:rsid w:val="00354700"/>
    <w:rsid w:val="003549E7"/>
    <w:rsid w:val="003556E4"/>
    <w:rsid w:val="00355834"/>
    <w:rsid w:val="00355B22"/>
    <w:rsid w:val="00355DDA"/>
    <w:rsid w:val="00355E96"/>
    <w:rsid w:val="00356DAD"/>
    <w:rsid w:val="00357162"/>
    <w:rsid w:val="003572C4"/>
    <w:rsid w:val="00360204"/>
    <w:rsid w:val="0036095F"/>
    <w:rsid w:val="00361465"/>
    <w:rsid w:val="00361C83"/>
    <w:rsid w:val="00361EF1"/>
    <w:rsid w:val="00362006"/>
    <w:rsid w:val="00362655"/>
    <w:rsid w:val="003627E5"/>
    <w:rsid w:val="0036287D"/>
    <w:rsid w:val="00362899"/>
    <w:rsid w:val="003629CA"/>
    <w:rsid w:val="00362CC4"/>
    <w:rsid w:val="00363459"/>
    <w:rsid w:val="0036346C"/>
    <w:rsid w:val="00363A3E"/>
    <w:rsid w:val="00364239"/>
    <w:rsid w:val="003643BB"/>
    <w:rsid w:val="003650EB"/>
    <w:rsid w:val="00365FE5"/>
    <w:rsid w:val="00366172"/>
    <w:rsid w:val="003665AD"/>
    <w:rsid w:val="00366725"/>
    <w:rsid w:val="00366A50"/>
    <w:rsid w:val="00366B57"/>
    <w:rsid w:val="00366D82"/>
    <w:rsid w:val="00366ED8"/>
    <w:rsid w:val="00367CC9"/>
    <w:rsid w:val="00370198"/>
    <w:rsid w:val="003706D3"/>
    <w:rsid w:val="00371742"/>
    <w:rsid w:val="003725B2"/>
    <w:rsid w:val="00373049"/>
    <w:rsid w:val="0037397A"/>
    <w:rsid w:val="0037432B"/>
    <w:rsid w:val="00375EFC"/>
    <w:rsid w:val="003767F5"/>
    <w:rsid w:val="003773EC"/>
    <w:rsid w:val="0037764C"/>
    <w:rsid w:val="0037767C"/>
    <w:rsid w:val="003777BE"/>
    <w:rsid w:val="00377F64"/>
    <w:rsid w:val="00380A1C"/>
    <w:rsid w:val="00380FF5"/>
    <w:rsid w:val="003812AE"/>
    <w:rsid w:val="003812F5"/>
    <w:rsid w:val="00381F53"/>
    <w:rsid w:val="0038227B"/>
    <w:rsid w:val="00382390"/>
    <w:rsid w:val="0038313A"/>
    <w:rsid w:val="0038336F"/>
    <w:rsid w:val="00383413"/>
    <w:rsid w:val="00383BB0"/>
    <w:rsid w:val="00383F39"/>
    <w:rsid w:val="00384405"/>
    <w:rsid w:val="00384770"/>
    <w:rsid w:val="00384EC0"/>
    <w:rsid w:val="00384F52"/>
    <w:rsid w:val="00384FA7"/>
    <w:rsid w:val="0038547C"/>
    <w:rsid w:val="00386127"/>
    <w:rsid w:val="00386666"/>
    <w:rsid w:val="00386724"/>
    <w:rsid w:val="00386E0E"/>
    <w:rsid w:val="003877F5"/>
    <w:rsid w:val="003878D1"/>
    <w:rsid w:val="00390451"/>
    <w:rsid w:val="003908B5"/>
    <w:rsid w:val="003915F4"/>
    <w:rsid w:val="00391E6A"/>
    <w:rsid w:val="00391FDB"/>
    <w:rsid w:val="0039214F"/>
    <w:rsid w:val="00392779"/>
    <w:rsid w:val="00392ABF"/>
    <w:rsid w:val="00393146"/>
    <w:rsid w:val="00393395"/>
    <w:rsid w:val="003935A9"/>
    <w:rsid w:val="00393650"/>
    <w:rsid w:val="00393920"/>
    <w:rsid w:val="003942B4"/>
    <w:rsid w:val="003942D4"/>
    <w:rsid w:val="00394398"/>
    <w:rsid w:val="00394639"/>
    <w:rsid w:val="00395331"/>
    <w:rsid w:val="003954F4"/>
    <w:rsid w:val="0039579E"/>
    <w:rsid w:val="003958A8"/>
    <w:rsid w:val="00396050"/>
    <w:rsid w:val="003966FB"/>
    <w:rsid w:val="00396A86"/>
    <w:rsid w:val="00397ACB"/>
    <w:rsid w:val="00397F45"/>
    <w:rsid w:val="003A024B"/>
    <w:rsid w:val="003A0466"/>
    <w:rsid w:val="003A0555"/>
    <w:rsid w:val="003A07EF"/>
    <w:rsid w:val="003A08E6"/>
    <w:rsid w:val="003A12FF"/>
    <w:rsid w:val="003A1496"/>
    <w:rsid w:val="003A1772"/>
    <w:rsid w:val="003A1794"/>
    <w:rsid w:val="003A1DF5"/>
    <w:rsid w:val="003A1F04"/>
    <w:rsid w:val="003A3C24"/>
    <w:rsid w:val="003A48BD"/>
    <w:rsid w:val="003A4C7D"/>
    <w:rsid w:val="003A5620"/>
    <w:rsid w:val="003A6347"/>
    <w:rsid w:val="003A6488"/>
    <w:rsid w:val="003A65F8"/>
    <w:rsid w:val="003A66E7"/>
    <w:rsid w:val="003A69B3"/>
    <w:rsid w:val="003A7A2B"/>
    <w:rsid w:val="003A7C36"/>
    <w:rsid w:val="003A7ECE"/>
    <w:rsid w:val="003A7EF9"/>
    <w:rsid w:val="003B03F5"/>
    <w:rsid w:val="003B07D2"/>
    <w:rsid w:val="003B17E3"/>
    <w:rsid w:val="003B20D8"/>
    <w:rsid w:val="003B21D5"/>
    <w:rsid w:val="003B2DC2"/>
    <w:rsid w:val="003B3732"/>
    <w:rsid w:val="003B388E"/>
    <w:rsid w:val="003B3C6E"/>
    <w:rsid w:val="003B439D"/>
    <w:rsid w:val="003B43F6"/>
    <w:rsid w:val="003B43F8"/>
    <w:rsid w:val="003B4915"/>
    <w:rsid w:val="003B5421"/>
    <w:rsid w:val="003B543E"/>
    <w:rsid w:val="003B5B03"/>
    <w:rsid w:val="003B6196"/>
    <w:rsid w:val="003B6476"/>
    <w:rsid w:val="003B66B8"/>
    <w:rsid w:val="003B78FB"/>
    <w:rsid w:val="003B7D57"/>
    <w:rsid w:val="003C0670"/>
    <w:rsid w:val="003C1BA4"/>
    <w:rsid w:val="003C1E5A"/>
    <w:rsid w:val="003C2533"/>
    <w:rsid w:val="003C29A8"/>
    <w:rsid w:val="003C311C"/>
    <w:rsid w:val="003C361A"/>
    <w:rsid w:val="003C4485"/>
    <w:rsid w:val="003C4D13"/>
    <w:rsid w:val="003C6130"/>
    <w:rsid w:val="003C6C45"/>
    <w:rsid w:val="003C6DC7"/>
    <w:rsid w:val="003C773F"/>
    <w:rsid w:val="003D030F"/>
    <w:rsid w:val="003D06AA"/>
    <w:rsid w:val="003D095D"/>
    <w:rsid w:val="003D0DD2"/>
    <w:rsid w:val="003D0E37"/>
    <w:rsid w:val="003D23B6"/>
    <w:rsid w:val="003D23E8"/>
    <w:rsid w:val="003D28EE"/>
    <w:rsid w:val="003D2D8B"/>
    <w:rsid w:val="003D3125"/>
    <w:rsid w:val="003D3FA8"/>
    <w:rsid w:val="003D4034"/>
    <w:rsid w:val="003D4791"/>
    <w:rsid w:val="003D4E8A"/>
    <w:rsid w:val="003D5229"/>
    <w:rsid w:val="003D52B5"/>
    <w:rsid w:val="003D5613"/>
    <w:rsid w:val="003D582C"/>
    <w:rsid w:val="003D5A7F"/>
    <w:rsid w:val="003D5CCD"/>
    <w:rsid w:val="003D6596"/>
    <w:rsid w:val="003D66CB"/>
    <w:rsid w:val="003D6978"/>
    <w:rsid w:val="003D6C06"/>
    <w:rsid w:val="003D7237"/>
    <w:rsid w:val="003D74ED"/>
    <w:rsid w:val="003D7E09"/>
    <w:rsid w:val="003E015F"/>
    <w:rsid w:val="003E043D"/>
    <w:rsid w:val="003E171A"/>
    <w:rsid w:val="003E1C1E"/>
    <w:rsid w:val="003E1C6F"/>
    <w:rsid w:val="003E2697"/>
    <w:rsid w:val="003E270B"/>
    <w:rsid w:val="003E2B11"/>
    <w:rsid w:val="003E3153"/>
    <w:rsid w:val="003E40D5"/>
    <w:rsid w:val="003E40DA"/>
    <w:rsid w:val="003E4AD6"/>
    <w:rsid w:val="003E547D"/>
    <w:rsid w:val="003E5CBF"/>
    <w:rsid w:val="003E5F5D"/>
    <w:rsid w:val="003E6D57"/>
    <w:rsid w:val="003E6E82"/>
    <w:rsid w:val="003E75A6"/>
    <w:rsid w:val="003E7AA4"/>
    <w:rsid w:val="003E7ED5"/>
    <w:rsid w:val="003F00D5"/>
    <w:rsid w:val="003F065A"/>
    <w:rsid w:val="003F0A18"/>
    <w:rsid w:val="003F109F"/>
    <w:rsid w:val="003F15C6"/>
    <w:rsid w:val="003F17A4"/>
    <w:rsid w:val="003F1A5D"/>
    <w:rsid w:val="003F1CE5"/>
    <w:rsid w:val="003F1F99"/>
    <w:rsid w:val="003F241C"/>
    <w:rsid w:val="003F2C54"/>
    <w:rsid w:val="003F30EA"/>
    <w:rsid w:val="003F3264"/>
    <w:rsid w:val="003F37A1"/>
    <w:rsid w:val="003F4447"/>
    <w:rsid w:val="003F4947"/>
    <w:rsid w:val="003F5133"/>
    <w:rsid w:val="003F5288"/>
    <w:rsid w:val="003F533E"/>
    <w:rsid w:val="003F5367"/>
    <w:rsid w:val="003F603F"/>
    <w:rsid w:val="003F6509"/>
    <w:rsid w:val="003F6877"/>
    <w:rsid w:val="003F6A46"/>
    <w:rsid w:val="003F6AF0"/>
    <w:rsid w:val="003F6B20"/>
    <w:rsid w:val="003F6FDB"/>
    <w:rsid w:val="003F7BC0"/>
    <w:rsid w:val="003F7CC2"/>
    <w:rsid w:val="00400789"/>
    <w:rsid w:val="004013D8"/>
    <w:rsid w:val="0040160B"/>
    <w:rsid w:val="004016A9"/>
    <w:rsid w:val="0040174C"/>
    <w:rsid w:val="0040182E"/>
    <w:rsid w:val="00401D19"/>
    <w:rsid w:val="00402ADC"/>
    <w:rsid w:val="00402B6D"/>
    <w:rsid w:val="004030B1"/>
    <w:rsid w:val="00403539"/>
    <w:rsid w:val="00403F5B"/>
    <w:rsid w:val="004042CE"/>
    <w:rsid w:val="0040435A"/>
    <w:rsid w:val="00404E38"/>
    <w:rsid w:val="004050BC"/>
    <w:rsid w:val="0040532C"/>
    <w:rsid w:val="004062B8"/>
    <w:rsid w:val="00407481"/>
    <w:rsid w:val="004074B4"/>
    <w:rsid w:val="00407826"/>
    <w:rsid w:val="00407A7A"/>
    <w:rsid w:val="00411748"/>
    <w:rsid w:val="00411BE6"/>
    <w:rsid w:val="00411C30"/>
    <w:rsid w:val="00411FC3"/>
    <w:rsid w:val="00412440"/>
    <w:rsid w:val="00412B89"/>
    <w:rsid w:val="0041338E"/>
    <w:rsid w:val="004135A1"/>
    <w:rsid w:val="004136CB"/>
    <w:rsid w:val="00413D42"/>
    <w:rsid w:val="0041513D"/>
    <w:rsid w:val="00415678"/>
    <w:rsid w:val="00415D46"/>
    <w:rsid w:val="004163B5"/>
    <w:rsid w:val="0041663F"/>
    <w:rsid w:val="00416A24"/>
    <w:rsid w:val="0041716D"/>
    <w:rsid w:val="00417C76"/>
    <w:rsid w:val="00417DAB"/>
    <w:rsid w:val="004203F8"/>
    <w:rsid w:val="0042091B"/>
    <w:rsid w:val="00421ADF"/>
    <w:rsid w:val="00422F72"/>
    <w:rsid w:val="00423610"/>
    <w:rsid w:val="00423C61"/>
    <w:rsid w:val="00424197"/>
    <w:rsid w:val="004242E9"/>
    <w:rsid w:val="00424401"/>
    <w:rsid w:val="00424B73"/>
    <w:rsid w:val="00424CDE"/>
    <w:rsid w:val="00424F47"/>
    <w:rsid w:val="004251C4"/>
    <w:rsid w:val="0042586A"/>
    <w:rsid w:val="0042592E"/>
    <w:rsid w:val="004261FD"/>
    <w:rsid w:val="004262FB"/>
    <w:rsid w:val="00426432"/>
    <w:rsid w:val="0042695D"/>
    <w:rsid w:val="00426E5D"/>
    <w:rsid w:val="004270B7"/>
    <w:rsid w:val="00427274"/>
    <w:rsid w:val="00427EAF"/>
    <w:rsid w:val="004309C6"/>
    <w:rsid w:val="00430C67"/>
    <w:rsid w:val="00431312"/>
    <w:rsid w:val="00431459"/>
    <w:rsid w:val="00431C5D"/>
    <w:rsid w:val="00431D9E"/>
    <w:rsid w:val="00432749"/>
    <w:rsid w:val="00432B1F"/>
    <w:rsid w:val="00433CE8"/>
    <w:rsid w:val="0043416D"/>
    <w:rsid w:val="00434A5C"/>
    <w:rsid w:val="00434C35"/>
    <w:rsid w:val="00434DE1"/>
    <w:rsid w:val="004351DB"/>
    <w:rsid w:val="0043546E"/>
    <w:rsid w:val="0043796A"/>
    <w:rsid w:val="00437A80"/>
    <w:rsid w:val="004408FB"/>
    <w:rsid w:val="00440A04"/>
    <w:rsid w:val="00440C75"/>
    <w:rsid w:val="00441287"/>
    <w:rsid w:val="00441795"/>
    <w:rsid w:val="00441C61"/>
    <w:rsid w:val="00441DDC"/>
    <w:rsid w:val="00442330"/>
    <w:rsid w:val="004423B1"/>
    <w:rsid w:val="00442591"/>
    <w:rsid w:val="0044265D"/>
    <w:rsid w:val="00442DC5"/>
    <w:rsid w:val="004432F2"/>
    <w:rsid w:val="004434BD"/>
    <w:rsid w:val="004435BA"/>
    <w:rsid w:val="00443D4D"/>
    <w:rsid w:val="00444372"/>
    <w:rsid w:val="0044482A"/>
    <w:rsid w:val="0044577B"/>
    <w:rsid w:val="00445D08"/>
    <w:rsid w:val="00446356"/>
    <w:rsid w:val="004463A4"/>
    <w:rsid w:val="0044656F"/>
    <w:rsid w:val="00446802"/>
    <w:rsid w:val="004469F7"/>
    <w:rsid w:val="0044714D"/>
    <w:rsid w:val="00447431"/>
    <w:rsid w:val="004477BB"/>
    <w:rsid w:val="004478C1"/>
    <w:rsid w:val="004507C1"/>
    <w:rsid w:val="00450C15"/>
    <w:rsid w:val="0045169F"/>
    <w:rsid w:val="0045189F"/>
    <w:rsid w:val="004529D6"/>
    <w:rsid w:val="00452CFD"/>
    <w:rsid w:val="0045328C"/>
    <w:rsid w:val="0045375C"/>
    <w:rsid w:val="0045376C"/>
    <w:rsid w:val="004537B1"/>
    <w:rsid w:val="0045394E"/>
    <w:rsid w:val="00453C80"/>
    <w:rsid w:val="00453CF6"/>
    <w:rsid w:val="00454033"/>
    <w:rsid w:val="00454493"/>
    <w:rsid w:val="004544D9"/>
    <w:rsid w:val="0045484C"/>
    <w:rsid w:val="0045495A"/>
    <w:rsid w:val="00455967"/>
    <w:rsid w:val="00455F1F"/>
    <w:rsid w:val="004560BF"/>
    <w:rsid w:val="00456684"/>
    <w:rsid w:val="004566B8"/>
    <w:rsid w:val="00456D75"/>
    <w:rsid w:val="00457108"/>
    <w:rsid w:val="0045718A"/>
    <w:rsid w:val="00457322"/>
    <w:rsid w:val="00457738"/>
    <w:rsid w:val="0045776B"/>
    <w:rsid w:val="0046017E"/>
    <w:rsid w:val="0046064C"/>
    <w:rsid w:val="00460C33"/>
    <w:rsid w:val="004611AB"/>
    <w:rsid w:val="00461329"/>
    <w:rsid w:val="00461A3C"/>
    <w:rsid w:val="00462A0A"/>
    <w:rsid w:val="00462B03"/>
    <w:rsid w:val="0046304C"/>
    <w:rsid w:val="004635D7"/>
    <w:rsid w:val="00463881"/>
    <w:rsid w:val="0046399D"/>
    <w:rsid w:val="00464085"/>
    <w:rsid w:val="0046412A"/>
    <w:rsid w:val="00464283"/>
    <w:rsid w:val="004642A1"/>
    <w:rsid w:val="004645DE"/>
    <w:rsid w:val="00464855"/>
    <w:rsid w:val="00464E4A"/>
    <w:rsid w:val="00464F69"/>
    <w:rsid w:val="004653F5"/>
    <w:rsid w:val="00465DE8"/>
    <w:rsid w:val="00465EB7"/>
    <w:rsid w:val="004664DE"/>
    <w:rsid w:val="00466CB9"/>
    <w:rsid w:val="00466D02"/>
    <w:rsid w:val="00467FE6"/>
    <w:rsid w:val="00470E66"/>
    <w:rsid w:val="004712F9"/>
    <w:rsid w:val="00471602"/>
    <w:rsid w:val="0047264B"/>
    <w:rsid w:val="00472BAD"/>
    <w:rsid w:val="00472D5A"/>
    <w:rsid w:val="00472F45"/>
    <w:rsid w:val="0047312C"/>
    <w:rsid w:val="0047347B"/>
    <w:rsid w:val="00473BC5"/>
    <w:rsid w:val="00473C55"/>
    <w:rsid w:val="00473F64"/>
    <w:rsid w:val="00474A0F"/>
    <w:rsid w:val="0047526F"/>
    <w:rsid w:val="004756DE"/>
    <w:rsid w:val="004757F7"/>
    <w:rsid w:val="00475813"/>
    <w:rsid w:val="004758DF"/>
    <w:rsid w:val="0047591D"/>
    <w:rsid w:val="00475DC2"/>
    <w:rsid w:val="00476435"/>
    <w:rsid w:val="00476D34"/>
    <w:rsid w:val="00476E7B"/>
    <w:rsid w:val="0047733C"/>
    <w:rsid w:val="00477489"/>
    <w:rsid w:val="00477644"/>
    <w:rsid w:val="00477B60"/>
    <w:rsid w:val="00477E3D"/>
    <w:rsid w:val="00477FAE"/>
    <w:rsid w:val="00480044"/>
    <w:rsid w:val="00480561"/>
    <w:rsid w:val="00480E7C"/>
    <w:rsid w:val="00482A23"/>
    <w:rsid w:val="00482BC9"/>
    <w:rsid w:val="004837A8"/>
    <w:rsid w:val="00484009"/>
    <w:rsid w:val="00484E08"/>
    <w:rsid w:val="004853B2"/>
    <w:rsid w:val="004855A3"/>
    <w:rsid w:val="004856E8"/>
    <w:rsid w:val="00485B11"/>
    <w:rsid w:val="00485E95"/>
    <w:rsid w:val="00485EDA"/>
    <w:rsid w:val="00486478"/>
    <w:rsid w:val="0048675F"/>
    <w:rsid w:val="00486B97"/>
    <w:rsid w:val="004874D7"/>
    <w:rsid w:val="00487BD5"/>
    <w:rsid w:val="0049031B"/>
    <w:rsid w:val="00490338"/>
    <w:rsid w:val="004903BF"/>
    <w:rsid w:val="00490749"/>
    <w:rsid w:val="00490E72"/>
    <w:rsid w:val="00490F17"/>
    <w:rsid w:val="00491157"/>
    <w:rsid w:val="00491524"/>
    <w:rsid w:val="00491707"/>
    <w:rsid w:val="0049193E"/>
    <w:rsid w:val="00491BE9"/>
    <w:rsid w:val="004921C8"/>
    <w:rsid w:val="004927F6"/>
    <w:rsid w:val="00493203"/>
    <w:rsid w:val="004936C2"/>
    <w:rsid w:val="00493974"/>
    <w:rsid w:val="00494AF0"/>
    <w:rsid w:val="004952B4"/>
    <w:rsid w:val="00495B0B"/>
    <w:rsid w:val="00496AB1"/>
    <w:rsid w:val="00496C9E"/>
    <w:rsid w:val="00497050"/>
    <w:rsid w:val="00497438"/>
    <w:rsid w:val="0049765C"/>
    <w:rsid w:val="00497C46"/>
    <w:rsid w:val="00497E54"/>
    <w:rsid w:val="004A0285"/>
    <w:rsid w:val="004A0569"/>
    <w:rsid w:val="004A07F1"/>
    <w:rsid w:val="004A1B8B"/>
    <w:rsid w:val="004A1C40"/>
    <w:rsid w:val="004A1D9D"/>
    <w:rsid w:val="004A20E2"/>
    <w:rsid w:val="004A24FB"/>
    <w:rsid w:val="004A2AC7"/>
    <w:rsid w:val="004A2DA4"/>
    <w:rsid w:val="004A2EFC"/>
    <w:rsid w:val="004A3334"/>
    <w:rsid w:val="004A37D6"/>
    <w:rsid w:val="004A3B43"/>
    <w:rsid w:val="004A3D29"/>
    <w:rsid w:val="004A4441"/>
    <w:rsid w:val="004A4663"/>
    <w:rsid w:val="004A4F86"/>
    <w:rsid w:val="004A5684"/>
    <w:rsid w:val="004A5791"/>
    <w:rsid w:val="004A57D4"/>
    <w:rsid w:val="004A58DF"/>
    <w:rsid w:val="004A66AD"/>
    <w:rsid w:val="004A67FA"/>
    <w:rsid w:val="004A68C3"/>
    <w:rsid w:val="004A7507"/>
    <w:rsid w:val="004A77E2"/>
    <w:rsid w:val="004A79E6"/>
    <w:rsid w:val="004A7CAD"/>
    <w:rsid w:val="004B010B"/>
    <w:rsid w:val="004B07DA"/>
    <w:rsid w:val="004B07F9"/>
    <w:rsid w:val="004B0869"/>
    <w:rsid w:val="004B0AE3"/>
    <w:rsid w:val="004B0AE9"/>
    <w:rsid w:val="004B0DF4"/>
    <w:rsid w:val="004B1641"/>
    <w:rsid w:val="004B17FC"/>
    <w:rsid w:val="004B19A9"/>
    <w:rsid w:val="004B22FA"/>
    <w:rsid w:val="004B24F7"/>
    <w:rsid w:val="004B27DF"/>
    <w:rsid w:val="004B2975"/>
    <w:rsid w:val="004B3666"/>
    <w:rsid w:val="004B3813"/>
    <w:rsid w:val="004B388D"/>
    <w:rsid w:val="004B398A"/>
    <w:rsid w:val="004B3B71"/>
    <w:rsid w:val="004B423C"/>
    <w:rsid w:val="004B4521"/>
    <w:rsid w:val="004B4A62"/>
    <w:rsid w:val="004B4CC1"/>
    <w:rsid w:val="004B4E9B"/>
    <w:rsid w:val="004B5466"/>
    <w:rsid w:val="004B5A45"/>
    <w:rsid w:val="004B5EAA"/>
    <w:rsid w:val="004B5FB3"/>
    <w:rsid w:val="004B6DF7"/>
    <w:rsid w:val="004B71FD"/>
    <w:rsid w:val="004BE9CE"/>
    <w:rsid w:val="004C0498"/>
    <w:rsid w:val="004C0563"/>
    <w:rsid w:val="004C086B"/>
    <w:rsid w:val="004C0F03"/>
    <w:rsid w:val="004C1665"/>
    <w:rsid w:val="004C1A9B"/>
    <w:rsid w:val="004C1EAC"/>
    <w:rsid w:val="004C22C0"/>
    <w:rsid w:val="004C2714"/>
    <w:rsid w:val="004C30C0"/>
    <w:rsid w:val="004C36B2"/>
    <w:rsid w:val="004C373C"/>
    <w:rsid w:val="004C3BB9"/>
    <w:rsid w:val="004C3DB1"/>
    <w:rsid w:val="004C45A2"/>
    <w:rsid w:val="004C4898"/>
    <w:rsid w:val="004C5A02"/>
    <w:rsid w:val="004C5BB3"/>
    <w:rsid w:val="004C69D7"/>
    <w:rsid w:val="004C6D6C"/>
    <w:rsid w:val="004C6F24"/>
    <w:rsid w:val="004C7EAB"/>
    <w:rsid w:val="004D01A2"/>
    <w:rsid w:val="004D0205"/>
    <w:rsid w:val="004D048E"/>
    <w:rsid w:val="004D055C"/>
    <w:rsid w:val="004D0603"/>
    <w:rsid w:val="004D062D"/>
    <w:rsid w:val="004D06FD"/>
    <w:rsid w:val="004D0A14"/>
    <w:rsid w:val="004D1851"/>
    <w:rsid w:val="004D2D75"/>
    <w:rsid w:val="004D3170"/>
    <w:rsid w:val="004D3875"/>
    <w:rsid w:val="004D4CA2"/>
    <w:rsid w:val="004D52BA"/>
    <w:rsid w:val="004D599D"/>
    <w:rsid w:val="004D5B36"/>
    <w:rsid w:val="004D5DAC"/>
    <w:rsid w:val="004D62FC"/>
    <w:rsid w:val="004D6F1C"/>
    <w:rsid w:val="004D733E"/>
    <w:rsid w:val="004D734E"/>
    <w:rsid w:val="004D76D8"/>
    <w:rsid w:val="004D7A31"/>
    <w:rsid w:val="004D7EDD"/>
    <w:rsid w:val="004E0116"/>
    <w:rsid w:val="004E0464"/>
    <w:rsid w:val="004E0538"/>
    <w:rsid w:val="004E0987"/>
    <w:rsid w:val="004E1037"/>
    <w:rsid w:val="004E1F61"/>
    <w:rsid w:val="004E23EF"/>
    <w:rsid w:val="004E2B16"/>
    <w:rsid w:val="004E2E65"/>
    <w:rsid w:val="004E2EA5"/>
    <w:rsid w:val="004E315E"/>
    <w:rsid w:val="004E3AEB"/>
    <w:rsid w:val="004E3D77"/>
    <w:rsid w:val="004E445F"/>
    <w:rsid w:val="004E4463"/>
    <w:rsid w:val="004E49F6"/>
    <w:rsid w:val="004E4B8E"/>
    <w:rsid w:val="004E4D3B"/>
    <w:rsid w:val="004E52BB"/>
    <w:rsid w:val="004E590C"/>
    <w:rsid w:val="004E7032"/>
    <w:rsid w:val="004E70A3"/>
    <w:rsid w:val="004E70D3"/>
    <w:rsid w:val="004E721D"/>
    <w:rsid w:val="004E7BE6"/>
    <w:rsid w:val="004E7CAA"/>
    <w:rsid w:val="004F016E"/>
    <w:rsid w:val="004F041F"/>
    <w:rsid w:val="004F0C62"/>
    <w:rsid w:val="004F0FF0"/>
    <w:rsid w:val="004F1318"/>
    <w:rsid w:val="004F20B3"/>
    <w:rsid w:val="004F2753"/>
    <w:rsid w:val="004F392F"/>
    <w:rsid w:val="004F396B"/>
    <w:rsid w:val="004F4A59"/>
    <w:rsid w:val="004F4C27"/>
    <w:rsid w:val="004F4D54"/>
    <w:rsid w:val="004F5908"/>
    <w:rsid w:val="004F6395"/>
    <w:rsid w:val="004F64D3"/>
    <w:rsid w:val="004F6EA6"/>
    <w:rsid w:val="004F70AB"/>
    <w:rsid w:val="004F73E1"/>
    <w:rsid w:val="004F7682"/>
    <w:rsid w:val="004F7745"/>
    <w:rsid w:val="0050020A"/>
    <w:rsid w:val="00500CD0"/>
    <w:rsid w:val="005011ED"/>
    <w:rsid w:val="0050212A"/>
    <w:rsid w:val="005021B4"/>
    <w:rsid w:val="0050223C"/>
    <w:rsid w:val="005024D8"/>
    <w:rsid w:val="0050276F"/>
    <w:rsid w:val="005030CF"/>
    <w:rsid w:val="00503327"/>
    <w:rsid w:val="00503FB2"/>
    <w:rsid w:val="0050404E"/>
    <w:rsid w:val="005048DB"/>
    <w:rsid w:val="00504B99"/>
    <w:rsid w:val="00504EE0"/>
    <w:rsid w:val="00505366"/>
    <w:rsid w:val="00505CA4"/>
    <w:rsid w:val="00505E83"/>
    <w:rsid w:val="0050631A"/>
    <w:rsid w:val="00506610"/>
    <w:rsid w:val="005069BC"/>
    <w:rsid w:val="00506B32"/>
    <w:rsid w:val="00507594"/>
    <w:rsid w:val="005077CC"/>
    <w:rsid w:val="00507D50"/>
    <w:rsid w:val="00510176"/>
    <w:rsid w:val="00510243"/>
    <w:rsid w:val="005104E8"/>
    <w:rsid w:val="0051061D"/>
    <w:rsid w:val="00510A59"/>
    <w:rsid w:val="005115AC"/>
    <w:rsid w:val="00511A6D"/>
    <w:rsid w:val="00511BF6"/>
    <w:rsid w:val="005125E7"/>
    <w:rsid w:val="00512642"/>
    <w:rsid w:val="0051265F"/>
    <w:rsid w:val="00512BCC"/>
    <w:rsid w:val="00512D17"/>
    <w:rsid w:val="00512D96"/>
    <w:rsid w:val="00513E0B"/>
    <w:rsid w:val="00513F8A"/>
    <w:rsid w:val="005149EB"/>
    <w:rsid w:val="00514C96"/>
    <w:rsid w:val="00514CE1"/>
    <w:rsid w:val="00515602"/>
    <w:rsid w:val="005156D5"/>
    <w:rsid w:val="0051574C"/>
    <w:rsid w:val="005161B5"/>
    <w:rsid w:val="00517E44"/>
    <w:rsid w:val="0052084F"/>
    <w:rsid w:val="0052105A"/>
    <w:rsid w:val="005211A7"/>
    <w:rsid w:val="0052151E"/>
    <w:rsid w:val="005218D9"/>
    <w:rsid w:val="00521BC2"/>
    <w:rsid w:val="00521E1C"/>
    <w:rsid w:val="00521F1E"/>
    <w:rsid w:val="005220E8"/>
    <w:rsid w:val="0052247D"/>
    <w:rsid w:val="005226FC"/>
    <w:rsid w:val="00522A4C"/>
    <w:rsid w:val="00522EF1"/>
    <w:rsid w:val="0052337D"/>
    <w:rsid w:val="00524178"/>
    <w:rsid w:val="005243FF"/>
    <w:rsid w:val="00524A45"/>
    <w:rsid w:val="00524B42"/>
    <w:rsid w:val="00525450"/>
    <w:rsid w:val="00526716"/>
    <w:rsid w:val="00527167"/>
    <w:rsid w:val="0052720D"/>
    <w:rsid w:val="00527BB5"/>
    <w:rsid w:val="00527D57"/>
    <w:rsid w:val="005305B8"/>
    <w:rsid w:val="00531974"/>
    <w:rsid w:val="005319EF"/>
    <w:rsid w:val="00531D4E"/>
    <w:rsid w:val="00532238"/>
    <w:rsid w:val="00532AAC"/>
    <w:rsid w:val="00533662"/>
    <w:rsid w:val="005337DE"/>
    <w:rsid w:val="00533CD1"/>
    <w:rsid w:val="00533E2B"/>
    <w:rsid w:val="00534218"/>
    <w:rsid w:val="005345F8"/>
    <w:rsid w:val="0053472B"/>
    <w:rsid w:val="00534EF0"/>
    <w:rsid w:val="00535690"/>
    <w:rsid w:val="0053570E"/>
    <w:rsid w:val="00535741"/>
    <w:rsid w:val="00535B54"/>
    <w:rsid w:val="00535CF0"/>
    <w:rsid w:val="00536C21"/>
    <w:rsid w:val="00537364"/>
    <w:rsid w:val="00537504"/>
    <w:rsid w:val="00537D68"/>
    <w:rsid w:val="00540055"/>
    <w:rsid w:val="005401FE"/>
    <w:rsid w:val="005402CB"/>
    <w:rsid w:val="00540D56"/>
    <w:rsid w:val="00541005"/>
    <w:rsid w:val="00541E17"/>
    <w:rsid w:val="005424B6"/>
    <w:rsid w:val="00542561"/>
    <w:rsid w:val="005428A4"/>
    <w:rsid w:val="00542AA0"/>
    <w:rsid w:val="00542B0E"/>
    <w:rsid w:val="00542C6D"/>
    <w:rsid w:val="00542E49"/>
    <w:rsid w:val="00542E64"/>
    <w:rsid w:val="00542ED1"/>
    <w:rsid w:val="00543559"/>
    <w:rsid w:val="005436FA"/>
    <w:rsid w:val="005439B6"/>
    <w:rsid w:val="0054471E"/>
    <w:rsid w:val="00544B71"/>
    <w:rsid w:val="00544E88"/>
    <w:rsid w:val="00545E64"/>
    <w:rsid w:val="005467B0"/>
    <w:rsid w:val="005470DC"/>
    <w:rsid w:val="00547186"/>
    <w:rsid w:val="00550CCE"/>
    <w:rsid w:val="00550E44"/>
    <w:rsid w:val="0055137E"/>
    <w:rsid w:val="00551743"/>
    <w:rsid w:val="0055197E"/>
    <w:rsid w:val="00551DC0"/>
    <w:rsid w:val="0055203B"/>
    <w:rsid w:val="005521A8"/>
    <w:rsid w:val="005522B0"/>
    <w:rsid w:val="00552410"/>
    <w:rsid w:val="00552672"/>
    <w:rsid w:val="00553679"/>
    <w:rsid w:val="005537DB"/>
    <w:rsid w:val="00553AA9"/>
    <w:rsid w:val="00553E75"/>
    <w:rsid w:val="00554B31"/>
    <w:rsid w:val="00555151"/>
    <w:rsid w:val="00555396"/>
    <w:rsid w:val="0055596F"/>
    <w:rsid w:val="005564E6"/>
    <w:rsid w:val="00556656"/>
    <w:rsid w:val="0055682C"/>
    <w:rsid w:val="00556D15"/>
    <w:rsid w:val="0055760A"/>
    <w:rsid w:val="0055790A"/>
    <w:rsid w:val="00557A30"/>
    <w:rsid w:val="00557E34"/>
    <w:rsid w:val="0056019F"/>
    <w:rsid w:val="0056035B"/>
    <w:rsid w:val="005612C6"/>
    <w:rsid w:val="00561683"/>
    <w:rsid w:val="005618E0"/>
    <w:rsid w:val="00561AA1"/>
    <w:rsid w:val="00561F61"/>
    <w:rsid w:val="00562068"/>
    <w:rsid w:val="0056224B"/>
    <w:rsid w:val="005624BD"/>
    <w:rsid w:val="00562955"/>
    <w:rsid w:val="00562E1D"/>
    <w:rsid w:val="00563572"/>
    <w:rsid w:val="00563E38"/>
    <w:rsid w:val="0056454A"/>
    <w:rsid w:val="00564888"/>
    <w:rsid w:val="00564BA1"/>
    <w:rsid w:val="00564FBC"/>
    <w:rsid w:val="0056537D"/>
    <w:rsid w:val="005657B6"/>
    <w:rsid w:val="00565877"/>
    <w:rsid w:val="00565E5F"/>
    <w:rsid w:val="00566305"/>
    <w:rsid w:val="005666AA"/>
    <w:rsid w:val="005667CA"/>
    <w:rsid w:val="00566C3F"/>
    <w:rsid w:val="005673CE"/>
    <w:rsid w:val="00567C4D"/>
    <w:rsid w:val="00570280"/>
    <w:rsid w:val="0057054E"/>
    <w:rsid w:val="00570605"/>
    <w:rsid w:val="00570D3A"/>
    <w:rsid w:val="00570DDB"/>
    <w:rsid w:val="00570E34"/>
    <w:rsid w:val="00571433"/>
    <w:rsid w:val="00571520"/>
    <w:rsid w:val="005715E7"/>
    <w:rsid w:val="00571B65"/>
    <w:rsid w:val="0057237D"/>
    <w:rsid w:val="005724DE"/>
    <w:rsid w:val="00572838"/>
    <w:rsid w:val="00572BBA"/>
    <w:rsid w:val="005736FE"/>
    <w:rsid w:val="00574D94"/>
    <w:rsid w:val="00575086"/>
    <w:rsid w:val="005755FC"/>
    <w:rsid w:val="0057597F"/>
    <w:rsid w:val="00576A1D"/>
    <w:rsid w:val="00576FBE"/>
    <w:rsid w:val="0057714F"/>
    <w:rsid w:val="005773BD"/>
    <w:rsid w:val="005774A8"/>
    <w:rsid w:val="005775B1"/>
    <w:rsid w:val="00577DA9"/>
    <w:rsid w:val="005800BC"/>
    <w:rsid w:val="00580B6A"/>
    <w:rsid w:val="00581317"/>
    <w:rsid w:val="0058132C"/>
    <w:rsid w:val="00581C9B"/>
    <w:rsid w:val="00582442"/>
    <w:rsid w:val="005827E7"/>
    <w:rsid w:val="00582800"/>
    <w:rsid w:val="00582B5E"/>
    <w:rsid w:val="00582BDD"/>
    <w:rsid w:val="00582D50"/>
    <w:rsid w:val="00582D5F"/>
    <w:rsid w:val="00583270"/>
    <w:rsid w:val="005833EC"/>
    <w:rsid w:val="005840B6"/>
    <w:rsid w:val="005850BC"/>
    <w:rsid w:val="005855A0"/>
    <w:rsid w:val="00585689"/>
    <w:rsid w:val="00585BC5"/>
    <w:rsid w:val="005862D0"/>
    <w:rsid w:val="005865D7"/>
    <w:rsid w:val="00586693"/>
    <w:rsid w:val="00586B47"/>
    <w:rsid w:val="00586FD9"/>
    <w:rsid w:val="00587036"/>
    <w:rsid w:val="0058718C"/>
    <w:rsid w:val="00587609"/>
    <w:rsid w:val="00587A70"/>
    <w:rsid w:val="00590585"/>
    <w:rsid w:val="0059099E"/>
    <w:rsid w:val="00590A18"/>
    <w:rsid w:val="00590F68"/>
    <w:rsid w:val="00591634"/>
    <w:rsid w:val="00591B37"/>
    <w:rsid w:val="00591D1B"/>
    <w:rsid w:val="00591D6C"/>
    <w:rsid w:val="0059208B"/>
    <w:rsid w:val="00592156"/>
    <w:rsid w:val="00592863"/>
    <w:rsid w:val="00592BA9"/>
    <w:rsid w:val="00592D37"/>
    <w:rsid w:val="00592ED5"/>
    <w:rsid w:val="00593058"/>
    <w:rsid w:val="005930A5"/>
    <w:rsid w:val="00593698"/>
    <w:rsid w:val="00593D9F"/>
    <w:rsid w:val="005942B5"/>
    <w:rsid w:val="005948C1"/>
    <w:rsid w:val="005951C6"/>
    <w:rsid w:val="0059595C"/>
    <w:rsid w:val="00595C91"/>
    <w:rsid w:val="00595DAD"/>
    <w:rsid w:val="00596002"/>
    <w:rsid w:val="00596022"/>
    <w:rsid w:val="00596A31"/>
    <w:rsid w:val="00596EFB"/>
    <w:rsid w:val="00597420"/>
    <w:rsid w:val="0059792C"/>
    <w:rsid w:val="00597CEA"/>
    <w:rsid w:val="005A012A"/>
    <w:rsid w:val="005A02A9"/>
    <w:rsid w:val="005A13AA"/>
    <w:rsid w:val="005A2022"/>
    <w:rsid w:val="005A25C6"/>
    <w:rsid w:val="005A2736"/>
    <w:rsid w:val="005A2AC2"/>
    <w:rsid w:val="005A2C87"/>
    <w:rsid w:val="005A2FF4"/>
    <w:rsid w:val="005A3404"/>
    <w:rsid w:val="005A3770"/>
    <w:rsid w:val="005A37DB"/>
    <w:rsid w:val="005A3A0D"/>
    <w:rsid w:val="005A3E18"/>
    <w:rsid w:val="005A4236"/>
    <w:rsid w:val="005A42E8"/>
    <w:rsid w:val="005A4642"/>
    <w:rsid w:val="005A481E"/>
    <w:rsid w:val="005A6422"/>
    <w:rsid w:val="005A6659"/>
    <w:rsid w:val="005A69B7"/>
    <w:rsid w:val="005A6D87"/>
    <w:rsid w:val="005A7971"/>
    <w:rsid w:val="005A7E58"/>
    <w:rsid w:val="005B0EC2"/>
    <w:rsid w:val="005B122A"/>
    <w:rsid w:val="005B1456"/>
    <w:rsid w:val="005B195D"/>
    <w:rsid w:val="005B1E34"/>
    <w:rsid w:val="005B212A"/>
    <w:rsid w:val="005B2167"/>
    <w:rsid w:val="005B21AE"/>
    <w:rsid w:val="005B261C"/>
    <w:rsid w:val="005B2CFA"/>
    <w:rsid w:val="005B2DC6"/>
    <w:rsid w:val="005B395B"/>
    <w:rsid w:val="005B3BA9"/>
    <w:rsid w:val="005B3D91"/>
    <w:rsid w:val="005B3F10"/>
    <w:rsid w:val="005B40C6"/>
    <w:rsid w:val="005B441B"/>
    <w:rsid w:val="005B49D0"/>
    <w:rsid w:val="005B4A44"/>
    <w:rsid w:val="005B4C04"/>
    <w:rsid w:val="005B4F6B"/>
    <w:rsid w:val="005B52DE"/>
    <w:rsid w:val="005B535A"/>
    <w:rsid w:val="005B537B"/>
    <w:rsid w:val="005B5545"/>
    <w:rsid w:val="005B562E"/>
    <w:rsid w:val="005B5762"/>
    <w:rsid w:val="005B59C6"/>
    <w:rsid w:val="005B5A18"/>
    <w:rsid w:val="005B5A7B"/>
    <w:rsid w:val="005B5F47"/>
    <w:rsid w:val="005B5F9B"/>
    <w:rsid w:val="005B6C3B"/>
    <w:rsid w:val="005B6CAC"/>
    <w:rsid w:val="005B6D2E"/>
    <w:rsid w:val="005B7073"/>
    <w:rsid w:val="005B72E3"/>
    <w:rsid w:val="005B7E39"/>
    <w:rsid w:val="005B7EF4"/>
    <w:rsid w:val="005B7FF6"/>
    <w:rsid w:val="005C023A"/>
    <w:rsid w:val="005C07E5"/>
    <w:rsid w:val="005C0A47"/>
    <w:rsid w:val="005C16F8"/>
    <w:rsid w:val="005C1CF8"/>
    <w:rsid w:val="005C1E5D"/>
    <w:rsid w:val="005C1FE8"/>
    <w:rsid w:val="005C297D"/>
    <w:rsid w:val="005C2CF1"/>
    <w:rsid w:val="005C3E7C"/>
    <w:rsid w:val="005C469B"/>
    <w:rsid w:val="005C470C"/>
    <w:rsid w:val="005C4C21"/>
    <w:rsid w:val="005C4FD7"/>
    <w:rsid w:val="005C5020"/>
    <w:rsid w:val="005C522A"/>
    <w:rsid w:val="005C5455"/>
    <w:rsid w:val="005C5DBF"/>
    <w:rsid w:val="005C6451"/>
    <w:rsid w:val="005C6535"/>
    <w:rsid w:val="005C6B5A"/>
    <w:rsid w:val="005C730E"/>
    <w:rsid w:val="005C7B56"/>
    <w:rsid w:val="005D05AD"/>
    <w:rsid w:val="005D063E"/>
    <w:rsid w:val="005D1526"/>
    <w:rsid w:val="005D1565"/>
    <w:rsid w:val="005D19F8"/>
    <w:rsid w:val="005D1C8F"/>
    <w:rsid w:val="005D1F53"/>
    <w:rsid w:val="005D2466"/>
    <w:rsid w:val="005D27F5"/>
    <w:rsid w:val="005D2F24"/>
    <w:rsid w:val="005D4089"/>
    <w:rsid w:val="005D46CF"/>
    <w:rsid w:val="005D4847"/>
    <w:rsid w:val="005D48AD"/>
    <w:rsid w:val="005D4AC4"/>
    <w:rsid w:val="005D4DB4"/>
    <w:rsid w:val="005D5305"/>
    <w:rsid w:val="005D54BC"/>
    <w:rsid w:val="005D5888"/>
    <w:rsid w:val="005D5D5B"/>
    <w:rsid w:val="005D68E3"/>
    <w:rsid w:val="005D7454"/>
    <w:rsid w:val="005D7645"/>
    <w:rsid w:val="005D7CAB"/>
    <w:rsid w:val="005D7D59"/>
    <w:rsid w:val="005E0583"/>
    <w:rsid w:val="005E05A0"/>
    <w:rsid w:val="005E0744"/>
    <w:rsid w:val="005E0823"/>
    <w:rsid w:val="005E08E0"/>
    <w:rsid w:val="005E19B5"/>
    <w:rsid w:val="005E1B33"/>
    <w:rsid w:val="005E1CF0"/>
    <w:rsid w:val="005E1D83"/>
    <w:rsid w:val="005E208F"/>
    <w:rsid w:val="005E2F6B"/>
    <w:rsid w:val="005E3017"/>
    <w:rsid w:val="005E3146"/>
    <w:rsid w:val="005E360C"/>
    <w:rsid w:val="005E4010"/>
    <w:rsid w:val="005E4BBA"/>
    <w:rsid w:val="005E50A8"/>
    <w:rsid w:val="005E51FD"/>
    <w:rsid w:val="005E525A"/>
    <w:rsid w:val="005E62E5"/>
    <w:rsid w:val="005E6355"/>
    <w:rsid w:val="005E6BEC"/>
    <w:rsid w:val="005E6CDF"/>
    <w:rsid w:val="005E6F17"/>
    <w:rsid w:val="005E73DE"/>
    <w:rsid w:val="005E769F"/>
    <w:rsid w:val="005E77D5"/>
    <w:rsid w:val="005E7C2D"/>
    <w:rsid w:val="005E7C8E"/>
    <w:rsid w:val="005E7FE1"/>
    <w:rsid w:val="005F00AA"/>
    <w:rsid w:val="005F0692"/>
    <w:rsid w:val="005F079A"/>
    <w:rsid w:val="005F2439"/>
    <w:rsid w:val="005F2929"/>
    <w:rsid w:val="005F3010"/>
    <w:rsid w:val="005F3269"/>
    <w:rsid w:val="005F3499"/>
    <w:rsid w:val="005F4A48"/>
    <w:rsid w:val="005F4E80"/>
    <w:rsid w:val="005F51D6"/>
    <w:rsid w:val="005F54ED"/>
    <w:rsid w:val="005F5B85"/>
    <w:rsid w:val="005F5B94"/>
    <w:rsid w:val="005F5F91"/>
    <w:rsid w:val="005F6004"/>
    <w:rsid w:val="005F6251"/>
    <w:rsid w:val="005F7087"/>
    <w:rsid w:val="005F7094"/>
    <w:rsid w:val="005F7392"/>
    <w:rsid w:val="005F75A8"/>
    <w:rsid w:val="005F7E6D"/>
    <w:rsid w:val="0060052D"/>
    <w:rsid w:val="00600589"/>
    <w:rsid w:val="0060175A"/>
    <w:rsid w:val="0060178D"/>
    <w:rsid w:val="00601E31"/>
    <w:rsid w:val="00601EFA"/>
    <w:rsid w:val="00601FC6"/>
    <w:rsid w:val="00602425"/>
    <w:rsid w:val="00602758"/>
    <w:rsid w:val="00602A4B"/>
    <w:rsid w:val="00602ED0"/>
    <w:rsid w:val="006030D1"/>
    <w:rsid w:val="006032D7"/>
    <w:rsid w:val="006032FB"/>
    <w:rsid w:val="0060379A"/>
    <w:rsid w:val="006040FA"/>
    <w:rsid w:val="006041B2"/>
    <w:rsid w:val="0060429A"/>
    <w:rsid w:val="00604558"/>
    <w:rsid w:val="0060460E"/>
    <w:rsid w:val="00604727"/>
    <w:rsid w:val="00604B9B"/>
    <w:rsid w:val="00604C67"/>
    <w:rsid w:val="00604CBB"/>
    <w:rsid w:val="00604E43"/>
    <w:rsid w:val="006050ED"/>
    <w:rsid w:val="00605523"/>
    <w:rsid w:val="00605BE7"/>
    <w:rsid w:val="00606E4C"/>
    <w:rsid w:val="00606F15"/>
    <w:rsid w:val="006105B0"/>
    <w:rsid w:val="00610EAC"/>
    <w:rsid w:val="0061111B"/>
    <w:rsid w:val="006114A8"/>
    <w:rsid w:val="00611700"/>
    <w:rsid w:val="006118DF"/>
    <w:rsid w:val="00612BA2"/>
    <w:rsid w:val="00612EE9"/>
    <w:rsid w:val="0061336F"/>
    <w:rsid w:val="006133D7"/>
    <w:rsid w:val="006136F6"/>
    <w:rsid w:val="0061391D"/>
    <w:rsid w:val="00613A3E"/>
    <w:rsid w:val="00613DD6"/>
    <w:rsid w:val="00614531"/>
    <w:rsid w:val="006146EC"/>
    <w:rsid w:val="006148CF"/>
    <w:rsid w:val="00614AD9"/>
    <w:rsid w:val="00615065"/>
    <w:rsid w:val="00615093"/>
    <w:rsid w:val="00615406"/>
    <w:rsid w:val="006160C5"/>
    <w:rsid w:val="00616A0F"/>
    <w:rsid w:val="00616CA9"/>
    <w:rsid w:val="00616CC0"/>
    <w:rsid w:val="00616D90"/>
    <w:rsid w:val="006174C6"/>
    <w:rsid w:val="00617AC4"/>
    <w:rsid w:val="006203E7"/>
    <w:rsid w:val="00620E73"/>
    <w:rsid w:val="00621022"/>
    <w:rsid w:val="006211B3"/>
    <w:rsid w:val="00621D4A"/>
    <w:rsid w:val="00621DC2"/>
    <w:rsid w:val="00621EAC"/>
    <w:rsid w:val="0062238F"/>
    <w:rsid w:val="00622432"/>
    <w:rsid w:val="0062274B"/>
    <w:rsid w:val="00622796"/>
    <w:rsid w:val="00622949"/>
    <w:rsid w:val="00622C95"/>
    <w:rsid w:val="0062373A"/>
    <w:rsid w:val="00623853"/>
    <w:rsid w:val="006238AF"/>
    <w:rsid w:val="00623906"/>
    <w:rsid w:val="0062399B"/>
    <w:rsid w:val="00623AE3"/>
    <w:rsid w:val="0062414E"/>
    <w:rsid w:val="00624543"/>
    <w:rsid w:val="006256CC"/>
    <w:rsid w:val="00625E22"/>
    <w:rsid w:val="0062622A"/>
    <w:rsid w:val="006264BA"/>
    <w:rsid w:val="00627467"/>
    <w:rsid w:val="00627585"/>
    <w:rsid w:val="00627608"/>
    <w:rsid w:val="00627DAE"/>
    <w:rsid w:val="00630843"/>
    <w:rsid w:val="006308EE"/>
    <w:rsid w:val="006309FF"/>
    <w:rsid w:val="00630FEB"/>
    <w:rsid w:val="006313E1"/>
    <w:rsid w:val="0063152F"/>
    <w:rsid w:val="00631ADE"/>
    <w:rsid w:val="00631DC5"/>
    <w:rsid w:val="00631EE1"/>
    <w:rsid w:val="006320AF"/>
    <w:rsid w:val="006323B2"/>
    <w:rsid w:val="0063289B"/>
    <w:rsid w:val="00632BE2"/>
    <w:rsid w:val="006330A1"/>
    <w:rsid w:val="0063375C"/>
    <w:rsid w:val="00633C0D"/>
    <w:rsid w:val="00634EF6"/>
    <w:rsid w:val="006355EE"/>
    <w:rsid w:val="00636351"/>
    <w:rsid w:val="006367E0"/>
    <w:rsid w:val="0063690D"/>
    <w:rsid w:val="00636C27"/>
    <w:rsid w:val="00636E57"/>
    <w:rsid w:val="006377C8"/>
    <w:rsid w:val="00640469"/>
    <w:rsid w:val="006404E6"/>
    <w:rsid w:val="00640C97"/>
    <w:rsid w:val="00640E15"/>
    <w:rsid w:val="0064145C"/>
    <w:rsid w:val="00641545"/>
    <w:rsid w:val="00641A15"/>
    <w:rsid w:val="00642089"/>
    <w:rsid w:val="00642396"/>
    <w:rsid w:val="00642858"/>
    <w:rsid w:val="006428D9"/>
    <w:rsid w:val="00642F45"/>
    <w:rsid w:val="00643918"/>
    <w:rsid w:val="00643C1B"/>
    <w:rsid w:val="00643DCD"/>
    <w:rsid w:val="00643E94"/>
    <w:rsid w:val="0064409F"/>
    <w:rsid w:val="006444E5"/>
    <w:rsid w:val="006446A6"/>
    <w:rsid w:val="00644B6D"/>
    <w:rsid w:val="00644D3B"/>
    <w:rsid w:val="00644E35"/>
    <w:rsid w:val="00645549"/>
    <w:rsid w:val="00645FD0"/>
    <w:rsid w:val="00646129"/>
    <w:rsid w:val="00646378"/>
    <w:rsid w:val="00646667"/>
    <w:rsid w:val="006469C3"/>
    <w:rsid w:val="00646BEA"/>
    <w:rsid w:val="0064737F"/>
    <w:rsid w:val="00647663"/>
    <w:rsid w:val="006500E2"/>
    <w:rsid w:val="00650233"/>
    <w:rsid w:val="006507E5"/>
    <w:rsid w:val="00651121"/>
    <w:rsid w:val="0065162D"/>
    <w:rsid w:val="00652106"/>
    <w:rsid w:val="00652F9B"/>
    <w:rsid w:val="0065327E"/>
    <w:rsid w:val="006535F1"/>
    <w:rsid w:val="006538CD"/>
    <w:rsid w:val="00653C00"/>
    <w:rsid w:val="0065465B"/>
    <w:rsid w:val="006549DF"/>
    <w:rsid w:val="00654AFF"/>
    <w:rsid w:val="00654D05"/>
    <w:rsid w:val="00654D8F"/>
    <w:rsid w:val="0065557D"/>
    <w:rsid w:val="006556F7"/>
    <w:rsid w:val="00655EC8"/>
    <w:rsid w:val="006560FD"/>
    <w:rsid w:val="006567B4"/>
    <w:rsid w:val="006567C0"/>
    <w:rsid w:val="00656C9E"/>
    <w:rsid w:val="00656E70"/>
    <w:rsid w:val="00657682"/>
    <w:rsid w:val="00660262"/>
    <w:rsid w:val="0066074F"/>
    <w:rsid w:val="00660D50"/>
    <w:rsid w:val="00661662"/>
    <w:rsid w:val="00661C0F"/>
    <w:rsid w:val="00662000"/>
    <w:rsid w:val="006623AF"/>
    <w:rsid w:val="0066268A"/>
    <w:rsid w:val="006627B4"/>
    <w:rsid w:val="00662867"/>
    <w:rsid w:val="00662984"/>
    <w:rsid w:val="00664894"/>
    <w:rsid w:val="006655AF"/>
    <w:rsid w:val="0066664E"/>
    <w:rsid w:val="00666B82"/>
    <w:rsid w:val="00666CC6"/>
    <w:rsid w:val="0066775A"/>
    <w:rsid w:val="00667AE7"/>
    <w:rsid w:val="00670134"/>
    <w:rsid w:val="0067013E"/>
    <w:rsid w:val="006706C8"/>
    <w:rsid w:val="006716BB"/>
    <w:rsid w:val="006718D1"/>
    <w:rsid w:val="00671B95"/>
    <w:rsid w:val="00671BA3"/>
    <w:rsid w:val="00671CB2"/>
    <w:rsid w:val="006725EE"/>
    <w:rsid w:val="00672840"/>
    <w:rsid w:val="00672CCF"/>
    <w:rsid w:val="0067310D"/>
    <w:rsid w:val="00673434"/>
    <w:rsid w:val="00673892"/>
    <w:rsid w:val="0067395F"/>
    <w:rsid w:val="006739C3"/>
    <w:rsid w:val="00673A59"/>
    <w:rsid w:val="00673EBB"/>
    <w:rsid w:val="00674E11"/>
    <w:rsid w:val="00674FAE"/>
    <w:rsid w:val="00675721"/>
    <w:rsid w:val="00675723"/>
    <w:rsid w:val="00675DE9"/>
    <w:rsid w:val="00676501"/>
    <w:rsid w:val="00677326"/>
    <w:rsid w:val="00677E60"/>
    <w:rsid w:val="006803BF"/>
    <w:rsid w:val="0068069C"/>
    <w:rsid w:val="00681591"/>
    <w:rsid w:val="00681A7C"/>
    <w:rsid w:val="00681B1C"/>
    <w:rsid w:val="00682130"/>
    <w:rsid w:val="0068260F"/>
    <w:rsid w:val="00682EB4"/>
    <w:rsid w:val="00683646"/>
    <w:rsid w:val="00683CBD"/>
    <w:rsid w:val="00684562"/>
    <w:rsid w:val="00684D91"/>
    <w:rsid w:val="00684E3E"/>
    <w:rsid w:val="00684F79"/>
    <w:rsid w:val="006852FF"/>
    <w:rsid w:val="0068569C"/>
    <w:rsid w:val="006859F8"/>
    <w:rsid w:val="00686B9E"/>
    <w:rsid w:val="00687116"/>
    <w:rsid w:val="006902E7"/>
    <w:rsid w:val="00690542"/>
    <w:rsid w:val="00690B65"/>
    <w:rsid w:val="00691679"/>
    <w:rsid w:val="00691CD5"/>
    <w:rsid w:val="0069202B"/>
    <w:rsid w:val="006925DC"/>
    <w:rsid w:val="00692843"/>
    <w:rsid w:val="00692934"/>
    <w:rsid w:val="00692AA0"/>
    <w:rsid w:val="00692BAB"/>
    <w:rsid w:val="00692DE3"/>
    <w:rsid w:val="00693B5E"/>
    <w:rsid w:val="00693B8C"/>
    <w:rsid w:val="00694072"/>
    <w:rsid w:val="00694A1A"/>
    <w:rsid w:val="00694AFB"/>
    <w:rsid w:val="006950A5"/>
    <w:rsid w:val="006979BB"/>
    <w:rsid w:val="00697A0F"/>
    <w:rsid w:val="00697C2D"/>
    <w:rsid w:val="00697F6A"/>
    <w:rsid w:val="006A006D"/>
    <w:rsid w:val="006A0129"/>
    <w:rsid w:val="006A078D"/>
    <w:rsid w:val="006A0C3C"/>
    <w:rsid w:val="006A1532"/>
    <w:rsid w:val="006A1BC7"/>
    <w:rsid w:val="006A20C8"/>
    <w:rsid w:val="006A20EE"/>
    <w:rsid w:val="006A238F"/>
    <w:rsid w:val="006A27D7"/>
    <w:rsid w:val="006A2DD0"/>
    <w:rsid w:val="006A2FC3"/>
    <w:rsid w:val="006A3209"/>
    <w:rsid w:val="006A3352"/>
    <w:rsid w:val="006A35CB"/>
    <w:rsid w:val="006A3B91"/>
    <w:rsid w:val="006A41FB"/>
    <w:rsid w:val="006A48E9"/>
    <w:rsid w:val="006A4A67"/>
    <w:rsid w:val="006A4C17"/>
    <w:rsid w:val="006A4D49"/>
    <w:rsid w:val="006A5406"/>
    <w:rsid w:val="006A572D"/>
    <w:rsid w:val="006A66A3"/>
    <w:rsid w:val="006A691E"/>
    <w:rsid w:val="006A72C4"/>
    <w:rsid w:val="006A74C0"/>
    <w:rsid w:val="006A7EE2"/>
    <w:rsid w:val="006A7FC5"/>
    <w:rsid w:val="006B02F7"/>
    <w:rsid w:val="006B06C1"/>
    <w:rsid w:val="006B1859"/>
    <w:rsid w:val="006B1FF6"/>
    <w:rsid w:val="006B28E3"/>
    <w:rsid w:val="006B2A09"/>
    <w:rsid w:val="006B2F2D"/>
    <w:rsid w:val="006B33BF"/>
    <w:rsid w:val="006B36F0"/>
    <w:rsid w:val="006B3DA8"/>
    <w:rsid w:val="006B4030"/>
    <w:rsid w:val="006B446C"/>
    <w:rsid w:val="006B451B"/>
    <w:rsid w:val="006B4B1C"/>
    <w:rsid w:val="006B4E6F"/>
    <w:rsid w:val="006B598F"/>
    <w:rsid w:val="006B599F"/>
    <w:rsid w:val="006B5C35"/>
    <w:rsid w:val="006B6680"/>
    <w:rsid w:val="006B6780"/>
    <w:rsid w:val="006B6DCC"/>
    <w:rsid w:val="006B6F43"/>
    <w:rsid w:val="006B6F63"/>
    <w:rsid w:val="006B738D"/>
    <w:rsid w:val="006B7EC3"/>
    <w:rsid w:val="006C037A"/>
    <w:rsid w:val="006C03E4"/>
    <w:rsid w:val="006C04EA"/>
    <w:rsid w:val="006C081A"/>
    <w:rsid w:val="006C1647"/>
    <w:rsid w:val="006C1E50"/>
    <w:rsid w:val="006C1E88"/>
    <w:rsid w:val="006C363F"/>
    <w:rsid w:val="006C3910"/>
    <w:rsid w:val="006C3AA3"/>
    <w:rsid w:val="006C3C29"/>
    <w:rsid w:val="006C4253"/>
    <w:rsid w:val="006C42D4"/>
    <w:rsid w:val="006C43CA"/>
    <w:rsid w:val="006C444C"/>
    <w:rsid w:val="006C4F83"/>
    <w:rsid w:val="006C4FC1"/>
    <w:rsid w:val="006C501C"/>
    <w:rsid w:val="006C51FC"/>
    <w:rsid w:val="006C5418"/>
    <w:rsid w:val="006C5F06"/>
    <w:rsid w:val="006C6147"/>
    <w:rsid w:val="006C6BD7"/>
    <w:rsid w:val="006C7009"/>
    <w:rsid w:val="006C7C49"/>
    <w:rsid w:val="006C7CDF"/>
    <w:rsid w:val="006C7D2B"/>
    <w:rsid w:val="006D008F"/>
    <w:rsid w:val="006D0499"/>
    <w:rsid w:val="006D04B0"/>
    <w:rsid w:val="006D05AD"/>
    <w:rsid w:val="006D062F"/>
    <w:rsid w:val="006D0D96"/>
    <w:rsid w:val="006D0ECC"/>
    <w:rsid w:val="006D1188"/>
    <w:rsid w:val="006D14E9"/>
    <w:rsid w:val="006D203B"/>
    <w:rsid w:val="006D29DC"/>
    <w:rsid w:val="006D2AEF"/>
    <w:rsid w:val="006D2BCD"/>
    <w:rsid w:val="006D2C2B"/>
    <w:rsid w:val="006D317B"/>
    <w:rsid w:val="006D32FE"/>
    <w:rsid w:val="006D331A"/>
    <w:rsid w:val="006D3591"/>
    <w:rsid w:val="006D3A29"/>
    <w:rsid w:val="006D4015"/>
    <w:rsid w:val="006D45EE"/>
    <w:rsid w:val="006D47B9"/>
    <w:rsid w:val="006D4879"/>
    <w:rsid w:val="006D4BEF"/>
    <w:rsid w:val="006D5028"/>
    <w:rsid w:val="006D578B"/>
    <w:rsid w:val="006D5FF3"/>
    <w:rsid w:val="006D6129"/>
    <w:rsid w:val="006D664A"/>
    <w:rsid w:val="006D6933"/>
    <w:rsid w:val="006D6B77"/>
    <w:rsid w:val="006D7474"/>
    <w:rsid w:val="006D76F8"/>
    <w:rsid w:val="006D7DD2"/>
    <w:rsid w:val="006D7F7A"/>
    <w:rsid w:val="006E0585"/>
    <w:rsid w:val="006E06EB"/>
    <w:rsid w:val="006E0931"/>
    <w:rsid w:val="006E0D65"/>
    <w:rsid w:val="006E0FBC"/>
    <w:rsid w:val="006E1029"/>
    <w:rsid w:val="006E128E"/>
    <w:rsid w:val="006E1A01"/>
    <w:rsid w:val="006E1E1D"/>
    <w:rsid w:val="006E1ED0"/>
    <w:rsid w:val="006E2159"/>
    <w:rsid w:val="006E23FD"/>
    <w:rsid w:val="006E2DB3"/>
    <w:rsid w:val="006E3E63"/>
    <w:rsid w:val="006E419F"/>
    <w:rsid w:val="006E4314"/>
    <w:rsid w:val="006E4C62"/>
    <w:rsid w:val="006E4C8D"/>
    <w:rsid w:val="006E4E74"/>
    <w:rsid w:val="006E5E7A"/>
    <w:rsid w:val="006E6976"/>
    <w:rsid w:val="006E6DBC"/>
    <w:rsid w:val="006E6FD1"/>
    <w:rsid w:val="006E742E"/>
    <w:rsid w:val="006E7ADD"/>
    <w:rsid w:val="006F01E9"/>
    <w:rsid w:val="006F04EC"/>
    <w:rsid w:val="006F05A8"/>
    <w:rsid w:val="006F1855"/>
    <w:rsid w:val="006F1B26"/>
    <w:rsid w:val="006F1E99"/>
    <w:rsid w:val="006F2A1D"/>
    <w:rsid w:val="006F32CD"/>
    <w:rsid w:val="006F365D"/>
    <w:rsid w:val="006F4995"/>
    <w:rsid w:val="006F49C1"/>
    <w:rsid w:val="006F4DF1"/>
    <w:rsid w:val="006F4ECA"/>
    <w:rsid w:val="006F5D5D"/>
    <w:rsid w:val="006F6932"/>
    <w:rsid w:val="006F6984"/>
    <w:rsid w:val="006F6BCD"/>
    <w:rsid w:val="006F6E05"/>
    <w:rsid w:val="006F7A00"/>
    <w:rsid w:val="0070002C"/>
    <w:rsid w:val="0070003C"/>
    <w:rsid w:val="0070008B"/>
    <w:rsid w:val="00700C32"/>
    <w:rsid w:val="00700E60"/>
    <w:rsid w:val="0070151A"/>
    <w:rsid w:val="007018CD"/>
    <w:rsid w:val="00701942"/>
    <w:rsid w:val="00701BB1"/>
    <w:rsid w:val="0070272A"/>
    <w:rsid w:val="00702BA9"/>
    <w:rsid w:val="00702DEF"/>
    <w:rsid w:val="00703246"/>
    <w:rsid w:val="007038C5"/>
    <w:rsid w:val="007047BA"/>
    <w:rsid w:val="00704A9A"/>
    <w:rsid w:val="00704E2E"/>
    <w:rsid w:val="00704EB5"/>
    <w:rsid w:val="007051AC"/>
    <w:rsid w:val="00705678"/>
    <w:rsid w:val="007058AA"/>
    <w:rsid w:val="00705954"/>
    <w:rsid w:val="0070656D"/>
    <w:rsid w:val="00706610"/>
    <w:rsid w:val="00706861"/>
    <w:rsid w:val="007068F2"/>
    <w:rsid w:val="007069E1"/>
    <w:rsid w:val="00707056"/>
    <w:rsid w:val="007076FB"/>
    <w:rsid w:val="00707C51"/>
    <w:rsid w:val="00710057"/>
    <w:rsid w:val="00710200"/>
    <w:rsid w:val="007103E9"/>
    <w:rsid w:val="007104BF"/>
    <w:rsid w:val="00710670"/>
    <w:rsid w:val="00710D1F"/>
    <w:rsid w:val="007114B3"/>
    <w:rsid w:val="00711911"/>
    <w:rsid w:val="00711E2C"/>
    <w:rsid w:val="00712633"/>
    <w:rsid w:val="007128DE"/>
    <w:rsid w:val="00712F8C"/>
    <w:rsid w:val="007136B6"/>
    <w:rsid w:val="00714304"/>
    <w:rsid w:val="0071445E"/>
    <w:rsid w:val="007148E0"/>
    <w:rsid w:val="00714FA8"/>
    <w:rsid w:val="00714FBC"/>
    <w:rsid w:val="00715246"/>
    <w:rsid w:val="00716281"/>
    <w:rsid w:val="0071669A"/>
    <w:rsid w:val="007168A2"/>
    <w:rsid w:val="007169EF"/>
    <w:rsid w:val="00716BE3"/>
    <w:rsid w:val="00716D81"/>
    <w:rsid w:val="007170C7"/>
    <w:rsid w:val="00717F21"/>
    <w:rsid w:val="00717FE1"/>
    <w:rsid w:val="00720107"/>
    <w:rsid w:val="007202B2"/>
    <w:rsid w:val="0072048F"/>
    <w:rsid w:val="0072070A"/>
    <w:rsid w:val="0072091C"/>
    <w:rsid w:val="00720C10"/>
    <w:rsid w:val="007212CE"/>
    <w:rsid w:val="007219C5"/>
    <w:rsid w:val="007221F1"/>
    <w:rsid w:val="0072243D"/>
    <w:rsid w:val="00722E6A"/>
    <w:rsid w:val="00723A97"/>
    <w:rsid w:val="00724162"/>
    <w:rsid w:val="007242C4"/>
    <w:rsid w:val="007245ED"/>
    <w:rsid w:val="00724A31"/>
    <w:rsid w:val="00724C6D"/>
    <w:rsid w:val="00724F15"/>
    <w:rsid w:val="00724FE0"/>
    <w:rsid w:val="007250CB"/>
    <w:rsid w:val="007255D7"/>
    <w:rsid w:val="0072561F"/>
    <w:rsid w:val="00725729"/>
    <w:rsid w:val="00725CC7"/>
    <w:rsid w:val="00725F83"/>
    <w:rsid w:val="00726148"/>
    <w:rsid w:val="007265F6"/>
    <w:rsid w:val="007301C2"/>
    <w:rsid w:val="00730268"/>
    <w:rsid w:val="0073065D"/>
    <w:rsid w:val="00731049"/>
    <w:rsid w:val="007313B9"/>
    <w:rsid w:val="0073190D"/>
    <w:rsid w:val="00731BFD"/>
    <w:rsid w:val="00732131"/>
    <w:rsid w:val="007323A1"/>
    <w:rsid w:val="00733342"/>
    <w:rsid w:val="007334F0"/>
    <w:rsid w:val="0073371B"/>
    <w:rsid w:val="007339A2"/>
    <w:rsid w:val="00733EC0"/>
    <w:rsid w:val="00733FFC"/>
    <w:rsid w:val="0073437F"/>
    <w:rsid w:val="00734AE0"/>
    <w:rsid w:val="007352EB"/>
    <w:rsid w:val="00735527"/>
    <w:rsid w:val="00735549"/>
    <w:rsid w:val="0073581B"/>
    <w:rsid w:val="00735C75"/>
    <w:rsid w:val="00736247"/>
    <w:rsid w:val="007366C8"/>
    <w:rsid w:val="0073687B"/>
    <w:rsid w:val="00736FE4"/>
    <w:rsid w:val="00737E66"/>
    <w:rsid w:val="00737F97"/>
    <w:rsid w:val="00740134"/>
    <w:rsid w:val="00740331"/>
    <w:rsid w:val="007406F3"/>
    <w:rsid w:val="00740D12"/>
    <w:rsid w:val="00741294"/>
    <w:rsid w:val="007414FB"/>
    <w:rsid w:val="00741752"/>
    <w:rsid w:val="00741C1C"/>
    <w:rsid w:val="007420EB"/>
    <w:rsid w:val="007427A9"/>
    <w:rsid w:val="00742B13"/>
    <w:rsid w:val="00742CAD"/>
    <w:rsid w:val="00742EE7"/>
    <w:rsid w:val="007431CC"/>
    <w:rsid w:val="007431E8"/>
    <w:rsid w:val="0074328D"/>
    <w:rsid w:val="00743438"/>
    <w:rsid w:val="00743514"/>
    <w:rsid w:val="00743A5A"/>
    <w:rsid w:val="00743FA1"/>
    <w:rsid w:val="0074410C"/>
    <w:rsid w:val="007447E4"/>
    <w:rsid w:val="0074485A"/>
    <w:rsid w:val="00744895"/>
    <w:rsid w:val="00744BFA"/>
    <w:rsid w:val="00744C5C"/>
    <w:rsid w:val="00744FCD"/>
    <w:rsid w:val="00745713"/>
    <w:rsid w:val="00745813"/>
    <w:rsid w:val="00746343"/>
    <w:rsid w:val="007468BC"/>
    <w:rsid w:val="00746A53"/>
    <w:rsid w:val="00746A8C"/>
    <w:rsid w:val="00746D4C"/>
    <w:rsid w:val="00746D8C"/>
    <w:rsid w:val="007471AF"/>
    <w:rsid w:val="0074727F"/>
    <w:rsid w:val="007476CA"/>
    <w:rsid w:val="0074E383"/>
    <w:rsid w:val="0075051B"/>
    <w:rsid w:val="00750B24"/>
    <w:rsid w:val="00751003"/>
    <w:rsid w:val="007521AB"/>
    <w:rsid w:val="00752372"/>
    <w:rsid w:val="007529EA"/>
    <w:rsid w:val="00752E40"/>
    <w:rsid w:val="00752FFA"/>
    <w:rsid w:val="007534F6"/>
    <w:rsid w:val="00753512"/>
    <w:rsid w:val="007535BF"/>
    <w:rsid w:val="0075370E"/>
    <w:rsid w:val="00753B0C"/>
    <w:rsid w:val="0075432E"/>
    <w:rsid w:val="00754333"/>
    <w:rsid w:val="0075441B"/>
    <w:rsid w:val="00754B1E"/>
    <w:rsid w:val="00754B41"/>
    <w:rsid w:val="00754DC3"/>
    <w:rsid w:val="007555CB"/>
    <w:rsid w:val="00755893"/>
    <w:rsid w:val="00755BB2"/>
    <w:rsid w:val="007560E1"/>
    <w:rsid w:val="00756155"/>
    <w:rsid w:val="0075641A"/>
    <w:rsid w:val="00756442"/>
    <w:rsid w:val="007568B4"/>
    <w:rsid w:val="007569B2"/>
    <w:rsid w:val="007571A1"/>
    <w:rsid w:val="007576C9"/>
    <w:rsid w:val="00758D0B"/>
    <w:rsid w:val="00760E53"/>
    <w:rsid w:val="00762300"/>
    <w:rsid w:val="00762381"/>
    <w:rsid w:val="00762B3F"/>
    <w:rsid w:val="0076365A"/>
    <w:rsid w:val="00763D45"/>
    <w:rsid w:val="00763EEA"/>
    <w:rsid w:val="0076494D"/>
    <w:rsid w:val="00764C89"/>
    <w:rsid w:val="00764CAE"/>
    <w:rsid w:val="007653E1"/>
    <w:rsid w:val="00766489"/>
    <w:rsid w:val="00767898"/>
    <w:rsid w:val="00767B1F"/>
    <w:rsid w:val="0077139D"/>
    <w:rsid w:val="0077186B"/>
    <w:rsid w:val="007718F9"/>
    <w:rsid w:val="00771930"/>
    <w:rsid w:val="00771CC2"/>
    <w:rsid w:val="00772072"/>
    <w:rsid w:val="00772893"/>
    <w:rsid w:val="00772933"/>
    <w:rsid w:val="007739AA"/>
    <w:rsid w:val="00773BB3"/>
    <w:rsid w:val="007742D8"/>
    <w:rsid w:val="00774B70"/>
    <w:rsid w:val="00774CCB"/>
    <w:rsid w:val="00774CF6"/>
    <w:rsid w:val="00774D3E"/>
    <w:rsid w:val="007758D4"/>
    <w:rsid w:val="00775BBE"/>
    <w:rsid w:val="00775CC7"/>
    <w:rsid w:val="00775E9F"/>
    <w:rsid w:val="00775F05"/>
    <w:rsid w:val="007774B6"/>
    <w:rsid w:val="0077771E"/>
    <w:rsid w:val="00777DFC"/>
    <w:rsid w:val="00777F31"/>
    <w:rsid w:val="00780DBC"/>
    <w:rsid w:val="00780E8A"/>
    <w:rsid w:val="007819E2"/>
    <w:rsid w:val="007827AF"/>
    <w:rsid w:val="00783361"/>
    <w:rsid w:val="00783DED"/>
    <w:rsid w:val="00784B02"/>
    <w:rsid w:val="00784D46"/>
    <w:rsid w:val="00785114"/>
    <w:rsid w:val="00785CFA"/>
    <w:rsid w:val="00785D9E"/>
    <w:rsid w:val="00785EB5"/>
    <w:rsid w:val="0078684B"/>
    <w:rsid w:val="0078743D"/>
    <w:rsid w:val="00787981"/>
    <w:rsid w:val="00787FAB"/>
    <w:rsid w:val="00790978"/>
    <w:rsid w:val="007911EF"/>
    <w:rsid w:val="00792C8B"/>
    <w:rsid w:val="00792EC9"/>
    <w:rsid w:val="00792FEE"/>
    <w:rsid w:val="0079312F"/>
    <w:rsid w:val="00793188"/>
    <w:rsid w:val="007933FA"/>
    <w:rsid w:val="0079363A"/>
    <w:rsid w:val="0079374E"/>
    <w:rsid w:val="00794052"/>
    <w:rsid w:val="00794675"/>
    <w:rsid w:val="00794A14"/>
    <w:rsid w:val="00794B55"/>
    <w:rsid w:val="00794D34"/>
    <w:rsid w:val="007953A5"/>
    <w:rsid w:val="00795594"/>
    <w:rsid w:val="00795871"/>
    <w:rsid w:val="00795FF5"/>
    <w:rsid w:val="00796014"/>
    <w:rsid w:val="00796643"/>
    <w:rsid w:val="007968B8"/>
    <w:rsid w:val="00796F27"/>
    <w:rsid w:val="00797221"/>
    <w:rsid w:val="00797934"/>
    <w:rsid w:val="007A0A4E"/>
    <w:rsid w:val="007A0F51"/>
    <w:rsid w:val="007A12A3"/>
    <w:rsid w:val="007A1B82"/>
    <w:rsid w:val="007A24A4"/>
    <w:rsid w:val="007A3101"/>
    <w:rsid w:val="007A352A"/>
    <w:rsid w:val="007A3636"/>
    <w:rsid w:val="007A3CB7"/>
    <w:rsid w:val="007A3DD9"/>
    <w:rsid w:val="007A44A1"/>
    <w:rsid w:val="007A500B"/>
    <w:rsid w:val="007A510A"/>
    <w:rsid w:val="007A5784"/>
    <w:rsid w:val="007A5F4D"/>
    <w:rsid w:val="007A61D0"/>
    <w:rsid w:val="007A6373"/>
    <w:rsid w:val="007A66F5"/>
    <w:rsid w:val="007A6A8E"/>
    <w:rsid w:val="007A7C9F"/>
    <w:rsid w:val="007B0745"/>
    <w:rsid w:val="007B1EDB"/>
    <w:rsid w:val="007B1F36"/>
    <w:rsid w:val="007B24A0"/>
    <w:rsid w:val="007B44D1"/>
    <w:rsid w:val="007B44E1"/>
    <w:rsid w:val="007B49A0"/>
    <w:rsid w:val="007B4CA3"/>
    <w:rsid w:val="007B4CDD"/>
    <w:rsid w:val="007B4D2E"/>
    <w:rsid w:val="007B5002"/>
    <w:rsid w:val="007B597C"/>
    <w:rsid w:val="007B5B36"/>
    <w:rsid w:val="007B624A"/>
    <w:rsid w:val="007B6920"/>
    <w:rsid w:val="007B6CFB"/>
    <w:rsid w:val="007C00AC"/>
    <w:rsid w:val="007C00FE"/>
    <w:rsid w:val="007C04C2"/>
    <w:rsid w:val="007C0FC6"/>
    <w:rsid w:val="007C12E7"/>
    <w:rsid w:val="007C1330"/>
    <w:rsid w:val="007C261D"/>
    <w:rsid w:val="007C2620"/>
    <w:rsid w:val="007C2A6E"/>
    <w:rsid w:val="007C2E09"/>
    <w:rsid w:val="007C3635"/>
    <w:rsid w:val="007C3721"/>
    <w:rsid w:val="007C3825"/>
    <w:rsid w:val="007C40F7"/>
    <w:rsid w:val="007C54C5"/>
    <w:rsid w:val="007C5891"/>
    <w:rsid w:val="007C5BB2"/>
    <w:rsid w:val="007C5ED7"/>
    <w:rsid w:val="007C651D"/>
    <w:rsid w:val="007C692B"/>
    <w:rsid w:val="007C6D19"/>
    <w:rsid w:val="007C786D"/>
    <w:rsid w:val="007C7A69"/>
    <w:rsid w:val="007D27ED"/>
    <w:rsid w:val="007D3412"/>
    <w:rsid w:val="007D4376"/>
    <w:rsid w:val="007D4CC0"/>
    <w:rsid w:val="007D56D4"/>
    <w:rsid w:val="007D58A0"/>
    <w:rsid w:val="007D5A9F"/>
    <w:rsid w:val="007D5AB1"/>
    <w:rsid w:val="007D5F63"/>
    <w:rsid w:val="007D72C7"/>
    <w:rsid w:val="007D74BE"/>
    <w:rsid w:val="007D7500"/>
    <w:rsid w:val="007D78CD"/>
    <w:rsid w:val="007D7BD6"/>
    <w:rsid w:val="007D7D54"/>
    <w:rsid w:val="007E1890"/>
    <w:rsid w:val="007E1D9B"/>
    <w:rsid w:val="007E1EF3"/>
    <w:rsid w:val="007E1F34"/>
    <w:rsid w:val="007E1FD6"/>
    <w:rsid w:val="007E250B"/>
    <w:rsid w:val="007E2687"/>
    <w:rsid w:val="007E2B17"/>
    <w:rsid w:val="007E2CBE"/>
    <w:rsid w:val="007E2F25"/>
    <w:rsid w:val="007E3973"/>
    <w:rsid w:val="007E3C29"/>
    <w:rsid w:val="007E3F9E"/>
    <w:rsid w:val="007E407A"/>
    <w:rsid w:val="007E45DF"/>
    <w:rsid w:val="007E4C45"/>
    <w:rsid w:val="007E5B05"/>
    <w:rsid w:val="007E6172"/>
    <w:rsid w:val="007E667D"/>
    <w:rsid w:val="007E73BE"/>
    <w:rsid w:val="007E75D4"/>
    <w:rsid w:val="007E76DA"/>
    <w:rsid w:val="007E78C4"/>
    <w:rsid w:val="007E7B0D"/>
    <w:rsid w:val="007E7B9B"/>
    <w:rsid w:val="007F0AAA"/>
    <w:rsid w:val="007F0DF9"/>
    <w:rsid w:val="007F12FA"/>
    <w:rsid w:val="007F18C1"/>
    <w:rsid w:val="007F1D91"/>
    <w:rsid w:val="007F262E"/>
    <w:rsid w:val="007F369C"/>
    <w:rsid w:val="007F3918"/>
    <w:rsid w:val="007F4570"/>
    <w:rsid w:val="007F4721"/>
    <w:rsid w:val="007F4C5D"/>
    <w:rsid w:val="007F52E6"/>
    <w:rsid w:val="007F6A02"/>
    <w:rsid w:val="007F6BCA"/>
    <w:rsid w:val="007F7681"/>
    <w:rsid w:val="007F7F62"/>
    <w:rsid w:val="008000C1"/>
    <w:rsid w:val="00800703"/>
    <w:rsid w:val="008014B9"/>
    <w:rsid w:val="008014F8"/>
    <w:rsid w:val="008018E1"/>
    <w:rsid w:val="00801E88"/>
    <w:rsid w:val="00802038"/>
    <w:rsid w:val="00802091"/>
    <w:rsid w:val="00802D26"/>
    <w:rsid w:val="00803504"/>
    <w:rsid w:val="00803649"/>
    <w:rsid w:val="00803677"/>
    <w:rsid w:val="00803A68"/>
    <w:rsid w:val="00803D75"/>
    <w:rsid w:val="00803E94"/>
    <w:rsid w:val="00805541"/>
    <w:rsid w:val="00805A70"/>
    <w:rsid w:val="00805E09"/>
    <w:rsid w:val="00806247"/>
    <w:rsid w:val="0080643F"/>
    <w:rsid w:val="0080655F"/>
    <w:rsid w:val="00806926"/>
    <w:rsid w:val="00807495"/>
    <w:rsid w:val="008075DA"/>
    <w:rsid w:val="00807F19"/>
    <w:rsid w:val="00810749"/>
    <w:rsid w:val="00810FDB"/>
    <w:rsid w:val="008110E9"/>
    <w:rsid w:val="008114E9"/>
    <w:rsid w:val="0081165A"/>
    <w:rsid w:val="00811DD8"/>
    <w:rsid w:val="00811FDD"/>
    <w:rsid w:val="00812076"/>
    <w:rsid w:val="008120F0"/>
    <w:rsid w:val="00812149"/>
    <w:rsid w:val="00812322"/>
    <w:rsid w:val="00812F5A"/>
    <w:rsid w:val="008138FE"/>
    <w:rsid w:val="00813D17"/>
    <w:rsid w:val="00813E5E"/>
    <w:rsid w:val="00814173"/>
    <w:rsid w:val="0081427E"/>
    <w:rsid w:val="008149A1"/>
    <w:rsid w:val="008154A4"/>
    <w:rsid w:val="00815505"/>
    <w:rsid w:val="00815FA7"/>
    <w:rsid w:val="00816AA8"/>
    <w:rsid w:val="00817006"/>
    <w:rsid w:val="0081714C"/>
    <w:rsid w:val="00817E41"/>
    <w:rsid w:val="00817FF4"/>
    <w:rsid w:val="0082030E"/>
    <w:rsid w:val="00820A08"/>
    <w:rsid w:val="0082199A"/>
    <w:rsid w:val="008220F2"/>
    <w:rsid w:val="0082246A"/>
    <w:rsid w:val="008229DE"/>
    <w:rsid w:val="00822E24"/>
    <w:rsid w:val="00823299"/>
    <w:rsid w:val="008234E4"/>
    <w:rsid w:val="0082374D"/>
    <w:rsid w:val="008250CF"/>
    <w:rsid w:val="0082575E"/>
    <w:rsid w:val="00825C54"/>
    <w:rsid w:val="00825CCB"/>
    <w:rsid w:val="00826163"/>
    <w:rsid w:val="008262A4"/>
    <w:rsid w:val="008265E5"/>
    <w:rsid w:val="00826997"/>
    <w:rsid w:val="008272A6"/>
    <w:rsid w:val="00827399"/>
    <w:rsid w:val="0082791E"/>
    <w:rsid w:val="00827C85"/>
    <w:rsid w:val="00830349"/>
    <w:rsid w:val="00830704"/>
    <w:rsid w:val="0083076D"/>
    <w:rsid w:val="00830CE6"/>
    <w:rsid w:val="008313AA"/>
    <w:rsid w:val="008320FF"/>
    <w:rsid w:val="00833092"/>
    <w:rsid w:val="0083314C"/>
    <w:rsid w:val="00833766"/>
    <w:rsid w:val="0083390B"/>
    <w:rsid w:val="00833941"/>
    <w:rsid w:val="00834693"/>
    <w:rsid w:val="00834D41"/>
    <w:rsid w:val="00834FBD"/>
    <w:rsid w:val="008351E3"/>
    <w:rsid w:val="00835739"/>
    <w:rsid w:val="0083581B"/>
    <w:rsid w:val="00835945"/>
    <w:rsid w:val="00835F22"/>
    <w:rsid w:val="008360C5"/>
    <w:rsid w:val="008364CD"/>
    <w:rsid w:val="008364E1"/>
    <w:rsid w:val="008365A1"/>
    <w:rsid w:val="00836939"/>
    <w:rsid w:val="00836986"/>
    <w:rsid w:val="00836995"/>
    <w:rsid w:val="0083700F"/>
    <w:rsid w:val="00837A7A"/>
    <w:rsid w:val="00837DD8"/>
    <w:rsid w:val="00840454"/>
    <w:rsid w:val="00840618"/>
    <w:rsid w:val="00840943"/>
    <w:rsid w:val="008409D4"/>
    <w:rsid w:val="00840B4C"/>
    <w:rsid w:val="00840C86"/>
    <w:rsid w:val="00841098"/>
    <w:rsid w:val="00841176"/>
    <w:rsid w:val="008414D7"/>
    <w:rsid w:val="0084156F"/>
    <w:rsid w:val="008415AD"/>
    <w:rsid w:val="008417C1"/>
    <w:rsid w:val="00841EE7"/>
    <w:rsid w:val="008428DA"/>
    <w:rsid w:val="00842F44"/>
    <w:rsid w:val="00842F70"/>
    <w:rsid w:val="00843187"/>
    <w:rsid w:val="00843220"/>
    <w:rsid w:val="00843511"/>
    <w:rsid w:val="0084375B"/>
    <w:rsid w:val="008437BB"/>
    <w:rsid w:val="0084386A"/>
    <w:rsid w:val="00843EAB"/>
    <w:rsid w:val="008444FF"/>
    <w:rsid w:val="00844B5F"/>
    <w:rsid w:val="00844D64"/>
    <w:rsid w:val="00845276"/>
    <w:rsid w:val="00845649"/>
    <w:rsid w:val="00845717"/>
    <w:rsid w:val="008458A5"/>
    <w:rsid w:val="00845D3B"/>
    <w:rsid w:val="00845DE9"/>
    <w:rsid w:val="008463B9"/>
    <w:rsid w:val="0084677A"/>
    <w:rsid w:val="00846FC1"/>
    <w:rsid w:val="00846FF8"/>
    <w:rsid w:val="008471BA"/>
    <w:rsid w:val="00847C0B"/>
    <w:rsid w:val="00847C0E"/>
    <w:rsid w:val="0085046C"/>
    <w:rsid w:val="00850D06"/>
    <w:rsid w:val="008512F4"/>
    <w:rsid w:val="008515FA"/>
    <w:rsid w:val="00851826"/>
    <w:rsid w:val="00851D67"/>
    <w:rsid w:val="008520E7"/>
    <w:rsid w:val="00852144"/>
    <w:rsid w:val="008521D4"/>
    <w:rsid w:val="00852502"/>
    <w:rsid w:val="00852568"/>
    <w:rsid w:val="00852C8D"/>
    <w:rsid w:val="00852EA6"/>
    <w:rsid w:val="00852EAD"/>
    <w:rsid w:val="00853AEF"/>
    <w:rsid w:val="00853C59"/>
    <w:rsid w:val="00853F15"/>
    <w:rsid w:val="00854142"/>
    <w:rsid w:val="00854559"/>
    <w:rsid w:val="00854C03"/>
    <w:rsid w:val="00854E98"/>
    <w:rsid w:val="00854F63"/>
    <w:rsid w:val="008557B6"/>
    <w:rsid w:val="0085614B"/>
    <w:rsid w:val="0085691E"/>
    <w:rsid w:val="00856AB9"/>
    <w:rsid w:val="00856E93"/>
    <w:rsid w:val="00857503"/>
    <w:rsid w:val="008575E0"/>
    <w:rsid w:val="00857F55"/>
    <w:rsid w:val="008601DF"/>
    <w:rsid w:val="0086030C"/>
    <w:rsid w:val="00860B1C"/>
    <w:rsid w:val="00861A19"/>
    <w:rsid w:val="00861BF8"/>
    <w:rsid w:val="00861DFE"/>
    <w:rsid w:val="00862A11"/>
    <w:rsid w:val="00862A9D"/>
    <w:rsid w:val="00863374"/>
    <w:rsid w:val="008636A3"/>
    <w:rsid w:val="00863874"/>
    <w:rsid w:val="0086389E"/>
    <w:rsid w:val="00863D0C"/>
    <w:rsid w:val="008640E5"/>
    <w:rsid w:val="00864AFF"/>
    <w:rsid w:val="00865925"/>
    <w:rsid w:val="00866C8B"/>
    <w:rsid w:val="00866DE1"/>
    <w:rsid w:val="00867B81"/>
    <w:rsid w:val="00867F21"/>
    <w:rsid w:val="00870672"/>
    <w:rsid w:val="008706F8"/>
    <w:rsid w:val="00870806"/>
    <w:rsid w:val="00870A0E"/>
    <w:rsid w:val="00870F22"/>
    <w:rsid w:val="00870FAA"/>
    <w:rsid w:val="00871168"/>
    <w:rsid w:val="0087285D"/>
    <w:rsid w:val="00872F80"/>
    <w:rsid w:val="0087316E"/>
    <w:rsid w:val="008736BE"/>
    <w:rsid w:val="00873A26"/>
    <w:rsid w:val="00873B65"/>
    <w:rsid w:val="00873C5C"/>
    <w:rsid w:val="00873DED"/>
    <w:rsid w:val="00874404"/>
    <w:rsid w:val="00874BF7"/>
    <w:rsid w:val="00874DF8"/>
    <w:rsid w:val="00875A5A"/>
    <w:rsid w:val="00876369"/>
    <w:rsid w:val="00876E62"/>
    <w:rsid w:val="00877927"/>
    <w:rsid w:val="00877B68"/>
    <w:rsid w:val="00877D83"/>
    <w:rsid w:val="00877DE1"/>
    <w:rsid w:val="00880418"/>
    <w:rsid w:val="00880AA2"/>
    <w:rsid w:val="00880CE9"/>
    <w:rsid w:val="00881003"/>
    <w:rsid w:val="0088104B"/>
    <w:rsid w:val="0088122F"/>
    <w:rsid w:val="00881234"/>
    <w:rsid w:val="00881374"/>
    <w:rsid w:val="0088170F"/>
    <w:rsid w:val="008817C0"/>
    <w:rsid w:val="00881990"/>
    <w:rsid w:val="00881A55"/>
    <w:rsid w:val="00881B0D"/>
    <w:rsid w:val="00882252"/>
    <w:rsid w:val="00882DAE"/>
    <w:rsid w:val="00882EC6"/>
    <w:rsid w:val="00883007"/>
    <w:rsid w:val="00883024"/>
    <w:rsid w:val="0088307F"/>
    <w:rsid w:val="008830FB"/>
    <w:rsid w:val="00883225"/>
    <w:rsid w:val="008832E5"/>
    <w:rsid w:val="0088372E"/>
    <w:rsid w:val="00883A69"/>
    <w:rsid w:val="00883BE3"/>
    <w:rsid w:val="00883DE4"/>
    <w:rsid w:val="00884484"/>
    <w:rsid w:val="00884549"/>
    <w:rsid w:val="00885C20"/>
    <w:rsid w:val="00885DC1"/>
    <w:rsid w:val="0088629C"/>
    <w:rsid w:val="00886533"/>
    <w:rsid w:val="00886637"/>
    <w:rsid w:val="00886C12"/>
    <w:rsid w:val="00887344"/>
    <w:rsid w:val="008877C3"/>
    <w:rsid w:val="00887F88"/>
    <w:rsid w:val="00890024"/>
    <w:rsid w:val="008904D4"/>
    <w:rsid w:val="00890BDC"/>
    <w:rsid w:val="00890DED"/>
    <w:rsid w:val="00890E1F"/>
    <w:rsid w:val="00890F62"/>
    <w:rsid w:val="00891004"/>
    <w:rsid w:val="0089134B"/>
    <w:rsid w:val="0089191A"/>
    <w:rsid w:val="00891A2E"/>
    <w:rsid w:val="00891EE4"/>
    <w:rsid w:val="00892362"/>
    <w:rsid w:val="00892369"/>
    <w:rsid w:val="00892C57"/>
    <w:rsid w:val="00892C98"/>
    <w:rsid w:val="00892F01"/>
    <w:rsid w:val="008936E8"/>
    <w:rsid w:val="0089371C"/>
    <w:rsid w:val="00893BFA"/>
    <w:rsid w:val="00893F61"/>
    <w:rsid w:val="00893FBE"/>
    <w:rsid w:val="0089450C"/>
    <w:rsid w:val="008950F3"/>
    <w:rsid w:val="0089514E"/>
    <w:rsid w:val="00896000"/>
    <w:rsid w:val="00896305"/>
    <w:rsid w:val="008963F8"/>
    <w:rsid w:val="00897962"/>
    <w:rsid w:val="008A00C7"/>
    <w:rsid w:val="008A0D84"/>
    <w:rsid w:val="008A18BB"/>
    <w:rsid w:val="008A2049"/>
    <w:rsid w:val="008A2129"/>
    <w:rsid w:val="008A25BE"/>
    <w:rsid w:val="008A26C2"/>
    <w:rsid w:val="008A2BA6"/>
    <w:rsid w:val="008A3173"/>
    <w:rsid w:val="008A31B0"/>
    <w:rsid w:val="008A31FD"/>
    <w:rsid w:val="008A34A4"/>
    <w:rsid w:val="008A3EB8"/>
    <w:rsid w:val="008A44E4"/>
    <w:rsid w:val="008A46CD"/>
    <w:rsid w:val="008A5462"/>
    <w:rsid w:val="008A57F0"/>
    <w:rsid w:val="008A59A4"/>
    <w:rsid w:val="008A5C1B"/>
    <w:rsid w:val="008A71E9"/>
    <w:rsid w:val="008A721A"/>
    <w:rsid w:val="008A74FE"/>
    <w:rsid w:val="008A7852"/>
    <w:rsid w:val="008A78A6"/>
    <w:rsid w:val="008A7A72"/>
    <w:rsid w:val="008A7B54"/>
    <w:rsid w:val="008B0048"/>
    <w:rsid w:val="008B01DA"/>
    <w:rsid w:val="008B0380"/>
    <w:rsid w:val="008B08CB"/>
    <w:rsid w:val="008B0D6A"/>
    <w:rsid w:val="008B119C"/>
    <w:rsid w:val="008B1211"/>
    <w:rsid w:val="008B140A"/>
    <w:rsid w:val="008B1BA6"/>
    <w:rsid w:val="008B2496"/>
    <w:rsid w:val="008B285E"/>
    <w:rsid w:val="008B2D3F"/>
    <w:rsid w:val="008B344E"/>
    <w:rsid w:val="008B3C59"/>
    <w:rsid w:val="008B43BE"/>
    <w:rsid w:val="008B445E"/>
    <w:rsid w:val="008B462B"/>
    <w:rsid w:val="008B4721"/>
    <w:rsid w:val="008B4978"/>
    <w:rsid w:val="008B4A6A"/>
    <w:rsid w:val="008B4BDC"/>
    <w:rsid w:val="008B58AB"/>
    <w:rsid w:val="008B67E7"/>
    <w:rsid w:val="008B6D15"/>
    <w:rsid w:val="008B745B"/>
    <w:rsid w:val="008C047D"/>
    <w:rsid w:val="008C0888"/>
    <w:rsid w:val="008C0A22"/>
    <w:rsid w:val="008C1228"/>
    <w:rsid w:val="008C1E22"/>
    <w:rsid w:val="008C207F"/>
    <w:rsid w:val="008C21BD"/>
    <w:rsid w:val="008C2312"/>
    <w:rsid w:val="008C266E"/>
    <w:rsid w:val="008C28A2"/>
    <w:rsid w:val="008C2EA9"/>
    <w:rsid w:val="008C35A7"/>
    <w:rsid w:val="008C35DD"/>
    <w:rsid w:val="008C4347"/>
    <w:rsid w:val="008C45CC"/>
    <w:rsid w:val="008C4AFF"/>
    <w:rsid w:val="008C4F81"/>
    <w:rsid w:val="008C587C"/>
    <w:rsid w:val="008C616B"/>
    <w:rsid w:val="008C631B"/>
    <w:rsid w:val="008C6C87"/>
    <w:rsid w:val="008C6DAE"/>
    <w:rsid w:val="008C6DF8"/>
    <w:rsid w:val="008C7183"/>
    <w:rsid w:val="008C7245"/>
    <w:rsid w:val="008C7E27"/>
    <w:rsid w:val="008D07DD"/>
    <w:rsid w:val="008D09C0"/>
    <w:rsid w:val="008D0E81"/>
    <w:rsid w:val="008D12BF"/>
    <w:rsid w:val="008D14AB"/>
    <w:rsid w:val="008D14D7"/>
    <w:rsid w:val="008D176D"/>
    <w:rsid w:val="008D26C3"/>
    <w:rsid w:val="008D26E5"/>
    <w:rsid w:val="008D273A"/>
    <w:rsid w:val="008D2FB0"/>
    <w:rsid w:val="008D3AF4"/>
    <w:rsid w:val="008D3FAD"/>
    <w:rsid w:val="008D4168"/>
    <w:rsid w:val="008D437A"/>
    <w:rsid w:val="008D4DCE"/>
    <w:rsid w:val="008D4DD4"/>
    <w:rsid w:val="008D5C77"/>
    <w:rsid w:val="008D5DFB"/>
    <w:rsid w:val="008D604F"/>
    <w:rsid w:val="008D632D"/>
    <w:rsid w:val="008D649F"/>
    <w:rsid w:val="008D675C"/>
    <w:rsid w:val="008D79D7"/>
    <w:rsid w:val="008D7C80"/>
    <w:rsid w:val="008D7E9C"/>
    <w:rsid w:val="008E0393"/>
    <w:rsid w:val="008E0779"/>
    <w:rsid w:val="008E0840"/>
    <w:rsid w:val="008E0A2B"/>
    <w:rsid w:val="008E0BB7"/>
    <w:rsid w:val="008E1147"/>
    <w:rsid w:val="008E134F"/>
    <w:rsid w:val="008E1B0F"/>
    <w:rsid w:val="008E2754"/>
    <w:rsid w:val="008E2A7E"/>
    <w:rsid w:val="008E2E17"/>
    <w:rsid w:val="008E3E9E"/>
    <w:rsid w:val="008E4338"/>
    <w:rsid w:val="008E4432"/>
    <w:rsid w:val="008E4928"/>
    <w:rsid w:val="008E4B86"/>
    <w:rsid w:val="008E4C99"/>
    <w:rsid w:val="008E4CD0"/>
    <w:rsid w:val="008E51B0"/>
    <w:rsid w:val="008E5221"/>
    <w:rsid w:val="008E5B06"/>
    <w:rsid w:val="008E6269"/>
    <w:rsid w:val="008E6606"/>
    <w:rsid w:val="008E6B77"/>
    <w:rsid w:val="008E7358"/>
    <w:rsid w:val="008E7698"/>
    <w:rsid w:val="008E7A46"/>
    <w:rsid w:val="008E7C0F"/>
    <w:rsid w:val="008F0686"/>
    <w:rsid w:val="008F143B"/>
    <w:rsid w:val="008F15A9"/>
    <w:rsid w:val="008F1EF9"/>
    <w:rsid w:val="008F22DD"/>
    <w:rsid w:val="008F2412"/>
    <w:rsid w:val="008F2736"/>
    <w:rsid w:val="008F2787"/>
    <w:rsid w:val="008F2A53"/>
    <w:rsid w:val="008F463C"/>
    <w:rsid w:val="008F46C8"/>
    <w:rsid w:val="008F4735"/>
    <w:rsid w:val="008F4FAF"/>
    <w:rsid w:val="008F50B7"/>
    <w:rsid w:val="008F563F"/>
    <w:rsid w:val="008F56D2"/>
    <w:rsid w:val="008F5D0B"/>
    <w:rsid w:val="008F6223"/>
    <w:rsid w:val="008F6254"/>
    <w:rsid w:val="008F68AC"/>
    <w:rsid w:val="008F7448"/>
    <w:rsid w:val="008F77A2"/>
    <w:rsid w:val="008F7BBC"/>
    <w:rsid w:val="009010EE"/>
    <w:rsid w:val="0090131A"/>
    <w:rsid w:val="0090147A"/>
    <w:rsid w:val="00901B10"/>
    <w:rsid w:val="00902562"/>
    <w:rsid w:val="009027A9"/>
    <w:rsid w:val="00903A51"/>
    <w:rsid w:val="00903D21"/>
    <w:rsid w:val="00904168"/>
    <w:rsid w:val="00904A83"/>
    <w:rsid w:val="00904A9E"/>
    <w:rsid w:val="00904BF5"/>
    <w:rsid w:val="009054E1"/>
    <w:rsid w:val="00906626"/>
    <w:rsid w:val="00907094"/>
    <w:rsid w:val="0090720A"/>
    <w:rsid w:val="00907A00"/>
    <w:rsid w:val="00907EBA"/>
    <w:rsid w:val="00907EBD"/>
    <w:rsid w:val="009102F8"/>
    <w:rsid w:val="009107D5"/>
    <w:rsid w:val="00910959"/>
    <w:rsid w:val="00910FBB"/>
    <w:rsid w:val="00910FD7"/>
    <w:rsid w:val="00911A18"/>
    <w:rsid w:val="00911ADA"/>
    <w:rsid w:val="00911AF9"/>
    <w:rsid w:val="00911CC3"/>
    <w:rsid w:val="00911D3A"/>
    <w:rsid w:val="00911F75"/>
    <w:rsid w:val="009123AB"/>
    <w:rsid w:val="00912502"/>
    <w:rsid w:val="009131D2"/>
    <w:rsid w:val="0091320F"/>
    <w:rsid w:val="009132B0"/>
    <w:rsid w:val="009132D3"/>
    <w:rsid w:val="009153FA"/>
    <w:rsid w:val="0091625B"/>
    <w:rsid w:val="009167D5"/>
    <w:rsid w:val="00916849"/>
    <w:rsid w:val="009173EF"/>
    <w:rsid w:val="00917D9D"/>
    <w:rsid w:val="00917F36"/>
    <w:rsid w:val="00920133"/>
    <w:rsid w:val="009202B9"/>
    <w:rsid w:val="00920933"/>
    <w:rsid w:val="00920BE4"/>
    <w:rsid w:val="00920F15"/>
    <w:rsid w:val="00921023"/>
    <w:rsid w:val="009210EA"/>
    <w:rsid w:val="0092204F"/>
    <w:rsid w:val="00922CF9"/>
    <w:rsid w:val="0092375A"/>
    <w:rsid w:val="009239E0"/>
    <w:rsid w:val="0092446D"/>
    <w:rsid w:val="0092477A"/>
    <w:rsid w:val="00924918"/>
    <w:rsid w:val="00924CBF"/>
    <w:rsid w:val="00924D00"/>
    <w:rsid w:val="00924E38"/>
    <w:rsid w:val="0092503B"/>
    <w:rsid w:val="009253F7"/>
    <w:rsid w:val="00925D8B"/>
    <w:rsid w:val="00925EB5"/>
    <w:rsid w:val="00925FAA"/>
    <w:rsid w:val="00925FBE"/>
    <w:rsid w:val="00925FC1"/>
    <w:rsid w:val="009266ED"/>
    <w:rsid w:val="009267C9"/>
    <w:rsid w:val="00927E44"/>
    <w:rsid w:val="009302F0"/>
    <w:rsid w:val="0093033B"/>
    <w:rsid w:val="0093074C"/>
    <w:rsid w:val="00930ADA"/>
    <w:rsid w:val="00930E07"/>
    <w:rsid w:val="00932749"/>
    <w:rsid w:val="00932906"/>
    <w:rsid w:val="00932B1F"/>
    <w:rsid w:val="00933766"/>
    <w:rsid w:val="009337C2"/>
    <w:rsid w:val="00933CCE"/>
    <w:rsid w:val="00933F22"/>
    <w:rsid w:val="009342A7"/>
    <w:rsid w:val="00934CEB"/>
    <w:rsid w:val="00935E7B"/>
    <w:rsid w:val="00935EE2"/>
    <w:rsid w:val="0093690A"/>
    <w:rsid w:val="00936CD4"/>
    <w:rsid w:val="00936DF1"/>
    <w:rsid w:val="009407BA"/>
    <w:rsid w:val="00940A14"/>
    <w:rsid w:val="009414F0"/>
    <w:rsid w:val="0094151D"/>
    <w:rsid w:val="00941618"/>
    <w:rsid w:val="0094181F"/>
    <w:rsid w:val="00941ABF"/>
    <w:rsid w:val="0094306B"/>
    <w:rsid w:val="00943BA6"/>
    <w:rsid w:val="00943CA2"/>
    <w:rsid w:val="00943DAF"/>
    <w:rsid w:val="00944BBD"/>
    <w:rsid w:val="00944FC7"/>
    <w:rsid w:val="009453CA"/>
    <w:rsid w:val="00945804"/>
    <w:rsid w:val="00945AB4"/>
    <w:rsid w:val="00945E15"/>
    <w:rsid w:val="0094610D"/>
    <w:rsid w:val="009464C7"/>
    <w:rsid w:val="00946A8C"/>
    <w:rsid w:val="00946D51"/>
    <w:rsid w:val="00946F92"/>
    <w:rsid w:val="00946FAD"/>
    <w:rsid w:val="00947258"/>
    <w:rsid w:val="009475EE"/>
    <w:rsid w:val="00947967"/>
    <w:rsid w:val="00947CDB"/>
    <w:rsid w:val="00947D34"/>
    <w:rsid w:val="00950031"/>
    <w:rsid w:val="009502C8"/>
    <w:rsid w:val="0095048B"/>
    <w:rsid w:val="00951919"/>
    <w:rsid w:val="0095201C"/>
    <w:rsid w:val="009522B3"/>
    <w:rsid w:val="009533DC"/>
    <w:rsid w:val="0095356B"/>
    <w:rsid w:val="009535E1"/>
    <w:rsid w:val="00953BF5"/>
    <w:rsid w:val="00953D2A"/>
    <w:rsid w:val="00954A3A"/>
    <w:rsid w:val="00954B19"/>
    <w:rsid w:val="00954B72"/>
    <w:rsid w:val="00954CA9"/>
    <w:rsid w:val="00954D37"/>
    <w:rsid w:val="00955581"/>
    <w:rsid w:val="00955738"/>
    <w:rsid w:val="009559FC"/>
    <w:rsid w:val="00955AC4"/>
    <w:rsid w:val="00955ED5"/>
    <w:rsid w:val="00956CCB"/>
    <w:rsid w:val="00956E84"/>
    <w:rsid w:val="0095716E"/>
    <w:rsid w:val="009574E1"/>
    <w:rsid w:val="00957F6F"/>
    <w:rsid w:val="009600F7"/>
    <w:rsid w:val="0096015B"/>
    <w:rsid w:val="009604DA"/>
    <w:rsid w:val="009606F3"/>
    <w:rsid w:val="00960E95"/>
    <w:rsid w:val="009610B3"/>
    <w:rsid w:val="0096156E"/>
    <w:rsid w:val="009619CD"/>
    <w:rsid w:val="00961B0B"/>
    <w:rsid w:val="00961B3A"/>
    <w:rsid w:val="00961C69"/>
    <w:rsid w:val="00961DB7"/>
    <w:rsid w:val="0096268F"/>
    <w:rsid w:val="00962AD2"/>
    <w:rsid w:val="00962DCC"/>
    <w:rsid w:val="00962E1E"/>
    <w:rsid w:val="00962F9C"/>
    <w:rsid w:val="00963CD1"/>
    <w:rsid w:val="00964C74"/>
    <w:rsid w:val="009656E5"/>
    <w:rsid w:val="00965BEA"/>
    <w:rsid w:val="009661F4"/>
    <w:rsid w:val="0096628D"/>
    <w:rsid w:val="00966EBE"/>
    <w:rsid w:val="009671F0"/>
    <w:rsid w:val="009679C5"/>
    <w:rsid w:val="00967B11"/>
    <w:rsid w:val="00967B55"/>
    <w:rsid w:val="00970100"/>
    <w:rsid w:val="00970615"/>
    <w:rsid w:val="009709EA"/>
    <w:rsid w:val="00971219"/>
    <w:rsid w:val="0097131F"/>
    <w:rsid w:val="00971717"/>
    <w:rsid w:val="009725B2"/>
    <w:rsid w:val="009725E6"/>
    <w:rsid w:val="00972698"/>
    <w:rsid w:val="009735FA"/>
    <w:rsid w:val="0097363C"/>
    <w:rsid w:val="00975334"/>
    <w:rsid w:val="00975526"/>
    <w:rsid w:val="00976CFE"/>
    <w:rsid w:val="00977536"/>
    <w:rsid w:val="009775C6"/>
    <w:rsid w:val="00977D76"/>
    <w:rsid w:val="00977EF9"/>
    <w:rsid w:val="00980240"/>
    <w:rsid w:val="0098029F"/>
    <w:rsid w:val="00981181"/>
    <w:rsid w:val="0098146C"/>
    <w:rsid w:val="00981810"/>
    <w:rsid w:val="00981CA3"/>
    <w:rsid w:val="00981E3E"/>
    <w:rsid w:val="00981E51"/>
    <w:rsid w:val="00981F18"/>
    <w:rsid w:val="00982020"/>
    <w:rsid w:val="00982189"/>
    <w:rsid w:val="00982452"/>
    <w:rsid w:val="00982728"/>
    <w:rsid w:val="00982E97"/>
    <w:rsid w:val="00983CEF"/>
    <w:rsid w:val="00984264"/>
    <w:rsid w:val="00984728"/>
    <w:rsid w:val="009849C7"/>
    <w:rsid w:val="00984B18"/>
    <w:rsid w:val="00984D5A"/>
    <w:rsid w:val="00984DAA"/>
    <w:rsid w:val="00984E5E"/>
    <w:rsid w:val="00986164"/>
    <w:rsid w:val="0098648D"/>
    <w:rsid w:val="00986831"/>
    <w:rsid w:val="00986855"/>
    <w:rsid w:val="0098739E"/>
    <w:rsid w:val="009878BB"/>
    <w:rsid w:val="00987939"/>
    <w:rsid w:val="00987C2F"/>
    <w:rsid w:val="00987CB6"/>
    <w:rsid w:val="00990699"/>
    <w:rsid w:val="00990E49"/>
    <w:rsid w:val="00991680"/>
    <w:rsid w:val="00991825"/>
    <w:rsid w:val="0099217D"/>
    <w:rsid w:val="0099246B"/>
    <w:rsid w:val="00992549"/>
    <w:rsid w:val="009929FA"/>
    <w:rsid w:val="009931FB"/>
    <w:rsid w:val="009941BF"/>
    <w:rsid w:val="009942FB"/>
    <w:rsid w:val="00995355"/>
    <w:rsid w:val="00995432"/>
    <w:rsid w:val="00995738"/>
    <w:rsid w:val="00995937"/>
    <w:rsid w:val="00996BCA"/>
    <w:rsid w:val="00996BCC"/>
    <w:rsid w:val="00996E89"/>
    <w:rsid w:val="00997721"/>
    <w:rsid w:val="00997FAA"/>
    <w:rsid w:val="00997FAC"/>
    <w:rsid w:val="009A05E1"/>
    <w:rsid w:val="009A0A32"/>
    <w:rsid w:val="009A0ED5"/>
    <w:rsid w:val="009A0FA6"/>
    <w:rsid w:val="009A10BE"/>
    <w:rsid w:val="009A197A"/>
    <w:rsid w:val="009A1EEA"/>
    <w:rsid w:val="009A242C"/>
    <w:rsid w:val="009A25E2"/>
    <w:rsid w:val="009A2741"/>
    <w:rsid w:val="009A2ABE"/>
    <w:rsid w:val="009A2ACC"/>
    <w:rsid w:val="009A2D61"/>
    <w:rsid w:val="009A3976"/>
    <w:rsid w:val="009A3B7E"/>
    <w:rsid w:val="009A3BB4"/>
    <w:rsid w:val="009A4083"/>
    <w:rsid w:val="009A42BE"/>
    <w:rsid w:val="009A4945"/>
    <w:rsid w:val="009A4AFB"/>
    <w:rsid w:val="009A7CB4"/>
    <w:rsid w:val="009B0EEC"/>
    <w:rsid w:val="009B1460"/>
    <w:rsid w:val="009B180E"/>
    <w:rsid w:val="009B1AC2"/>
    <w:rsid w:val="009B2094"/>
    <w:rsid w:val="009B23EE"/>
    <w:rsid w:val="009B3496"/>
    <w:rsid w:val="009B38C3"/>
    <w:rsid w:val="009B3A74"/>
    <w:rsid w:val="009B3EE6"/>
    <w:rsid w:val="009B469B"/>
    <w:rsid w:val="009B4C1A"/>
    <w:rsid w:val="009B4EBC"/>
    <w:rsid w:val="009B60AA"/>
    <w:rsid w:val="009B628E"/>
    <w:rsid w:val="009B6649"/>
    <w:rsid w:val="009B6EE6"/>
    <w:rsid w:val="009B6F3D"/>
    <w:rsid w:val="009B71BE"/>
    <w:rsid w:val="009C02B0"/>
    <w:rsid w:val="009C02BC"/>
    <w:rsid w:val="009C0A5F"/>
    <w:rsid w:val="009C0AE3"/>
    <w:rsid w:val="009C1409"/>
    <w:rsid w:val="009C186D"/>
    <w:rsid w:val="009C23B6"/>
    <w:rsid w:val="009C2B84"/>
    <w:rsid w:val="009C2D55"/>
    <w:rsid w:val="009C3D13"/>
    <w:rsid w:val="009C3D9D"/>
    <w:rsid w:val="009C46AA"/>
    <w:rsid w:val="009C4C5C"/>
    <w:rsid w:val="009C4DCE"/>
    <w:rsid w:val="009C5189"/>
    <w:rsid w:val="009C519A"/>
    <w:rsid w:val="009C53BC"/>
    <w:rsid w:val="009C5504"/>
    <w:rsid w:val="009C5A09"/>
    <w:rsid w:val="009C5A88"/>
    <w:rsid w:val="009C5A95"/>
    <w:rsid w:val="009C5ACD"/>
    <w:rsid w:val="009C6191"/>
    <w:rsid w:val="009C6B81"/>
    <w:rsid w:val="009C6DD8"/>
    <w:rsid w:val="009C734E"/>
    <w:rsid w:val="009C7C80"/>
    <w:rsid w:val="009C7CF4"/>
    <w:rsid w:val="009C7DF7"/>
    <w:rsid w:val="009D06C3"/>
    <w:rsid w:val="009D0C62"/>
    <w:rsid w:val="009D103A"/>
    <w:rsid w:val="009D1137"/>
    <w:rsid w:val="009D15E4"/>
    <w:rsid w:val="009D1A95"/>
    <w:rsid w:val="009D1D71"/>
    <w:rsid w:val="009D1F80"/>
    <w:rsid w:val="009D23C8"/>
    <w:rsid w:val="009D2A5B"/>
    <w:rsid w:val="009D3121"/>
    <w:rsid w:val="009D330E"/>
    <w:rsid w:val="009D4221"/>
    <w:rsid w:val="009D4351"/>
    <w:rsid w:val="009D475C"/>
    <w:rsid w:val="009D48B3"/>
    <w:rsid w:val="009D4AE0"/>
    <w:rsid w:val="009D556E"/>
    <w:rsid w:val="009D55AF"/>
    <w:rsid w:val="009D5A03"/>
    <w:rsid w:val="009D5B78"/>
    <w:rsid w:val="009D5CAC"/>
    <w:rsid w:val="009D6115"/>
    <w:rsid w:val="009D6E6C"/>
    <w:rsid w:val="009D6E85"/>
    <w:rsid w:val="009D6F88"/>
    <w:rsid w:val="009D7061"/>
    <w:rsid w:val="009D7B4E"/>
    <w:rsid w:val="009D7C8B"/>
    <w:rsid w:val="009D7D58"/>
    <w:rsid w:val="009D7F89"/>
    <w:rsid w:val="009E03FC"/>
    <w:rsid w:val="009E17BD"/>
    <w:rsid w:val="009E1B00"/>
    <w:rsid w:val="009E20B7"/>
    <w:rsid w:val="009E3034"/>
    <w:rsid w:val="009E33B4"/>
    <w:rsid w:val="009E37BF"/>
    <w:rsid w:val="009E3CE5"/>
    <w:rsid w:val="009E3D0D"/>
    <w:rsid w:val="009E3F61"/>
    <w:rsid w:val="009E456A"/>
    <w:rsid w:val="009E4733"/>
    <w:rsid w:val="009E485A"/>
    <w:rsid w:val="009E5EC5"/>
    <w:rsid w:val="009E6AC0"/>
    <w:rsid w:val="009E6B94"/>
    <w:rsid w:val="009E73A1"/>
    <w:rsid w:val="009E77D4"/>
    <w:rsid w:val="009E7949"/>
    <w:rsid w:val="009E7CDE"/>
    <w:rsid w:val="009E7DF0"/>
    <w:rsid w:val="009F0665"/>
    <w:rsid w:val="009F093B"/>
    <w:rsid w:val="009F0D01"/>
    <w:rsid w:val="009F1A58"/>
    <w:rsid w:val="009F20DA"/>
    <w:rsid w:val="009F237A"/>
    <w:rsid w:val="009F25AC"/>
    <w:rsid w:val="009F29CA"/>
    <w:rsid w:val="009F2C16"/>
    <w:rsid w:val="009F43A8"/>
    <w:rsid w:val="009F4979"/>
    <w:rsid w:val="009F49AD"/>
    <w:rsid w:val="009F4CF2"/>
    <w:rsid w:val="009F591E"/>
    <w:rsid w:val="009F66FA"/>
    <w:rsid w:val="009F72B2"/>
    <w:rsid w:val="009F76C8"/>
    <w:rsid w:val="009F7987"/>
    <w:rsid w:val="009F7AC5"/>
    <w:rsid w:val="00A00703"/>
    <w:rsid w:val="00A01795"/>
    <w:rsid w:val="00A01A62"/>
    <w:rsid w:val="00A01B9D"/>
    <w:rsid w:val="00A025C0"/>
    <w:rsid w:val="00A027C5"/>
    <w:rsid w:val="00A0343C"/>
    <w:rsid w:val="00A040FB"/>
    <w:rsid w:val="00A04787"/>
    <w:rsid w:val="00A048DA"/>
    <w:rsid w:val="00A04CEC"/>
    <w:rsid w:val="00A05170"/>
    <w:rsid w:val="00A0560C"/>
    <w:rsid w:val="00A05C29"/>
    <w:rsid w:val="00A05C63"/>
    <w:rsid w:val="00A05F86"/>
    <w:rsid w:val="00A061E9"/>
    <w:rsid w:val="00A06627"/>
    <w:rsid w:val="00A06FD4"/>
    <w:rsid w:val="00A0797A"/>
    <w:rsid w:val="00A07E1E"/>
    <w:rsid w:val="00A07EFD"/>
    <w:rsid w:val="00A07FFB"/>
    <w:rsid w:val="00A09116"/>
    <w:rsid w:val="00A101B0"/>
    <w:rsid w:val="00A1065C"/>
    <w:rsid w:val="00A10C4B"/>
    <w:rsid w:val="00A10DCB"/>
    <w:rsid w:val="00A10F4A"/>
    <w:rsid w:val="00A11D62"/>
    <w:rsid w:val="00A1216D"/>
    <w:rsid w:val="00A123F2"/>
    <w:rsid w:val="00A1269A"/>
    <w:rsid w:val="00A12798"/>
    <w:rsid w:val="00A12867"/>
    <w:rsid w:val="00A13021"/>
    <w:rsid w:val="00A13288"/>
    <w:rsid w:val="00A13B91"/>
    <w:rsid w:val="00A13CF1"/>
    <w:rsid w:val="00A13E03"/>
    <w:rsid w:val="00A14D62"/>
    <w:rsid w:val="00A14DE8"/>
    <w:rsid w:val="00A15880"/>
    <w:rsid w:val="00A15AB1"/>
    <w:rsid w:val="00A16043"/>
    <w:rsid w:val="00A16AF5"/>
    <w:rsid w:val="00A16FFC"/>
    <w:rsid w:val="00A17017"/>
    <w:rsid w:val="00A1742D"/>
    <w:rsid w:val="00A179C2"/>
    <w:rsid w:val="00A17EBF"/>
    <w:rsid w:val="00A20553"/>
    <w:rsid w:val="00A20F3E"/>
    <w:rsid w:val="00A22309"/>
    <w:rsid w:val="00A23DBC"/>
    <w:rsid w:val="00A23DF7"/>
    <w:rsid w:val="00A24265"/>
    <w:rsid w:val="00A245E0"/>
    <w:rsid w:val="00A24FAD"/>
    <w:rsid w:val="00A25266"/>
    <w:rsid w:val="00A25411"/>
    <w:rsid w:val="00A257B0"/>
    <w:rsid w:val="00A25802"/>
    <w:rsid w:val="00A25B13"/>
    <w:rsid w:val="00A27166"/>
    <w:rsid w:val="00A27B1E"/>
    <w:rsid w:val="00A27B92"/>
    <w:rsid w:val="00A27F92"/>
    <w:rsid w:val="00A300B0"/>
    <w:rsid w:val="00A30BB0"/>
    <w:rsid w:val="00A312FC"/>
    <w:rsid w:val="00A32257"/>
    <w:rsid w:val="00A3298C"/>
    <w:rsid w:val="00A32E5F"/>
    <w:rsid w:val="00A33A52"/>
    <w:rsid w:val="00A3507C"/>
    <w:rsid w:val="00A351F2"/>
    <w:rsid w:val="00A35450"/>
    <w:rsid w:val="00A362A1"/>
    <w:rsid w:val="00A36899"/>
    <w:rsid w:val="00A369C4"/>
    <w:rsid w:val="00A36BEC"/>
    <w:rsid w:val="00A36D20"/>
    <w:rsid w:val="00A36E01"/>
    <w:rsid w:val="00A36EE7"/>
    <w:rsid w:val="00A37EAB"/>
    <w:rsid w:val="00A405BC"/>
    <w:rsid w:val="00A4065A"/>
    <w:rsid w:val="00A40676"/>
    <w:rsid w:val="00A40920"/>
    <w:rsid w:val="00A41B8A"/>
    <w:rsid w:val="00A41F92"/>
    <w:rsid w:val="00A428A4"/>
    <w:rsid w:val="00A42C52"/>
    <w:rsid w:val="00A43090"/>
    <w:rsid w:val="00A43487"/>
    <w:rsid w:val="00A435AC"/>
    <w:rsid w:val="00A4398D"/>
    <w:rsid w:val="00A43A03"/>
    <w:rsid w:val="00A44716"/>
    <w:rsid w:val="00A447C7"/>
    <w:rsid w:val="00A44E6D"/>
    <w:rsid w:val="00A45616"/>
    <w:rsid w:val="00A45A3B"/>
    <w:rsid w:val="00A45AA3"/>
    <w:rsid w:val="00A45CB6"/>
    <w:rsid w:val="00A4632D"/>
    <w:rsid w:val="00A4658B"/>
    <w:rsid w:val="00A46EA3"/>
    <w:rsid w:val="00A47DCC"/>
    <w:rsid w:val="00A47E1D"/>
    <w:rsid w:val="00A47FC1"/>
    <w:rsid w:val="00A50267"/>
    <w:rsid w:val="00A50A93"/>
    <w:rsid w:val="00A50EA9"/>
    <w:rsid w:val="00A514A4"/>
    <w:rsid w:val="00A51988"/>
    <w:rsid w:val="00A51A96"/>
    <w:rsid w:val="00A51BA0"/>
    <w:rsid w:val="00A5220D"/>
    <w:rsid w:val="00A5243F"/>
    <w:rsid w:val="00A52865"/>
    <w:rsid w:val="00A531A0"/>
    <w:rsid w:val="00A532F8"/>
    <w:rsid w:val="00A533C0"/>
    <w:rsid w:val="00A535D6"/>
    <w:rsid w:val="00A537CE"/>
    <w:rsid w:val="00A539CF"/>
    <w:rsid w:val="00A5413D"/>
    <w:rsid w:val="00A54171"/>
    <w:rsid w:val="00A54652"/>
    <w:rsid w:val="00A548C9"/>
    <w:rsid w:val="00A54EB6"/>
    <w:rsid w:val="00A55622"/>
    <w:rsid w:val="00A556E8"/>
    <w:rsid w:val="00A558AC"/>
    <w:rsid w:val="00A55B3F"/>
    <w:rsid w:val="00A55C16"/>
    <w:rsid w:val="00A5709E"/>
    <w:rsid w:val="00A574C5"/>
    <w:rsid w:val="00A576F6"/>
    <w:rsid w:val="00A60489"/>
    <w:rsid w:val="00A606E0"/>
    <w:rsid w:val="00A60C88"/>
    <w:rsid w:val="00A61008"/>
    <w:rsid w:val="00A611CA"/>
    <w:rsid w:val="00A61C0E"/>
    <w:rsid w:val="00A62BA3"/>
    <w:rsid w:val="00A62FC2"/>
    <w:rsid w:val="00A63795"/>
    <w:rsid w:val="00A64670"/>
    <w:rsid w:val="00A64984"/>
    <w:rsid w:val="00A64A0B"/>
    <w:rsid w:val="00A64B0C"/>
    <w:rsid w:val="00A64B37"/>
    <w:rsid w:val="00A64D7F"/>
    <w:rsid w:val="00A65D6B"/>
    <w:rsid w:val="00A66101"/>
    <w:rsid w:val="00A661E6"/>
    <w:rsid w:val="00A6665A"/>
    <w:rsid w:val="00A66D61"/>
    <w:rsid w:val="00A66F84"/>
    <w:rsid w:val="00A674BB"/>
    <w:rsid w:val="00A67CB5"/>
    <w:rsid w:val="00A67D34"/>
    <w:rsid w:val="00A7078A"/>
    <w:rsid w:val="00A71A31"/>
    <w:rsid w:val="00A71F59"/>
    <w:rsid w:val="00A72424"/>
    <w:rsid w:val="00A72483"/>
    <w:rsid w:val="00A725F9"/>
    <w:rsid w:val="00A7284B"/>
    <w:rsid w:val="00A72DEA"/>
    <w:rsid w:val="00A74FB2"/>
    <w:rsid w:val="00A7667D"/>
    <w:rsid w:val="00A767ED"/>
    <w:rsid w:val="00A76815"/>
    <w:rsid w:val="00A76B2E"/>
    <w:rsid w:val="00A77807"/>
    <w:rsid w:val="00A77B8C"/>
    <w:rsid w:val="00A77DB0"/>
    <w:rsid w:val="00A80B65"/>
    <w:rsid w:val="00A8101E"/>
    <w:rsid w:val="00A810FD"/>
    <w:rsid w:val="00A81930"/>
    <w:rsid w:val="00A8206C"/>
    <w:rsid w:val="00A82203"/>
    <w:rsid w:val="00A8272F"/>
    <w:rsid w:val="00A82C98"/>
    <w:rsid w:val="00A82F61"/>
    <w:rsid w:val="00A83179"/>
    <w:rsid w:val="00A83502"/>
    <w:rsid w:val="00A83CDA"/>
    <w:rsid w:val="00A83E03"/>
    <w:rsid w:val="00A83FB3"/>
    <w:rsid w:val="00A84172"/>
    <w:rsid w:val="00A84559"/>
    <w:rsid w:val="00A846FA"/>
    <w:rsid w:val="00A84FB4"/>
    <w:rsid w:val="00A866A8"/>
    <w:rsid w:val="00A8671B"/>
    <w:rsid w:val="00A86FAB"/>
    <w:rsid w:val="00A902AB"/>
    <w:rsid w:val="00A90FF2"/>
    <w:rsid w:val="00A91682"/>
    <w:rsid w:val="00A91B61"/>
    <w:rsid w:val="00A92828"/>
    <w:rsid w:val="00A92CA5"/>
    <w:rsid w:val="00A9388A"/>
    <w:rsid w:val="00A942AB"/>
    <w:rsid w:val="00A9471F"/>
    <w:rsid w:val="00A9482A"/>
    <w:rsid w:val="00A95043"/>
    <w:rsid w:val="00A9523A"/>
    <w:rsid w:val="00A952B8"/>
    <w:rsid w:val="00A95831"/>
    <w:rsid w:val="00A95AD3"/>
    <w:rsid w:val="00A95E26"/>
    <w:rsid w:val="00A96081"/>
    <w:rsid w:val="00A967BA"/>
    <w:rsid w:val="00A967C4"/>
    <w:rsid w:val="00A970F5"/>
    <w:rsid w:val="00A97241"/>
    <w:rsid w:val="00AA010B"/>
    <w:rsid w:val="00AA0160"/>
    <w:rsid w:val="00AA01BF"/>
    <w:rsid w:val="00AA04BD"/>
    <w:rsid w:val="00AA0A01"/>
    <w:rsid w:val="00AA1C33"/>
    <w:rsid w:val="00AA1E20"/>
    <w:rsid w:val="00AA2400"/>
    <w:rsid w:val="00AA29A4"/>
    <w:rsid w:val="00AA3747"/>
    <w:rsid w:val="00AA3D0B"/>
    <w:rsid w:val="00AA3DE1"/>
    <w:rsid w:val="00AA3DF0"/>
    <w:rsid w:val="00AA450D"/>
    <w:rsid w:val="00AA47AA"/>
    <w:rsid w:val="00AA5011"/>
    <w:rsid w:val="00AA585B"/>
    <w:rsid w:val="00AA58CD"/>
    <w:rsid w:val="00AA5906"/>
    <w:rsid w:val="00AA6043"/>
    <w:rsid w:val="00AA64EB"/>
    <w:rsid w:val="00AA6F71"/>
    <w:rsid w:val="00AA798D"/>
    <w:rsid w:val="00AA7C16"/>
    <w:rsid w:val="00AB0832"/>
    <w:rsid w:val="00AB140B"/>
    <w:rsid w:val="00AB1460"/>
    <w:rsid w:val="00AB1597"/>
    <w:rsid w:val="00AB2332"/>
    <w:rsid w:val="00AB28B6"/>
    <w:rsid w:val="00AB2C65"/>
    <w:rsid w:val="00AB2D62"/>
    <w:rsid w:val="00AB3110"/>
    <w:rsid w:val="00AB395C"/>
    <w:rsid w:val="00AB3E77"/>
    <w:rsid w:val="00AB40F2"/>
    <w:rsid w:val="00AB453C"/>
    <w:rsid w:val="00AB47AC"/>
    <w:rsid w:val="00AB4FC8"/>
    <w:rsid w:val="00AB523F"/>
    <w:rsid w:val="00AB5A26"/>
    <w:rsid w:val="00AB5B49"/>
    <w:rsid w:val="00AB621F"/>
    <w:rsid w:val="00AB6B77"/>
    <w:rsid w:val="00AB6C41"/>
    <w:rsid w:val="00AB6F18"/>
    <w:rsid w:val="00AB700B"/>
    <w:rsid w:val="00AB770F"/>
    <w:rsid w:val="00AB77FE"/>
    <w:rsid w:val="00AB7AE5"/>
    <w:rsid w:val="00ABF9B1"/>
    <w:rsid w:val="00AC02DB"/>
    <w:rsid w:val="00AC0406"/>
    <w:rsid w:val="00AC048A"/>
    <w:rsid w:val="00AC0ECA"/>
    <w:rsid w:val="00AC1020"/>
    <w:rsid w:val="00AC197B"/>
    <w:rsid w:val="00AC1F3A"/>
    <w:rsid w:val="00AC24CD"/>
    <w:rsid w:val="00AC24EB"/>
    <w:rsid w:val="00AC3A36"/>
    <w:rsid w:val="00AC4686"/>
    <w:rsid w:val="00AC46C8"/>
    <w:rsid w:val="00AC527C"/>
    <w:rsid w:val="00AC5D91"/>
    <w:rsid w:val="00AC5DA7"/>
    <w:rsid w:val="00AC5E4F"/>
    <w:rsid w:val="00AC61AA"/>
    <w:rsid w:val="00AC734C"/>
    <w:rsid w:val="00AC79EF"/>
    <w:rsid w:val="00AC7B90"/>
    <w:rsid w:val="00AC7BE7"/>
    <w:rsid w:val="00AC7CE0"/>
    <w:rsid w:val="00AC7FC2"/>
    <w:rsid w:val="00AD08E9"/>
    <w:rsid w:val="00AD0C5E"/>
    <w:rsid w:val="00AD0D52"/>
    <w:rsid w:val="00AD0EE1"/>
    <w:rsid w:val="00AD104B"/>
    <w:rsid w:val="00AD1546"/>
    <w:rsid w:val="00AD1564"/>
    <w:rsid w:val="00AD15B3"/>
    <w:rsid w:val="00AD30FD"/>
    <w:rsid w:val="00AD3606"/>
    <w:rsid w:val="00AD38F7"/>
    <w:rsid w:val="00AD39AF"/>
    <w:rsid w:val="00AD3A45"/>
    <w:rsid w:val="00AD48DC"/>
    <w:rsid w:val="00AD4A3D"/>
    <w:rsid w:val="00AD4ABA"/>
    <w:rsid w:val="00AD4E65"/>
    <w:rsid w:val="00AD51BD"/>
    <w:rsid w:val="00AD5596"/>
    <w:rsid w:val="00AD57E0"/>
    <w:rsid w:val="00AD646B"/>
    <w:rsid w:val="00AD651D"/>
    <w:rsid w:val="00AD6530"/>
    <w:rsid w:val="00AD671F"/>
    <w:rsid w:val="00AD6B68"/>
    <w:rsid w:val="00AD72B0"/>
    <w:rsid w:val="00AD7996"/>
    <w:rsid w:val="00AD7AA4"/>
    <w:rsid w:val="00AE0501"/>
    <w:rsid w:val="00AE0870"/>
    <w:rsid w:val="00AE0CFE"/>
    <w:rsid w:val="00AE1144"/>
    <w:rsid w:val="00AE1CFD"/>
    <w:rsid w:val="00AE1E3C"/>
    <w:rsid w:val="00AE23A5"/>
    <w:rsid w:val="00AE25EA"/>
    <w:rsid w:val="00AE2BA0"/>
    <w:rsid w:val="00AE3468"/>
    <w:rsid w:val="00AE34B8"/>
    <w:rsid w:val="00AE3C68"/>
    <w:rsid w:val="00AE3E26"/>
    <w:rsid w:val="00AE431C"/>
    <w:rsid w:val="00AE44C9"/>
    <w:rsid w:val="00AE4737"/>
    <w:rsid w:val="00AE4774"/>
    <w:rsid w:val="00AE47C0"/>
    <w:rsid w:val="00AE4AD2"/>
    <w:rsid w:val="00AE4BC0"/>
    <w:rsid w:val="00AE4F51"/>
    <w:rsid w:val="00AE51AE"/>
    <w:rsid w:val="00AE657C"/>
    <w:rsid w:val="00AE6A57"/>
    <w:rsid w:val="00AE6F22"/>
    <w:rsid w:val="00AE7ADB"/>
    <w:rsid w:val="00AE7C38"/>
    <w:rsid w:val="00AE7E4B"/>
    <w:rsid w:val="00AF0635"/>
    <w:rsid w:val="00AF064A"/>
    <w:rsid w:val="00AF079E"/>
    <w:rsid w:val="00AF0EC6"/>
    <w:rsid w:val="00AF1E9D"/>
    <w:rsid w:val="00AF1F84"/>
    <w:rsid w:val="00AF2767"/>
    <w:rsid w:val="00AF2F75"/>
    <w:rsid w:val="00AF3013"/>
    <w:rsid w:val="00AF3A75"/>
    <w:rsid w:val="00AF4E22"/>
    <w:rsid w:val="00AF5A05"/>
    <w:rsid w:val="00AF5E68"/>
    <w:rsid w:val="00AF631D"/>
    <w:rsid w:val="00AF67D9"/>
    <w:rsid w:val="00AF6872"/>
    <w:rsid w:val="00AF6914"/>
    <w:rsid w:val="00AF6A34"/>
    <w:rsid w:val="00AF6B00"/>
    <w:rsid w:val="00AF6BA8"/>
    <w:rsid w:val="00AF6E49"/>
    <w:rsid w:val="00AF781B"/>
    <w:rsid w:val="00AF7A99"/>
    <w:rsid w:val="00AF7BA4"/>
    <w:rsid w:val="00AF7E31"/>
    <w:rsid w:val="00AF7E71"/>
    <w:rsid w:val="00B00868"/>
    <w:rsid w:val="00B00CDA"/>
    <w:rsid w:val="00B00D02"/>
    <w:rsid w:val="00B01245"/>
    <w:rsid w:val="00B0124E"/>
    <w:rsid w:val="00B01FE7"/>
    <w:rsid w:val="00B02028"/>
    <w:rsid w:val="00B02340"/>
    <w:rsid w:val="00B0289A"/>
    <w:rsid w:val="00B02989"/>
    <w:rsid w:val="00B0343F"/>
    <w:rsid w:val="00B04084"/>
    <w:rsid w:val="00B04350"/>
    <w:rsid w:val="00B04979"/>
    <w:rsid w:val="00B04A22"/>
    <w:rsid w:val="00B04A67"/>
    <w:rsid w:val="00B04AC6"/>
    <w:rsid w:val="00B04BA5"/>
    <w:rsid w:val="00B05225"/>
    <w:rsid w:val="00B0583C"/>
    <w:rsid w:val="00B0697E"/>
    <w:rsid w:val="00B073E7"/>
    <w:rsid w:val="00B07436"/>
    <w:rsid w:val="00B07BE1"/>
    <w:rsid w:val="00B10225"/>
    <w:rsid w:val="00B109BD"/>
    <w:rsid w:val="00B10AD4"/>
    <w:rsid w:val="00B10C94"/>
    <w:rsid w:val="00B10DC5"/>
    <w:rsid w:val="00B1152E"/>
    <w:rsid w:val="00B11696"/>
    <w:rsid w:val="00B118FC"/>
    <w:rsid w:val="00B125C4"/>
    <w:rsid w:val="00B139E7"/>
    <w:rsid w:val="00B13CB5"/>
    <w:rsid w:val="00B14167"/>
    <w:rsid w:val="00B14608"/>
    <w:rsid w:val="00B148A8"/>
    <w:rsid w:val="00B153B8"/>
    <w:rsid w:val="00B15A2A"/>
    <w:rsid w:val="00B16264"/>
    <w:rsid w:val="00B16F2B"/>
    <w:rsid w:val="00B173C8"/>
    <w:rsid w:val="00B200F5"/>
    <w:rsid w:val="00B2031C"/>
    <w:rsid w:val="00B20458"/>
    <w:rsid w:val="00B20593"/>
    <w:rsid w:val="00B20978"/>
    <w:rsid w:val="00B20AB6"/>
    <w:rsid w:val="00B20DEA"/>
    <w:rsid w:val="00B21467"/>
    <w:rsid w:val="00B2149C"/>
    <w:rsid w:val="00B218DB"/>
    <w:rsid w:val="00B21A10"/>
    <w:rsid w:val="00B232DD"/>
    <w:rsid w:val="00B23430"/>
    <w:rsid w:val="00B234C8"/>
    <w:rsid w:val="00B234FB"/>
    <w:rsid w:val="00B24618"/>
    <w:rsid w:val="00B246C2"/>
    <w:rsid w:val="00B24728"/>
    <w:rsid w:val="00B24963"/>
    <w:rsid w:val="00B24A0B"/>
    <w:rsid w:val="00B24DBC"/>
    <w:rsid w:val="00B24DED"/>
    <w:rsid w:val="00B2505D"/>
    <w:rsid w:val="00B2563E"/>
    <w:rsid w:val="00B259EF"/>
    <w:rsid w:val="00B26B38"/>
    <w:rsid w:val="00B27093"/>
    <w:rsid w:val="00B2717C"/>
    <w:rsid w:val="00B2758B"/>
    <w:rsid w:val="00B302A9"/>
    <w:rsid w:val="00B30726"/>
    <w:rsid w:val="00B307AE"/>
    <w:rsid w:val="00B30810"/>
    <w:rsid w:val="00B30C5F"/>
    <w:rsid w:val="00B316B5"/>
    <w:rsid w:val="00B3243E"/>
    <w:rsid w:val="00B32594"/>
    <w:rsid w:val="00B3354F"/>
    <w:rsid w:val="00B3409D"/>
    <w:rsid w:val="00B3459F"/>
    <w:rsid w:val="00B345B5"/>
    <w:rsid w:val="00B346D8"/>
    <w:rsid w:val="00B34B59"/>
    <w:rsid w:val="00B34CA3"/>
    <w:rsid w:val="00B3526B"/>
    <w:rsid w:val="00B36248"/>
    <w:rsid w:val="00B364AD"/>
    <w:rsid w:val="00B36531"/>
    <w:rsid w:val="00B36B12"/>
    <w:rsid w:val="00B3759D"/>
    <w:rsid w:val="00B37780"/>
    <w:rsid w:val="00B37907"/>
    <w:rsid w:val="00B40014"/>
    <w:rsid w:val="00B4056A"/>
    <w:rsid w:val="00B405FB"/>
    <w:rsid w:val="00B407B4"/>
    <w:rsid w:val="00B40A81"/>
    <w:rsid w:val="00B40BEF"/>
    <w:rsid w:val="00B40D46"/>
    <w:rsid w:val="00B40F5F"/>
    <w:rsid w:val="00B410B6"/>
    <w:rsid w:val="00B41120"/>
    <w:rsid w:val="00B415CE"/>
    <w:rsid w:val="00B41841"/>
    <w:rsid w:val="00B41A6A"/>
    <w:rsid w:val="00B41C48"/>
    <w:rsid w:val="00B41DF2"/>
    <w:rsid w:val="00B42C2D"/>
    <w:rsid w:val="00B4366F"/>
    <w:rsid w:val="00B4421E"/>
    <w:rsid w:val="00B44717"/>
    <w:rsid w:val="00B44910"/>
    <w:rsid w:val="00B44D25"/>
    <w:rsid w:val="00B455AF"/>
    <w:rsid w:val="00B456D0"/>
    <w:rsid w:val="00B458E9"/>
    <w:rsid w:val="00B467BE"/>
    <w:rsid w:val="00B46821"/>
    <w:rsid w:val="00B46F37"/>
    <w:rsid w:val="00B46FB0"/>
    <w:rsid w:val="00B47270"/>
    <w:rsid w:val="00B4766D"/>
    <w:rsid w:val="00B47854"/>
    <w:rsid w:val="00B47884"/>
    <w:rsid w:val="00B47B47"/>
    <w:rsid w:val="00B47C41"/>
    <w:rsid w:val="00B47FED"/>
    <w:rsid w:val="00B50690"/>
    <w:rsid w:val="00B50EDF"/>
    <w:rsid w:val="00B519A7"/>
    <w:rsid w:val="00B51B45"/>
    <w:rsid w:val="00B51BB3"/>
    <w:rsid w:val="00B52E52"/>
    <w:rsid w:val="00B53923"/>
    <w:rsid w:val="00B542BD"/>
    <w:rsid w:val="00B54708"/>
    <w:rsid w:val="00B54BE3"/>
    <w:rsid w:val="00B54EA9"/>
    <w:rsid w:val="00B54EF3"/>
    <w:rsid w:val="00B55276"/>
    <w:rsid w:val="00B554C0"/>
    <w:rsid w:val="00B556C2"/>
    <w:rsid w:val="00B5596E"/>
    <w:rsid w:val="00B559B8"/>
    <w:rsid w:val="00B563F7"/>
    <w:rsid w:val="00B56A64"/>
    <w:rsid w:val="00B57571"/>
    <w:rsid w:val="00B57B41"/>
    <w:rsid w:val="00B603F8"/>
    <w:rsid w:val="00B6059F"/>
    <w:rsid w:val="00B60690"/>
    <w:rsid w:val="00B60871"/>
    <w:rsid w:val="00B60DF4"/>
    <w:rsid w:val="00B614C8"/>
    <w:rsid w:val="00B61646"/>
    <w:rsid w:val="00B6209B"/>
    <w:rsid w:val="00B62F2D"/>
    <w:rsid w:val="00B6305D"/>
    <w:rsid w:val="00B63397"/>
    <w:rsid w:val="00B639C8"/>
    <w:rsid w:val="00B65535"/>
    <w:rsid w:val="00B66C12"/>
    <w:rsid w:val="00B66FE2"/>
    <w:rsid w:val="00B67D52"/>
    <w:rsid w:val="00B67ECA"/>
    <w:rsid w:val="00B70BE6"/>
    <w:rsid w:val="00B710E0"/>
    <w:rsid w:val="00B71508"/>
    <w:rsid w:val="00B71AB1"/>
    <w:rsid w:val="00B721AD"/>
    <w:rsid w:val="00B7222C"/>
    <w:rsid w:val="00B72267"/>
    <w:rsid w:val="00B727B7"/>
    <w:rsid w:val="00B72865"/>
    <w:rsid w:val="00B72939"/>
    <w:rsid w:val="00B72CD1"/>
    <w:rsid w:val="00B73432"/>
    <w:rsid w:val="00B73545"/>
    <w:rsid w:val="00B73609"/>
    <w:rsid w:val="00B73804"/>
    <w:rsid w:val="00B7402A"/>
    <w:rsid w:val="00B74FA0"/>
    <w:rsid w:val="00B7511A"/>
    <w:rsid w:val="00B757F5"/>
    <w:rsid w:val="00B764CC"/>
    <w:rsid w:val="00B7656D"/>
    <w:rsid w:val="00B76EB6"/>
    <w:rsid w:val="00B7737B"/>
    <w:rsid w:val="00B77576"/>
    <w:rsid w:val="00B802AF"/>
    <w:rsid w:val="00B802E8"/>
    <w:rsid w:val="00B8093B"/>
    <w:rsid w:val="00B8192B"/>
    <w:rsid w:val="00B81968"/>
    <w:rsid w:val="00B81E90"/>
    <w:rsid w:val="00B82256"/>
    <w:rsid w:val="00B824C8"/>
    <w:rsid w:val="00B82588"/>
    <w:rsid w:val="00B8264F"/>
    <w:rsid w:val="00B82BF4"/>
    <w:rsid w:val="00B83EE8"/>
    <w:rsid w:val="00B84046"/>
    <w:rsid w:val="00B841D9"/>
    <w:rsid w:val="00B846CB"/>
    <w:rsid w:val="00B8478D"/>
    <w:rsid w:val="00B84B9D"/>
    <w:rsid w:val="00B84E90"/>
    <w:rsid w:val="00B850DA"/>
    <w:rsid w:val="00B85BCE"/>
    <w:rsid w:val="00B85C95"/>
    <w:rsid w:val="00B85DE3"/>
    <w:rsid w:val="00B864C1"/>
    <w:rsid w:val="00B87120"/>
    <w:rsid w:val="00B87865"/>
    <w:rsid w:val="00B87ACD"/>
    <w:rsid w:val="00B87BBC"/>
    <w:rsid w:val="00B87FCE"/>
    <w:rsid w:val="00B900F1"/>
    <w:rsid w:val="00B913FF"/>
    <w:rsid w:val="00B91D63"/>
    <w:rsid w:val="00B92130"/>
    <w:rsid w:val="00B9233F"/>
    <w:rsid w:val="00B92504"/>
    <w:rsid w:val="00B927D7"/>
    <w:rsid w:val="00B92EEA"/>
    <w:rsid w:val="00B93455"/>
    <w:rsid w:val="00B934CC"/>
    <w:rsid w:val="00B93591"/>
    <w:rsid w:val="00B93675"/>
    <w:rsid w:val="00B93D4B"/>
    <w:rsid w:val="00B94430"/>
    <w:rsid w:val="00B9499F"/>
    <w:rsid w:val="00B94A89"/>
    <w:rsid w:val="00B94DEA"/>
    <w:rsid w:val="00B95450"/>
    <w:rsid w:val="00B957A0"/>
    <w:rsid w:val="00B9596A"/>
    <w:rsid w:val="00B95A86"/>
    <w:rsid w:val="00B96060"/>
    <w:rsid w:val="00B9639F"/>
    <w:rsid w:val="00B96658"/>
    <w:rsid w:val="00B96F88"/>
    <w:rsid w:val="00B976A3"/>
    <w:rsid w:val="00B97C04"/>
    <w:rsid w:val="00BA02FA"/>
    <w:rsid w:val="00BA03EB"/>
    <w:rsid w:val="00BA13D4"/>
    <w:rsid w:val="00BA1D37"/>
    <w:rsid w:val="00BA27E7"/>
    <w:rsid w:val="00BA2E1C"/>
    <w:rsid w:val="00BA3674"/>
    <w:rsid w:val="00BA371D"/>
    <w:rsid w:val="00BA3785"/>
    <w:rsid w:val="00BA3787"/>
    <w:rsid w:val="00BA3A6A"/>
    <w:rsid w:val="00BA3C97"/>
    <w:rsid w:val="00BA3D8C"/>
    <w:rsid w:val="00BA46DC"/>
    <w:rsid w:val="00BA4716"/>
    <w:rsid w:val="00BA474C"/>
    <w:rsid w:val="00BA4E9D"/>
    <w:rsid w:val="00BA55A8"/>
    <w:rsid w:val="00BA5B2D"/>
    <w:rsid w:val="00BA5C2F"/>
    <w:rsid w:val="00BA5C83"/>
    <w:rsid w:val="00BA6114"/>
    <w:rsid w:val="00BA6142"/>
    <w:rsid w:val="00BA6166"/>
    <w:rsid w:val="00BA69A5"/>
    <w:rsid w:val="00BA72B3"/>
    <w:rsid w:val="00BB0A97"/>
    <w:rsid w:val="00BB0D14"/>
    <w:rsid w:val="00BB22F6"/>
    <w:rsid w:val="00BB256B"/>
    <w:rsid w:val="00BB317E"/>
    <w:rsid w:val="00BB3AFF"/>
    <w:rsid w:val="00BB4368"/>
    <w:rsid w:val="00BB4B31"/>
    <w:rsid w:val="00BB4B4D"/>
    <w:rsid w:val="00BB5070"/>
    <w:rsid w:val="00BB60DB"/>
    <w:rsid w:val="00BB7113"/>
    <w:rsid w:val="00BB7209"/>
    <w:rsid w:val="00BB75FC"/>
    <w:rsid w:val="00BB7617"/>
    <w:rsid w:val="00BB774E"/>
    <w:rsid w:val="00BB7A3A"/>
    <w:rsid w:val="00BB7F77"/>
    <w:rsid w:val="00BC01A7"/>
    <w:rsid w:val="00BC104C"/>
    <w:rsid w:val="00BC13CD"/>
    <w:rsid w:val="00BC14CC"/>
    <w:rsid w:val="00BC251A"/>
    <w:rsid w:val="00BC2705"/>
    <w:rsid w:val="00BC2A7D"/>
    <w:rsid w:val="00BC2BB2"/>
    <w:rsid w:val="00BC2DC4"/>
    <w:rsid w:val="00BC3157"/>
    <w:rsid w:val="00BC31A9"/>
    <w:rsid w:val="00BC3442"/>
    <w:rsid w:val="00BC3FB7"/>
    <w:rsid w:val="00BC42A8"/>
    <w:rsid w:val="00BC435C"/>
    <w:rsid w:val="00BC4B4B"/>
    <w:rsid w:val="00BC4D45"/>
    <w:rsid w:val="00BC5A30"/>
    <w:rsid w:val="00BC5F1D"/>
    <w:rsid w:val="00BC616E"/>
    <w:rsid w:val="00BC656E"/>
    <w:rsid w:val="00BC65F8"/>
    <w:rsid w:val="00BC68C5"/>
    <w:rsid w:val="00BC6F29"/>
    <w:rsid w:val="00BC713B"/>
    <w:rsid w:val="00BC7BE5"/>
    <w:rsid w:val="00BC7CD8"/>
    <w:rsid w:val="00BD0237"/>
    <w:rsid w:val="00BD032B"/>
    <w:rsid w:val="00BD06CA"/>
    <w:rsid w:val="00BD1D86"/>
    <w:rsid w:val="00BD2088"/>
    <w:rsid w:val="00BD2A0C"/>
    <w:rsid w:val="00BD2A71"/>
    <w:rsid w:val="00BD2BC4"/>
    <w:rsid w:val="00BD36AC"/>
    <w:rsid w:val="00BD39B3"/>
    <w:rsid w:val="00BD39E2"/>
    <w:rsid w:val="00BD3C00"/>
    <w:rsid w:val="00BD446A"/>
    <w:rsid w:val="00BD4534"/>
    <w:rsid w:val="00BD4854"/>
    <w:rsid w:val="00BD4904"/>
    <w:rsid w:val="00BD4D26"/>
    <w:rsid w:val="00BD4E8C"/>
    <w:rsid w:val="00BD4EBC"/>
    <w:rsid w:val="00BD4FF3"/>
    <w:rsid w:val="00BD5B84"/>
    <w:rsid w:val="00BD6052"/>
    <w:rsid w:val="00BD639F"/>
    <w:rsid w:val="00BD67E0"/>
    <w:rsid w:val="00BD6928"/>
    <w:rsid w:val="00BD71CE"/>
    <w:rsid w:val="00BD71D3"/>
    <w:rsid w:val="00BD73D2"/>
    <w:rsid w:val="00BD73F9"/>
    <w:rsid w:val="00BD74AE"/>
    <w:rsid w:val="00BD7771"/>
    <w:rsid w:val="00BD7AAE"/>
    <w:rsid w:val="00BD7BB0"/>
    <w:rsid w:val="00BD7E03"/>
    <w:rsid w:val="00BE0DD3"/>
    <w:rsid w:val="00BE0FB8"/>
    <w:rsid w:val="00BE12BF"/>
    <w:rsid w:val="00BE1AF4"/>
    <w:rsid w:val="00BE2230"/>
    <w:rsid w:val="00BE225C"/>
    <w:rsid w:val="00BE2640"/>
    <w:rsid w:val="00BE2F75"/>
    <w:rsid w:val="00BE31ED"/>
    <w:rsid w:val="00BE32AE"/>
    <w:rsid w:val="00BE3C68"/>
    <w:rsid w:val="00BE3DA7"/>
    <w:rsid w:val="00BE3F43"/>
    <w:rsid w:val="00BE4216"/>
    <w:rsid w:val="00BE43DF"/>
    <w:rsid w:val="00BE49DF"/>
    <w:rsid w:val="00BE5758"/>
    <w:rsid w:val="00BE5921"/>
    <w:rsid w:val="00BE5AFE"/>
    <w:rsid w:val="00BE5E65"/>
    <w:rsid w:val="00BE6356"/>
    <w:rsid w:val="00BE64DC"/>
    <w:rsid w:val="00BE684E"/>
    <w:rsid w:val="00BE697D"/>
    <w:rsid w:val="00BE75E7"/>
    <w:rsid w:val="00BE7A26"/>
    <w:rsid w:val="00BE7AE0"/>
    <w:rsid w:val="00BE7CA2"/>
    <w:rsid w:val="00BE7FFE"/>
    <w:rsid w:val="00BF00C9"/>
    <w:rsid w:val="00BF0B2A"/>
    <w:rsid w:val="00BF0ED8"/>
    <w:rsid w:val="00BF15B4"/>
    <w:rsid w:val="00BF1BC3"/>
    <w:rsid w:val="00BF2450"/>
    <w:rsid w:val="00BF2633"/>
    <w:rsid w:val="00BF2C79"/>
    <w:rsid w:val="00BF33C8"/>
    <w:rsid w:val="00BF3411"/>
    <w:rsid w:val="00BF3562"/>
    <w:rsid w:val="00BF4536"/>
    <w:rsid w:val="00BF63F1"/>
    <w:rsid w:val="00BF6460"/>
    <w:rsid w:val="00BF670D"/>
    <w:rsid w:val="00BF68D0"/>
    <w:rsid w:val="00BF696A"/>
    <w:rsid w:val="00BF79CB"/>
    <w:rsid w:val="00BF7B85"/>
    <w:rsid w:val="00C000BA"/>
    <w:rsid w:val="00C0077C"/>
    <w:rsid w:val="00C0081B"/>
    <w:rsid w:val="00C01189"/>
    <w:rsid w:val="00C01391"/>
    <w:rsid w:val="00C01D63"/>
    <w:rsid w:val="00C022E1"/>
    <w:rsid w:val="00C02646"/>
    <w:rsid w:val="00C02E06"/>
    <w:rsid w:val="00C02E1E"/>
    <w:rsid w:val="00C039B2"/>
    <w:rsid w:val="00C04396"/>
    <w:rsid w:val="00C048B5"/>
    <w:rsid w:val="00C0491C"/>
    <w:rsid w:val="00C05584"/>
    <w:rsid w:val="00C05D79"/>
    <w:rsid w:val="00C05DF0"/>
    <w:rsid w:val="00C06DAE"/>
    <w:rsid w:val="00C06EF2"/>
    <w:rsid w:val="00C07042"/>
    <w:rsid w:val="00C07559"/>
    <w:rsid w:val="00C07673"/>
    <w:rsid w:val="00C07889"/>
    <w:rsid w:val="00C0795A"/>
    <w:rsid w:val="00C07BEF"/>
    <w:rsid w:val="00C10715"/>
    <w:rsid w:val="00C10A8D"/>
    <w:rsid w:val="00C10C83"/>
    <w:rsid w:val="00C1110C"/>
    <w:rsid w:val="00C116E0"/>
    <w:rsid w:val="00C12067"/>
    <w:rsid w:val="00C122ED"/>
    <w:rsid w:val="00C1230C"/>
    <w:rsid w:val="00C1285A"/>
    <w:rsid w:val="00C12C1E"/>
    <w:rsid w:val="00C12E92"/>
    <w:rsid w:val="00C132BC"/>
    <w:rsid w:val="00C13652"/>
    <w:rsid w:val="00C1366E"/>
    <w:rsid w:val="00C13926"/>
    <w:rsid w:val="00C139AC"/>
    <w:rsid w:val="00C13D7D"/>
    <w:rsid w:val="00C150FD"/>
    <w:rsid w:val="00C1543D"/>
    <w:rsid w:val="00C16123"/>
    <w:rsid w:val="00C161C0"/>
    <w:rsid w:val="00C1634E"/>
    <w:rsid w:val="00C173E9"/>
    <w:rsid w:val="00C1745D"/>
    <w:rsid w:val="00C175B2"/>
    <w:rsid w:val="00C175D4"/>
    <w:rsid w:val="00C17AA3"/>
    <w:rsid w:val="00C17FF7"/>
    <w:rsid w:val="00C20596"/>
    <w:rsid w:val="00C2071C"/>
    <w:rsid w:val="00C20980"/>
    <w:rsid w:val="00C20AFC"/>
    <w:rsid w:val="00C21726"/>
    <w:rsid w:val="00C21C91"/>
    <w:rsid w:val="00C22700"/>
    <w:rsid w:val="00C22E88"/>
    <w:rsid w:val="00C23615"/>
    <w:rsid w:val="00C23D2D"/>
    <w:rsid w:val="00C23DC7"/>
    <w:rsid w:val="00C25005"/>
    <w:rsid w:val="00C255F1"/>
    <w:rsid w:val="00C257F0"/>
    <w:rsid w:val="00C25A84"/>
    <w:rsid w:val="00C2628C"/>
    <w:rsid w:val="00C26392"/>
    <w:rsid w:val="00C26C2A"/>
    <w:rsid w:val="00C26D41"/>
    <w:rsid w:val="00C26D5E"/>
    <w:rsid w:val="00C27040"/>
    <w:rsid w:val="00C279CA"/>
    <w:rsid w:val="00C3012D"/>
    <w:rsid w:val="00C30717"/>
    <w:rsid w:val="00C30A2E"/>
    <w:rsid w:val="00C30C56"/>
    <w:rsid w:val="00C31829"/>
    <w:rsid w:val="00C319D3"/>
    <w:rsid w:val="00C31E15"/>
    <w:rsid w:val="00C32304"/>
    <w:rsid w:val="00C323FD"/>
    <w:rsid w:val="00C32D29"/>
    <w:rsid w:val="00C33340"/>
    <w:rsid w:val="00C336E7"/>
    <w:rsid w:val="00C33711"/>
    <w:rsid w:val="00C337E0"/>
    <w:rsid w:val="00C338BF"/>
    <w:rsid w:val="00C33B3E"/>
    <w:rsid w:val="00C33BBE"/>
    <w:rsid w:val="00C33C90"/>
    <w:rsid w:val="00C33FDE"/>
    <w:rsid w:val="00C33FF2"/>
    <w:rsid w:val="00C34107"/>
    <w:rsid w:val="00C34544"/>
    <w:rsid w:val="00C34A1F"/>
    <w:rsid w:val="00C34C64"/>
    <w:rsid w:val="00C353EB"/>
    <w:rsid w:val="00C3546F"/>
    <w:rsid w:val="00C3629F"/>
    <w:rsid w:val="00C372A7"/>
    <w:rsid w:val="00C374DE"/>
    <w:rsid w:val="00C37D95"/>
    <w:rsid w:val="00C40120"/>
    <w:rsid w:val="00C4074D"/>
    <w:rsid w:val="00C40B22"/>
    <w:rsid w:val="00C40F4C"/>
    <w:rsid w:val="00C412F6"/>
    <w:rsid w:val="00C41E4D"/>
    <w:rsid w:val="00C424C0"/>
    <w:rsid w:val="00C42884"/>
    <w:rsid w:val="00C42C3A"/>
    <w:rsid w:val="00C4301B"/>
    <w:rsid w:val="00C43CAF"/>
    <w:rsid w:val="00C44396"/>
    <w:rsid w:val="00C44BB6"/>
    <w:rsid w:val="00C453C2"/>
    <w:rsid w:val="00C455D4"/>
    <w:rsid w:val="00C456F1"/>
    <w:rsid w:val="00C45C3E"/>
    <w:rsid w:val="00C45CDB"/>
    <w:rsid w:val="00C4648A"/>
    <w:rsid w:val="00C465E0"/>
    <w:rsid w:val="00C466B7"/>
    <w:rsid w:val="00C4687D"/>
    <w:rsid w:val="00C46E09"/>
    <w:rsid w:val="00C46F1D"/>
    <w:rsid w:val="00C4724B"/>
    <w:rsid w:val="00C4755C"/>
    <w:rsid w:val="00C47AD4"/>
    <w:rsid w:val="00C47C0E"/>
    <w:rsid w:val="00C501FF"/>
    <w:rsid w:val="00C50902"/>
    <w:rsid w:val="00C50949"/>
    <w:rsid w:val="00C50BEE"/>
    <w:rsid w:val="00C51E36"/>
    <w:rsid w:val="00C51EA3"/>
    <w:rsid w:val="00C5257F"/>
    <w:rsid w:val="00C5277F"/>
    <w:rsid w:val="00C5285C"/>
    <w:rsid w:val="00C529A2"/>
    <w:rsid w:val="00C52D81"/>
    <w:rsid w:val="00C53526"/>
    <w:rsid w:val="00C53768"/>
    <w:rsid w:val="00C53817"/>
    <w:rsid w:val="00C53C43"/>
    <w:rsid w:val="00C543CF"/>
    <w:rsid w:val="00C545C2"/>
    <w:rsid w:val="00C55198"/>
    <w:rsid w:val="00C55AB3"/>
    <w:rsid w:val="00C55C07"/>
    <w:rsid w:val="00C55C4F"/>
    <w:rsid w:val="00C55CC1"/>
    <w:rsid w:val="00C55F20"/>
    <w:rsid w:val="00C57B83"/>
    <w:rsid w:val="00C57D1F"/>
    <w:rsid w:val="00C600CE"/>
    <w:rsid w:val="00C60B9D"/>
    <w:rsid w:val="00C60DED"/>
    <w:rsid w:val="00C6126E"/>
    <w:rsid w:val="00C616F1"/>
    <w:rsid w:val="00C61714"/>
    <w:rsid w:val="00C61A25"/>
    <w:rsid w:val="00C61A95"/>
    <w:rsid w:val="00C620ED"/>
    <w:rsid w:val="00C6330E"/>
    <w:rsid w:val="00C6368D"/>
    <w:rsid w:val="00C63DFD"/>
    <w:rsid w:val="00C64292"/>
    <w:rsid w:val="00C6477A"/>
    <w:rsid w:val="00C648CD"/>
    <w:rsid w:val="00C649A3"/>
    <w:rsid w:val="00C64ADC"/>
    <w:rsid w:val="00C64C9D"/>
    <w:rsid w:val="00C64DA2"/>
    <w:rsid w:val="00C65681"/>
    <w:rsid w:val="00C6568A"/>
    <w:rsid w:val="00C659CB"/>
    <w:rsid w:val="00C66425"/>
    <w:rsid w:val="00C66602"/>
    <w:rsid w:val="00C66809"/>
    <w:rsid w:val="00C66B86"/>
    <w:rsid w:val="00C70219"/>
    <w:rsid w:val="00C70619"/>
    <w:rsid w:val="00C7120B"/>
    <w:rsid w:val="00C7122C"/>
    <w:rsid w:val="00C71660"/>
    <w:rsid w:val="00C71971"/>
    <w:rsid w:val="00C7213E"/>
    <w:rsid w:val="00C724C2"/>
    <w:rsid w:val="00C72CCE"/>
    <w:rsid w:val="00C738DB"/>
    <w:rsid w:val="00C73BBC"/>
    <w:rsid w:val="00C743E4"/>
    <w:rsid w:val="00C74523"/>
    <w:rsid w:val="00C74C70"/>
    <w:rsid w:val="00C751B7"/>
    <w:rsid w:val="00C75456"/>
    <w:rsid w:val="00C754AC"/>
    <w:rsid w:val="00C75CF4"/>
    <w:rsid w:val="00C75F02"/>
    <w:rsid w:val="00C75F26"/>
    <w:rsid w:val="00C763B1"/>
    <w:rsid w:val="00C7666B"/>
    <w:rsid w:val="00C768A8"/>
    <w:rsid w:val="00C77718"/>
    <w:rsid w:val="00C77759"/>
    <w:rsid w:val="00C77948"/>
    <w:rsid w:val="00C77DD0"/>
    <w:rsid w:val="00C80677"/>
    <w:rsid w:val="00C808FE"/>
    <w:rsid w:val="00C819AF"/>
    <w:rsid w:val="00C81E76"/>
    <w:rsid w:val="00C81F7A"/>
    <w:rsid w:val="00C823AE"/>
    <w:rsid w:val="00C82789"/>
    <w:rsid w:val="00C82818"/>
    <w:rsid w:val="00C82AB5"/>
    <w:rsid w:val="00C82C02"/>
    <w:rsid w:val="00C82C70"/>
    <w:rsid w:val="00C83585"/>
    <w:rsid w:val="00C8361D"/>
    <w:rsid w:val="00C84239"/>
    <w:rsid w:val="00C84B5A"/>
    <w:rsid w:val="00C86275"/>
    <w:rsid w:val="00C86B8E"/>
    <w:rsid w:val="00C86EA7"/>
    <w:rsid w:val="00C8715E"/>
    <w:rsid w:val="00C8721A"/>
    <w:rsid w:val="00C87AC1"/>
    <w:rsid w:val="00C87E36"/>
    <w:rsid w:val="00C87EE7"/>
    <w:rsid w:val="00C91284"/>
    <w:rsid w:val="00C91B1D"/>
    <w:rsid w:val="00C91B44"/>
    <w:rsid w:val="00C9272C"/>
    <w:rsid w:val="00C92995"/>
    <w:rsid w:val="00C92D9A"/>
    <w:rsid w:val="00C92E4B"/>
    <w:rsid w:val="00C92F48"/>
    <w:rsid w:val="00C93045"/>
    <w:rsid w:val="00C9325B"/>
    <w:rsid w:val="00C932DB"/>
    <w:rsid w:val="00C93368"/>
    <w:rsid w:val="00C93796"/>
    <w:rsid w:val="00C941BA"/>
    <w:rsid w:val="00C945CB"/>
    <w:rsid w:val="00C95117"/>
    <w:rsid w:val="00C95498"/>
    <w:rsid w:val="00C95565"/>
    <w:rsid w:val="00C96358"/>
    <w:rsid w:val="00C966D7"/>
    <w:rsid w:val="00C96BE9"/>
    <w:rsid w:val="00C96CC8"/>
    <w:rsid w:val="00C970DD"/>
    <w:rsid w:val="00C97165"/>
    <w:rsid w:val="00C97371"/>
    <w:rsid w:val="00C97CEB"/>
    <w:rsid w:val="00CA0084"/>
    <w:rsid w:val="00CA0D85"/>
    <w:rsid w:val="00CA0DA0"/>
    <w:rsid w:val="00CA0DA4"/>
    <w:rsid w:val="00CA17F1"/>
    <w:rsid w:val="00CA2FD4"/>
    <w:rsid w:val="00CA34F9"/>
    <w:rsid w:val="00CA3A0B"/>
    <w:rsid w:val="00CA3E84"/>
    <w:rsid w:val="00CA3FEF"/>
    <w:rsid w:val="00CA4020"/>
    <w:rsid w:val="00CA4168"/>
    <w:rsid w:val="00CA41D6"/>
    <w:rsid w:val="00CA4293"/>
    <w:rsid w:val="00CA4DF8"/>
    <w:rsid w:val="00CA50A2"/>
    <w:rsid w:val="00CA5634"/>
    <w:rsid w:val="00CA593D"/>
    <w:rsid w:val="00CA5AB5"/>
    <w:rsid w:val="00CA5BF8"/>
    <w:rsid w:val="00CA60CD"/>
    <w:rsid w:val="00CA6393"/>
    <w:rsid w:val="00CA6778"/>
    <w:rsid w:val="00CA7664"/>
    <w:rsid w:val="00CA7BD4"/>
    <w:rsid w:val="00CB0061"/>
    <w:rsid w:val="00CB0133"/>
    <w:rsid w:val="00CB01BB"/>
    <w:rsid w:val="00CB01E4"/>
    <w:rsid w:val="00CB02B0"/>
    <w:rsid w:val="00CB0963"/>
    <w:rsid w:val="00CB0A25"/>
    <w:rsid w:val="00CB0D94"/>
    <w:rsid w:val="00CB0EEC"/>
    <w:rsid w:val="00CB13CD"/>
    <w:rsid w:val="00CB1672"/>
    <w:rsid w:val="00CB172C"/>
    <w:rsid w:val="00CB18FF"/>
    <w:rsid w:val="00CB1BAB"/>
    <w:rsid w:val="00CB2191"/>
    <w:rsid w:val="00CB3379"/>
    <w:rsid w:val="00CB3CEA"/>
    <w:rsid w:val="00CB3D05"/>
    <w:rsid w:val="00CB42E5"/>
    <w:rsid w:val="00CB4F1F"/>
    <w:rsid w:val="00CB561D"/>
    <w:rsid w:val="00CB5953"/>
    <w:rsid w:val="00CB6165"/>
    <w:rsid w:val="00CB67F8"/>
    <w:rsid w:val="00CB6998"/>
    <w:rsid w:val="00CB6D0E"/>
    <w:rsid w:val="00CB6F2A"/>
    <w:rsid w:val="00CB7619"/>
    <w:rsid w:val="00CB7871"/>
    <w:rsid w:val="00CC05A5"/>
    <w:rsid w:val="00CC088E"/>
    <w:rsid w:val="00CC0BC0"/>
    <w:rsid w:val="00CC0EBD"/>
    <w:rsid w:val="00CC0F46"/>
    <w:rsid w:val="00CC14E0"/>
    <w:rsid w:val="00CC1C23"/>
    <w:rsid w:val="00CC21E6"/>
    <w:rsid w:val="00CC2C57"/>
    <w:rsid w:val="00CC30B4"/>
    <w:rsid w:val="00CC311E"/>
    <w:rsid w:val="00CC3371"/>
    <w:rsid w:val="00CC357D"/>
    <w:rsid w:val="00CC4057"/>
    <w:rsid w:val="00CC4748"/>
    <w:rsid w:val="00CC4775"/>
    <w:rsid w:val="00CC489F"/>
    <w:rsid w:val="00CC4A15"/>
    <w:rsid w:val="00CC56CD"/>
    <w:rsid w:val="00CC5DD7"/>
    <w:rsid w:val="00CC5EAA"/>
    <w:rsid w:val="00CC6838"/>
    <w:rsid w:val="00CC6965"/>
    <w:rsid w:val="00CC6A01"/>
    <w:rsid w:val="00CC6B81"/>
    <w:rsid w:val="00CC6C66"/>
    <w:rsid w:val="00CC7679"/>
    <w:rsid w:val="00CC78B2"/>
    <w:rsid w:val="00CC7D77"/>
    <w:rsid w:val="00CC7DFA"/>
    <w:rsid w:val="00CD0C08"/>
    <w:rsid w:val="00CD0FAA"/>
    <w:rsid w:val="00CD149E"/>
    <w:rsid w:val="00CD21EF"/>
    <w:rsid w:val="00CD2B9D"/>
    <w:rsid w:val="00CD3C9E"/>
    <w:rsid w:val="00CD3E18"/>
    <w:rsid w:val="00CD3E9E"/>
    <w:rsid w:val="00CD4357"/>
    <w:rsid w:val="00CD44F9"/>
    <w:rsid w:val="00CD5457"/>
    <w:rsid w:val="00CD5847"/>
    <w:rsid w:val="00CD5927"/>
    <w:rsid w:val="00CD5E3E"/>
    <w:rsid w:val="00CD5F76"/>
    <w:rsid w:val="00CD682E"/>
    <w:rsid w:val="00CD68F6"/>
    <w:rsid w:val="00CD6DA5"/>
    <w:rsid w:val="00CD6FA8"/>
    <w:rsid w:val="00CD75A5"/>
    <w:rsid w:val="00CD786F"/>
    <w:rsid w:val="00CD7978"/>
    <w:rsid w:val="00CD7C1B"/>
    <w:rsid w:val="00CE03FB"/>
    <w:rsid w:val="00CE0499"/>
    <w:rsid w:val="00CE074D"/>
    <w:rsid w:val="00CE0924"/>
    <w:rsid w:val="00CE093C"/>
    <w:rsid w:val="00CE1006"/>
    <w:rsid w:val="00CE117C"/>
    <w:rsid w:val="00CE15A0"/>
    <w:rsid w:val="00CE23FF"/>
    <w:rsid w:val="00CE2AC5"/>
    <w:rsid w:val="00CE2B0D"/>
    <w:rsid w:val="00CE2CA1"/>
    <w:rsid w:val="00CE3AAC"/>
    <w:rsid w:val="00CE3AEF"/>
    <w:rsid w:val="00CE433C"/>
    <w:rsid w:val="00CE45F4"/>
    <w:rsid w:val="00CE46AB"/>
    <w:rsid w:val="00CE4FA7"/>
    <w:rsid w:val="00CE521A"/>
    <w:rsid w:val="00CE5869"/>
    <w:rsid w:val="00CE59F2"/>
    <w:rsid w:val="00CE6E0D"/>
    <w:rsid w:val="00CE70B9"/>
    <w:rsid w:val="00CE748F"/>
    <w:rsid w:val="00CE79D4"/>
    <w:rsid w:val="00CF0161"/>
    <w:rsid w:val="00CF0196"/>
    <w:rsid w:val="00CF0467"/>
    <w:rsid w:val="00CF0600"/>
    <w:rsid w:val="00CF0675"/>
    <w:rsid w:val="00CF0AA9"/>
    <w:rsid w:val="00CF1920"/>
    <w:rsid w:val="00CF19B3"/>
    <w:rsid w:val="00CF1E62"/>
    <w:rsid w:val="00CF22C4"/>
    <w:rsid w:val="00CF2B68"/>
    <w:rsid w:val="00CF2B8B"/>
    <w:rsid w:val="00CF2DF0"/>
    <w:rsid w:val="00CF2FD7"/>
    <w:rsid w:val="00CF3364"/>
    <w:rsid w:val="00CF33F3"/>
    <w:rsid w:val="00CF341E"/>
    <w:rsid w:val="00CF3788"/>
    <w:rsid w:val="00CF4055"/>
    <w:rsid w:val="00CF41ED"/>
    <w:rsid w:val="00CF4833"/>
    <w:rsid w:val="00CF49E4"/>
    <w:rsid w:val="00CF4A9A"/>
    <w:rsid w:val="00CF4C94"/>
    <w:rsid w:val="00CF5B68"/>
    <w:rsid w:val="00CF6191"/>
    <w:rsid w:val="00CF6B68"/>
    <w:rsid w:val="00CF6CBE"/>
    <w:rsid w:val="00CF6EEB"/>
    <w:rsid w:val="00CF7317"/>
    <w:rsid w:val="00CF77E4"/>
    <w:rsid w:val="00CF7D1F"/>
    <w:rsid w:val="00D0018D"/>
    <w:rsid w:val="00D008A6"/>
    <w:rsid w:val="00D00C60"/>
    <w:rsid w:val="00D00F89"/>
    <w:rsid w:val="00D0156C"/>
    <w:rsid w:val="00D02756"/>
    <w:rsid w:val="00D0290B"/>
    <w:rsid w:val="00D02A08"/>
    <w:rsid w:val="00D02FB4"/>
    <w:rsid w:val="00D0307F"/>
    <w:rsid w:val="00D03BE6"/>
    <w:rsid w:val="00D03C85"/>
    <w:rsid w:val="00D04074"/>
    <w:rsid w:val="00D0426F"/>
    <w:rsid w:val="00D04856"/>
    <w:rsid w:val="00D04AA7"/>
    <w:rsid w:val="00D054FE"/>
    <w:rsid w:val="00D05622"/>
    <w:rsid w:val="00D058C3"/>
    <w:rsid w:val="00D05BCA"/>
    <w:rsid w:val="00D05C48"/>
    <w:rsid w:val="00D06183"/>
    <w:rsid w:val="00D0622F"/>
    <w:rsid w:val="00D06474"/>
    <w:rsid w:val="00D06481"/>
    <w:rsid w:val="00D0657F"/>
    <w:rsid w:val="00D06875"/>
    <w:rsid w:val="00D06BE1"/>
    <w:rsid w:val="00D070A3"/>
    <w:rsid w:val="00D07F2F"/>
    <w:rsid w:val="00D10546"/>
    <w:rsid w:val="00D1077A"/>
    <w:rsid w:val="00D10C80"/>
    <w:rsid w:val="00D10D69"/>
    <w:rsid w:val="00D11E71"/>
    <w:rsid w:val="00D11F8D"/>
    <w:rsid w:val="00D12A1C"/>
    <w:rsid w:val="00D12F2E"/>
    <w:rsid w:val="00D13444"/>
    <w:rsid w:val="00D13553"/>
    <w:rsid w:val="00D1366A"/>
    <w:rsid w:val="00D13963"/>
    <w:rsid w:val="00D13E70"/>
    <w:rsid w:val="00D14743"/>
    <w:rsid w:val="00D14B49"/>
    <w:rsid w:val="00D14FE7"/>
    <w:rsid w:val="00D150DC"/>
    <w:rsid w:val="00D15283"/>
    <w:rsid w:val="00D15CC8"/>
    <w:rsid w:val="00D16093"/>
    <w:rsid w:val="00D162BD"/>
    <w:rsid w:val="00D16B72"/>
    <w:rsid w:val="00D16CAC"/>
    <w:rsid w:val="00D16D89"/>
    <w:rsid w:val="00D16E76"/>
    <w:rsid w:val="00D1734F"/>
    <w:rsid w:val="00D17380"/>
    <w:rsid w:val="00D1770E"/>
    <w:rsid w:val="00D20117"/>
    <w:rsid w:val="00D20171"/>
    <w:rsid w:val="00D204F7"/>
    <w:rsid w:val="00D20557"/>
    <w:rsid w:val="00D2090F"/>
    <w:rsid w:val="00D212C8"/>
    <w:rsid w:val="00D2165B"/>
    <w:rsid w:val="00D218E0"/>
    <w:rsid w:val="00D21BCD"/>
    <w:rsid w:val="00D21D27"/>
    <w:rsid w:val="00D225B1"/>
    <w:rsid w:val="00D22C42"/>
    <w:rsid w:val="00D23B1B"/>
    <w:rsid w:val="00D2414D"/>
    <w:rsid w:val="00D241C5"/>
    <w:rsid w:val="00D241D6"/>
    <w:rsid w:val="00D24BDA"/>
    <w:rsid w:val="00D2504B"/>
    <w:rsid w:val="00D25484"/>
    <w:rsid w:val="00D25FFD"/>
    <w:rsid w:val="00D262C6"/>
    <w:rsid w:val="00D26C92"/>
    <w:rsid w:val="00D26E4A"/>
    <w:rsid w:val="00D27274"/>
    <w:rsid w:val="00D27657"/>
    <w:rsid w:val="00D27A48"/>
    <w:rsid w:val="00D27CF0"/>
    <w:rsid w:val="00D31023"/>
    <w:rsid w:val="00D31143"/>
    <w:rsid w:val="00D3154C"/>
    <w:rsid w:val="00D319BB"/>
    <w:rsid w:val="00D31EC4"/>
    <w:rsid w:val="00D3234A"/>
    <w:rsid w:val="00D3259B"/>
    <w:rsid w:val="00D32A5B"/>
    <w:rsid w:val="00D32ABA"/>
    <w:rsid w:val="00D330B7"/>
    <w:rsid w:val="00D33580"/>
    <w:rsid w:val="00D338E4"/>
    <w:rsid w:val="00D343D8"/>
    <w:rsid w:val="00D34485"/>
    <w:rsid w:val="00D3452E"/>
    <w:rsid w:val="00D34DFD"/>
    <w:rsid w:val="00D35292"/>
    <w:rsid w:val="00D35929"/>
    <w:rsid w:val="00D364FA"/>
    <w:rsid w:val="00D368C7"/>
    <w:rsid w:val="00D36D19"/>
    <w:rsid w:val="00D3703C"/>
    <w:rsid w:val="00D376CF"/>
    <w:rsid w:val="00D401A0"/>
    <w:rsid w:val="00D40E67"/>
    <w:rsid w:val="00D42119"/>
    <w:rsid w:val="00D422FE"/>
    <w:rsid w:val="00D42390"/>
    <w:rsid w:val="00D4309F"/>
    <w:rsid w:val="00D435A0"/>
    <w:rsid w:val="00D43931"/>
    <w:rsid w:val="00D44063"/>
    <w:rsid w:val="00D445C7"/>
    <w:rsid w:val="00D446E0"/>
    <w:rsid w:val="00D44CDF"/>
    <w:rsid w:val="00D45A98"/>
    <w:rsid w:val="00D45B60"/>
    <w:rsid w:val="00D45B89"/>
    <w:rsid w:val="00D45FB7"/>
    <w:rsid w:val="00D46A73"/>
    <w:rsid w:val="00D46C0F"/>
    <w:rsid w:val="00D473AD"/>
    <w:rsid w:val="00D477EE"/>
    <w:rsid w:val="00D47F80"/>
    <w:rsid w:val="00D5022C"/>
    <w:rsid w:val="00D504A1"/>
    <w:rsid w:val="00D50777"/>
    <w:rsid w:val="00D50E6C"/>
    <w:rsid w:val="00D50FD9"/>
    <w:rsid w:val="00D515D8"/>
    <w:rsid w:val="00D5194E"/>
    <w:rsid w:val="00D51D0C"/>
    <w:rsid w:val="00D52A5B"/>
    <w:rsid w:val="00D5322E"/>
    <w:rsid w:val="00D53CFA"/>
    <w:rsid w:val="00D547CD"/>
    <w:rsid w:val="00D54AE6"/>
    <w:rsid w:val="00D54D1C"/>
    <w:rsid w:val="00D5528C"/>
    <w:rsid w:val="00D552B5"/>
    <w:rsid w:val="00D5538B"/>
    <w:rsid w:val="00D55481"/>
    <w:rsid w:val="00D55997"/>
    <w:rsid w:val="00D55D58"/>
    <w:rsid w:val="00D55F20"/>
    <w:rsid w:val="00D562DF"/>
    <w:rsid w:val="00D56C4E"/>
    <w:rsid w:val="00D56E59"/>
    <w:rsid w:val="00D57130"/>
    <w:rsid w:val="00D57727"/>
    <w:rsid w:val="00D57E26"/>
    <w:rsid w:val="00D57F4C"/>
    <w:rsid w:val="00D600B6"/>
    <w:rsid w:val="00D6022F"/>
    <w:rsid w:val="00D60497"/>
    <w:rsid w:val="00D6055F"/>
    <w:rsid w:val="00D605FC"/>
    <w:rsid w:val="00D617C4"/>
    <w:rsid w:val="00D61F7B"/>
    <w:rsid w:val="00D61FD8"/>
    <w:rsid w:val="00D62179"/>
    <w:rsid w:val="00D62507"/>
    <w:rsid w:val="00D625D2"/>
    <w:rsid w:val="00D62719"/>
    <w:rsid w:val="00D628E4"/>
    <w:rsid w:val="00D6298D"/>
    <w:rsid w:val="00D62A4C"/>
    <w:rsid w:val="00D62D52"/>
    <w:rsid w:val="00D62FBD"/>
    <w:rsid w:val="00D638BE"/>
    <w:rsid w:val="00D63BEC"/>
    <w:rsid w:val="00D640A2"/>
    <w:rsid w:val="00D64389"/>
    <w:rsid w:val="00D64743"/>
    <w:rsid w:val="00D64E6D"/>
    <w:rsid w:val="00D64EE0"/>
    <w:rsid w:val="00D64F6C"/>
    <w:rsid w:val="00D65041"/>
    <w:rsid w:val="00D656C7"/>
    <w:rsid w:val="00D65F0E"/>
    <w:rsid w:val="00D6645D"/>
    <w:rsid w:val="00D66683"/>
    <w:rsid w:val="00D669EC"/>
    <w:rsid w:val="00D66C15"/>
    <w:rsid w:val="00D671F6"/>
    <w:rsid w:val="00D679C5"/>
    <w:rsid w:val="00D67AD7"/>
    <w:rsid w:val="00D67CB3"/>
    <w:rsid w:val="00D7009B"/>
    <w:rsid w:val="00D70562"/>
    <w:rsid w:val="00D706F5"/>
    <w:rsid w:val="00D707EE"/>
    <w:rsid w:val="00D709BB"/>
    <w:rsid w:val="00D70A98"/>
    <w:rsid w:val="00D70D30"/>
    <w:rsid w:val="00D70E98"/>
    <w:rsid w:val="00D71261"/>
    <w:rsid w:val="00D71CC3"/>
    <w:rsid w:val="00D7213D"/>
    <w:rsid w:val="00D721D9"/>
    <w:rsid w:val="00D724FB"/>
    <w:rsid w:val="00D72D0D"/>
    <w:rsid w:val="00D72E3D"/>
    <w:rsid w:val="00D73909"/>
    <w:rsid w:val="00D73F1A"/>
    <w:rsid w:val="00D74019"/>
    <w:rsid w:val="00D743BA"/>
    <w:rsid w:val="00D74AA0"/>
    <w:rsid w:val="00D74D56"/>
    <w:rsid w:val="00D7530F"/>
    <w:rsid w:val="00D7575B"/>
    <w:rsid w:val="00D7575D"/>
    <w:rsid w:val="00D75C17"/>
    <w:rsid w:val="00D76759"/>
    <w:rsid w:val="00D76D1F"/>
    <w:rsid w:val="00D773D5"/>
    <w:rsid w:val="00D7755E"/>
    <w:rsid w:val="00D77774"/>
    <w:rsid w:val="00D778FA"/>
    <w:rsid w:val="00D77A52"/>
    <w:rsid w:val="00D77BF6"/>
    <w:rsid w:val="00D8012A"/>
    <w:rsid w:val="00D80187"/>
    <w:rsid w:val="00D802B3"/>
    <w:rsid w:val="00D806A6"/>
    <w:rsid w:val="00D80964"/>
    <w:rsid w:val="00D809AB"/>
    <w:rsid w:val="00D80F58"/>
    <w:rsid w:val="00D81201"/>
    <w:rsid w:val="00D8124C"/>
    <w:rsid w:val="00D817CD"/>
    <w:rsid w:val="00D81DA6"/>
    <w:rsid w:val="00D823C9"/>
    <w:rsid w:val="00D824D8"/>
    <w:rsid w:val="00D83C82"/>
    <w:rsid w:val="00D84235"/>
    <w:rsid w:val="00D84E9E"/>
    <w:rsid w:val="00D85101"/>
    <w:rsid w:val="00D856FC"/>
    <w:rsid w:val="00D85C74"/>
    <w:rsid w:val="00D85E26"/>
    <w:rsid w:val="00D85EC3"/>
    <w:rsid w:val="00D85F57"/>
    <w:rsid w:val="00D863B9"/>
    <w:rsid w:val="00D8782B"/>
    <w:rsid w:val="00D87C19"/>
    <w:rsid w:val="00D9051E"/>
    <w:rsid w:val="00D90B9F"/>
    <w:rsid w:val="00D9113A"/>
    <w:rsid w:val="00D91650"/>
    <w:rsid w:val="00D91853"/>
    <w:rsid w:val="00D91C53"/>
    <w:rsid w:val="00D91F4C"/>
    <w:rsid w:val="00D92235"/>
    <w:rsid w:val="00D92AB4"/>
    <w:rsid w:val="00D93045"/>
    <w:rsid w:val="00D9322C"/>
    <w:rsid w:val="00D93291"/>
    <w:rsid w:val="00D93520"/>
    <w:rsid w:val="00D9363E"/>
    <w:rsid w:val="00D937D0"/>
    <w:rsid w:val="00D93B58"/>
    <w:rsid w:val="00D93BEC"/>
    <w:rsid w:val="00D9495A"/>
    <w:rsid w:val="00D95CB9"/>
    <w:rsid w:val="00D961E9"/>
    <w:rsid w:val="00D9654E"/>
    <w:rsid w:val="00D96598"/>
    <w:rsid w:val="00D96CFA"/>
    <w:rsid w:val="00D96F76"/>
    <w:rsid w:val="00D96F81"/>
    <w:rsid w:val="00D972F0"/>
    <w:rsid w:val="00D97B48"/>
    <w:rsid w:val="00DA0119"/>
    <w:rsid w:val="00DA0330"/>
    <w:rsid w:val="00DA095A"/>
    <w:rsid w:val="00DA0B79"/>
    <w:rsid w:val="00DA0B7F"/>
    <w:rsid w:val="00DA1466"/>
    <w:rsid w:val="00DA20C4"/>
    <w:rsid w:val="00DA21DD"/>
    <w:rsid w:val="00DA29FC"/>
    <w:rsid w:val="00DA312B"/>
    <w:rsid w:val="00DA403E"/>
    <w:rsid w:val="00DA4379"/>
    <w:rsid w:val="00DA4583"/>
    <w:rsid w:val="00DA6068"/>
    <w:rsid w:val="00DA6279"/>
    <w:rsid w:val="00DA6318"/>
    <w:rsid w:val="00DA6936"/>
    <w:rsid w:val="00DA69F8"/>
    <w:rsid w:val="00DA724B"/>
    <w:rsid w:val="00DA75CB"/>
    <w:rsid w:val="00DA76FF"/>
    <w:rsid w:val="00DA797D"/>
    <w:rsid w:val="00DA7E24"/>
    <w:rsid w:val="00DB0123"/>
    <w:rsid w:val="00DB03F0"/>
    <w:rsid w:val="00DB1322"/>
    <w:rsid w:val="00DB1839"/>
    <w:rsid w:val="00DB1936"/>
    <w:rsid w:val="00DB1FF0"/>
    <w:rsid w:val="00DB268F"/>
    <w:rsid w:val="00DB2C23"/>
    <w:rsid w:val="00DB2DE1"/>
    <w:rsid w:val="00DB2EBA"/>
    <w:rsid w:val="00DB2F5C"/>
    <w:rsid w:val="00DB3160"/>
    <w:rsid w:val="00DB34A3"/>
    <w:rsid w:val="00DB384B"/>
    <w:rsid w:val="00DB3C72"/>
    <w:rsid w:val="00DB3CD1"/>
    <w:rsid w:val="00DB3DD3"/>
    <w:rsid w:val="00DB403E"/>
    <w:rsid w:val="00DB42C8"/>
    <w:rsid w:val="00DB51D1"/>
    <w:rsid w:val="00DB52D5"/>
    <w:rsid w:val="00DB5FEB"/>
    <w:rsid w:val="00DB6C30"/>
    <w:rsid w:val="00DB6E5C"/>
    <w:rsid w:val="00DB6F94"/>
    <w:rsid w:val="00DB717E"/>
    <w:rsid w:val="00DB7456"/>
    <w:rsid w:val="00DC02BB"/>
    <w:rsid w:val="00DC0363"/>
    <w:rsid w:val="00DC05D9"/>
    <w:rsid w:val="00DC0A70"/>
    <w:rsid w:val="00DC0D39"/>
    <w:rsid w:val="00DC0DD8"/>
    <w:rsid w:val="00DC0E7E"/>
    <w:rsid w:val="00DC0EA8"/>
    <w:rsid w:val="00DC0F60"/>
    <w:rsid w:val="00DC140E"/>
    <w:rsid w:val="00DC1DC3"/>
    <w:rsid w:val="00DC241E"/>
    <w:rsid w:val="00DC2792"/>
    <w:rsid w:val="00DC298C"/>
    <w:rsid w:val="00DC2ECE"/>
    <w:rsid w:val="00DC2F0F"/>
    <w:rsid w:val="00DC3085"/>
    <w:rsid w:val="00DC34C8"/>
    <w:rsid w:val="00DC493D"/>
    <w:rsid w:val="00DC4966"/>
    <w:rsid w:val="00DC4AC3"/>
    <w:rsid w:val="00DC4CC2"/>
    <w:rsid w:val="00DC4FC2"/>
    <w:rsid w:val="00DC5A0B"/>
    <w:rsid w:val="00DC5D9F"/>
    <w:rsid w:val="00DC60A9"/>
    <w:rsid w:val="00DC62B1"/>
    <w:rsid w:val="00DC6771"/>
    <w:rsid w:val="00DC67D1"/>
    <w:rsid w:val="00DC6942"/>
    <w:rsid w:val="00DC6A37"/>
    <w:rsid w:val="00DC7A1F"/>
    <w:rsid w:val="00DD1123"/>
    <w:rsid w:val="00DD1611"/>
    <w:rsid w:val="00DD1F2E"/>
    <w:rsid w:val="00DD2B87"/>
    <w:rsid w:val="00DD2CE6"/>
    <w:rsid w:val="00DD309B"/>
    <w:rsid w:val="00DD3BE2"/>
    <w:rsid w:val="00DD3DF6"/>
    <w:rsid w:val="00DD3DFE"/>
    <w:rsid w:val="00DD4274"/>
    <w:rsid w:val="00DD4730"/>
    <w:rsid w:val="00DD52A0"/>
    <w:rsid w:val="00DD56A0"/>
    <w:rsid w:val="00DD5A54"/>
    <w:rsid w:val="00DD5BA2"/>
    <w:rsid w:val="00DD5D37"/>
    <w:rsid w:val="00DD63CE"/>
    <w:rsid w:val="00DD63FF"/>
    <w:rsid w:val="00DD6BFD"/>
    <w:rsid w:val="00DD76A2"/>
    <w:rsid w:val="00DD79C1"/>
    <w:rsid w:val="00DE0621"/>
    <w:rsid w:val="00DE086A"/>
    <w:rsid w:val="00DE08D8"/>
    <w:rsid w:val="00DE1082"/>
    <w:rsid w:val="00DE10E5"/>
    <w:rsid w:val="00DE1197"/>
    <w:rsid w:val="00DE17F0"/>
    <w:rsid w:val="00DE2150"/>
    <w:rsid w:val="00DE26D6"/>
    <w:rsid w:val="00DE270A"/>
    <w:rsid w:val="00DE28D1"/>
    <w:rsid w:val="00DE3048"/>
    <w:rsid w:val="00DE3166"/>
    <w:rsid w:val="00DE34C3"/>
    <w:rsid w:val="00DE356E"/>
    <w:rsid w:val="00DE38D4"/>
    <w:rsid w:val="00DE3DA0"/>
    <w:rsid w:val="00DE3E9A"/>
    <w:rsid w:val="00DE3F52"/>
    <w:rsid w:val="00DE4698"/>
    <w:rsid w:val="00DE50AB"/>
    <w:rsid w:val="00DE50B4"/>
    <w:rsid w:val="00DE646F"/>
    <w:rsid w:val="00DE6E22"/>
    <w:rsid w:val="00DE6EB2"/>
    <w:rsid w:val="00DE726C"/>
    <w:rsid w:val="00DE7C3F"/>
    <w:rsid w:val="00DF0189"/>
    <w:rsid w:val="00DF17C8"/>
    <w:rsid w:val="00DF1E70"/>
    <w:rsid w:val="00DF2021"/>
    <w:rsid w:val="00DF2159"/>
    <w:rsid w:val="00DF2520"/>
    <w:rsid w:val="00DF40AB"/>
    <w:rsid w:val="00DF41B2"/>
    <w:rsid w:val="00DF4AFA"/>
    <w:rsid w:val="00DF4FB9"/>
    <w:rsid w:val="00DF5060"/>
    <w:rsid w:val="00DF513E"/>
    <w:rsid w:val="00DF5718"/>
    <w:rsid w:val="00DF5921"/>
    <w:rsid w:val="00DF5D4F"/>
    <w:rsid w:val="00DF66E9"/>
    <w:rsid w:val="00DF670F"/>
    <w:rsid w:val="00DF6C25"/>
    <w:rsid w:val="00DF75A4"/>
    <w:rsid w:val="00DF7994"/>
    <w:rsid w:val="00DFD1BE"/>
    <w:rsid w:val="00E001ED"/>
    <w:rsid w:val="00E00D38"/>
    <w:rsid w:val="00E011A3"/>
    <w:rsid w:val="00E012E8"/>
    <w:rsid w:val="00E014C5"/>
    <w:rsid w:val="00E01849"/>
    <w:rsid w:val="00E01CAF"/>
    <w:rsid w:val="00E032C3"/>
    <w:rsid w:val="00E0330D"/>
    <w:rsid w:val="00E03635"/>
    <w:rsid w:val="00E03E42"/>
    <w:rsid w:val="00E03FFC"/>
    <w:rsid w:val="00E041F6"/>
    <w:rsid w:val="00E0459F"/>
    <w:rsid w:val="00E050EB"/>
    <w:rsid w:val="00E05129"/>
    <w:rsid w:val="00E05542"/>
    <w:rsid w:val="00E055B9"/>
    <w:rsid w:val="00E057D3"/>
    <w:rsid w:val="00E05B19"/>
    <w:rsid w:val="00E05BCD"/>
    <w:rsid w:val="00E0695A"/>
    <w:rsid w:val="00E06B1C"/>
    <w:rsid w:val="00E06EA2"/>
    <w:rsid w:val="00E06FD5"/>
    <w:rsid w:val="00E07352"/>
    <w:rsid w:val="00E077B7"/>
    <w:rsid w:val="00E07BC1"/>
    <w:rsid w:val="00E07EB5"/>
    <w:rsid w:val="00E10B74"/>
    <w:rsid w:val="00E10C9C"/>
    <w:rsid w:val="00E10DF4"/>
    <w:rsid w:val="00E10E1F"/>
    <w:rsid w:val="00E10E80"/>
    <w:rsid w:val="00E119CE"/>
    <w:rsid w:val="00E11F07"/>
    <w:rsid w:val="00E124F0"/>
    <w:rsid w:val="00E12571"/>
    <w:rsid w:val="00E1303D"/>
    <w:rsid w:val="00E13ABE"/>
    <w:rsid w:val="00E14096"/>
    <w:rsid w:val="00E146BB"/>
    <w:rsid w:val="00E14829"/>
    <w:rsid w:val="00E14F70"/>
    <w:rsid w:val="00E1523A"/>
    <w:rsid w:val="00E152CB"/>
    <w:rsid w:val="00E15671"/>
    <w:rsid w:val="00E15AF5"/>
    <w:rsid w:val="00E15E56"/>
    <w:rsid w:val="00E164E3"/>
    <w:rsid w:val="00E16740"/>
    <w:rsid w:val="00E1747C"/>
    <w:rsid w:val="00E176BA"/>
    <w:rsid w:val="00E17855"/>
    <w:rsid w:val="00E2024E"/>
    <w:rsid w:val="00E2078A"/>
    <w:rsid w:val="00E215BC"/>
    <w:rsid w:val="00E215C6"/>
    <w:rsid w:val="00E21DA7"/>
    <w:rsid w:val="00E22209"/>
    <w:rsid w:val="00E22473"/>
    <w:rsid w:val="00E22568"/>
    <w:rsid w:val="00E22776"/>
    <w:rsid w:val="00E22898"/>
    <w:rsid w:val="00E22B14"/>
    <w:rsid w:val="00E22DA8"/>
    <w:rsid w:val="00E22E1F"/>
    <w:rsid w:val="00E232F5"/>
    <w:rsid w:val="00E23669"/>
    <w:rsid w:val="00E23A16"/>
    <w:rsid w:val="00E23A3B"/>
    <w:rsid w:val="00E23C38"/>
    <w:rsid w:val="00E23CC6"/>
    <w:rsid w:val="00E2425A"/>
    <w:rsid w:val="00E242B2"/>
    <w:rsid w:val="00E242D9"/>
    <w:rsid w:val="00E2492D"/>
    <w:rsid w:val="00E24B62"/>
    <w:rsid w:val="00E258A0"/>
    <w:rsid w:val="00E25A58"/>
    <w:rsid w:val="00E26DD3"/>
    <w:rsid w:val="00E27298"/>
    <w:rsid w:val="00E274B1"/>
    <w:rsid w:val="00E274DA"/>
    <w:rsid w:val="00E274F6"/>
    <w:rsid w:val="00E27CFF"/>
    <w:rsid w:val="00E2EE8B"/>
    <w:rsid w:val="00E30190"/>
    <w:rsid w:val="00E30360"/>
    <w:rsid w:val="00E30A6B"/>
    <w:rsid w:val="00E30CE6"/>
    <w:rsid w:val="00E30EE6"/>
    <w:rsid w:val="00E31595"/>
    <w:rsid w:val="00E3174A"/>
    <w:rsid w:val="00E318DA"/>
    <w:rsid w:val="00E318E9"/>
    <w:rsid w:val="00E31A4C"/>
    <w:rsid w:val="00E322B7"/>
    <w:rsid w:val="00E32681"/>
    <w:rsid w:val="00E32A91"/>
    <w:rsid w:val="00E330D5"/>
    <w:rsid w:val="00E335E8"/>
    <w:rsid w:val="00E34263"/>
    <w:rsid w:val="00E34A27"/>
    <w:rsid w:val="00E34AC0"/>
    <w:rsid w:val="00E34B4E"/>
    <w:rsid w:val="00E34FC8"/>
    <w:rsid w:val="00E35015"/>
    <w:rsid w:val="00E3501F"/>
    <w:rsid w:val="00E35B66"/>
    <w:rsid w:val="00E35E18"/>
    <w:rsid w:val="00E363B8"/>
    <w:rsid w:val="00E3666F"/>
    <w:rsid w:val="00E36EEE"/>
    <w:rsid w:val="00E37371"/>
    <w:rsid w:val="00E377C6"/>
    <w:rsid w:val="00E37E86"/>
    <w:rsid w:val="00E40268"/>
    <w:rsid w:val="00E4027B"/>
    <w:rsid w:val="00E41A2B"/>
    <w:rsid w:val="00E422F5"/>
    <w:rsid w:val="00E42C89"/>
    <w:rsid w:val="00E4330B"/>
    <w:rsid w:val="00E4383F"/>
    <w:rsid w:val="00E44C6F"/>
    <w:rsid w:val="00E44C73"/>
    <w:rsid w:val="00E452FA"/>
    <w:rsid w:val="00E4591C"/>
    <w:rsid w:val="00E45B10"/>
    <w:rsid w:val="00E45D28"/>
    <w:rsid w:val="00E4642B"/>
    <w:rsid w:val="00E479C3"/>
    <w:rsid w:val="00E5021F"/>
    <w:rsid w:val="00E505C6"/>
    <w:rsid w:val="00E5077D"/>
    <w:rsid w:val="00E50E32"/>
    <w:rsid w:val="00E50E45"/>
    <w:rsid w:val="00E51138"/>
    <w:rsid w:val="00E5117E"/>
    <w:rsid w:val="00E51293"/>
    <w:rsid w:val="00E518A8"/>
    <w:rsid w:val="00E52404"/>
    <w:rsid w:val="00E52B1D"/>
    <w:rsid w:val="00E52CEB"/>
    <w:rsid w:val="00E53052"/>
    <w:rsid w:val="00E535EB"/>
    <w:rsid w:val="00E53A8E"/>
    <w:rsid w:val="00E53C93"/>
    <w:rsid w:val="00E53C9C"/>
    <w:rsid w:val="00E544AA"/>
    <w:rsid w:val="00E54992"/>
    <w:rsid w:val="00E54FC2"/>
    <w:rsid w:val="00E556B2"/>
    <w:rsid w:val="00E558AB"/>
    <w:rsid w:val="00E55A4A"/>
    <w:rsid w:val="00E55B4B"/>
    <w:rsid w:val="00E562F5"/>
    <w:rsid w:val="00E56CBB"/>
    <w:rsid w:val="00E57C51"/>
    <w:rsid w:val="00E57F10"/>
    <w:rsid w:val="00E601F5"/>
    <w:rsid w:val="00E602A6"/>
    <w:rsid w:val="00E6075B"/>
    <w:rsid w:val="00E6080E"/>
    <w:rsid w:val="00E60F04"/>
    <w:rsid w:val="00E61336"/>
    <w:rsid w:val="00E618E6"/>
    <w:rsid w:val="00E62034"/>
    <w:rsid w:val="00E6227F"/>
    <w:rsid w:val="00E6243D"/>
    <w:rsid w:val="00E625C4"/>
    <w:rsid w:val="00E6265E"/>
    <w:rsid w:val="00E627CE"/>
    <w:rsid w:val="00E62941"/>
    <w:rsid w:val="00E62C5B"/>
    <w:rsid w:val="00E62CDF"/>
    <w:rsid w:val="00E62CEE"/>
    <w:rsid w:val="00E62D40"/>
    <w:rsid w:val="00E62FDE"/>
    <w:rsid w:val="00E637CE"/>
    <w:rsid w:val="00E637E6"/>
    <w:rsid w:val="00E63AA3"/>
    <w:rsid w:val="00E64319"/>
    <w:rsid w:val="00E6476B"/>
    <w:rsid w:val="00E64CDB"/>
    <w:rsid w:val="00E64D3B"/>
    <w:rsid w:val="00E658BD"/>
    <w:rsid w:val="00E65904"/>
    <w:rsid w:val="00E65B24"/>
    <w:rsid w:val="00E65C6C"/>
    <w:rsid w:val="00E66579"/>
    <w:rsid w:val="00E666DD"/>
    <w:rsid w:val="00E67970"/>
    <w:rsid w:val="00E67DAE"/>
    <w:rsid w:val="00E67E37"/>
    <w:rsid w:val="00E701BF"/>
    <w:rsid w:val="00E704F7"/>
    <w:rsid w:val="00E70588"/>
    <w:rsid w:val="00E70807"/>
    <w:rsid w:val="00E71398"/>
    <w:rsid w:val="00E71E04"/>
    <w:rsid w:val="00E722EC"/>
    <w:rsid w:val="00E72441"/>
    <w:rsid w:val="00E72491"/>
    <w:rsid w:val="00E730D3"/>
    <w:rsid w:val="00E73475"/>
    <w:rsid w:val="00E73D7B"/>
    <w:rsid w:val="00E74A69"/>
    <w:rsid w:val="00E74D84"/>
    <w:rsid w:val="00E74DF4"/>
    <w:rsid w:val="00E7597E"/>
    <w:rsid w:val="00E75A3F"/>
    <w:rsid w:val="00E76328"/>
    <w:rsid w:val="00E76B5F"/>
    <w:rsid w:val="00E77711"/>
    <w:rsid w:val="00E77D3E"/>
    <w:rsid w:val="00E80329"/>
    <w:rsid w:val="00E806AB"/>
    <w:rsid w:val="00E80DBA"/>
    <w:rsid w:val="00E80FFF"/>
    <w:rsid w:val="00E81131"/>
    <w:rsid w:val="00E8144B"/>
    <w:rsid w:val="00E81E67"/>
    <w:rsid w:val="00E81EF1"/>
    <w:rsid w:val="00E81FD1"/>
    <w:rsid w:val="00E82151"/>
    <w:rsid w:val="00E82456"/>
    <w:rsid w:val="00E82815"/>
    <w:rsid w:val="00E82BB1"/>
    <w:rsid w:val="00E82E0B"/>
    <w:rsid w:val="00E82EF7"/>
    <w:rsid w:val="00E82FA2"/>
    <w:rsid w:val="00E8341B"/>
    <w:rsid w:val="00E83483"/>
    <w:rsid w:val="00E8350E"/>
    <w:rsid w:val="00E83B52"/>
    <w:rsid w:val="00E841E7"/>
    <w:rsid w:val="00E84504"/>
    <w:rsid w:val="00E84D66"/>
    <w:rsid w:val="00E84DBA"/>
    <w:rsid w:val="00E84F04"/>
    <w:rsid w:val="00E851EA"/>
    <w:rsid w:val="00E854E4"/>
    <w:rsid w:val="00E85E37"/>
    <w:rsid w:val="00E8611E"/>
    <w:rsid w:val="00E861E9"/>
    <w:rsid w:val="00E86DBF"/>
    <w:rsid w:val="00E86FAF"/>
    <w:rsid w:val="00E87264"/>
    <w:rsid w:val="00E875A3"/>
    <w:rsid w:val="00E876C1"/>
    <w:rsid w:val="00E876C9"/>
    <w:rsid w:val="00E87849"/>
    <w:rsid w:val="00E87BCB"/>
    <w:rsid w:val="00E87F5C"/>
    <w:rsid w:val="00E903E6"/>
    <w:rsid w:val="00E90AFF"/>
    <w:rsid w:val="00E91225"/>
    <w:rsid w:val="00E9148E"/>
    <w:rsid w:val="00E91855"/>
    <w:rsid w:val="00E91A33"/>
    <w:rsid w:val="00E91DCA"/>
    <w:rsid w:val="00E920A6"/>
    <w:rsid w:val="00E92390"/>
    <w:rsid w:val="00E93186"/>
    <w:rsid w:val="00E937B6"/>
    <w:rsid w:val="00E94163"/>
    <w:rsid w:val="00E942FE"/>
    <w:rsid w:val="00E94454"/>
    <w:rsid w:val="00E9449E"/>
    <w:rsid w:val="00E94CB6"/>
    <w:rsid w:val="00E95A4B"/>
    <w:rsid w:val="00E95A82"/>
    <w:rsid w:val="00E96138"/>
    <w:rsid w:val="00E9678D"/>
    <w:rsid w:val="00E96A3F"/>
    <w:rsid w:val="00E977B5"/>
    <w:rsid w:val="00EA0A09"/>
    <w:rsid w:val="00EA0CD9"/>
    <w:rsid w:val="00EA12A2"/>
    <w:rsid w:val="00EA12EA"/>
    <w:rsid w:val="00EA156E"/>
    <w:rsid w:val="00EA1E05"/>
    <w:rsid w:val="00EA2474"/>
    <w:rsid w:val="00EA33C9"/>
    <w:rsid w:val="00EA38C0"/>
    <w:rsid w:val="00EA3A79"/>
    <w:rsid w:val="00EA3AC5"/>
    <w:rsid w:val="00EA3EA6"/>
    <w:rsid w:val="00EA41E7"/>
    <w:rsid w:val="00EA491E"/>
    <w:rsid w:val="00EA4F61"/>
    <w:rsid w:val="00EA5250"/>
    <w:rsid w:val="00EA5CB6"/>
    <w:rsid w:val="00EA6B77"/>
    <w:rsid w:val="00EA6E99"/>
    <w:rsid w:val="00EA75B4"/>
    <w:rsid w:val="00EA75FA"/>
    <w:rsid w:val="00EA77E1"/>
    <w:rsid w:val="00EA7C2E"/>
    <w:rsid w:val="00EB05DF"/>
    <w:rsid w:val="00EB0B3A"/>
    <w:rsid w:val="00EB0D6F"/>
    <w:rsid w:val="00EB1407"/>
    <w:rsid w:val="00EB2232"/>
    <w:rsid w:val="00EB30C7"/>
    <w:rsid w:val="00EB3A73"/>
    <w:rsid w:val="00EB46EE"/>
    <w:rsid w:val="00EB4B1E"/>
    <w:rsid w:val="00EB54E3"/>
    <w:rsid w:val="00EB5BCB"/>
    <w:rsid w:val="00EB5E59"/>
    <w:rsid w:val="00EB6361"/>
    <w:rsid w:val="00EB6457"/>
    <w:rsid w:val="00EB6A6A"/>
    <w:rsid w:val="00EB770A"/>
    <w:rsid w:val="00EB7ABA"/>
    <w:rsid w:val="00EB7EB2"/>
    <w:rsid w:val="00EC016B"/>
    <w:rsid w:val="00EC0BAF"/>
    <w:rsid w:val="00EC11C1"/>
    <w:rsid w:val="00EC1222"/>
    <w:rsid w:val="00EC2107"/>
    <w:rsid w:val="00EC25C7"/>
    <w:rsid w:val="00EC3406"/>
    <w:rsid w:val="00EC3FEB"/>
    <w:rsid w:val="00EC4108"/>
    <w:rsid w:val="00EC4493"/>
    <w:rsid w:val="00EC529A"/>
    <w:rsid w:val="00EC5337"/>
    <w:rsid w:val="00EC5D01"/>
    <w:rsid w:val="00EC667C"/>
    <w:rsid w:val="00EC69B9"/>
    <w:rsid w:val="00EC740A"/>
    <w:rsid w:val="00EC752D"/>
    <w:rsid w:val="00EC7B50"/>
    <w:rsid w:val="00ED0031"/>
    <w:rsid w:val="00ED031E"/>
    <w:rsid w:val="00ED046F"/>
    <w:rsid w:val="00ED07F8"/>
    <w:rsid w:val="00ED0A8A"/>
    <w:rsid w:val="00ED0AE9"/>
    <w:rsid w:val="00ED15D5"/>
    <w:rsid w:val="00ED17C4"/>
    <w:rsid w:val="00ED1D22"/>
    <w:rsid w:val="00ED1D2B"/>
    <w:rsid w:val="00ED2111"/>
    <w:rsid w:val="00ED22AD"/>
    <w:rsid w:val="00ED28F9"/>
    <w:rsid w:val="00ED3666"/>
    <w:rsid w:val="00ED3939"/>
    <w:rsid w:val="00ED3C47"/>
    <w:rsid w:val="00ED3CE2"/>
    <w:rsid w:val="00ED3D8D"/>
    <w:rsid w:val="00ED4057"/>
    <w:rsid w:val="00ED58FD"/>
    <w:rsid w:val="00ED5BC6"/>
    <w:rsid w:val="00ED6872"/>
    <w:rsid w:val="00ED6930"/>
    <w:rsid w:val="00ED6ABE"/>
    <w:rsid w:val="00ED6ADA"/>
    <w:rsid w:val="00ED6B2A"/>
    <w:rsid w:val="00ED744A"/>
    <w:rsid w:val="00ED7549"/>
    <w:rsid w:val="00ED791A"/>
    <w:rsid w:val="00EE08F1"/>
    <w:rsid w:val="00EE0B08"/>
    <w:rsid w:val="00EE0CF5"/>
    <w:rsid w:val="00EE13EA"/>
    <w:rsid w:val="00EE21B1"/>
    <w:rsid w:val="00EE2276"/>
    <w:rsid w:val="00EE2422"/>
    <w:rsid w:val="00EE2E63"/>
    <w:rsid w:val="00EE2F44"/>
    <w:rsid w:val="00EE348A"/>
    <w:rsid w:val="00EE3D85"/>
    <w:rsid w:val="00EE3FBC"/>
    <w:rsid w:val="00EE402D"/>
    <w:rsid w:val="00EE427A"/>
    <w:rsid w:val="00EE49E8"/>
    <w:rsid w:val="00EE4C6A"/>
    <w:rsid w:val="00EE4EFB"/>
    <w:rsid w:val="00EE4F9D"/>
    <w:rsid w:val="00EE51F9"/>
    <w:rsid w:val="00EE59B2"/>
    <w:rsid w:val="00EE5AAC"/>
    <w:rsid w:val="00EE5B68"/>
    <w:rsid w:val="00EE5D8B"/>
    <w:rsid w:val="00EE6740"/>
    <w:rsid w:val="00EE72C3"/>
    <w:rsid w:val="00EE7B1D"/>
    <w:rsid w:val="00EE7D12"/>
    <w:rsid w:val="00EF0CE4"/>
    <w:rsid w:val="00EF1201"/>
    <w:rsid w:val="00EF1A90"/>
    <w:rsid w:val="00EF2685"/>
    <w:rsid w:val="00EF3466"/>
    <w:rsid w:val="00EF3D0B"/>
    <w:rsid w:val="00EF6229"/>
    <w:rsid w:val="00EF6A27"/>
    <w:rsid w:val="00EF6D90"/>
    <w:rsid w:val="00EF6FE9"/>
    <w:rsid w:val="00EF7896"/>
    <w:rsid w:val="00EF7C0D"/>
    <w:rsid w:val="00EF7E22"/>
    <w:rsid w:val="00F000EC"/>
    <w:rsid w:val="00F0047C"/>
    <w:rsid w:val="00F004BA"/>
    <w:rsid w:val="00F009F0"/>
    <w:rsid w:val="00F012D0"/>
    <w:rsid w:val="00F01C93"/>
    <w:rsid w:val="00F01F05"/>
    <w:rsid w:val="00F02324"/>
    <w:rsid w:val="00F02AF7"/>
    <w:rsid w:val="00F02F61"/>
    <w:rsid w:val="00F0336C"/>
    <w:rsid w:val="00F037DD"/>
    <w:rsid w:val="00F03952"/>
    <w:rsid w:val="00F03DBA"/>
    <w:rsid w:val="00F04F5F"/>
    <w:rsid w:val="00F05AF0"/>
    <w:rsid w:val="00F05DAA"/>
    <w:rsid w:val="00F0643F"/>
    <w:rsid w:val="00F0644D"/>
    <w:rsid w:val="00F0651C"/>
    <w:rsid w:val="00F06B0A"/>
    <w:rsid w:val="00F06F23"/>
    <w:rsid w:val="00F071BE"/>
    <w:rsid w:val="00F07357"/>
    <w:rsid w:val="00F073E3"/>
    <w:rsid w:val="00F07556"/>
    <w:rsid w:val="00F07638"/>
    <w:rsid w:val="00F07787"/>
    <w:rsid w:val="00F0790F"/>
    <w:rsid w:val="00F079B4"/>
    <w:rsid w:val="00F1009F"/>
    <w:rsid w:val="00F101A7"/>
    <w:rsid w:val="00F105EE"/>
    <w:rsid w:val="00F10636"/>
    <w:rsid w:val="00F10F7B"/>
    <w:rsid w:val="00F1194F"/>
    <w:rsid w:val="00F123DC"/>
    <w:rsid w:val="00F12560"/>
    <w:rsid w:val="00F12E20"/>
    <w:rsid w:val="00F132AA"/>
    <w:rsid w:val="00F134D1"/>
    <w:rsid w:val="00F13B5E"/>
    <w:rsid w:val="00F13E7D"/>
    <w:rsid w:val="00F1477E"/>
    <w:rsid w:val="00F14CED"/>
    <w:rsid w:val="00F14CF9"/>
    <w:rsid w:val="00F14F32"/>
    <w:rsid w:val="00F150E5"/>
    <w:rsid w:val="00F155B3"/>
    <w:rsid w:val="00F15918"/>
    <w:rsid w:val="00F159D1"/>
    <w:rsid w:val="00F15E3B"/>
    <w:rsid w:val="00F16189"/>
    <w:rsid w:val="00F1644C"/>
    <w:rsid w:val="00F16576"/>
    <w:rsid w:val="00F16BAB"/>
    <w:rsid w:val="00F16EC2"/>
    <w:rsid w:val="00F170EE"/>
    <w:rsid w:val="00F171BD"/>
    <w:rsid w:val="00F200F2"/>
    <w:rsid w:val="00F20FCF"/>
    <w:rsid w:val="00F2150A"/>
    <w:rsid w:val="00F21B80"/>
    <w:rsid w:val="00F21DEB"/>
    <w:rsid w:val="00F21DFC"/>
    <w:rsid w:val="00F2216F"/>
    <w:rsid w:val="00F22AAE"/>
    <w:rsid w:val="00F22DA3"/>
    <w:rsid w:val="00F22E4B"/>
    <w:rsid w:val="00F231D8"/>
    <w:rsid w:val="00F23CE2"/>
    <w:rsid w:val="00F23ECC"/>
    <w:rsid w:val="00F2438E"/>
    <w:rsid w:val="00F244E4"/>
    <w:rsid w:val="00F2495C"/>
    <w:rsid w:val="00F24A37"/>
    <w:rsid w:val="00F24BFA"/>
    <w:rsid w:val="00F25497"/>
    <w:rsid w:val="00F25685"/>
    <w:rsid w:val="00F26320"/>
    <w:rsid w:val="00F2655A"/>
    <w:rsid w:val="00F26884"/>
    <w:rsid w:val="00F269E9"/>
    <w:rsid w:val="00F26DD5"/>
    <w:rsid w:val="00F27022"/>
    <w:rsid w:val="00F2757A"/>
    <w:rsid w:val="00F27865"/>
    <w:rsid w:val="00F27FEA"/>
    <w:rsid w:val="00F303CE"/>
    <w:rsid w:val="00F30827"/>
    <w:rsid w:val="00F31858"/>
    <w:rsid w:val="00F31CA4"/>
    <w:rsid w:val="00F320D2"/>
    <w:rsid w:val="00F321D8"/>
    <w:rsid w:val="00F322C6"/>
    <w:rsid w:val="00F32661"/>
    <w:rsid w:val="00F328DD"/>
    <w:rsid w:val="00F329E1"/>
    <w:rsid w:val="00F32B56"/>
    <w:rsid w:val="00F32C9F"/>
    <w:rsid w:val="00F330BA"/>
    <w:rsid w:val="00F33191"/>
    <w:rsid w:val="00F33336"/>
    <w:rsid w:val="00F33394"/>
    <w:rsid w:val="00F3365C"/>
    <w:rsid w:val="00F33A2D"/>
    <w:rsid w:val="00F33C9A"/>
    <w:rsid w:val="00F34D58"/>
    <w:rsid w:val="00F35312"/>
    <w:rsid w:val="00F35440"/>
    <w:rsid w:val="00F35585"/>
    <w:rsid w:val="00F3574F"/>
    <w:rsid w:val="00F35966"/>
    <w:rsid w:val="00F35A80"/>
    <w:rsid w:val="00F36750"/>
    <w:rsid w:val="00F371C5"/>
    <w:rsid w:val="00F37239"/>
    <w:rsid w:val="00F37DA9"/>
    <w:rsid w:val="00F405A3"/>
    <w:rsid w:val="00F405C8"/>
    <w:rsid w:val="00F4064A"/>
    <w:rsid w:val="00F4085A"/>
    <w:rsid w:val="00F40E65"/>
    <w:rsid w:val="00F41874"/>
    <w:rsid w:val="00F41F71"/>
    <w:rsid w:val="00F429E7"/>
    <w:rsid w:val="00F42C20"/>
    <w:rsid w:val="00F42CEB"/>
    <w:rsid w:val="00F431F9"/>
    <w:rsid w:val="00F438DC"/>
    <w:rsid w:val="00F43AC3"/>
    <w:rsid w:val="00F43BA5"/>
    <w:rsid w:val="00F43F29"/>
    <w:rsid w:val="00F43F30"/>
    <w:rsid w:val="00F444EF"/>
    <w:rsid w:val="00F446C3"/>
    <w:rsid w:val="00F44C00"/>
    <w:rsid w:val="00F454CA"/>
    <w:rsid w:val="00F45625"/>
    <w:rsid w:val="00F4574D"/>
    <w:rsid w:val="00F45923"/>
    <w:rsid w:val="00F45C1D"/>
    <w:rsid w:val="00F462A2"/>
    <w:rsid w:val="00F466DF"/>
    <w:rsid w:val="00F46C5F"/>
    <w:rsid w:val="00F47002"/>
    <w:rsid w:val="00F476BF"/>
    <w:rsid w:val="00F47AD1"/>
    <w:rsid w:val="00F50259"/>
    <w:rsid w:val="00F50362"/>
    <w:rsid w:val="00F50394"/>
    <w:rsid w:val="00F504B6"/>
    <w:rsid w:val="00F505E1"/>
    <w:rsid w:val="00F50C0D"/>
    <w:rsid w:val="00F50FC3"/>
    <w:rsid w:val="00F5112B"/>
    <w:rsid w:val="00F51362"/>
    <w:rsid w:val="00F51A5B"/>
    <w:rsid w:val="00F51B2C"/>
    <w:rsid w:val="00F529DE"/>
    <w:rsid w:val="00F531DC"/>
    <w:rsid w:val="00F549E0"/>
    <w:rsid w:val="00F54C41"/>
    <w:rsid w:val="00F55226"/>
    <w:rsid w:val="00F553E7"/>
    <w:rsid w:val="00F55AE6"/>
    <w:rsid w:val="00F561C9"/>
    <w:rsid w:val="00F5680D"/>
    <w:rsid w:val="00F56A4F"/>
    <w:rsid w:val="00F5715B"/>
    <w:rsid w:val="00F572B0"/>
    <w:rsid w:val="00F574CF"/>
    <w:rsid w:val="00F57CC1"/>
    <w:rsid w:val="00F57CD1"/>
    <w:rsid w:val="00F601E8"/>
    <w:rsid w:val="00F603BB"/>
    <w:rsid w:val="00F61335"/>
    <w:rsid w:val="00F61571"/>
    <w:rsid w:val="00F617CF"/>
    <w:rsid w:val="00F61EAC"/>
    <w:rsid w:val="00F62DE1"/>
    <w:rsid w:val="00F62F9A"/>
    <w:rsid w:val="00F632C0"/>
    <w:rsid w:val="00F632DE"/>
    <w:rsid w:val="00F63680"/>
    <w:rsid w:val="00F63B77"/>
    <w:rsid w:val="00F645F5"/>
    <w:rsid w:val="00F64863"/>
    <w:rsid w:val="00F64C77"/>
    <w:rsid w:val="00F654B3"/>
    <w:rsid w:val="00F66745"/>
    <w:rsid w:val="00F66AE7"/>
    <w:rsid w:val="00F67B20"/>
    <w:rsid w:val="00F67CD0"/>
    <w:rsid w:val="00F700CA"/>
    <w:rsid w:val="00F701BA"/>
    <w:rsid w:val="00F7025E"/>
    <w:rsid w:val="00F70ADC"/>
    <w:rsid w:val="00F70B4D"/>
    <w:rsid w:val="00F713F5"/>
    <w:rsid w:val="00F71A92"/>
    <w:rsid w:val="00F71C5C"/>
    <w:rsid w:val="00F72423"/>
    <w:rsid w:val="00F72CD4"/>
    <w:rsid w:val="00F72FC9"/>
    <w:rsid w:val="00F73133"/>
    <w:rsid w:val="00F736AF"/>
    <w:rsid w:val="00F74A43"/>
    <w:rsid w:val="00F74CE2"/>
    <w:rsid w:val="00F753F3"/>
    <w:rsid w:val="00F75741"/>
    <w:rsid w:val="00F760E0"/>
    <w:rsid w:val="00F76CAD"/>
    <w:rsid w:val="00F770BD"/>
    <w:rsid w:val="00F77C6E"/>
    <w:rsid w:val="00F77CEB"/>
    <w:rsid w:val="00F80C9A"/>
    <w:rsid w:val="00F80DA0"/>
    <w:rsid w:val="00F811F2"/>
    <w:rsid w:val="00F81703"/>
    <w:rsid w:val="00F818B0"/>
    <w:rsid w:val="00F81DC3"/>
    <w:rsid w:val="00F82002"/>
    <w:rsid w:val="00F820AE"/>
    <w:rsid w:val="00F820D2"/>
    <w:rsid w:val="00F82864"/>
    <w:rsid w:val="00F83E18"/>
    <w:rsid w:val="00F84CDB"/>
    <w:rsid w:val="00F85503"/>
    <w:rsid w:val="00F85806"/>
    <w:rsid w:val="00F85ADB"/>
    <w:rsid w:val="00F863FD"/>
    <w:rsid w:val="00F87078"/>
    <w:rsid w:val="00F873BC"/>
    <w:rsid w:val="00F874D9"/>
    <w:rsid w:val="00F87A81"/>
    <w:rsid w:val="00F87C2D"/>
    <w:rsid w:val="00F9022B"/>
    <w:rsid w:val="00F902EE"/>
    <w:rsid w:val="00F9059D"/>
    <w:rsid w:val="00F905F1"/>
    <w:rsid w:val="00F90728"/>
    <w:rsid w:val="00F91B2A"/>
    <w:rsid w:val="00F92F19"/>
    <w:rsid w:val="00F930EE"/>
    <w:rsid w:val="00F9340A"/>
    <w:rsid w:val="00F94696"/>
    <w:rsid w:val="00F94A63"/>
    <w:rsid w:val="00F94A9C"/>
    <w:rsid w:val="00F94F6D"/>
    <w:rsid w:val="00F955E1"/>
    <w:rsid w:val="00F956EC"/>
    <w:rsid w:val="00F95A0D"/>
    <w:rsid w:val="00F95D5B"/>
    <w:rsid w:val="00F963F4"/>
    <w:rsid w:val="00F978AE"/>
    <w:rsid w:val="00F97CC3"/>
    <w:rsid w:val="00F97FDA"/>
    <w:rsid w:val="00FA00EF"/>
    <w:rsid w:val="00FA0152"/>
    <w:rsid w:val="00FA02E2"/>
    <w:rsid w:val="00FA05B5"/>
    <w:rsid w:val="00FA066F"/>
    <w:rsid w:val="00FA06F4"/>
    <w:rsid w:val="00FA07BA"/>
    <w:rsid w:val="00FA0B8E"/>
    <w:rsid w:val="00FA0D67"/>
    <w:rsid w:val="00FA1249"/>
    <w:rsid w:val="00FA19A0"/>
    <w:rsid w:val="00FA1A9D"/>
    <w:rsid w:val="00FA1BA6"/>
    <w:rsid w:val="00FA1C28"/>
    <w:rsid w:val="00FA2250"/>
    <w:rsid w:val="00FA2537"/>
    <w:rsid w:val="00FA2B91"/>
    <w:rsid w:val="00FA2BCB"/>
    <w:rsid w:val="00FA2BF4"/>
    <w:rsid w:val="00FA2ECF"/>
    <w:rsid w:val="00FA32CD"/>
    <w:rsid w:val="00FA33FE"/>
    <w:rsid w:val="00FA347B"/>
    <w:rsid w:val="00FA347F"/>
    <w:rsid w:val="00FA3ED8"/>
    <w:rsid w:val="00FA3F30"/>
    <w:rsid w:val="00FA485F"/>
    <w:rsid w:val="00FA4BFD"/>
    <w:rsid w:val="00FA51F0"/>
    <w:rsid w:val="00FA523C"/>
    <w:rsid w:val="00FA542C"/>
    <w:rsid w:val="00FA612E"/>
    <w:rsid w:val="00FA71DC"/>
    <w:rsid w:val="00FA7B60"/>
    <w:rsid w:val="00FA7DB4"/>
    <w:rsid w:val="00FB0177"/>
    <w:rsid w:val="00FB029C"/>
    <w:rsid w:val="00FB0C6A"/>
    <w:rsid w:val="00FB0CF1"/>
    <w:rsid w:val="00FB0E0A"/>
    <w:rsid w:val="00FB1279"/>
    <w:rsid w:val="00FB15D2"/>
    <w:rsid w:val="00FB1706"/>
    <w:rsid w:val="00FB1835"/>
    <w:rsid w:val="00FB1892"/>
    <w:rsid w:val="00FB1FB3"/>
    <w:rsid w:val="00FB28B5"/>
    <w:rsid w:val="00FB2A52"/>
    <w:rsid w:val="00FB3810"/>
    <w:rsid w:val="00FB3D75"/>
    <w:rsid w:val="00FB41CC"/>
    <w:rsid w:val="00FB41D8"/>
    <w:rsid w:val="00FB4545"/>
    <w:rsid w:val="00FB4591"/>
    <w:rsid w:val="00FB5086"/>
    <w:rsid w:val="00FB68EA"/>
    <w:rsid w:val="00FB6B76"/>
    <w:rsid w:val="00FB7225"/>
    <w:rsid w:val="00FB7596"/>
    <w:rsid w:val="00FC03E0"/>
    <w:rsid w:val="00FC0766"/>
    <w:rsid w:val="00FC0936"/>
    <w:rsid w:val="00FC0CDB"/>
    <w:rsid w:val="00FC1125"/>
    <w:rsid w:val="00FC12FD"/>
    <w:rsid w:val="00FC153C"/>
    <w:rsid w:val="00FC1873"/>
    <w:rsid w:val="00FC1F9C"/>
    <w:rsid w:val="00FC1FC3"/>
    <w:rsid w:val="00FC2167"/>
    <w:rsid w:val="00FC2B37"/>
    <w:rsid w:val="00FC2CE4"/>
    <w:rsid w:val="00FC2F7F"/>
    <w:rsid w:val="00FC57C7"/>
    <w:rsid w:val="00FC61C9"/>
    <w:rsid w:val="00FC63B7"/>
    <w:rsid w:val="00FC6592"/>
    <w:rsid w:val="00FC6C8D"/>
    <w:rsid w:val="00FC6EE9"/>
    <w:rsid w:val="00FC7737"/>
    <w:rsid w:val="00FD0508"/>
    <w:rsid w:val="00FD084A"/>
    <w:rsid w:val="00FD0A3A"/>
    <w:rsid w:val="00FD1270"/>
    <w:rsid w:val="00FD2293"/>
    <w:rsid w:val="00FD2865"/>
    <w:rsid w:val="00FD2BA2"/>
    <w:rsid w:val="00FD2DE7"/>
    <w:rsid w:val="00FD31F8"/>
    <w:rsid w:val="00FD39E8"/>
    <w:rsid w:val="00FD4693"/>
    <w:rsid w:val="00FD557A"/>
    <w:rsid w:val="00FD57B2"/>
    <w:rsid w:val="00FD5CBC"/>
    <w:rsid w:val="00FD5E1C"/>
    <w:rsid w:val="00FD689B"/>
    <w:rsid w:val="00FD6C34"/>
    <w:rsid w:val="00FD7B56"/>
    <w:rsid w:val="00FD7B66"/>
    <w:rsid w:val="00FE0278"/>
    <w:rsid w:val="00FE034A"/>
    <w:rsid w:val="00FE0C9A"/>
    <w:rsid w:val="00FE0D36"/>
    <w:rsid w:val="00FE1145"/>
    <w:rsid w:val="00FE2646"/>
    <w:rsid w:val="00FE26F4"/>
    <w:rsid w:val="00FE2AC8"/>
    <w:rsid w:val="00FE2BE0"/>
    <w:rsid w:val="00FE2CE9"/>
    <w:rsid w:val="00FE3001"/>
    <w:rsid w:val="00FE36F7"/>
    <w:rsid w:val="00FE4077"/>
    <w:rsid w:val="00FE42C8"/>
    <w:rsid w:val="00FE463D"/>
    <w:rsid w:val="00FE4BC8"/>
    <w:rsid w:val="00FE4D1E"/>
    <w:rsid w:val="00FE4E19"/>
    <w:rsid w:val="00FE5063"/>
    <w:rsid w:val="00FE531A"/>
    <w:rsid w:val="00FE589A"/>
    <w:rsid w:val="00FE5AFE"/>
    <w:rsid w:val="00FE5F06"/>
    <w:rsid w:val="00FE6CCD"/>
    <w:rsid w:val="00FE6E61"/>
    <w:rsid w:val="00FE77D2"/>
    <w:rsid w:val="00FE7E89"/>
    <w:rsid w:val="00FF0A01"/>
    <w:rsid w:val="00FF0DB5"/>
    <w:rsid w:val="00FF0E49"/>
    <w:rsid w:val="00FF158C"/>
    <w:rsid w:val="00FF1653"/>
    <w:rsid w:val="00FF1813"/>
    <w:rsid w:val="00FF20A5"/>
    <w:rsid w:val="00FF2122"/>
    <w:rsid w:val="00FF2261"/>
    <w:rsid w:val="00FF239E"/>
    <w:rsid w:val="00FF2510"/>
    <w:rsid w:val="00FF2743"/>
    <w:rsid w:val="00FF2B4E"/>
    <w:rsid w:val="00FF30E9"/>
    <w:rsid w:val="00FF3D20"/>
    <w:rsid w:val="00FF3D35"/>
    <w:rsid w:val="00FF448C"/>
    <w:rsid w:val="00FF4A23"/>
    <w:rsid w:val="00FF5041"/>
    <w:rsid w:val="00FF5073"/>
    <w:rsid w:val="00FF54DF"/>
    <w:rsid w:val="00FF5552"/>
    <w:rsid w:val="00FF5912"/>
    <w:rsid w:val="00FF5A24"/>
    <w:rsid w:val="00FF5F60"/>
    <w:rsid w:val="00FF637C"/>
    <w:rsid w:val="00FF66C3"/>
    <w:rsid w:val="00FF679A"/>
    <w:rsid w:val="00FF6AFB"/>
    <w:rsid w:val="00FF6C9B"/>
    <w:rsid w:val="00FF6D93"/>
    <w:rsid w:val="00FF75B5"/>
    <w:rsid w:val="00FF781F"/>
    <w:rsid w:val="00FF7BAE"/>
    <w:rsid w:val="00FF7EC4"/>
    <w:rsid w:val="01059669"/>
    <w:rsid w:val="01191C27"/>
    <w:rsid w:val="012EFE0A"/>
    <w:rsid w:val="016081B4"/>
    <w:rsid w:val="018FF786"/>
    <w:rsid w:val="0191917D"/>
    <w:rsid w:val="01A29862"/>
    <w:rsid w:val="01A5C713"/>
    <w:rsid w:val="01AF0DF2"/>
    <w:rsid w:val="01C27836"/>
    <w:rsid w:val="01D0B150"/>
    <w:rsid w:val="01ECD308"/>
    <w:rsid w:val="02006AFA"/>
    <w:rsid w:val="020DFBAA"/>
    <w:rsid w:val="020DFD99"/>
    <w:rsid w:val="02354997"/>
    <w:rsid w:val="023BFEA6"/>
    <w:rsid w:val="0244FC6F"/>
    <w:rsid w:val="0247DC82"/>
    <w:rsid w:val="02633704"/>
    <w:rsid w:val="0263A2DF"/>
    <w:rsid w:val="0279E565"/>
    <w:rsid w:val="028BB28A"/>
    <w:rsid w:val="0291E770"/>
    <w:rsid w:val="0299FA66"/>
    <w:rsid w:val="02D9419B"/>
    <w:rsid w:val="02F4183E"/>
    <w:rsid w:val="0301BC9D"/>
    <w:rsid w:val="0328208F"/>
    <w:rsid w:val="03380659"/>
    <w:rsid w:val="03441834"/>
    <w:rsid w:val="0353037B"/>
    <w:rsid w:val="036846BA"/>
    <w:rsid w:val="038D7140"/>
    <w:rsid w:val="03AAFBA9"/>
    <w:rsid w:val="03CBC175"/>
    <w:rsid w:val="03CC5BB9"/>
    <w:rsid w:val="03E36533"/>
    <w:rsid w:val="04111358"/>
    <w:rsid w:val="04867D3D"/>
    <w:rsid w:val="048A5627"/>
    <w:rsid w:val="04A0A2ED"/>
    <w:rsid w:val="04AF29FB"/>
    <w:rsid w:val="04BD533E"/>
    <w:rsid w:val="04DF4DDA"/>
    <w:rsid w:val="04E56179"/>
    <w:rsid w:val="04FF43F0"/>
    <w:rsid w:val="053DE6AA"/>
    <w:rsid w:val="05525870"/>
    <w:rsid w:val="057AB5F5"/>
    <w:rsid w:val="057C19DE"/>
    <w:rsid w:val="05981136"/>
    <w:rsid w:val="05F32B91"/>
    <w:rsid w:val="05F57047"/>
    <w:rsid w:val="06288CC7"/>
    <w:rsid w:val="0630B24B"/>
    <w:rsid w:val="064236F1"/>
    <w:rsid w:val="065216BD"/>
    <w:rsid w:val="06740052"/>
    <w:rsid w:val="068E4C42"/>
    <w:rsid w:val="06B0F9AE"/>
    <w:rsid w:val="06BBD88E"/>
    <w:rsid w:val="06BF4CA2"/>
    <w:rsid w:val="06D9DE57"/>
    <w:rsid w:val="06E3B603"/>
    <w:rsid w:val="06F11E5D"/>
    <w:rsid w:val="06FA5451"/>
    <w:rsid w:val="0700C6D3"/>
    <w:rsid w:val="0713639D"/>
    <w:rsid w:val="07283B8D"/>
    <w:rsid w:val="07510185"/>
    <w:rsid w:val="076C8287"/>
    <w:rsid w:val="076CD634"/>
    <w:rsid w:val="079140A8"/>
    <w:rsid w:val="07A4C925"/>
    <w:rsid w:val="07F9DF1C"/>
    <w:rsid w:val="080CEAC2"/>
    <w:rsid w:val="081FE017"/>
    <w:rsid w:val="0834455B"/>
    <w:rsid w:val="083C7681"/>
    <w:rsid w:val="085ADB3F"/>
    <w:rsid w:val="085D2076"/>
    <w:rsid w:val="08AD4740"/>
    <w:rsid w:val="08C5DEEE"/>
    <w:rsid w:val="08CB3198"/>
    <w:rsid w:val="08CEE811"/>
    <w:rsid w:val="08DD9EF9"/>
    <w:rsid w:val="08FF56DB"/>
    <w:rsid w:val="0903F68B"/>
    <w:rsid w:val="0914CD28"/>
    <w:rsid w:val="091C53FC"/>
    <w:rsid w:val="092ABCF1"/>
    <w:rsid w:val="093B71FA"/>
    <w:rsid w:val="096A7338"/>
    <w:rsid w:val="097E0889"/>
    <w:rsid w:val="09B3727A"/>
    <w:rsid w:val="09BEE189"/>
    <w:rsid w:val="09C78533"/>
    <w:rsid w:val="09D36A7E"/>
    <w:rsid w:val="09D4CE41"/>
    <w:rsid w:val="09D61CB7"/>
    <w:rsid w:val="0A02DFB9"/>
    <w:rsid w:val="0A08BB84"/>
    <w:rsid w:val="0A17DDAA"/>
    <w:rsid w:val="0A59E192"/>
    <w:rsid w:val="0A7E63EE"/>
    <w:rsid w:val="0AA651FB"/>
    <w:rsid w:val="0AD01A07"/>
    <w:rsid w:val="0AFB2EB7"/>
    <w:rsid w:val="0AFBF982"/>
    <w:rsid w:val="0B09BA28"/>
    <w:rsid w:val="0B1D36FB"/>
    <w:rsid w:val="0B2CBF15"/>
    <w:rsid w:val="0B5D9095"/>
    <w:rsid w:val="0B5EF670"/>
    <w:rsid w:val="0B5F0F2F"/>
    <w:rsid w:val="0B609EFF"/>
    <w:rsid w:val="0B64764E"/>
    <w:rsid w:val="0B8BEA0A"/>
    <w:rsid w:val="0B906AEB"/>
    <w:rsid w:val="0BAAB7BF"/>
    <w:rsid w:val="0BAB4404"/>
    <w:rsid w:val="0BC08086"/>
    <w:rsid w:val="0BC8B435"/>
    <w:rsid w:val="0BEF232B"/>
    <w:rsid w:val="0C10BCD1"/>
    <w:rsid w:val="0C1ADDCE"/>
    <w:rsid w:val="0C3C8A5D"/>
    <w:rsid w:val="0C43369C"/>
    <w:rsid w:val="0C498794"/>
    <w:rsid w:val="0C6002E1"/>
    <w:rsid w:val="0C62D788"/>
    <w:rsid w:val="0C8EAFDE"/>
    <w:rsid w:val="0C961267"/>
    <w:rsid w:val="0C98DB18"/>
    <w:rsid w:val="0CC8DEDF"/>
    <w:rsid w:val="0CD1809D"/>
    <w:rsid w:val="0CD93A4B"/>
    <w:rsid w:val="0CE004CF"/>
    <w:rsid w:val="0CE18BA5"/>
    <w:rsid w:val="0CF4E2A6"/>
    <w:rsid w:val="0D32EB87"/>
    <w:rsid w:val="0D456924"/>
    <w:rsid w:val="0D56F9F0"/>
    <w:rsid w:val="0D648496"/>
    <w:rsid w:val="0D82A228"/>
    <w:rsid w:val="0D8B03BB"/>
    <w:rsid w:val="0D98A0CB"/>
    <w:rsid w:val="0DAD44C3"/>
    <w:rsid w:val="0E3C8DDD"/>
    <w:rsid w:val="0E448493"/>
    <w:rsid w:val="0E5DB572"/>
    <w:rsid w:val="0E6A8A1A"/>
    <w:rsid w:val="0E7C84C5"/>
    <w:rsid w:val="0E806EC2"/>
    <w:rsid w:val="0E8190BA"/>
    <w:rsid w:val="0E96783E"/>
    <w:rsid w:val="0ED84D79"/>
    <w:rsid w:val="0EE20F7B"/>
    <w:rsid w:val="0EF240ED"/>
    <w:rsid w:val="0F0054F7"/>
    <w:rsid w:val="0F149BA5"/>
    <w:rsid w:val="0F1E9446"/>
    <w:rsid w:val="0F3C606C"/>
    <w:rsid w:val="0F431558"/>
    <w:rsid w:val="0F58A6E8"/>
    <w:rsid w:val="0F751392"/>
    <w:rsid w:val="0F7690B7"/>
    <w:rsid w:val="0F961C93"/>
    <w:rsid w:val="0F9D6022"/>
    <w:rsid w:val="0FD33738"/>
    <w:rsid w:val="0FDCFA85"/>
    <w:rsid w:val="0FDD8340"/>
    <w:rsid w:val="0FEB3B27"/>
    <w:rsid w:val="0FF65291"/>
    <w:rsid w:val="100AE833"/>
    <w:rsid w:val="1014387B"/>
    <w:rsid w:val="101E2F08"/>
    <w:rsid w:val="1026821E"/>
    <w:rsid w:val="1028107C"/>
    <w:rsid w:val="1034B431"/>
    <w:rsid w:val="105155D6"/>
    <w:rsid w:val="105838D0"/>
    <w:rsid w:val="1093C6A0"/>
    <w:rsid w:val="1094D9BC"/>
    <w:rsid w:val="10D50B23"/>
    <w:rsid w:val="10DAD19B"/>
    <w:rsid w:val="10DAE2F1"/>
    <w:rsid w:val="10F4A062"/>
    <w:rsid w:val="10F4DDFA"/>
    <w:rsid w:val="1106E40D"/>
    <w:rsid w:val="11146541"/>
    <w:rsid w:val="1148F88B"/>
    <w:rsid w:val="118D647C"/>
    <w:rsid w:val="11B31862"/>
    <w:rsid w:val="11DABDE1"/>
    <w:rsid w:val="11E3FEDC"/>
    <w:rsid w:val="11E9E34F"/>
    <w:rsid w:val="11ECE7D5"/>
    <w:rsid w:val="11F40931"/>
    <w:rsid w:val="120D0C0C"/>
    <w:rsid w:val="1216EF19"/>
    <w:rsid w:val="1225EAEA"/>
    <w:rsid w:val="125CB20D"/>
    <w:rsid w:val="126B0663"/>
    <w:rsid w:val="129492BB"/>
    <w:rsid w:val="12A3FEF9"/>
    <w:rsid w:val="12F16B4B"/>
    <w:rsid w:val="1312BE96"/>
    <w:rsid w:val="13163536"/>
    <w:rsid w:val="1324748D"/>
    <w:rsid w:val="13264AA6"/>
    <w:rsid w:val="13578649"/>
    <w:rsid w:val="135A0FE9"/>
    <w:rsid w:val="1377A8C5"/>
    <w:rsid w:val="1386FDC9"/>
    <w:rsid w:val="1389633C"/>
    <w:rsid w:val="138FD992"/>
    <w:rsid w:val="13AA0468"/>
    <w:rsid w:val="13BA6D80"/>
    <w:rsid w:val="13D5D50C"/>
    <w:rsid w:val="14007944"/>
    <w:rsid w:val="1404817F"/>
    <w:rsid w:val="14126952"/>
    <w:rsid w:val="142FA02A"/>
    <w:rsid w:val="14312965"/>
    <w:rsid w:val="1432EB75"/>
    <w:rsid w:val="145561CB"/>
    <w:rsid w:val="147507E1"/>
    <w:rsid w:val="147EF968"/>
    <w:rsid w:val="149640F5"/>
    <w:rsid w:val="14C9D051"/>
    <w:rsid w:val="14DCC5D0"/>
    <w:rsid w:val="14FB83DD"/>
    <w:rsid w:val="150F781F"/>
    <w:rsid w:val="15282653"/>
    <w:rsid w:val="153786C5"/>
    <w:rsid w:val="153F8F2F"/>
    <w:rsid w:val="15485A2D"/>
    <w:rsid w:val="1560F875"/>
    <w:rsid w:val="158E2D79"/>
    <w:rsid w:val="159A9E31"/>
    <w:rsid w:val="159B2EAD"/>
    <w:rsid w:val="159E73D2"/>
    <w:rsid w:val="15BA004C"/>
    <w:rsid w:val="15BA96BD"/>
    <w:rsid w:val="15D999D7"/>
    <w:rsid w:val="15F1322C"/>
    <w:rsid w:val="1607D8D4"/>
    <w:rsid w:val="160D9838"/>
    <w:rsid w:val="161B6B69"/>
    <w:rsid w:val="167760A6"/>
    <w:rsid w:val="16820F48"/>
    <w:rsid w:val="16997186"/>
    <w:rsid w:val="16A389AC"/>
    <w:rsid w:val="16AAC685"/>
    <w:rsid w:val="16FA67EF"/>
    <w:rsid w:val="1701823D"/>
    <w:rsid w:val="172B5CAE"/>
    <w:rsid w:val="173244B5"/>
    <w:rsid w:val="17451F20"/>
    <w:rsid w:val="17465D35"/>
    <w:rsid w:val="1768CA27"/>
    <w:rsid w:val="17904603"/>
    <w:rsid w:val="17B77D3B"/>
    <w:rsid w:val="17D3DD47"/>
    <w:rsid w:val="17E36CBD"/>
    <w:rsid w:val="17F33B94"/>
    <w:rsid w:val="18513621"/>
    <w:rsid w:val="1855F56A"/>
    <w:rsid w:val="185723AB"/>
    <w:rsid w:val="1862881C"/>
    <w:rsid w:val="186A4F7C"/>
    <w:rsid w:val="18711232"/>
    <w:rsid w:val="18A6990B"/>
    <w:rsid w:val="18BD714B"/>
    <w:rsid w:val="18E528BB"/>
    <w:rsid w:val="19072EE6"/>
    <w:rsid w:val="190DCA64"/>
    <w:rsid w:val="1930752E"/>
    <w:rsid w:val="194160BB"/>
    <w:rsid w:val="1969A587"/>
    <w:rsid w:val="1988CF21"/>
    <w:rsid w:val="1991ABE4"/>
    <w:rsid w:val="199579AB"/>
    <w:rsid w:val="19C8D0F4"/>
    <w:rsid w:val="19CDE31E"/>
    <w:rsid w:val="1A04D7F1"/>
    <w:rsid w:val="1A0D7D36"/>
    <w:rsid w:val="1A27A6CE"/>
    <w:rsid w:val="1A4232BD"/>
    <w:rsid w:val="1A42FE32"/>
    <w:rsid w:val="1A4A2E82"/>
    <w:rsid w:val="1A5B4FE7"/>
    <w:rsid w:val="1A912850"/>
    <w:rsid w:val="1A99B6ED"/>
    <w:rsid w:val="1ADBF8AB"/>
    <w:rsid w:val="1AF2DF03"/>
    <w:rsid w:val="1B271B5B"/>
    <w:rsid w:val="1B31B433"/>
    <w:rsid w:val="1B55D408"/>
    <w:rsid w:val="1B55DA78"/>
    <w:rsid w:val="1B774853"/>
    <w:rsid w:val="1B7CCE4B"/>
    <w:rsid w:val="1B9E5DBC"/>
    <w:rsid w:val="1BF2EDF9"/>
    <w:rsid w:val="1BF48866"/>
    <w:rsid w:val="1BFC91DF"/>
    <w:rsid w:val="1C27982C"/>
    <w:rsid w:val="1C5759CD"/>
    <w:rsid w:val="1C5CA3D3"/>
    <w:rsid w:val="1CADD3A5"/>
    <w:rsid w:val="1CD0DE09"/>
    <w:rsid w:val="1CEB7816"/>
    <w:rsid w:val="1D3EDF44"/>
    <w:rsid w:val="1D410F0B"/>
    <w:rsid w:val="1D54A306"/>
    <w:rsid w:val="1D7F4500"/>
    <w:rsid w:val="1D9BC8D3"/>
    <w:rsid w:val="1D9E00DE"/>
    <w:rsid w:val="1DA80498"/>
    <w:rsid w:val="1DF0C91F"/>
    <w:rsid w:val="1E16452D"/>
    <w:rsid w:val="1E3A61E5"/>
    <w:rsid w:val="1E651D9B"/>
    <w:rsid w:val="1E6C4B55"/>
    <w:rsid w:val="1E78C5B4"/>
    <w:rsid w:val="1E8C68EA"/>
    <w:rsid w:val="1E9017B3"/>
    <w:rsid w:val="1E9A2304"/>
    <w:rsid w:val="1E9A7BD1"/>
    <w:rsid w:val="1ECBF368"/>
    <w:rsid w:val="1EE9F2D8"/>
    <w:rsid w:val="1EF20F10"/>
    <w:rsid w:val="1F0C3B38"/>
    <w:rsid w:val="1F1E58D6"/>
    <w:rsid w:val="1F2A11DE"/>
    <w:rsid w:val="1F313222"/>
    <w:rsid w:val="1F347C4C"/>
    <w:rsid w:val="1F357222"/>
    <w:rsid w:val="1F72849C"/>
    <w:rsid w:val="1FB11632"/>
    <w:rsid w:val="1FC3F06C"/>
    <w:rsid w:val="1FD6003B"/>
    <w:rsid w:val="1FEC7095"/>
    <w:rsid w:val="1FF11357"/>
    <w:rsid w:val="201AC2A7"/>
    <w:rsid w:val="202722BF"/>
    <w:rsid w:val="202F043D"/>
    <w:rsid w:val="2050D04E"/>
    <w:rsid w:val="206DBB98"/>
    <w:rsid w:val="2093BD2E"/>
    <w:rsid w:val="2097BE53"/>
    <w:rsid w:val="20A2676B"/>
    <w:rsid w:val="20C29504"/>
    <w:rsid w:val="20FEC7F5"/>
    <w:rsid w:val="2113E6F6"/>
    <w:rsid w:val="2115C1C5"/>
    <w:rsid w:val="211CE432"/>
    <w:rsid w:val="212684DB"/>
    <w:rsid w:val="213A92A3"/>
    <w:rsid w:val="21441895"/>
    <w:rsid w:val="216812FA"/>
    <w:rsid w:val="21700CD0"/>
    <w:rsid w:val="2177F04C"/>
    <w:rsid w:val="217CE011"/>
    <w:rsid w:val="21911E7F"/>
    <w:rsid w:val="2192CD6D"/>
    <w:rsid w:val="21D85B89"/>
    <w:rsid w:val="21E3A117"/>
    <w:rsid w:val="222F5A10"/>
    <w:rsid w:val="223F1EE4"/>
    <w:rsid w:val="22444BDC"/>
    <w:rsid w:val="22643094"/>
    <w:rsid w:val="2264F4FF"/>
    <w:rsid w:val="2296D9B0"/>
    <w:rsid w:val="229DA42D"/>
    <w:rsid w:val="22A33543"/>
    <w:rsid w:val="22BECE0E"/>
    <w:rsid w:val="22C0AEEC"/>
    <w:rsid w:val="22F09F7F"/>
    <w:rsid w:val="230E7D69"/>
    <w:rsid w:val="231C720A"/>
    <w:rsid w:val="231F4CA3"/>
    <w:rsid w:val="2328B419"/>
    <w:rsid w:val="233BCD3F"/>
    <w:rsid w:val="236B576E"/>
    <w:rsid w:val="23A05D7C"/>
    <w:rsid w:val="23A570AE"/>
    <w:rsid w:val="23E5766E"/>
    <w:rsid w:val="24048383"/>
    <w:rsid w:val="24086F25"/>
    <w:rsid w:val="2431A730"/>
    <w:rsid w:val="243A9797"/>
    <w:rsid w:val="2455B5A7"/>
    <w:rsid w:val="2462D33B"/>
    <w:rsid w:val="246BB05C"/>
    <w:rsid w:val="246E1C54"/>
    <w:rsid w:val="247CC73C"/>
    <w:rsid w:val="24C9EDF0"/>
    <w:rsid w:val="24CE127C"/>
    <w:rsid w:val="24D64491"/>
    <w:rsid w:val="24D85E4A"/>
    <w:rsid w:val="24EBD6C2"/>
    <w:rsid w:val="256B4D89"/>
    <w:rsid w:val="257BFDD7"/>
    <w:rsid w:val="257EF25F"/>
    <w:rsid w:val="259D6C49"/>
    <w:rsid w:val="25C596E2"/>
    <w:rsid w:val="25EF062A"/>
    <w:rsid w:val="26113AA1"/>
    <w:rsid w:val="261E148C"/>
    <w:rsid w:val="2621C3C2"/>
    <w:rsid w:val="26316933"/>
    <w:rsid w:val="26388E3F"/>
    <w:rsid w:val="2650F0FD"/>
    <w:rsid w:val="26511C56"/>
    <w:rsid w:val="2667795F"/>
    <w:rsid w:val="266A43BE"/>
    <w:rsid w:val="2682340C"/>
    <w:rsid w:val="26A02C5E"/>
    <w:rsid w:val="26A2206C"/>
    <w:rsid w:val="26BDB826"/>
    <w:rsid w:val="26D759F4"/>
    <w:rsid w:val="26F5F740"/>
    <w:rsid w:val="2730026C"/>
    <w:rsid w:val="274AC07A"/>
    <w:rsid w:val="274F7E61"/>
    <w:rsid w:val="27723859"/>
    <w:rsid w:val="2788ACDA"/>
    <w:rsid w:val="278A2633"/>
    <w:rsid w:val="279489B6"/>
    <w:rsid w:val="27A572B5"/>
    <w:rsid w:val="27AEE5CB"/>
    <w:rsid w:val="27C52687"/>
    <w:rsid w:val="27D293C3"/>
    <w:rsid w:val="280F97B0"/>
    <w:rsid w:val="282CABEE"/>
    <w:rsid w:val="284B7A32"/>
    <w:rsid w:val="284E9C10"/>
    <w:rsid w:val="2854EDE3"/>
    <w:rsid w:val="285EB867"/>
    <w:rsid w:val="286D9031"/>
    <w:rsid w:val="2884CE32"/>
    <w:rsid w:val="28AB4D01"/>
    <w:rsid w:val="28D33033"/>
    <w:rsid w:val="28E9A872"/>
    <w:rsid w:val="28F938B3"/>
    <w:rsid w:val="296FE518"/>
    <w:rsid w:val="29B66687"/>
    <w:rsid w:val="29E0B5CA"/>
    <w:rsid w:val="2A1C7376"/>
    <w:rsid w:val="2A255F5D"/>
    <w:rsid w:val="2A2BFB15"/>
    <w:rsid w:val="2A5AA030"/>
    <w:rsid w:val="2A60440D"/>
    <w:rsid w:val="2A635D36"/>
    <w:rsid w:val="2A804CCF"/>
    <w:rsid w:val="2A90B0BE"/>
    <w:rsid w:val="2A93855F"/>
    <w:rsid w:val="2A9B006B"/>
    <w:rsid w:val="2A9C00A0"/>
    <w:rsid w:val="2A9D1E9E"/>
    <w:rsid w:val="2A9F6C96"/>
    <w:rsid w:val="2AA9D91B"/>
    <w:rsid w:val="2AD72666"/>
    <w:rsid w:val="2ADEC827"/>
    <w:rsid w:val="2AE93C24"/>
    <w:rsid w:val="2B32676B"/>
    <w:rsid w:val="2B33C5FE"/>
    <w:rsid w:val="2B3A484C"/>
    <w:rsid w:val="2B3EC0F3"/>
    <w:rsid w:val="2B8589EE"/>
    <w:rsid w:val="2B912949"/>
    <w:rsid w:val="2B9672B7"/>
    <w:rsid w:val="2B9EA95F"/>
    <w:rsid w:val="2B9FD46A"/>
    <w:rsid w:val="2BC94132"/>
    <w:rsid w:val="2BD0A858"/>
    <w:rsid w:val="2BE26301"/>
    <w:rsid w:val="2C0EAE0F"/>
    <w:rsid w:val="2C1AA1E4"/>
    <w:rsid w:val="2C23AF4E"/>
    <w:rsid w:val="2C42904D"/>
    <w:rsid w:val="2C48D2FE"/>
    <w:rsid w:val="2C4B0A01"/>
    <w:rsid w:val="2C8C64CF"/>
    <w:rsid w:val="2C944183"/>
    <w:rsid w:val="2C964697"/>
    <w:rsid w:val="2C9966CF"/>
    <w:rsid w:val="2C9D7D21"/>
    <w:rsid w:val="2CD4627A"/>
    <w:rsid w:val="2D091E0A"/>
    <w:rsid w:val="2D13D0AA"/>
    <w:rsid w:val="2D1C71E8"/>
    <w:rsid w:val="2D3C3D45"/>
    <w:rsid w:val="2D41FD4B"/>
    <w:rsid w:val="2D97E4CF"/>
    <w:rsid w:val="2DAADAC6"/>
    <w:rsid w:val="2DB6E9B9"/>
    <w:rsid w:val="2DD9437E"/>
    <w:rsid w:val="2DE2BDC4"/>
    <w:rsid w:val="2DE7C141"/>
    <w:rsid w:val="2E03F83B"/>
    <w:rsid w:val="2E4BE8B0"/>
    <w:rsid w:val="2E54D6EC"/>
    <w:rsid w:val="2E611095"/>
    <w:rsid w:val="2E8D704F"/>
    <w:rsid w:val="2EB17659"/>
    <w:rsid w:val="2EBA0922"/>
    <w:rsid w:val="2EC989ED"/>
    <w:rsid w:val="2F0CE6EC"/>
    <w:rsid w:val="2F2B6303"/>
    <w:rsid w:val="2F37C1E5"/>
    <w:rsid w:val="2F539CA0"/>
    <w:rsid w:val="2F5C1235"/>
    <w:rsid w:val="2F79CAF8"/>
    <w:rsid w:val="2F8085BF"/>
    <w:rsid w:val="2F896B74"/>
    <w:rsid w:val="2FC6F651"/>
    <w:rsid w:val="2FCCC834"/>
    <w:rsid w:val="30075680"/>
    <w:rsid w:val="305BB05D"/>
    <w:rsid w:val="30644639"/>
    <w:rsid w:val="30942F5D"/>
    <w:rsid w:val="30B01C92"/>
    <w:rsid w:val="30F0EFF9"/>
    <w:rsid w:val="30F2944B"/>
    <w:rsid w:val="311741C0"/>
    <w:rsid w:val="31274FF1"/>
    <w:rsid w:val="312A046F"/>
    <w:rsid w:val="312BC1ED"/>
    <w:rsid w:val="312C0A79"/>
    <w:rsid w:val="315C54A7"/>
    <w:rsid w:val="3176CDA4"/>
    <w:rsid w:val="318A7C51"/>
    <w:rsid w:val="31A6C5DF"/>
    <w:rsid w:val="31B02BEE"/>
    <w:rsid w:val="31C88B68"/>
    <w:rsid w:val="31EDA6A2"/>
    <w:rsid w:val="321E90A9"/>
    <w:rsid w:val="3227305D"/>
    <w:rsid w:val="322DFEE9"/>
    <w:rsid w:val="3245999B"/>
    <w:rsid w:val="324F2A3D"/>
    <w:rsid w:val="32637D3E"/>
    <w:rsid w:val="3276F8A6"/>
    <w:rsid w:val="3281EB5F"/>
    <w:rsid w:val="32940E52"/>
    <w:rsid w:val="329E0069"/>
    <w:rsid w:val="32AEA52A"/>
    <w:rsid w:val="32B6BEFB"/>
    <w:rsid w:val="32BBD60A"/>
    <w:rsid w:val="32BE14A6"/>
    <w:rsid w:val="32C903A0"/>
    <w:rsid w:val="32CE84DE"/>
    <w:rsid w:val="32EC9F24"/>
    <w:rsid w:val="32EFEFA0"/>
    <w:rsid w:val="3342558B"/>
    <w:rsid w:val="3371A7FC"/>
    <w:rsid w:val="339E8005"/>
    <w:rsid w:val="33AFAA46"/>
    <w:rsid w:val="33CD9800"/>
    <w:rsid w:val="33DBA451"/>
    <w:rsid w:val="33ED6539"/>
    <w:rsid w:val="3412A8DB"/>
    <w:rsid w:val="3431DDF5"/>
    <w:rsid w:val="34463E61"/>
    <w:rsid w:val="34486F15"/>
    <w:rsid w:val="3450BB61"/>
    <w:rsid w:val="345FF423"/>
    <w:rsid w:val="346A7DCC"/>
    <w:rsid w:val="348A53B3"/>
    <w:rsid w:val="34932834"/>
    <w:rsid w:val="349D487C"/>
    <w:rsid w:val="34E0EC9B"/>
    <w:rsid w:val="34E1FA68"/>
    <w:rsid w:val="35053CF7"/>
    <w:rsid w:val="350F55E3"/>
    <w:rsid w:val="35116455"/>
    <w:rsid w:val="3519B2E6"/>
    <w:rsid w:val="35205D77"/>
    <w:rsid w:val="3528C8F6"/>
    <w:rsid w:val="352C90CE"/>
    <w:rsid w:val="354FC31E"/>
    <w:rsid w:val="3555AD11"/>
    <w:rsid w:val="35609763"/>
    <w:rsid w:val="3565EBB0"/>
    <w:rsid w:val="35847B48"/>
    <w:rsid w:val="3586272B"/>
    <w:rsid w:val="358AE700"/>
    <w:rsid w:val="35A4F131"/>
    <w:rsid w:val="35BA0732"/>
    <w:rsid w:val="35C1B440"/>
    <w:rsid w:val="35E264F7"/>
    <w:rsid w:val="35EC8BC2"/>
    <w:rsid w:val="35FE6CAB"/>
    <w:rsid w:val="360E8A3E"/>
    <w:rsid w:val="36178BD1"/>
    <w:rsid w:val="3628D4F6"/>
    <w:rsid w:val="3633BDA8"/>
    <w:rsid w:val="365012E8"/>
    <w:rsid w:val="36538E56"/>
    <w:rsid w:val="36747D23"/>
    <w:rsid w:val="3674CB84"/>
    <w:rsid w:val="36D4985E"/>
    <w:rsid w:val="36DC51AB"/>
    <w:rsid w:val="36E28774"/>
    <w:rsid w:val="37097B0F"/>
    <w:rsid w:val="371E6A74"/>
    <w:rsid w:val="37287015"/>
    <w:rsid w:val="37585503"/>
    <w:rsid w:val="377386F7"/>
    <w:rsid w:val="37CE2FC3"/>
    <w:rsid w:val="37D18705"/>
    <w:rsid w:val="37EE16C3"/>
    <w:rsid w:val="3822EB68"/>
    <w:rsid w:val="3827CAD9"/>
    <w:rsid w:val="383D24EF"/>
    <w:rsid w:val="385F57FB"/>
    <w:rsid w:val="386CCCA6"/>
    <w:rsid w:val="3872334F"/>
    <w:rsid w:val="3880A5B8"/>
    <w:rsid w:val="38FA781E"/>
    <w:rsid w:val="3906B9D4"/>
    <w:rsid w:val="39083363"/>
    <w:rsid w:val="392540BA"/>
    <w:rsid w:val="394C7CC0"/>
    <w:rsid w:val="397B12F8"/>
    <w:rsid w:val="397DD0A4"/>
    <w:rsid w:val="398E9E7B"/>
    <w:rsid w:val="39D58444"/>
    <w:rsid w:val="39EA7CFE"/>
    <w:rsid w:val="3A21CC29"/>
    <w:rsid w:val="3A294118"/>
    <w:rsid w:val="3A2BAEF5"/>
    <w:rsid w:val="3A477FD4"/>
    <w:rsid w:val="3A726256"/>
    <w:rsid w:val="3A76F2AD"/>
    <w:rsid w:val="3A7D550E"/>
    <w:rsid w:val="3AAB3272"/>
    <w:rsid w:val="3ACAB706"/>
    <w:rsid w:val="3B01FAE9"/>
    <w:rsid w:val="3B0DEAC6"/>
    <w:rsid w:val="3B5B927C"/>
    <w:rsid w:val="3B692ABA"/>
    <w:rsid w:val="3B816F1E"/>
    <w:rsid w:val="3B824468"/>
    <w:rsid w:val="3BBABFC4"/>
    <w:rsid w:val="3BD78725"/>
    <w:rsid w:val="3BDC0700"/>
    <w:rsid w:val="3BFD880B"/>
    <w:rsid w:val="3C1947A2"/>
    <w:rsid w:val="3C5B632A"/>
    <w:rsid w:val="3C6D4412"/>
    <w:rsid w:val="3CBB3D81"/>
    <w:rsid w:val="3CC2C400"/>
    <w:rsid w:val="3CCCA10F"/>
    <w:rsid w:val="3CDB1059"/>
    <w:rsid w:val="3CEAF627"/>
    <w:rsid w:val="3D1D3F7F"/>
    <w:rsid w:val="3D5438E9"/>
    <w:rsid w:val="3D92D053"/>
    <w:rsid w:val="3D96A90F"/>
    <w:rsid w:val="3DAA3AB6"/>
    <w:rsid w:val="3DABE8C8"/>
    <w:rsid w:val="3DC21E35"/>
    <w:rsid w:val="3DC63E74"/>
    <w:rsid w:val="3DEC8365"/>
    <w:rsid w:val="3E01A7A9"/>
    <w:rsid w:val="3E1D4010"/>
    <w:rsid w:val="3E1FFD1A"/>
    <w:rsid w:val="3E7DC0BD"/>
    <w:rsid w:val="3E820843"/>
    <w:rsid w:val="3EAC6FEF"/>
    <w:rsid w:val="3EE396FE"/>
    <w:rsid w:val="3EF3C52C"/>
    <w:rsid w:val="3F00FDA5"/>
    <w:rsid w:val="3F2A92F3"/>
    <w:rsid w:val="3F349155"/>
    <w:rsid w:val="3F3C0FA2"/>
    <w:rsid w:val="3F44EA12"/>
    <w:rsid w:val="3FA8BE26"/>
    <w:rsid w:val="3FCEA240"/>
    <w:rsid w:val="3FE52FEF"/>
    <w:rsid w:val="3FF49E7A"/>
    <w:rsid w:val="3FF6D321"/>
    <w:rsid w:val="4007B015"/>
    <w:rsid w:val="401FB458"/>
    <w:rsid w:val="4079FB55"/>
    <w:rsid w:val="408EB417"/>
    <w:rsid w:val="408EE562"/>
    <w:rsid w:val="40963506"/>
    <w:rsid w:val="409B8835"/>
    <w:rsid w:val="40C0FAF6"/>
    <w:rsid w:val="40C1DBD4"/>
    <w:rsid w:val="40D603B7"/>
    <w:rsid w:val="40E57A82"/>
    <w:rsid w:val="4119A1E1"/>
    <w:rsid w:val="415946CE"/>
    <w:rsid w:val="417834FB"/>
    <w:rsid w:val="41AA09D7"/>
    <w:rsid w:val="41C57BBD"/>
    <w:rsid w:val="41CB75F7"/>
    <w:rsid w:val="41F6558C"/>
    <w:rsid w:val="41FAA2D3"/>
    <w:rsid w:val="41FCD0C1"/>
    <w:rsid w:val="4221C6D9"/>
    <w:rsid w:val="42468A2E"/>
    <w:rsid w:val="4250D511"/>
    <w:rsid w:val="42606762"/>
    <w:rsid w:val="4261E1B4"/>
    <w:rsid w:val="4286A036"/>
    <w:rsid w:val="428BB518"/>
    <w:rsid w:val="42C58080"/>
    <w:rsid w:val="43072FE5"/>
    <w:rsid w:val="4334F410"/>
    <w:rsid w:val="43445E3B"/>
    <w:rsid w:val="4346AB5E"/>
    <w:rsid w:val="4346DCD5"/>
    <w:rsid w:val="435C6A18"/>
    <w:rsid w:val="43BD973A"/>
    <w:rsid w:val="43D432A9"/>
    <w:rsid w:val="43FFE1B1"/>
    <w:rsid w:val="443AB16A"/>
    <w:rsid w:val="4444B5E8"/>
    <w:rsid w:val="4447FCC0"/>
    <w:rsid w:val="4461A405"/>
    <w:rsid w:val="4462C7C5"/>
    <w:rsid w:val="4476C448"/>
    <w:rsid w:val="447CF26E"/>
    <w:rsid w:val="448ADAC8"/>
    <w:rsid w:val="44957D29"/>
    <w:rsid w:val="44E7BA2F"/>
    <w:rsid w:val="44F10C99"/>
    <w:rsid w:val="44F7E4B3"/>
    <w:rsid w:val="44FE9570"/>
    <w:rsid w:val="450B39DA"/>
    <w:rsid w:val="451D7270"/>
    <w:rsid w:val="4520FB9C"/>
    <w:rsid w:val="45285164"/>
    <w:rsid w:val="453A6EA3"/>
    <w:rsid w:val="45441B9A"/>
    <w:rsid w:val="45A9C8E4"/>
    <w:rsid w:val="45C74742"/>
    <w:rsid w:val="45F1BC32"/>
    <w:rsid w:val="45FDB6F3"/>
    <w:rsid w:val="4611BB65"/>
    <w:rsid w:val="4630DB03"/>
    <w:rsid w:val="4635DA8D"/>
    <w:rsid w:val="4641B133"/>
    <w:rsid w:val="464DA5F3"/>
    <w:rsid w:val="4657FAC3"/>
    <w:rsid w:val="4665D09E"/>
    <w:rsid w:val="466CB6BD"/>
    <w:rsid w:val="46747E15"/>
    <w:rsid w:val="468312D7"/>
    <w:rsid w:val="468529C8"/>
    <w:rsid w:val="46859166"/>
    <w:rsid w:val="46B98032"/>
    <w:rsid w:val="46D2DA35"/>
    <w:rsid w:val="46E2AAA7"/>
    <w:rsid w:val="46F6A78D"/>
    <w:rsid w:val="4723EDB0"/>
    <w:rsid w:val="4756EEC3"/>
    <w:rsid w:val="4759A8CE"/>
    <w:rsid w:val="478C21D4"/>
    <w:rsid w:val="478C807F"/>
    <w:rsid w:val="47A40FF7"/>
    <w:rsid w:val="47B7ECF1"/>
    <w:rsid w:val="47D66334"/>
    <w:rsid w:val="47EF6CE4"/>
    <w:rsid w:val="47FCC209"/>
    <w:rsid w:val="480A35DC"/>
    <w:rsid w:val="483694B5"/>
    <w:rsid w:val="48491FF0"/>
    <w:rsid w:val="486076E6"/>
    <w:rsid w:val="48749544"/>
    <w:rsid w:val="48967882"/>
    <w:rsid w:val="48C76BD1"/>
    <w:rsid w:val="48C7F102"/>
    <w:rsid w:val="48D22ADB"/>
    <w:rsid w:val="48E44416"/>
    <w:rsid w:val="492FACC3"/>
    <w:rsid w:val="4959E03D"/>
    <w:rsid w:val="495C0FF2"/>
    <w:rsid w:val="497C8551"/>
    <w:rsid w:val="49BF7983"/>
    <w:rsid w:val="49C055A4"/>
    <w:rsid w:val="49D042FD"/>
    <w:rsid w:val="49D802BB"/>
    <w:rsid w:val="49F80A68"/>
    <w:rsid w:val="49F8C54C"/>
    <w:rsid w:val="49FD9B4D"/>
    <w:rsid w:val="4A0D1415"/>
    <w:rsid w:val="4A1065A5"/>
    <w:rsid w:val="4A1BD3E6"/>
    <w:rsid w:val="4A4964EC"/>
    <w:rsid w:val="4A4ECEBB"/>
    <w:rsid w:val="4A55103B"/>
    <w:rsid w:val="4A59E7E1"/>
    <w:rsid w:val="4A5E369F"/>
    <w:rsid w:val="4A77A228"/>
    <w:rsid w:val="4A816412"/>
    <w:rsid w:val="4A9CE9E8"/>
    <w:rsid w:val="4AA38CEC"/>
    <w:rsid w:val="4AB198D4"/>
    <w:rsid w:val="4ACA3A7D"/>
    <w:rsid w:val="4B11700A"/>
    <w:rsid w:val="4B1C31F1"/>
    <w:rsid w:val="4B2FE90F"/>
    <w:rsid w:val="4B36A486"/>
    <w:rsid w:val="4B5ED40A"/>
    <w:rsid w:val="4B6CD052"/>
    <w:rsid w:val="4B76D62A"/>
    <w:rsid w:val="4B9BAAAE"/>
    <w:rsid w:val="4BB152E3"/>
    <w:rsid w:val="4BC772D9"/>
    <w:rsid w:val="4BFC1217"/>
    <w:rsid w:val="4C04E7B8"/>
    <w:rsid w:val="4C1B5DF9"/>
    <w:rsid w:val="4C24F99E"/>
    <w:rsid w:val="4C29BE79"/>
    <w:rsid w:val="4C2B218F"/>
    <w:rsid w:val="4C2C0D99"/>
    <w:rsid w:val="4C30F603"/>
    <w:rsid w:val="4C708B8A"/>
    <w:rsid w:val="4C7851C9"/>
    <w:rsid w:val="4CA9A520"/>
    <w:rsid w:val="4CD2FE3C"/>
    <w:rsid w:val="4CF75FA3"/>
    <w:rsid w:val="4D1642A1"/>
    <w:rsid w:val="4D1BCE4A"/>
    <w:rsid w:val="4D3B50CF"/>
    <w:rsid w:val="4DA11CC0"/>
    <w:rsid w:val="4DAF70CF"/>
    <w:rsid w:val="4DB47463"/>
    <w:rsid w:val="4DB6E28A"/>
    <w:rsid w:val="4DCD7673"/>
    <w:rsid w:val="4DD2E4E1"/>
    <w:rsid w:val="4E1BB3A2"/>
    <w:rsid w:val="4E1C5082"/>
    <w:rsid w:val="4E2D98B6"/>
    <w:rsid w:val="4E30BB8A"/>
    <w:rsid w:val="4E36C408"/>
    <w:rsid w:val="4E5B89D0"/>
    <w:rsid w:val="4E5BB969"/>
    <w:rsid w:val="4E5D4C1B"/>
    <w:rsid w:val="4E972E1B"/>
    <w:rsid w:val="4EBC93B7"/>
    <w:rsid w:val="4ED30375"/>
    <w:rsid w:val="4ED46F3A"/>
    <w:rsid w:val="4EDDC4AA"/>
    <w:rsid w:val="4EE4F7EF"/>
    <w:rsid w:val="4F03F80F"/>
    <w:rsid w:val="4F0E9DFC"/>
    <w:rsid w:val="4F164451"/>
    <w:rsid w:val="4F3278AA"/>
    <w:rsid w:val="4F4B5269"/>
    <w:rsid w:val="4F70A186"/>
    <w:rsid w:val="4F7A3670"/>
    <w:rsid w:val="4F7F0714"/>
    <w:rsid w:val="4FA4F683"/>
    <w:rsid w:val="4FB14B4F"/>
    <w:rsid w:val="4FC2EBBF"/>
    <w:rsid w:val="4FC7D234"/>
    <w:rsid w:val="5023B120"/>
    <w:rsid w:val="502C927B"/>
    <w:rsid w:val="5035A59A"/>
    <w:rsid w:val="5057ABA4"/>
    <w:rsid w:val="50641CEE"/>
    <w:rsid w:val="506A05C6"/>
    <w:rsid w:val="50800F53"/>
    <w:rsid w:val="50906A5B"/>
    <w:rsid w:val="5092C26A"/>
    <w:rsid w:val="50992BF3"/>
    <w:rsid w:val="509C9DA7"/>
    <w:rsid w:val="50C36193"/>
    <w:rsid w:val="50F28CBF"/>
    <w:rsid w:val="5107EC6A"/>
    <w:rsid w:val="512ADB22"/>
    <w:rsid w:val="512D5BBD"/>
    <w:rsid w:val="51371012"/>
    <w:rsid w:val="51AC70A4"/>
    <w:rsid w:val="51D3953D"/>
    <w:rsid w:val="51D6052F"/>
    <w:rsid w:val="51E1E712"/>
    <w:rsid w:val="51F305D6"/>
    <w:rsid w:val="521A3F63"/>
    <w:rsid w:val="52272C73"/>
    <w:rsid w:val="5244EB2E"/>
    <w:rsid w:val="524E9EE1"/>
    <w:rsid w:val="52A38426"/>
    <w:rsid w:val="52B6A7B8"/>
    <w:rsid w:val="52B6BCE7"/>
    <w:rsid w:val="52DEA073"/>
    <w:rsid w:val="531C1DD0"/>
    <w:rsid w:val="536D3C49"/>
    <w:rsid w:val="53A0A9BD"/>
    <w:rsid w:val="53A2FEDC"/>
    <w:rsid w:val="53BDA49F"/>
    <w:rsid w:val="53C523AE"/>
    <w:rsid w:val="53DFAAA7"/>
    <w:rsid w:val="53EC5D36"/>
    <w:rsid w:val="53F7A1BA"/>
    <w:rsid w:val="5454A4E1"/>
    <w:rsid w:val="547137C4"/>
    <w:rsid w:val="54E04040"/>
    <w:rsid w:val="551F24C2"/>
    <w:rsid w:val="553A0547"/>
    <w:rsid w:val="554840F5"/>
    <w:rsid w:val="55490102"/>
    <w:rsid w:val="556295ED"/>
    <w:rsid w:val="55687E75"/>
    <w:rsid w:val="5580D2A5"/>
    <w:rsid w:val="558B658A"/>
    <w:rsid w:val="55B8D5A8"/>
    <w:rsid w:val="55BA0990"/>
    <w:rsid w:val="55C01FC4"/>
    <w:rsid w:val="55C0E795"/>
    <w:rsid w:val="55E9F9F3"/>
    <w:rsid w:val="55F0BC0E"/>
    <w:rsid w:val="55F47056"/>
    <w:rsid w:val="56134B06"/>
    <w:rsid w:val="5627E3BD"/>
    <w:rsid w:val="562D5237"/>
    <w:rsid w:val="56338469"/>
    <w:rsid w:val="565EFD18"/>
    <w:rsid w:val="566CC5DA"/>
    <w:rsid w:val="569D1EC8"/>
    <w:rsid w:val="56AEE889"/>
    <w:rsid w:val="56C0EA4F"/>
    <w:rsid w:val="56C4EC76"/>
    <w:rsid w:val="56DE0435"/>
    <w:rsid w:val="56E4788E"/>
    <w:rsid w:val="56E4DFB5"/>
    <w:rsid w:val="56FD108C"/>
    <w:rsid w:val="5743AFDA"/>
    <w:rsid w:val="57480088"/>
    <w:rsid w:val="57519A85"/>
    <w:rsid w:val="576A9CC7"/>
    <w:rsid w:val="577E57F6"/>
    <w:rsid w:val="578A5095"/>
    <w:rsid w:val="578A6F67"/>
    <w:rsid w:val="5799A4F2"/>
    <w:rsid w:val="57A025EA"/>
    <w:rsid w:val="57AADDFF"/>
    <w:rsid w:val="57C61597"/>
    <w:rsid w:val="57CEEAE2"/>
    <w:rsid w:val="57E47CBF"/>
    <w:rsid w:val="57F043A2"/>
    <w:rsid w:val="57F331CD"/>
    <w:rsid w:val="58130708"/>
    <w:rsid w:val="58179E2B"/>
    <w:rsid w:val="581D41EF"/>
    <w:rsid w:val="5837BCE4"/>
    <w:rsid w:val="584B5367"/>
    <w:rsid w:val="5851E46C"/>
    <w:rsid w:val="58670498"/>
    <w:rsid w:val="5872FE38"/>
    <w:rsid w:val="58B9BE79"/>
    <w:rsid w:val="58C5C9E0"/>
    <w:rsid w:val="58C98385"/>
    <w:rsid w:val="58D74296"/>
    <w:rsid w:val="58ED6AE6"/>
    <w:rsid w:val="590D2A0A"/>
    <w:rsid w:val="5935DBC9"/>
    <w:rsid w:val="593C0D89"/>
    <w:rsid w:val="5947FCCA"/>
    <w:rsid w:val="594F6CDA"/>
    <w:rsid w:val="595B6E01"/>
    <w:rsid w:val="595C6B94"/>
    <w:rsid w:val="595FC4F9"/>
    <w:rsid w:val="59700F11"/>
    <w:rsid w:val="59728AEF"/>
    <w:rsid w:val="597588F4"/>
    <w:rsid w:val="59A38581"/>
    <w:rsid w:val="59B6966E"/>
    <w:rsid w:val="59C1D6B5"/>
    <w:rsid w:val="59C5C06A"/>
    <w:rsid w:val="59CA910F"/>
    <w:rsid w:val="59EEED32"/>
    <w:rsid w:val="5A0A82A0"/>
    <w:rsid w:val="5A2FEBA5"/>
    <w:rsid w:val="5A316318"/>
    <w:rsid w:val="5A3C364E"/>
    <w:rsid w:val="5A411BC4"/>
    <w:rsid w:val="5A447014"/>
    <w:rsid w:val="5A4AEA0E"/>
    <w:rsid w:val="5A541A13"/>
    <w:rsid w:val="5A6249B4"/>
    <w:rsid w:val="5A9F2D66"/>
    <w:rsid w:val="5ADDE23F"/>
    <w:rsid w:val="5AFDE852"/>
    <w:rsid w:val="5B15C20D"/>
    <w:rsid w:val="5B36AE5B"/>
    <w:rsid w:val="5B510A72"/>
    <w:rsid w:val="5B919A2C"/>
    <w:rsid w:val="5B997AC8"/>
    <w:rsid w:val="5BBFDA98"/>
    <w:rsid w:val="5BE8BBF3"/>
    <w:rsid w:val="5BEE3DAD"/>
    <w:rsid w:val="5C473314"/>
    <w:rsid w:val="5C4E8EB2"/>
    <w:rsid w:val="5C6DD315"/>
    <w:rsid w:val="5C7EE621"/>
    <w:rsid w:val="5C954C43"/>
    <w:rsid w:val="5CB61CC3"/>
    <w:rsid w:val="5CC792A2"/>
    <w:rsid w:val="5D0C71D0"/>
    <w:rsid w:val="5D1D5C22"/>
    <w:rsid w:val="5D2F7111"/>
    <w:rsid w:val="5D423200"/>
    <w:rsid w:val="5D48E198"/>
    <w:rsid w:val="5D4D3CF0"/>
    <w:rsid w:val="5D5C880C"/>
    <w:rsid w:val="5D65F6B4"/>
    <w:rsid w:val="5D832BAF"/>
    <w:rsid w:val="5D8D4F12"/>
    <w:rsid w:val="5DC73AB3"/>
    <w:rsid w:val="5DDF04CB"/>
    <w:rsid w:val="5DFFE004"/>
    <w:rsid w:val="5E23F538"/>
    <w:rsid w:val="5E331B17"/>
    <w:rsid w:val="5E65B26C"/>
    <w:rsid w:val="5E92F95A"/>
    <w:rsid w:val="5EB4861C"/>
    <w:rsid w:val="5EE9161A"/>
    <w:rsid w:val="5F15E7A5"/>
    <w:rsid w:val="5F8B26BA"/>
    <w:rsid w:val="5FB6A543"/>
    <w:rsid w:val="5FBFAA05"/>
    <w:rsid w:val="5FD1E3BE"/>
    <w:rsid w:val="5FD7BAA4"/>
    <w:rsid w:val="5FD7F3DD"/>
    <w:rsid w:val="5FDDB281"/>
    <w:rsid w:val="5FE30DCC"/>
    <w:rsid w:val="5FE89141"/>
    <w:rsid w:val="600C30D8"/>
    <w:rsid w:val="60C856B8"/>
    <w:rsid w:val="60CD4E6E"/>
    <w:rsid w:val="60ED0281"/>
    <w:rsid w:val="60EFD121"/>
    <w:rsid w:val="60FE7B36"/>
    <w:rsid w:val="615112BB"/>
    <w:rsid w:val="6152DD92"/>
    <w:rsid w:val="619203A1"/>
    <w:rsid w:val="61A1A448"/>
    <w:rsid w:val="61B7FCC0"/>
    <w:rsid w:val="61ED3498"/>
    <w:rsid w:val="61EE9589"/>
    <w:rsid w:val="61F07B69"/>
    <w:rsid w:val="61F56732"/>
    <w:rsid w:val="62068C3B"/>
    <w:rsid w:val="62091E39"/>
    <w:rsid w:val="622BBDCC"/>
    <w:rsid w:val="62320158"/>
    <w:rsid w:val="623B78DE"/>
    <w:rsid w:val="6247C857"/>
    <w:rsid w:val="62498C9A"/>
    <w:rsid w:val="62945178"/>
    <w:rsid w:val="62A15DA1"/>
    <w:rsid w:val="632DD402"/>
    <w:rsid w:val="633FD01F"/>
    <w:rsid w:val="63620890"/>
    <w:rsid w:val="636A5D6D"/>
    <w:rsid w:val="6389444B"/>
    <w:rsid w:val="639F86F2"/>
    <w:rsid w:val="63D92E30"/>
    <w:rsid w:val="63F5AC3D"/>
    <w:rsid w:val="641032BA"/>
    <w:rsid w:val="64384628"/>
    <w:rsid w:val="643F9E29"/>
    <w:rsid w:val="6451D31F"/>
    <w:rsid w:val="646C460C"/>
    <w:rsid w:val="64938782"/>
    <w:rsid w:val="64A0DB4E"/>
    <w:rsid w:val="64B427F8"/>
    <w:rsid w:val="64BDA77E"/>
    <w:rsid w:val="64BF837E"/>
    <w:rsid w:val="64DFACC5"/>
    <w:rsid w:val="64F7E4DA"/>
    <w:rsid w:val="65230BAD"/>
    <w:rsid w:val="653BB4F0"/>
    <w:rsid w:val="6571D1BB"/>
    <w:rsid w:val="65829CD3"/>
    <w:rsid w:val="65AE5EC1"/>
    <w:rsid w:val="65CF99E9"/>
    <w:rsid w:val="65D06D60"/>
    <w:rsid w:val="65DCE8C4"/>
    <w:rsid w:val="660E648A"/>
    <w:rsid w:val="666574C4"/>
    <w:rsid w:val="66AE5FA8"/>
    <w:rsid w:val="66E174DD"/>
    <w:rsid w:val="66EC8C32"/>
    <w:rsid w:val="670D1A08"/>
    <w:rsid w:val="6715BF2B"/>
    <w:rsid w:val="672A69CF"/>
    <w:rsid w:val="672D3A60"/>
    <w:rsid w:val="67330241"/>
    <w:rsid w:val="6733BBF8"/>
    <w:rsid w:val="6733F9B8"/>
    <w:rsid w:val="67578936"/>
    <w:rsid w:val="67716C79"/>
    <w:rsid w:val="678A2C8E"/>
    <w:rsid w:val="67C07CB2"/>
    <w:rsid w:val="67E602B8"/>
    <w:rsid w:val="67E79429"/>
    <w:rsid w:val="68004CA7"/>
    <w:rsid w:val="68132BA8"/>
    <w:rsid w:val="681EE4B7"/>
    <w:rsid w:val="686B246B"/>
    <w:rsid w:val="6870DC37"/>
    <w:rsid w:val="688831E3"/>
    <w:rsid w:val="689A377F"/>
    <w:rsid w:val="68A535F0"/>
    <w:rsid w:val="690D54BA"/>
    <w:rsid w:val="69286CD6"/>
    <w:rsid w:val="694DDA46"/>
    <w:rsid w:val="696C580C"/>
    <w:rsid w:val="696F74EF"/>
    <w:rsid w:val="697D0AC3"/>
    <w:rsid w:val="698D4386"/>
    <w:rsid w:val="69B4A1B3"/>
    <w:rsid w:val="69BE94A5"/>
    <w:rsid w:val="69DC2C0D"/>
    <w:rsid w:val="69E1F11E"/>
    <w:rsid w:val="69F247BF"/>
    <w:rsid w:val="69F296FC"/>
    <w:rsid w:val="69FEAFE8"/>
    <w:rsid w:val="6A0C97B3"/>
    <w:rsid w:val="6A17C0CB"/>
    <w:rsid w:val="6A26A543"/>
    <w:rsid w:val="6A2F870B"/>
    <w:rsid w:val="6A4FC2D1"/>
    <w:rsid w:val="6A76C91E"/>
    <w:rsid w:val="6A783923"/>
    <w:rsid w:val="6A7C107E"/>
    <w:rsid w:val="6A8FDE14"/>
    <w:rsid w:val="6A94141C"/>
    <w:rsid w:val="6AA0F1A7"/>
    <w:rsid w:val="6AE91953"/>
    <w:rsid w:val="6AF7D28B"/>
    <w:rsid w:val="6B001196"/>
    <w:rsid w:val="6B0E4576"/>
    <w:rsid w:val="6B154EB0"/>
    <w:rsid w:val="6B1747CF"/>
    <w:rsid w:val="6B2860D2"/>
    <w:rsid w:val="6B69FCC5"/>
    <w:rsid w:val="6B7678D5"/>
    <w:rsid w:val="6B7E74C4"/>
    <w:rsid w:val="6BD21082"/>
    <w:rsid w:val="6BF84864"/>
    <w:rsid w:val="6BFF11DC"/>
    <w:rsid w:val="6C02DAB5"/>
    <w:rsid w:val="6C179DC5"/>
    <w:rsid w:val="6C6517D8"/>
    <w:rsid w:val="6CA66298"/>
    <w:rsid w:val="6CAFE628"/>
    <w:rsid w:val="6CC75ECD"/>
    <w:rsid w:val="6CDA1018"/>
    <w:rsid w:val="6CDB29B4"/>
    <w:rsid w:val="6CDCCACA"/>
    <w:rsid w:val="6CEAF04C"/>
    <w:rsid w:val="6D01DFE3"/>
    <w:rsid w:val="6D0B273C"/>
    <w:rsid w:val="6D5AF018"/>
    <w:rsid w:val="6D63D63D"/>
    <w:rsid w:val="6D75B783"/>
    <w:rsid w:val="6DB17575"/>
    <w:rsid w:val="6DBD551D"/>
    <w:rsid w:val="6DCCD37F"/>
    <w:rsid w:val="6DD3D1D8"/>
    <w:rsid w:val="6E1C36E2"/>
    <w:rsid w:val="6E367050"/>
    <w:rsid w:val="6E3E0419"/>
    <w:rsid w:val="6E7B03DA"/>
    <w:rsid w:val="6EE74E3E"/>
    <w:rsid w:val="6F10FBA6"/>
    <w:rsid w:val="6F4D7DCD"/>
    <w:rsid w:val="6F56BF93"/>
    <w:rsid w:val="6F5D9C95"/>
    <w:rsid w:val="6F61DE74"/>
    <w:rsid w:val="6F76F21A"/>
    <w:rsid w:val="6FB91690"/>
    <w:rsid w:val="6FC4DAFD"/>
    <w:rsid w:val="6FC89432"/>
    <w:rsid w:val="6FDE035A"/>
    <w:rsid w:val="703D8C1E"/>
    <w:rsid w:val="7062FBE9"/>
    <w:rsid w:val="708B84FB"/>
    <w:rsid w:val="70D6465E"/>
    <w:rsid w:val="70FA5CF1"/>
    <w:rsid w:val="71313977"/>
    <w:rsid w:val="714183AE"/>
    <w:rsid w:val="717356C3"/>
    <w:rsid w:val="7173FE77"/>
    <w:rsid w:val="71842C9A"/>
    <w:rsid w:val="71AFFAB9"/>
    <w:rsid w:val="71E9F808"/>
    <w:rsid w:val="71FE08B0"/>
    <w:rsid w:val="72415FCA"/>
    <w:rsid w:val="72443F05"/>
    <w:rsid w:val="724D4EEA"/>
    <w:rsid w:val="7259FE0B"/>
    <w:rsid w:val="725E6FA2"/>
    <w:rsid w:val="726F36E6"/>
    <w:rsid w:val="726FED03"/>
    <w:rsid w:val="72924A6A"/>
    <w:rsid w:val="72D28002"/>
    <w:rsid w:val="72E8731C"/>
    <w:rsid w:val="72FC7BBF"/>
    <w:rsid w:val="730E3880"/>
    <w:rsid w:val="730F7874"/>
    <w:rsid w:val="7325BCE5"/>
    <w:rsid w:val="735A1F80"/>
    <w:rsid w:val="737EEDA0"/>
    <w:rsid w:val="73CC20B4"/>
    <w:rsid w:val="73F5ECF0"/>
    <w:rsid w:val="73FFBBEB"/>
    <w:rsid w:val="7405157A"/>
    <w:rsid w:val="7405E554"/>
    <w:rsid w:val="740DEE63"/>
    <w:rsid w:val="7422335D"/>
    <w:rsid w:val="7430D2C8"/>
    <w:rsid w:val="74332096"/>
    <w:rsid w:val="74618854"/>
    <w:rsid w:val="74663219"/>
    <w:rsid w:val="7473ACB2"/>
    <w:rsid w:val="74AD459D"/>
    <w:rsid w:val="74AF2CC2"/>
    <w:rsid w:val="74B3CEF0"/>
    <w:rsid w:val="74E1BFDF"/>
    <w:rsid w:val="753442EF"/>
    <w:rsid w:val="753C0010"/>
    <w:rsid w:val="754FDEDA"/>
    <w:rsid w:val="7577310E"/>
    <w:rsid w:val="75933600"/>
    <w:rsid w:val="759C7A36"/>
    <w:rsid w:val="75A039E6"/>
    <w:rsid w:val="75C53682"/>
    <w:rsid w:val="7634CE14"/>
    <w:rsid w:val="764915FE"/>
    <w:rsid w:val="7675D712"/>
    <w:rsid w:val="76933C0C"/>
    <w:rsid w:val="76B19B51"/>
    <w:rsid w:val="76B8A439"/>
    <w:rsid w:val="76D972F5"/>
    <w:rsid w:val="77A66020"/>
    <w:rsid w:val="77B66310"/>
    <w:rsid w:val="78080B85"/>
    <w:rsid w:val="782E8E89"/>
    <w:rsid w:val="784F28AE"/>
    <w:rsid w:val="786B82E9"/>
    <w:rsid w:val="78732733"/>
    <w:rsid w:val="7878C2C7"/>
    <w:rsid w:val="7882F365"/>
    <w:rsid w:val="78904FE4"/>
    <w:rsid w:val="789FF1FB"/>
    <w:rsid w:val="78BFE9D0"/>
    <w:rsid w:val="78C24C23"/>
    <w:rsid w:val="78EEF9DE"/>
    <w:rsid w:val="79013654"/>
    <w:rsid w:val="79115618"/>
    <w:rsid w:val="79266C1B"/>
    <w:rsid w:val="796BBD43"/>
    <w:rsid w:val="79939E40"/>
    <w:rsid w:val="799EE3E8"/>
    <w:rsid w:val="79A3B156"/>
    <w:rsid w:val="79B2D88B"/>
    <w:rsid w:val="79B794F2"/>
    <w:rsid w:val="79D4AC5A"/>
    <w:rsid w:val="79D98D9F"/>
    <w:rsid w:val="7A058611"/>
    <w:rsid w:val="7A41EEF8"/>
    <w:rsid w:val="7A4D7EC6"/>
    <w:rsid w:val="7A5D4688"/>
    <w:rsid w:val="7AA38AE0"/>
    <w:rsid w:val="7AD71027"/>
    <w:rsid w:val="7ADB14FA"/>
    <w:rsid w:val="7AEFB80C"/>
    <w:rsid w:val="7B39DEC1"/>
    <w:rsid w:val="7B3FDE92"/>
    <w:rsid w:val="7B48E56A"/>
    <w:rsid w:val="7B6FE4A6"/>
    <w:rsid w:val="7B8E264E"/>
    <w:rsid w:val="7C2B37DE"/>
    <w:rsid w:val="7C30BD42"/>
    <w:rsid w:val="7C712981"/>
    <w:rsid w:val="7C76B9C5"/>
    <w:rsid w:val="7C7B18C7"/>
    <w:rsid w:val="7C919339"/>
    <w:rsid w:val="7CA5E833"/>
    <w:rsid w:val="7CD97361"/>
    <w:rsid w:val="7CEA0E8D"/>
    <w:rsid w:val="7D089FB6"/>
    <w:rsid w:val="7D4A728B"/>
    <w:rsid w:val="7D62C96D"/>
    <w:rsid w:val="7D65BE36"/>
    <w:rsid w:val="7D8B5B96"/>
    <w:rsid w:val="7D9C6016"/>
    <w:rsid w:val="7DBFC347"/>
    <w:rsid w:val="7DCFA6B6"/>
    <w:rsid w:val="7DD22498"/>
    <w:rsid w:val="7DDC02AF"/>
    <w:rsid w:val="7DEA81FF"/>
    <w:rsid w:val="7E08DA37"/>
    <w:rsid w:val="7E1CD75F"/>
    <w:rsid w:val="7E1E1330"/>
    <w:rsid w:val="7E483ACB"/>
    <w:rsid w:val="7E535E95"/>
    <w:rsid w:val="7E5856C3"/>
    <w:rsid w:val="7E67DB07"/>
    <w:rsid w:val="7E77EE98"/>
    <w:rsid w:val="7E8852E9"/>
    <w:rsid w:val="7EB099CD"/>
    <w:rsid w:val="7EFA0B3D"/>
    <w:rsid w:val="7F0B4806"/>
    <w:rsid w:val="7F1FAF1B"/>
    <w:rsid w:val="7F472455"/>
    <w:rsid w:val="7F577438"/>
    <w:rsid w:val="7F6CF135"/>
    <w:rsid w:val="7F778E85"/>
    <w:rsid w:val="7F7FA395"/>
    <w:rsid w:val="7F880111"/>
    <w:rsid w:val="7F9C5B88"/>
    <w:rsid w:val="7FA1A02E"/>
    <w:rsid w:val="7FA57801"/>
    <w:rsid w:val="7FFD69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A76F2F"/>
  <w15:docId w15:val="{3C214A5F-17EE-4871-9149-1E5DA7DE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813E5E"/>
    <w:pPr>
      <w:keepNext/>
      <w:keepLines/>
      <w:spacing w:before="480"/>
      <w:ind w:left="567" w:hanging="567"/>
      <w:outlineLvl w:val="0"/>
    </w:pPr>
    <w:rPr>
      <w:b/>
      <w:sz w:val="28"/>
    </w:rPr>
  </w:style>
  <w:style w:type="paragraph" w:styleId="Heading2">
    <w:name w:val="heading 2"/>
    <w:basedOn w:val="Heading1"/>
    <w:next w:val="Normal"/>
    <w:link w:val="Heading2Char"/>
    <w:uiPriority w:val="9"/>
    <w:qFormat/>
    <w:rsid w:val="00813E5E"/>
    <w:pPr>
      <w:spacing w:before="320"/>
      <w:outlineLvl w:val="1"/>
    </w:pPr>
    <w:rPr>
      <w:sz w:val="24"/>
    </w:rPr>
  </w:style>
  <w:style w:type="paragraph" w:styleId="Heading3">
    <w:name w:val="heading 3"/>
    <w:basedOn w:val="Heading1"/>
    <w:next w:val="Normal"/>
    <w:link w:val="Heading3Char"/>
    <w:uiPriority w:val="9"/>
    <w:qFormat/>
    <w:rsid w:val="00813E5E"/>
    <w:pPr>
      <w:spacing w:before="200"/>
      <w:outlineLvl w:val="2"/>
    </w:pPr>
    <w:rPr>
      <w:sz w:val="24"/>
    </w:rPr>
  </w:style>
  <w:style w:type="paragraph" w:styleId="Heading4">
    <w:name w:val="heading 4"/>
    <w:basedOn w:val="Heading3"/>
    <w:next w:val="Normal"/>
    <w:link w:val="Heading4Char"/>
    <w:uiPriority w:val="9"/>
    <w:qFormat/>
    <w:rsid w:val="00813E5E"/>
    <w:pPr>
      <w:ind w:left="1134" w:hanging="1134"/>
      <w:outlineLvl w:val="3"/>
    </w:pPr>
  </w:style>
  <w:style w:type="paragraph" w:styleId="Heading5">
    <w:name w:val="heading 5"/>
    <w:basedOn w:val="Heading4"/>
    <w:next w:val="Normal"/>
    <w:link w:val="Heading5Char"/>
    <w:uiPriority w:val="9"/>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link w:val="Heading9Char"/>
    <w:uiPriority w:val="9"/>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uiPriority w:val="99"/>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813E5E"/>
    <w:rPr>
      <w:rFonts w:ascii="Calibri" w:hAnsi="Calibri"/>
      <w:position w:val="6"/>
      <w:sz w:val="16"/>
    </w:rPr>
  </w:style>
  <w:style w:type="paragraph" w:styleId="FootnoteText">
    <w:name w:val="footnote text"/>
    <w:aliases w:val="ALTS FOOTNOTE,Schriftart: 9 pt,Schriftart: 10 pt,Schriftart: 8 pt,WB-Fuكnotentext,Footnote text,Footnote Text Char Char Char Char,Footnote Text Char Char,Footnote Text Char Char Char Char Char,WB-Fußnotentext,MTFootnote,fn,Fußn"/>
    <w:basedOn w:val="Normal"/>
    <w:link w:val="FootnoteTextChar"/>
    <w:qFormat/>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link w:val="enumlev1Char"/>
    <w:uiPriority w:val="99"/>
    <w:qFormat/>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A952B8"/>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超级链接,Style 58,超?级链,超????,하이퍼링크2,하이퍼링크21,超链接1,CEO_Hyperlink,超??级链Ú,fL????,fL?级,超??级链"/>
    <w:basedOn w:val="DefaultParagraphFont"/>
    <w:uiPriority w:val="99"/>
    <w:qForma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uiPriority w:val="39"/>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uiPriority w:val="99"/>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character" w:customStyle="1" w:styleId="findhit">
    <w:name w:val="findhit"/>
    <w:basedOn w:val="DefaultParagraphFont"/>
    <w:rsid w:val="00E5077D"/>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customStyle="1" w:styleId="Heading1Char">
    <w:name w:val="Heading 1 Char"/>
    <w:basedOn w:val="DefaultParagraphFont"/>
    <w:link w:val="Heading1"/>
    <w:uiPriority w:val="9"/>
    <w:rsid w:val="0011467A"/>
    <w:rPr>
      <w:rFonts w:ascii="Calibri" w:hAnsi="Calibri"/>
      <w:b/>
      <w:sz w:val="28"/>
      <w:lang w:val="en-GB" w:eastAsia="en-US"/>
    </w:rPr>
  </w:style>
  <w:style w:type="character" w:customStyle="1" w:styleId="Heading2Char">
    <w:name w:val="Heading 2 Char"/>
    <w:basedOn w:val="DefaultParagraphFont"/>
    <w:link w:val="Heading2"/>
    <w:uiPriority w:val="9"/>
    <w:rsid w:val="0011467A"/>
    <w:rPr>
      <w:rFonts w:ascii="Calibri" w:hAnsi="Calibri"/>
      <w:b/>
      <w:sz w:val="24"/>
      <w:lang w:val="en-GB" w:eastAsia="en-US"/>
    </w:rPr>
  </w:style>
  <w:style w:type="paragraph" w:customStyle="1" w:styleId="msonormal0">
    <w:name w:val="msonormal"/>
    <w:basedOn w:val="Normal"/>
    <w:rsid w:val="001146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paragraph">
    <w:name w:val="paragraph"/>
    <w:basedOn w:val="Normal"/>
    <w:rsid w:val="001146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eop">
    <w:name w:val="eop"/>
    <w:basedOn w:val="DefaultParagraphFont"/>
    <w:rsid w:val="0011467A"/>
  </w:style>
  <w:style w:type="character" w:customStyle="1" w:styleId="textrun">
    <w:name w:val="textrun"/>
    <w:basedOn w:val="DefaultParagraphFont"/>
    <w:rsid w:val="0011467A"/>
  </w:style>
  <w:style w:type="character" w:customStyle="1" w:styleId="normaltextrun">
    <w:name w:val="normaltextrun"/>
    <w:basedOn w:val="DefaultParagraphFont"/>
    <w:rsid w:val="0011467A"/>
  </w:style>
  <w:style w:type="paragraph" w:customStyle="1" w:styleId="outlineelement">
    <w:name w:val="outlineelement"/>
    <w:basedOn w:val="Normal"/>
    <w:rsid w:val="001146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trackchangetextdeletion">
    <w:name w:val="trackchangetextdeletion"/>
    <w:basedOn w:val="DefaultParagraphFont"/>
    <w:rsid w:val="0011467A"/>
  </w:style>
  <w:style w:type="character" w:customStyle="1" w:styleId="trackchangetextinsertion">
    <w:name w:val="trackchangetextinsertion"/>
    <w:basedOn w:val="DefaultParagraphFont"/>
    <w:rsid w:val="0011467A"/>
  </w:style>
  <w:style w:type="character" w:customStyle="1" w:styleId="fieldrange">
    <w:name w:val="fieldrange"/>
    <w:basedOn w:val="DefaultParagraphFont"/>
    <w:rsid w:val="0011467A"/>
  </w:style>
  <w:style w:type="character" w:customStyle="1" w:styleId="pagebreakblob">
    <w:name w:val="pagebreakblob"/>
    <w:basedOn w:val="DefaultParagraphFont"/>
    <w:rsid w:val="0011467A"/>
  </w:style>
  <w:style w:type="character" w:customStyle="1" w:styleId="pagebreakborderspan">
    <w:name w:val="pagebreakborderspan"/>
    <w:basedOn w:val="DefaultParagraphFont"/>
    <w:rsid w:val="0011467A"/>
  </w:style>
  <w:style w:type="character" w:customStyle="1" w:styleId="pagebreaktextspan">
    <w:name w:val="pagebreaktextspan"/>
    <w:basedOn w:val="DefaultParagraphFont"/>
    <w:rsid w:val="0011467A"/>
  </w:style>
  <w:style w:type="character" w:customStyle="1" w:styleId="superscript">
    <w:name w:val="superscript"/>
    <w:basedOn w:val="DefaultParagraphFont"/>
    <w:rsid w:val="0011467A"/>
  </w:style>
  <w:style w:type="character" w:customStyle="1" w:styleId="linebreakblob">
    <w:name w:val="linebreakblob"/>
    <w:basedOn w:val="DefaultParagraphFont"/>
    <w:rsid w:val="0011467A"/>
  </w:style>
  <w:style w:type="character" w:customStyle="1" w:styleId="bcx7">
    <w:name w:val="bcx7"/>
    <w:basedOn w:val="DefaultParagraphFont"/>
    <w:rsid w:val="0011467A"/>
  </w:style>
  <w:style w:type="character" w:customStyle="1" w:styleId="UnresolvedMention1">
    <w:name w:val="Unresolved Mention1"/>
    <w:basedOn w:val="DefaultParagraphFont"/>
    <w:uiPriority w:val="99"/>
    <w:unhideWhenUsed/>
    <w:rsid w:val="0011467A"/>
    <w:rPr>
      <w:color w:val="605E5C"/>
      <w:shd w:val="clear" w:color="auto" w:fill="E1DFDD"/>
    </w:rPr>
  </w:style>
  <w:style w:type="paragraph" w:styleId="Title">
    <w:name w:val="Title"/>
    <w:basedOn w:val="Normal"/>
    <w:next w:val="Normal"/>
    <w:link w:val="TitleChar"/>
    <w:uiPriority w:val="10"/>
    <w:qFormat/>
    <w:rsid w:val="0011467A"/>
    <w:pPr>
      <w:tabs>
        <w:tab w:val="clear" w:pos="567"/>
        <w:tab w:val="clear" w:pos="1134"/>
        <w:tab w:val="clear" w:pos="1701"/>
        <w:tab w:val="clear" w:pos="2268"/>
        <w:tab w:val="clear" w:pos="2835"/>
      </w:tabs>
      <w:overflowPunct/>
      <w:autoSpaceDE/>
      <w:autoSpaceDN/>
      <w:adjustRightInd/>
      <w:spacing w:before="0"/>
      <w:contextualSpacing/>
      <w:textAlignment w:val="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67A"/>
    <w:rPr>
      <w:rFonts w:asciiTheme="majorHAnsi" w:eastAsiaTheme="majorEastAsia" w:hAnsiTheme="majorHAnsi" w:cstheme="majorBidi"/>
      <w:spacing w:val="-10"/>
      <w:kern w:val="28"/>
      <w:sz w:val="56"/>
      <w:szCs w:val="56"/>
      <w:lang w:val="en-GB" w:eastAsia="en-US"/>
    </w:rPr>
  </w:style>
  <w:style w:type="character" w:customStyle="1" w:styleId="scxw33153122">
    <w:name w:val="scxw33153122"/>
    <w:basedOn w:val="DefaultParagraphFont"/>
    <w:rsid w:val="0011467A"/>
  </w:style>
  <w:style w:type="character" w:customStyle="1" w:styleId="FooterChar">
    <w:name w:val="Footer Char"/>
    <w:basedOn w:val="DefaultParagraphFont"/>
    <w:link w:val="Footer"/>
    <w:uiPriority w:val="99"/>
    <w:rsid w:val="0011467A"/>
    <w:rPr>
      <w:rFonts w:ascii="Calibri" w:hAnsi="Calibri"/>
      <w:caps/>
      <w:noProof/>
      <w:sz w:val="16"/>
      <w:lang w:val="en-GB" w:eastAsia="en-US"/>
    </w:rPr>
  </w:style>
  <w:style w:type="paragraph" w:styleId="BalloonText">
    <w:name w:val="Balloon Text"/>
    <w:basedOn w:val="Normal"/>
    <w:link w:val="BalloonTextChar"/>
    <w:uiPriority w:val="99"/>
    <w:semiHidden/>
    <w:unhideWhenUsed/>
    <w:rsid w:val="0011467A"/>
    <w:pPr>
      <w:tabs>
        <w:tab w:val="clear" w:pos="567"/>
        <w:tab w:val="clear" w:pos="1134"/>
        <w:tab w:val="clear" w:pos="1701"/>
        <w:tab w:val="clear" w:pos="2268"/>
        <w:tab w:val="clear" w:pos="2835"/>
      </w:tabs>
      <w:overflowPunct/>
      <w:autoSpaceDE/>
      <w:autoSpaceDN/>
      <w:adjustRightInd/>
      <w:spacing w:before="0"/>
      <w:textAlignment w:val="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11467A"/>
    <w:rPr>
      <w:rFonts w:ascii="Segoe UI" w:eastAsiaTheme="minorHAnsi" w:hAnsi="Segoe UI" w:cs="Segoe UI"/>
      <w:sz w:val="18"/>
      <w:szCs w:val="18"/>
      <w:lang w:val="en-GB" w:eastAsia="en-US"/>
    </w:rPr>
  </w:style>
  <w:style w:type="character" w:styleId="CommentReference">
    <w:name w:val="annotation reference"/>
    <w:uiPriority w:val="99"/>
    <w:rsid w:val="0011467A"/>
    <w:rPr>
      <w:sz w:val="16"/>
      <w:szCs w:val="16"/>
    </w:rPr>
  </w:style>
  <w:style w:type="paragraph" w:styleId="CommentText">
    <w:name w:val="annotation text"/>
    <w:basedOn w:val="Normal"/>
    <w:link w:val="CommentTextChar"/>
    <w:uiPriority w:val="99"/>
    <w:rsid w:val="0011467A"/>
    <w:pPr>
      <w:tabs>
        <w:tab w:val="clear" w:pos="567"/>
        <w:tab w:val="clear" w:pos="1134"/>
        <w:tab w:val="clear" w:pos="1701"/>
        <w:tab w:val="clear" w:pos="2268"/>
        <w:tab w:val="clear" w:pos="2835"/>
      </w:tabs>
      <w:overflowPunct/>
      <w:autoSpaceDE/>
      <w:autoSpaceDN/>
      <w:adjustRightInd/>
      <w:textAlignment w:val="auto"/>
    </w:pPr>
    <w:rPr>
      <w:rFonts w:eastAsiaTheme="minorEastAsia"/>
      <w:sz w:val="20"/>
      <w:szCs w:val="22"/>
      <w:lang w:val="en-US" w:eastAsia="fr-FR"/>
    </w:rPr>
  </w:style>
  <w:style w:type="character" w:customStyle="1" w:styleId="CommentTextChar">
    <w:name w:val="Comment Text Char"/>
    <w:basedOn w:val="DefaultParagraphFont"/>
    <w:link w:val="CommentText"/>
    <w:uiPriority w:val="99"/>
    <w:rsid w:val="0011467A"/>
    <w:rPr>
      <w:rFonts w:ascii="Calibri" w:eastAsiaTheme="minorEastAsia" w:hAnsi="Calibri"/>
      <w:szCs w:val="22"/>
      <w:lang w:eastAsia="fr-FR"/>
    </w:r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Recommendation,O5"/>
    <w:basedOn w:val="Normal"/>
    <w:link w:val="ListParagraphChar"/>
    <w:uiPriority w:val="34"/>
    <w:qFormat/>
    <w:rsid w:val="0011467A"/>
    <w:pPr>
      <w:tabs>
        <w:tab w:val="clear" w:pos="567"/>
        <w:tab w:val="clear" w:pos="1134"/>
        <w:tab w:val="clear" w:pos="1701"/>
        <w:tab w:val="clear" w:pos="2268"/>
        <w:tab w:val="clear" w:pos="2835"/>
      </w:tabs>
      <w:overflowPunct/>
      <w:autoSpaceDE/>
      <w:autoSpaceDN/>
      <w:adjustRightInd/>
      <w:ind w:left="510"/>
      <w:textAlignment w:val="auto"/>
    </w:pPr>
    <w:rPr>
      <w:rFonts w:eastAsia="PMingLiU"/>
      <w:sz w:val="22"/>
      <w:szCs w:val="22"/>
      <w:lang w:val="en-US" w:eastAsia="zh-TW"/>
    </w:r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O5 Char"/>
    <w:basedOn w:val="DefaultParagraphFont"/>
    <w:link w:val="ListParagraph"/>
    <w:uiPriority w:val="34"/>
    <w:qFormat/>
    <w:locked/>
    <w:rsid w:val="0011467A"/>
    <w:rPr>
      <w:rFonts w:ascii="Calibri" w:eastAsia="PMingLiU" w:hAnsi="Calibri"/>
      <w:sz w:val="22"/>
      <w:szCs w:val="22"/>
      <w:lang w:eastAsia="zh-TW"/>
    </w:rPr>
  </w:style>
  <w:style w:type="paragraph" w:customStyle="1" w:styleId="Tableheadwhitecentred">
    <w:name w:val="Table head white centred"/>
    <w:basedOn w:val="Normal"/>
    <w:rsid w:val="0011467A"/>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US" w:eastAsia="fr-FR"/>
    </w:rPr>
  </w:style>
  <w:style w:type="paragraph" w:customStyle="1" w:styleId="boxtext">
    <w:name w:val="box_text"/>
    <w:basedOn w:val="Normal"/>
    <w:link w:val="boxtextChar"/>
    <w:rsid w:val="0011467A"/>
    <w:pPr>
      <w:tabs>
        <w:tab w:val="clear" w:pos="567"/>
        <w:tab w:val="clear" w:pos="1134"/>
        <w:tab w:val="clear" w:pos="1701"/>
        <w:tab w:val="clear" w:pos="2268"/>
        <w:tab w:val="clear" w:pos="2835"/>
      </w:tabs>
      <w:overflowPunct/>
      <w:autoSpaceDE/>
      <w:autoSpaceDN/>
      <w:adjustRightInd/>
      <w:spacing w:before="60" w:after="60"/>
      <w:textAlignment w:val="auto"/>
    </w:pPr>
    <w:rPr>
      <w:rFonts w:eastAsiaTheme="minorEastAsia" w:cs="Calibri"/>
      <w:sz w:val="22"/>
      <w:szCs w:val="22"/>
      <w:lang w:val="en-US" w:eastAsia="fr-FR"/>
    </w:rPr>
  </w:style>
  <w:style w:type="character" w:customStyle="1" w:styleId="boxtextChar">
    <w:name w:val="box_text Char"/>
    <w:basedOn w:val="DefaultParagraphFont"/>
    <w:link w:val="boxtext"/>
    <w:locked/>
    <w:rsid w:val="0011467A"/>
    <w:rPr>
      <w:rFonts w:ascii="Calibri" w:eastAsiaTheme="minorEastAsia" w:hAnsi="Calibri" w:cs="Calibri"/>
      <w:sz w:val="22"/>
      <w:szCs w:val="22"/>
      <w:lang w:eastAsia="fr-FR"/>
    </w:rPr>
  </w:style>
  <w:style w:type="paragraph" w:customStyle="1" w:styleId="Tabletextcentred">
    <w:name w:val="Table text centred"/>
    <w:basedOn w:val="Normal"/>
    <w:rsid w:val="0011467A"/>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eastAsia="fr-FR"/>
    </w:rPr>
  </w:style>
  <w:style w:type="paragraph" w:customStyle="1" w:styleId="Tabletextrightaligned">
    <w:name w:val="Table text right aligned"/>
    <w:basedOn w:val="Normal"/>
    <w:rsid w:val="0011467A"/>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eastAsia="fr-FR"/>
    </w:rPr>
  </w:style>
  <w:style w:type="table" w:styleId="ListTable3-Accent1">
    <w:name w:val="List Table 3 Accent 1"/>
    <w:basedOn w:val="TableNormal"/>
    <w:uiPriority w:val="48"/>
    <w:rsid w:val="0011467A"/>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Web">
    <w:name w:val="Normal (Web)"/>
    <w:basedOn w:val="Normal"/>
    <w:link w:val="NormalWebChar"/>
    <w:uiPriority w:val="99"/>
    <w:rsid w:val="0011467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 w:val="21"/>
      <w:szCs w:val="24"/>
      <w:lang w:val="en-US" w:eastAsia="zh-CN"/>
    </w:rPr>
  </w:style>
  <w:style w:type="character" w:customStyle="1" w:styleId="NormalWebChar">
    <w:name w:val="Normal (Web) Char"/>
    <w:link w:val="NormalWeb"/>
    <w:uiPriority w:val="99"/>
    <w:locked/>
    <w:rsid w:val="0011467A"/>
    <w:rPr>
      <w:rFonts w:ascii="Calibri" w:eastAsia="SimSun" w:hAnsi="Calibri"/>
      <w:sz w:val="21"/>
      <w:szCs w:val="24"/>
    </w:rPr>
  </w:style>
  <w:style w:type="paragraph" w:styleId="PlainText">
    <w:name w:val="Plain Text"/>
    <w:basedOn w:val="Normal"/>
    <w:link w:val="PlainTextChar"/>
    <w:uiPriority w:val="99"/>
    <w:unhideWhenUsed/>
    <w:rsid w:val="0011467A"/>
    <w:pPr>
      <w:tabs>
        <w:tab w:val="clear" w:pos="567"/>
        <w:tab w:val="clear" w:pos="1134"/>
        <w:tab w:val="clear" w:pos="1701"/>
        <w:tab w:val="clear" w:pos="2268"/>
        <w:tab w:val="clear" w:pos="2835"/>
      </w:tabs>
      <w:overflowPunct/>
      <w:autoSpaceDE/>
      <w:autoSpaceDN/>
      <w:adjustRightInd/>
      <w:spacing w:before="0"/>
      <w:textAlignment w:val="auto"/>
    </w:pPr>
    <w:rPr>
      <w:rFonts w:ascii="Courier New" w:eastAsia="SimSun" w:hAnsi="Courier New" w:cs="Courier New"/>
      <w:sz w:val="20"/>
      <w:szCs w:val="22"/>
      <w:lang w:val="en-US" w:eastAsia="zh-CN"/>
    </w:rPr>
  </w:style>
  <w:style w:type="character" w:customStyle="1" w:styleId="PlainTextChar">
    <w:name w:val="Plain Text Char"/>
    <w:basedOn w:val="DefaultParagraphFont"/>
    <w:link w:val="PlainText"/>
    <w:uiPriority w:val="99"/>
    <w:rsid w:val="0011467A"/>
    <w:rPr>
      <w:rFonts w:ascii="Courier New" w:eastAsia="SimSun" w:hAnsi="Courier New" w:cs="Courier New"/>
      <w:szCs w:val="22"/>
    </w:rPr>
  </w:style>
  <w:style w:type="character" w:styleId="Emphasis">
    <w:name w:val="Emphasis"/>
    <w:basedOn w:val="DefaultParagraphFont"/>
    <w:uiPriority w:val="20"/>
    <w:qFormat/>
    <w:rsid w:val="0011467A"/>
    <w:rPr>
      <w:i/>
      <w:iCs/>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WB-Fußnotentext Char,MTFootnote Char"/>
    <w:basedOn w:val="DefaultParagraphFont"/>
    <w:link w:val="FootnoteText"/>
    <w:qFormat/>
    <w:rsid w:val="0011467A"/>
    <w:rPr>
      <w:rFonts w:ascii="Calibri" w:hAnsi="Calibri"/>
      <w:sz w:val="24"/>
      <w:lang w:val="en-GB" w:eastAsia="en-US"/>
    </w:rPr>
  </w:style>
  <w:style w:type="character" w:customStyle="1" w:styleId="normalWSISChar">
    <w:name w:val="normal WSIS Char"/>
    <w:basedOn w:val="DefaultParagraphFont"/>
    <w:link w:val="normalWSIS"/>
    <w:locked/>
    <w:rsid w:val="0011467A"/>
    <w:rPr>
      <w:rFonts w:ascii="Calibri" w:eastAsia="SimSun" w:hAnsi="Calibri" w:cs="Arial"/>
    </w:rPr>
  </w:style>
  <w:style w:type="paragraph" w:customStyle="1" w:styleId="normalWSIS">
    <w:name w:val="normal WSIS"/>
    <w:basedOn w:val="ListParagraph"/>
    <w:link w:val="normalWSISChar"/>
    <w:qFormat/>
    <w:rsid w:val="0011467A"/>
    <w:pPr>
      <w:numPr>
        <w:numId w:val="7"/>
      </w:numPr>
      <w:tabs>
        <w:tab w:val="left" w:pos="426"/>
      </w:tabs>
      <w:spacing w:after="200"/>
    </w:pPr>
    <w:rPr>
      <w:rFonts w:eastAsia="SimSun" w:cs="Arial"/>
      <w:sz w:val="20"/>
      <w:szCs w:val="20"/>
      <w:lang w:eastAsia="zh-CN"/>
    </w:rPr>
  </w:style>
  <w:style w:type="paragraph" w:styleId="Revision">
    <w:name w:val="Revision"/>
    <w:hidden/>
    <w:uiPriority w:val="99"/>
    <w:semiHidden/>
    <w:rsid w:val="0011467A"/>
    <w:rPr>
      <w:rFonts w:asciiTheme="minorHAnsi" w:eastAsiaTheme="minorHAnsi" w:hAnsiTheme="minorHAnsi" w:cstheme="minorBidi"/>
      <w:sz w:val="22"/>
      <w:szCs w:val="22"/>
      <w:lang w:val="en-GB" w:eastAsia="en-US"/>
    </w:rPr>
  </w:style>
  <w:style w:type="paragraph" w:styleId="CommentSubject">
    <w:name w:val="annotation subject"/>
    <w:basedOn w:val="CommentText"/>
    <w:next w:val="CommentText"/>
    <w:link w:val="CommentSubjectChar"/>
    <w:uiPriority w:val="99"/>
    <w:semiHidden/>
    <w:unhideWhenUsed/>
    <w:rsid w:val="0011467A"/>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11467A"/>
    <w:rPr>
      <w:rFonts w:asciiTheme="minorHAnsi" w:eastAsiaTheme="minorHAnsi" w:hAnsiTheme="minorHAnsi" w:cstheme="minorBidi"/>
      <w:b/>
      <w:bCs/>
      <w:szCs w:val="22"/>
      <w:lang w:val="en-GB" w:eastAsia="en-US"/>
    </w:rPr>
  </w:style>
  <w:style w:type="character" w:customStyle="1" w:styleId="Mention1">
    <w:name w:val="Mention1"/>
    <w:basedOn w:val="DefaultParagraphFont"/>
    <w:uiPriority w:val="99"/>
    <w:unhideWhenUsed/>
    <w:rsid w:val="0011467A"/>
    <w:rPr>
      <w:color w:val="2B579A"/>
      <w:shd w:val="clear" w:color="auto" w:fill="E1DFDD"/>
    </w:rPr>
  </w:style>
  <w:style w:type="character" w:customStyle="1" w:styleId="Heading5Char">
    <w:name w:val="Heading 5 Char"/>
    <w:basedOn w:val="DefaultParagraphFont"/>
    <w:link w:val="Heading5"/>
    <w:uiPriority w:val="9"/>
    <w:rsid w:val="0011467A"/>
    <w:rPr>
      <w:rFonts w:ascii="Calibri" w:hAnsi="Calibri"/>
      <w:b/>
      <w:sz w:val="24"/>
      <w:lang w:val="en-GB" w:eastAsia="en-US"/>
    </w:rPr>
  </w:style>
  <w:style w:type="character" w:customStyle="1" w:styleId="Heading3Char">
    <w:name w:val="Heading 3 Char"/>
    <w:basedOn w:val="DefaultParagraphFont"/>
    <w:link w:val="Heading3"/>
    <w:uiPriority w:val="9"/>
    <w:rsid w:val="0011467A"/>
    <w:rPr>
      <w:rFonts w:ascii="Calibri" w:hAnsi="Calibri"/>
      <w:b/>
      <w:sz w:val="24"/>
      <w:lang w:val="en-GB" w:eastAsia="en-US"/>
    </w:rPr>
  </w:style>
  <w:style w:type="paragraph" w:styleId="TOCHeading">
    <w:name w:val="TOC Heading"/>
    <w:basedOn w:val="Heading1"/>
    <w:next w:val="Normal"/>
    <w:uiPriority w:val="39"/>
    <w:unhideWhenUsed/>
    <w:qFormat/>
    <w:rsid w:val="0011467A"/>
    <w:pPr>
      <w:tabs>
        <w:tab w:val="clear" w:pos="567"/>
        <w:tab w:val="clear" w:pos="1134"/>
        <w:tab w:val="clear" w:pos="1701"/>
        <w:tab w:val="clear" w:pos="2268"/>
        <w:tab w:val="clear" w:pos="2835"/>
      </w:tabs>
      <w:overflowPunct/>
      <w:autoSpaceDE/>
      <w:autoSpaceDN/>
      <w:adjustRightInd/>
      <w:spacing w:before="240" w:line="259" w:lineRule="auto"/>
      <w:textAlignment w:val="auto"/>
      <w:outlineLvl w:val="9"/>
    </w:pPr>
    <w:rPr>
      <w:rFonts w:eastAsiaTheme="majorEastAsia" w:cs="Calibri"/>
      <w:b w:val="0"/>
      <w:color w:val="365F91" w:themeColor="accent1" w:themeShade="BF"/>
      <w:sz w:val="32"/>
      <w:szCs w:val="32"/>
      <w:lang w:val="en-US"/>
    </w:rPr>
  </w:style>
  <w:style w:type="character" w:styleId="Strong">
    <w:name w:val="Strong"/>
    <w:basedOn w:val="DefaultParagraphFont"/>
    <w:uiPriority w:val="22"/>
    <w:qFormat/>
    <w:rsid w:val="0011467A"/>
    <w:rPr>
      <w:b/>
      <w:bCs/>
    </w:rPr>
  </w:style>
  <w:style w:type="paragraph" w:customStyle="1" w:styleId="xmsolistparagraph">
    <w:name w:val="x_msolistparagraph"/>
    <w:basedOn w:val="Normal"/>
    <w:rsid w:val="0011467A"/>
    <w:pPr>
      <w:tabs>
        <w:tab w:val="clear" w:pos="567"/>
        <w:tab w:val="clear" w:pos="1134"/>
        <w:tab w:val="clear" w:pos="1701"/>
        <w:tab w:val="clear" w:pos="2268"/>
        <w:tab w:val="clear" w:pos="2835"/>
      </w:tabs>
      <w:overflowPunct/>
      <w:autoSpaceDE/>
      <w:autoSpaceDN/>
      <w:adjustRightInd/>
      <w:spacing w:before="0"/>
      <w:ind w:left="720"/>
      <w:textAlignment w:val="auto"/>
    </w:pPr>
    <w:rPr>
      <w:rFonts w:eastAsiaTheme="minorHAnsi" w:cs="Calibri"/>
      <w:sz w:val="22"/>
      <w:szCs w:val="22"/>
      <w:lang w:eastAsia="en-GB"/>
    </w:rPr>
  </w:style>
  <w:style w:type="paragraph" w:customStyle="1" w:styleId="Table">
    <w:name w:val="Table_#"/>
    <w:basedOn w:val="Normal"/>
    <w:next w:val="Normal"/>
    <w:rsid w:val="0011467A"/>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apple-style-span">
    <w:name w:val="apple-style-span"/>
    <w:basedOn w:val="DefaultParagraphFont"/>
    <w:rsid w:val="0011467A"/>
  </w:style>
  <w:style w:type="character" w:styleId="SubtleEmphasis">
    <w:name w:val="Subtle Emphasis"/>
    <w:basedOn w:val="DefaultParagraphFont"/>
    <w:uiPriority w:val="19"/>
    <w:qFormat/>
    <w:rsid w:val="0011467A"/>
    <w:rPr>
      <w:i/>
      <w:iCs/>
      <w:color w:val="404040" w:themeColor="text1" w:themeTint="BF"/>
    </w:rPr>
  </w:style>
  <w:style w:type="paragraph" w:customStyle="1" w:styleId="tabletitle0">
    <w:name w:val="table_title"/>
    <w:basedOn w:val="Normal"/>
    <w:qFormat/>
    <w:rsid w:val="0011467A"/>
    <w:pPr>
      <w:keepNext/>
      <w:tabs>
        <w:tab w:val="clear" w:pos="567"/>
        <w:tab w:val="clear" w:pos="1134"/>
        <w:tab w:val="clear" w:pos="1701"/>
        <w:tab w:val="clear" w:pos="2268"/>
        <w:tab w:val="clear" w:pos="2835"/>
      </w:tabs>
      <w:overflowPunct/>
      <w:autoSpaceDE/>
      <w:autoSpaceDN/>
      <w:adjustRightInd/>
      <w:spacing w:before="0" w:after="120"/>
      <w:jc w:val="both"/>
      <w:textAlignment w:val="auto"/>
    </w:pPr>
    <w:rPr>
      <w:rFonts w:eastAsiaTheme="minorHAnsi" w:cs="Calibri"/>
      <w:b/>
      <w:bCs/>
      <w:color w:val="4472C4"/>
      <w:sz w:val="22"/>
      <w:szCs w:val="22"/>
    </w:rPr>
  </w:style>
  <w:style w:type="paragraph" w:customStyle="1" w:styleId="boxhead">
    <w:name w:val="box_head"/>
    <w:basedOn w:val="Normal"/>
    <w:qFormat/>
    <w:rsid w:val="0011467A"/>
    <w:pPr>
      <w:tabs>
        <w:tab w:val="clear" w:pos="567"/>
        <w:tab w:val="clear" w:pos="1134"/>
        <w:tab w:val="clear" w:pos="1701"/>
        <w:tab w:val="clear" w:pos="2268"/>
        <w:tab w:val="clear" w:pos="2835"/>
      </w:tabs>
      <w:overflowPunct/>
      <w:autoSpaceDE/>
      <w:autoSpaceDN/>
      <w:adjustRightInd/>
      <w:spacing w:after="60"/>
      <w:textAlignment w:val="auto"/>
    </w:pPr>
    <w:rPr>
      <w:rFonts w:eastAsia="Calibri" w:cs="Calibri"/>
      <w:b/>
      <w:sz w:val="22"/>
      <w:szCs w:val="22"/>
      <w:u w:val="single"/>
      <w:lang w:eastAsia="zh-CN"/>
    </w:rPr>
  </w:style>
  <w:style w:type="paragraph" w:customStyle="1" w:styleId="boxbullet">
    <w:name w:val="box_bullet"/>
    <w:basedOn w:val="Normal"/>
    <w:qFormat/>
    <w:rsid w:val="0011467A"/>
    <w:pPr>
      <w:numPr>
        <w:numId w:val="8"/>
      </w:numPr>
      <w:tabs>
        <w:tab w:val="clear" w:pos="567"/>
        <w:tab w:val="clear" w:pos="1134"/>
        <w:tab w:val="clear" w:pos="1701"/>
        <w:tab w:val="clear" w:pos="2268"/>
        <w:tab w:val="clear" w:pos="2835"/>
      </w:tabs>
      <w:overflowPunct/>
      <w:autoSpaceDE/>
      <w:autoSpaceDN/>
      <w:adjustRightInd/>
      <w:spacing w:before="60" w:after="60"/>
      <w:ind w:left="714" w:hanging="357"/>
      <w:jc w:val="both"/>
      <w:textAlignment w:val="auto"/>
    </w:pPr>
    <w:rPr>
      <w:rFonts w:eastAsiaTheme="minorEastAsia" w:cs="Calibri"/>
      <w:sz w:val="22"/>
      <w:szCs w:val="22"/>
      <w:lang w:eastAsia="zh-CN"/>
    </w:rPr>
  </w:style>
  <w:style w:type="paragraph" w:customStyle="1" w:styleId="Boxbullet2">
    <w:name w:val="Box_bullet2"/>
    <w:basedOn w:val="Normal"/>
    <w:qFormat/>
    <w:rsid w:val="0011467A"/>
    <w:pPr>
      <w:numPr>
        <w:ilvl w:val="1"/>
        <w:numId w:val="8"/>
      </w:numPr>
      <w:tabs>
        <w:tab w:val="clear" w:pos="567"/>
        <w:tab w:val="clear" w:pos="1134"/>
        <w:tab w:val="clear" w:pos="1701"/>
        <w:tab w:val="clear" w:pos="2268"/>
        <w:tab w:val="clear" w:pos="2835"/>
      </w:tabs>
      <w:overflowPunct/>
      <w:autoSpaceDE/>
      <w:autoSpaceDN/>
      <w:adjustRightInd/>
      <w:spacing w:before="60" w:after="60"/>
      <w:ind w:left="1434" w:hanging="357"/>
      <w:jc w:val="both"/>
      <w:textAlignment w:val="auto"/>
    </w:pPr>
    <w:rPr>
      <w:rFonts w:eastAsiaTheme="minorEastAsia"/>
      <w:sz w:val="22"/>
      <w:szCs w:val="22"/>
      <w:lang w:eastAsia="zh-CN"/>
    </w:rPr>
  </w:style>
  <w:style w:type="paragraph" w:customStyle="1" w:styleId="tabletext0">
    <w:name w:val="table_text"/>
    <w:basedOn w:val="Normal"/>
    <w:rsid w:val="0011467A"/>
    <w:pPr>
      <w:tabs>
        <w:tab w:val="clear" w:pos="567"/>
        <w:tab w:val="clear" w:pos="1134"/>
        <w:tab w:val="clear" w:pos="1701"/>
        <w:tab w:val="clear" w:pos="2268"/>
        <w:tab w:val="clear" w:pos="2835"/>
      </w:tabs>
      <w:overflowPunct/>
      <w:autoSpaceDE/>
      <w:autoSpaceDN/>
      <w:adjustRightInd/>
      <w:spacing w:before="80" w:after="80"/>
      <w:jc w:val="both"/>
      <w:textAlignment w:val="auto"/>
    </w:pPr>
    <w:rPr>
      <w:rFonts w:eastAsiaTheme="minorEastAsia" w:cs="Calibri"/>
      <w:sz w:val="22"/>
      <w:szCs w:val="22"/>
      <w:lang w:eastAsia="zh-CN"/>
    </w:rPr>
  </w:style>
  <w:style w:type="character" w:customStyle="1" w:styleId="Heading9Char">
    <w:name w:val="Heading 9 Char"/>
    <w:basedOn w:val="DefaultParagraphFont"/>
    <w:link w:val="Heading9"/>
    <w:uiPriority w:val="9"/>
    <w:rsid w:val="0011467A"/>
    <w:rPr>
      <w:rFonts w:ascii="Calibri" w:hAnsi="Calibri"/>
      <w:b/>
      <w:sz w:val="24"/>
      <w:lang w:val="en-GB" w:eastAsia="en-US"/>
    </w:rPr>
  </w:style>
  <w:style w:type="character" w:customStyle="1" w:styleId="A0">
    <w:name w:val="A0"/>
    <w:uiPriority w:val="99"/>
    <w:rsid w:val="0011467A"/>
    <w:rPr>
      <w:color w:val="404041"/>
      <w:sz w:val="21"/>
      <w:szCs w:val="21"/>
    </w:rPr>
  </w:style>
  <w:style w:type="table" w:styleId="ListTable4-Accent1">
    <w:name w:val="List Table 4 Accent 1"/>
    <w:basedOn w:val="TableNormal"/>
    <w:uiPriority w:val="49"/>
    <w:rsid w:val="0011467A"/>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list1">
    <w:name w:val="Bullet list 1"/>
    <w:basedOn w:val="Normal"/>
    <w:rsid w:val="0011467A"/>
    <w:pPr>
      <w:tabs>
        <w:tab w:val="clear" w:pos="567"/>
        <w:tab w:val="clear" w:pos="1134"/>
        <w:tab w:val="clear" w:pos="1701"/>
        <w:tab w:val="clear" w:pos="2268"/>
        <w:tab w:val="clear" w:pos="2835"/>
      </w:tabs>
      <w:overflowPunct/>
      <w:autoSpaceDE/>
      <w:autoSpaceDN/>
      <w:adjustRightInd/>
      <w:ind w:left="425" w:hanging="425"/>
      <w:textAlignment w:val="auto"/>
    </w:pPr>
    <w:rPr>
      <w:rFonts w:eastAsiaTheme="minorEastAsia"/>
      <w:sz w:val="21"/>
      <w:szCs w:val="22"/>
      <w:lang w:val="en-US" w:eastAsia="fr-FR"/>
    </w:rPr>
  </w:style>
  <w:style w:type="paragraph" w:customStyle="1" w:styleId="xxxmsonormal">
    <w:name w:val="x_xxmsonormal"/>
    <w:basedOn w:val="Normal"/>
    <w:rsid w:val="0011467A"/>
    <w:pPr>
      <w:tabs>
        <w:tab w:val="clear" w:pos="567"/>
        <w:tab w:val="clear" w:pos="1134"/>
        <w:tab w:val="clear" w:pos="1701"/>
        <w:tab w:val="clear" w:pos="2268"/>
        <w:tab w:val="clear" w:pos="2835"/>
      </w:tabs>
      <w:overflowPunct/>
      <w:autoSpaceDE/>
      <w:autoSpaceDN/>
      <w:adjustRightInd/>
      <w:spacing w:before="0"/>
      <w:textAlignment w:val="auto"/>
    </w:pPr>
    <w:rPr>
      <w:rFonts w:eastAsiaTheme="minorHAnsi" w:cs="Calibri"/>
      <w:sz w:val="22"/>
      <w:szCs w:val="22"/>
      <w:lang w:eastAsia="en-GB"/>
    </w:rPr>
  </w:style>
  <w:style w:type="character" w:customStyle="1" w:styleId="SmartLink1">
    <w:name w:val="SmartLink1"/>
    <w:basedOn w:val="DefaultParagraphFont"/>
    <w:uiPriority w:val="99"/>
    <w:semiHidden/>
    <w:unhideWhenUsed/>
    <w:rsid w:val="0011467A"/>
    <w:rPr>
      <w:color w:val="0000FF"/>
      <w:u w:val="single"/>
      <w:shd w:val="clear" w:color="auto" w:fill="F3F2F1"/>
    </w:rPr>
  </w:style>
  <w:style w:type="character" w:customStyle="1" w:styleId="apple-converted-space">
    <w:name w:val="apple-converted-space"/>
    <w:basedOn w:val="DefaultParagraphFont"/>
    <w:rsid w:val="0011467A"/>
  </w:style>
  <w:style w:type="character" w:customStyle="1" w:styleId="ms-rtethemeforecolor-2-0">
    <w:name w:val="ms-rtethemeforecolor-2-0"/>
    <w:basedOn w:val="DefaultParagraphFont"/>
    <w:rsid w:val="0011467A"/>
  </w:style>
  <w:style w:type="character" w:customStyle="1" w:styleId="Heading4Char">
    <w:name w:val="Heading 4 Char"/>
    <w:basedOn w:val="DefaultParagraphFont"/>
    <w:link w:val="Heading4"/>
    <w:uiPriority w:val="9"/>
    <w:rsid w:val="0011467A"/>
    <w:rPr>
      <w:rFonts w:ascii="Calibri" w:hAnsi="Calibri"/>
      <w:b/>
      <w:sz w:val="24"/>
      <w:lang w:val="en-GB" w:eastAsia="en-US"/>
    </w:rPr>
  </w:style>
  <w:style w:type="character" w:customStyle="1" w:styleId="UnresolvedMention10">
    <w:name w:val="Unresolved Mention10"/>
    <w:basedOn w:val="DefaultParagraphFont"/>
    <w:uiPriority w:val="99"/>
    <w:unhideWhenUsed/>
    <w:rsid w:val="0011467A"/>
    <w:rPr>
      <w:color w:val="605E5C"/>
      <w:shd w:val="clear" w:color="auto" w:fill="E1DFDD"/>
    </w:rPr>
  </w:style>
  <w:style w:type="character" w:customStyle="1" w:styleId="Mention10">
    <w:name w:val="Mention10"/>
    <w:basedOn w:val="DefaultParagraphFont"/>
    <w:uiPriority w:val="99"/>
    <w:unhideWhenUsed/>
    <w:rsid w:val="0011467A"/>
    <w:rPr>
      <w:color w:val="2B579A"/>
      <w:shd w:val="clear" w:color="auto" w:fill="E1DFDD"/>
    </w:rPr>
  </w:style>
  <w:style w:type="numbering" w:customStyle="1" w:styleId="NoList1">
    <w:name w:val="No List1"/>
    <w:next w:val="NoList"/>
    <w:uiPriority w:val="99"/>
    <w:semiHidden/>
    <w:unhideWhenUsed/>
    <w:rsid w:val="0011467A"/>
  </w:style>
  <w:style w:type="table" w:customStyle="1" w:styleId="ListTable3-Accent11">
    <w:name w:val="List Table 3 - Accent 11"/>
    <w:basedOn w:val="TableNormal"/>
    <w:next w:val="ListTable3-Accent1"/>
    <w:uiPriority w:val="48"/>
    <w:rsid w:val="0011467A"/>
    <w:rPr>
      <w:rFonts w:asciiTheme="minorHAnsi" w:eastAsiaTheme="minorHAnsi" w:hAnsiTheme="minorHAnsi" w:cstheme="minorBidi"/>
      <w:sz w:val="22"/>
      <w:szCs w:val="22"/>
      <w:lang w:val="en-GB"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UnresolvedMention2">
    <w:name w:val="Unresolved Mention2"/>
    <w:basedOn w:val="DefaultParagraphFont"/>
    <w:uiPriority w:val="99"/>
    <w:semiHidden/>
    <w:unhideWhenUsed/>
    <w:rsid w:val="0011467A"/>
    <w:rPr>
      <w:color w:val="605E5C"/>
      <w:shd w:val="clear" w:color="auto" w:fill="E1DFDD"/>
    </w:rPr>
  </w:style>
  <w:style w:type="character" w:customStyle="1" w:styleId="Mention2">
    <w:name w:val="Mention2"/>
    <w:basedOn w:val="DefaultParagraphFont"/>
    <w:uiPriority w:val="99"/>
    <w:unhideWhenUsed/>
    <w:rsid w:val="0011467A"/>
    <w:rPr>
      <w:color w:val="2B579A"/>
      <w:shd w:val="clear" w:color="auto" w:fill="E1DFDD"/>
    </w:rPr>
  </w:style>
  <w:style w:type="paragraph" w:styleId="EndnoteText">
    <w:name w:val="endnote text"/>
    <w:basedOn w:val="Normal"/>
    <w:link w:val="EndnoteTextChar"/>
    <w:uiPriority w:val="99"/>
    <w:semiHidden/>
    <w:unhideWhenUsed/>
    <w:rsid w:val="0011467A"/>
    <w:pPr>
      <w:tabs>
        <w:tab w:val="clear" w:pos="567"/>
        <w:tab w:val="clear" w:pos="1134"/>
        <w:tab w:val="clear" w:pos="1701"/>
        <w:tab w:val="clear" w:pos="2268"/>
        <w:tab w:val="clear" w:pos="2835"/>
      </w:tabs>
      <w:overflowPunct/>
      <w:autoSpaceDE/>
      <w:autoSpaceDN/>
      <w:adjustRightInd/>
      <w:spacing w:before="0"/>
      <w:textAlignment w:val="auto"/>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11467A"/>
    <w:rPr>
      <w:rFonts w:asciiTheme="minorHAnsi" w:eastAsiaTheme="minorHAnsi" w:hAnsiTheme="minorHAnsi" w:cstheme="minorBidi"/>
      <w:lang w:val="en-GB" w:eastAsia="en-US"/>
    </w:rPr>
  </w:style>
  <w:style w:type="character" w:styleId="EndnoteReference">
    <w:name w:val="endnote reference"/>
    <w:basedOn w:val="DefaultParagraphFont"/>
    <w:uiPriority w:val="99"/>
    <w:semiHidden/>
    <w:unhideWhenUsed/>
    <w:rsid w:val="0011467A"/>
    <w:rPr>
      <w:vertAlign w:val="superscript"/>
    </w:rPr>
  </w:style>
  <w:style w:type="paragraph" w:customStyle="1" w:styleId="yiv3170009829msonormal">
    <w:name w:val="yiv3170009829msonormal"/>
    <w:basedOn w:val="Normal"/>
    <w:rsid w:val="0011467A"/>
    <w:pPr>
      <w:tabs>
        <w:tab w:val="clear" w:pos="567"/>
        <w:tab w:val="clear" w:pos="1134"/>
        <w:tab w:val="clear" w:pos="1701"/>
        <w:tab w:val="clear" w:pos="2268"/>
        <w:tab w:val="clear" w:pos="2835"/>
      </w:tabs>
      <w:suppressAutoHyphens/>
      <w:overflowPunct/>
      <w:autoSpaceDE/>
      <w:adjustRightInd/>
      <w:spacing w:before="100" w:after="100"/>
    </w:pPr>
    <w:rPr>
      <w:rFonts w:ascii="Times New Roman" w:hAnsi="Times New Roman"/>
      <w:szCs w:val="24"/>
      <w:lang w:val="fr-CH" w:eastAsia="fr-CH"/>
    </w:rPr>
  </w:style>
  <w:style w:type="character" w:customStyle="1" w:styleId="yiv3170009829msohyperlink">
    <w:name w:val="yiv3170009829msohyperlink"/>
    <w:basedOn w:val="DefaultParagraphFont"/>
    <w:rsid w:val="0011467A"/>
  </w:style>
  <w:style w:type="character" w:customStyle="1" w:styleId="enumlev1Char">
    <w:name w:val="enumlev1 Char"/>
    <w:basedOn w:val="DefaultParagraphFont"/>
    <w:link w:val="enumlev1"/>
    <w:uiPriority w:val="99"/>
    <w:rsid w:val="0011467A"/>
    <w:rPr>
      <w:rFonts w:ascii="Calibri" w:hAnsi="Calibri"/>
      <w:sz w:val="24"/>
      <w:lang w:val="en-GB" w:eastAsia="en-US"/>
    </w:rPr>
  </w:style>
  <w:style w:type="character" w:customStyle="1" w:styleId="tabchar">
    <w:name w:val="tabchar"/>
    <w:basedOn w:val="DefaultParagraphFont"/>
    <w:rsid w:val="0011467A"/>
  </w:style>
  <w:style w:type="character" w:customStyle="1" w:styleId="ui-provider">
    <w:name w:val="ui-provider"/>
    <w:basedOn w:val="DefaultParagraphFont"/>
    <w:rsid w:val="00192147"/>
  </w:style>
  <w:style w:type="paragraph" w:customStyle="1" w:styleId="Subtitle1">
    <w:name w:val="Subtitle1"/>
    <w:basedOn w:val="Title1"/>
    <w:qFormat/>
    <w:rsid w:val="0021411A"/>
    <w:pPr>
      <w:framePr w:wrap="around" w:vAnchor="margin" w:hAnchor="text"/>
      <w:spacing w:before="120" w:after="160"/>
    </w:pPr>
  </w:style>
  <w:style w:type="character" w:styleId="UnresolvedMention">
    <w:name w:val="Unresolved Mention"/>
    <w:basedOn w:val="DefaultParagraphFont"/>
    <w:uiPriority w:val="99"/>
    <w:semiHidden/>
    <w:unhideWhenUsed/>
    <w:rsid w:val="00585689"/>
    <w:rPr>
      <w:color w:val="605E5C"/>
      <w:shd w:val="clear" w:color="auto" w:fill="E1DFDD"/>
    </w:rPr>
  </w:style>
  <w:style w:type="paragraph" w:customStyle="1" w:styleId="xmsonormal">
    <w:name w:val="x_msonormal"/>
    <w:basedOn w:val="Normal"/>
    <w:rsid w:val="00B52E52"/>
    <w:pPr>
      <w:tabs>
        <w:tab w:val="clear" w:pos="567"/>
        <w:tab w:val="clear" w:pos="1134"/>
        <w:tab w:val="clear" w:pos="1701"/>
        <w:tab w:val="clear" w:pos="2268"/>
        <w:tab w:val="clear" w:pos="2835"/>
      </w:tabs>
      <w:overflowPunct/>
      <w:autoSpaceDE/>
      <w:autoSpaceDN/>
      <w:adjustRightInd/>
      <w:spacing w:before="0"/>
      <w:textAlignment w:val="auto"/>
    </w:pPr>
    <w:rPr>
      <w:rFonts w:eastAsiaTheme="minorHAnsi" w:cs="Calibri"/>
      <w:sz w:val="22"/>
      <w:szCs w:val="22"/>
      <w:lang w:eastAsia="en-GB"/>
    </w:rPr>
  </w:style>
  <w:style w:type="paragraph" w:styleId="NoSpacing">
    <w:name w:val="No Spacing"/>
    <w:uiPriority w:val="1"/>
    <w:qFormat/>
    <w:rsid w:val="00F930EE"/>
    <w:rPr>
      <w:rFonts w:asciiTheme="minorHAnsi" w:eastAsiaTheme="minorEastAsia" w:hAnsiTheme="minorHAnsi" w:cstheme="minorBidi"/>
      <w:kern w:val="2"/>
      <w:sz w:val="22"/>
      <w:szCs w:val="22"/>
      <w:lang w:val="en-GB"/>
      <w14:ligatures w14:val="standardContextual"/>
    </w:rPr>
  </w:style>
  <w:style w:type="paragraph" w:customStyle="1" w:styleId="pf0">
    <w:name w:val="pf0"/>
    <w:basedOn w:val="Normal"/>
    <w:rsid w:val="008C616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cf01">
    <w:name w:val="cf01"/>
    <w:basedOn w:val="DefaultParagraphFont"/>
    <w:rsid w:val="008C616B"/>
    <w:rPr>
      <w:rFonts w:ascii="Segoe UI" w:hAnsi="Segoe UI" w:cs="Segoe UI" w:hint="default"/>
      <w:b/>
      <w:bCs/>
      <w:sz w:val="24"/>
      <w:szCs w:val="24"/>
    </w:rPr>
  </w:style>
  <w:style w:type="character" w:styleId="Mention">
    <w:name w:val="Mention"/>
    <w:basedOn w:val="DefaultParagraphFont"/>
    <w:uiPriority w:val="99"/>
    <w:unhideWhenUsed/>
    <w:rsid w:val="00E14F70"/>
    <w:rPr>
      <w:color w:val="2B579A"/>
      <w:shd w:val="clear" w:color="auto" w:fill="E1DFDD"/>
    </w:rPr>
  </w:style>
  <w:style w:type="table" w:customStyle="1" w:styleId="TableGrid1">
    <w:name w:val="Table Grid1"/>
    <w:basedOn w:val="TableNormal"/>
    <w:next w:val="TableGrid"/>
    <w:uiPriority w:val="39"/>
    <w:rsid w:val="00DE6EB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9966">
      <w:bodyDiv w:val="1"/>
      <w:marLeft w:val="0"/>
      <w:marRight w:val="0"/>
      <w:marTop w:val="0"/>
      <w:marBottom w:val="0"/>
      <w:divBdr>
        <w:top w:val="none" w:sz="0" w:space="0" w:color="auto"/>
        <w:left w:val="none" w:sz="0" w:space="0" w:color="auto"/>
        <w:bottom w:val="none" w:sz="0" w:space="0" w:color="auto"/>
        <w:right w:val="none" w:sz="0" w:space="0" w:color="auto"/>
      </w:divBdr>
      <w:divsChild>
        <w:div w:id="58334691">
          <w:marLeft w:val="0"/>
          <w:marRight w:val="0"/>
          <w:marTop w:val="0"/>
          <w:marBottom w:val="0"/>
          <w:divBdr>
            <w:top w:val="none" w:sz="0" w:space="0" w:color="auto"/>
            <w:left w:val="none" w:sz="0" w:space="0" w:color="auto"/>
            <w:bottom w:val="none" w:sz="0" w:space="0" w:color="auto"/>
            <w:right w:val="none" w:sz="0" w:space="0" w:color="auto"/>
          </w:divBdr>
        </w:div>
        <w:div w:id="672223519">
          <w:marLeft w:val="0"/>
          <w:marRight w:val="0"/>
          <w:marTop w:val="0"/>
          <w:marBottom w:val="0"/>
          <w:divBdr>
            <w:top w:val="none" w:sz="0" w:space="0" w:color="auto"/>
            <w:left w:val="none" w:sz="0" w:space="0" w:color="auto"/>
            <w:bottom w:val="none" w:sz="0" w:space="0" w:color="auto"/>
            <w:right w:val="none" w:sz="0" w:space="0" w:color="auto"/>
          </w:divBdr>
        </w:div>
        <w:div w:id="890456611">
          <w:marLeft w:val="0"/>
          <w:marRight w:val="0"/>
          <w:marTop w:val="0"/>
          <w:marBottom w:val="0"/>
          <w:divBdr>
            <w:top w:val="none" w:sz="0" w:space="0" w:color="auto"/>
            <w:left w:val="none" w:sz="0" w:space="0" w:color="auto"/>
            <w:bottom w:val="none" w:sz="0" w:space="0" w:color="auto"/>
            <w:right w:val="none" w:sz="0" w:space="0" w:color="auto"/>
          </w:divBdr>
        </w:div>
        <w:div w:id="989410351">
          <w:marLeft w:val="0"/>
          <w:marRight w:val="0"/>
          <w:marTop w:val="0"/>
          <w:marBottom w:val="0"/>
          <w:divBdr>
            <w:top w:val="none" w:sz="0" w:space="0" w:color="auto"/>
            <w:left w:val="none" w:sz="0" w:space="0" w:color="auto"/>
            <w:bottom w:val="none" w:sz="0" w:space="0" w:color="auto"/>
            <w:right w:val="none" w:sz="0" w:space="0" w:color="auto"/>
          </w:divBdr>
        </w:div>
        <w:div w:id="997659395">
          <w:marLeft w:val="0"/>
          <w:marRight w:val="0"/>
          <w:marTop w:val="0"/>
          <w:marBottom w:val="0"/>
          <w:divBdr>
            <w:top w:val="none" w:sz="0" w:space="0" w:color="auto"/>
            <w:left w:val="none" w:sz="0" w:space="0" w:color="auto"/>
            <w:bottom w:val="none" w:sz="0" w:space="0" w:color="auto"/>
            <w:right w:val="none" w:sz="0" w:space="0" w:color="auto"/>
          </w:divBdr>
        </w:div>
        <w:div w:id="1397902045">
          <w:marLeft w:val="0"/>
          <w:marRight w:val="0"/>
          <w:marTop w:val="0"/>
          <w:marBottom w:val="0"/>
          <w:divBdr>
            <w:top w:val="none" w:sz="0" w:space="0" w:color="auto"/>
            <w:left w:val="none" w:sz="0" w:space="0" w:color="auto"/>
            <w:bottom w:val="none" w:sz="0" w:space="0" w:color="auto"/>
            <w:right w:val="none" w:sz="0" w:space="0" w:color="auto"/>
          </w:divBdr>
        </w:div>
      </w:divsChild>
    </w:div>
    <w:div w:id="186217195">
      <w:bodyDiv w:val="1"/>
      <w:marLeft w:val="0"/>
      <w:marRight w:val="0"/>
      <w:marTop w:val="0"/>
      <w:marBottom w:val="0"/>
      <w:divBdr>
        <w:top w:val="none" w:sz="0" w:space="0" w:color="auto"/>
        <w:left w:val="none" w:sz="0" w:space="0" w:color="auto"/>
        <w:bottom w:val="none" w:sz="0" w:space="0" w:color="auto"/>
        <w:right w:val="none" w:sz="0" w:space="0" w:color="auto"/>
      </w:divBdr>
      <w:divsChild>
        <w:div w:id="22483141">
          <w:marLeft w:val="0"/>
          <w:marRight w:val="0"/>
          <w:marTop w:val="0"/>
          <w:marBottom w:val="0"/>
          <w:divBdr>
            <w:top w:val="none" w:sz="0" w:space="0" w:color="auto"/>
            <w:left w:val="none" w:sz="0" w:space="0" w:color="auto"/>
            <w:bottom w:val="none" w:sz="0" w:space="0" w:color="auto"/>
            <w:right w:val="none" w:sz="0" w:space="0" w:color="auto"/>
          </w:divBdr>
        </w:div>
        <w:div w:id="465508848">
          <w:marLeft w:val="0"/>
          <w:marRight w:val="0"/>
          <w:marTop w:val="0"/>
          <w:marBottom w:val="0"/>
          <w:divBdr>
            <w:top w:val="none" w:sz="0" w:space="0" w:color="auto"/>
            <w:left w:val="none" w:sz="0" w:space="0" w:color="auto"/>
            <w:bottom w:val="none" w:sz="0" w:space="0" w:color="auto"/>
            <w:right w:val="none" w:sz="0" w:space="0" w:color="auto"/>
          </w:divBdr>
        </w:div>
        <w:div w:id="480657410">
          <w:marLeft w:val="0"/>
          <w:marRight w:val="0"/>
          <w:marTop w:val="0"/>
          <w:marBottom w:val="0"/>
          <w:divBdr>
            <w:top w:val="none" w:sz="0" w:space="0" w:color="auto"/>
            <w:left w:val="none" w:sz="0" w:space="0" w:color="auto"/>
            <w:bottom w:val="none" w:sz="0" w:space="0" w:color="auto"/>
            <w:right w:val="none" w:sz="0" w:space="0" w:color="auto"/>
          </w:divBdr>
        </w:div>
        <w:div w:id="580798342">
          <w:marLeft w:val="0"/>
          <w:marRight w:val="0"/>
          <w:marTop w:val="0"/>
          <w:marBottom w:val="0"/>
          <w:divBdr>
            <w:top w:val="none" w:sz="0" w:space="0" w:color="auto"/>
            <w:left w:val="none" w:sz="0" w:space="0" w:color="auto"/>
            <w:bottom w:val="none" w:sz="0" w:space="0" w:color="auto"/>
            <w:right w:val="none" w:sz="0" w:space="0" w:color="auto"/>
          </w:divBdr>
        </w:div>
        <w:div w:id="632057811">
          <w:marLeft w:val="0"/>
          <w:marRight w:val="0"/>
          <w:marTop w:val="0"/>
          <w:marBottom w:val="0"/>
          <w:divBdr>
            <w:top w:val="none" w:sz="0" w:space="0" w:color="auto"/>
            <w:left w:val="none" w:sz="0" w:space="0" w:color="auto"/>
            <w:bottom w:val="none" w:sz="0" w:space="0" w:color="auto"/>
            <w:right w:val="none" w:sz="0" w:space="0" w:color="auto"/>
          </w:divBdr>
        </w:div>
        <w:div w:id="819004847">
          <w:marLeft w:val="0"/>
          <w:marRight w:val="0"/>
          <w:marTop w:val="0"/>
          <w:marBottom w:val="0"/>
          <w:divBdr>
            <w:top w:val="none" w:sz="0" w:space="0" w:color="auto"/>
            <w:left w:val="none" w:sz="0" w:space="0" w:color="auto"/>
            <w:bottom w:val="none" w:sz="0" w:space="0" w:color="auto"/>
            <w:right w:val="none" w:sz="0" w:space="0" w:color="auto"/>
          </w:divBdr>
        </w:div>
        <w:div w:id="876040706">
          <w:marLeft w:val="0"/>
          <w:marRight w:val="0"/>
          <w:marTop w:val="0"/>
          <w:marBottom w:val="0"/>
          <w:divBdr>
            <w:top w:val="none" w:sz="0" w:space="0" w:color="auto"/>
            <w:left w:val="none" w:sz="0" w:space="0" w:color="auto"/>
            <w:bottom w:val="none" w:sz="0" w:space="0" w:color="auto"/>
            <w:right w:val="none" w:sz="0" w:space="0" w:color="auto"/>
          </w:divBdr>
        </w:div>
        <w:div w:id="1679429620">
          <w:marLeft w:val="0"/>
          <w:marRight w:val="0"/>
          <w:marTop w:val="0"/>
          <w:marBottom w:val="0"/>
          <w:divBdr>
            <w:top w:val="none" w:sz="0" w:space="0" w:color="auto"/>
            <w:left w:val="none" w:sz="0" w:space="0" w:color="auto"/>
            <w:bottom w:val="none" w:sz="0" w:space="0" w:color="auto"/>
            <w:right w:val="none" w:sz="0" w:space="0" w:color="auto"/>
          </w:divBdr>
        </w:div>
      </w:divsChild>
    </w:div>
    <w:div w:id="264190937">
      <w:bodyDiv w:val="1"/>
      <w:marLeft w:val="0"/>
      <w:marRight w:val="0"/>
      <w:marTop w:val="0"/>
      <w:marBottom w:val="0"/>
      <w:divBdr>
        <w:top w:val="none" w:sz="0" w:space="0" w:color="auto"/>
        <w:left w:val="none" w:sz="0" w:space="0" w:color="auto"/>
        <w:bottom w:val="none" w:sz="0" w:space="0" w:color="auto"/>
        <w:right w:val="none" w:sz="0" w:space="0" w:color="auto"/>
      </w:divBdr>
      <w:divsChild>
        <w:div w:id="673801065">
          <w:marLeft w:val="0"/>
          <w:marRight w:val="0"/>
          <w:marTop w:val="0"/>
          <w:marBottom w:val="0"/>
          <w:divBdr>
            <w:top w:val="none" w:sz="0" w:space="0" w:color="auto"/>
            <w:left w:val="none" w:sz="0" w:space="0" w:color="auto"/>
            <w:bottom w:val="none" w:sz="0" w:space="0" w:color="auto"/>
            <w:right w:val="none" w:sz="0" w:space="0" w:color="auto"/>
          </w:divBdr>
        </w:div>
        <w:div w:id="1045790479">
          <w:marLeft w:val="0"/>
          <w:marRight w:val="0"/>
          <w:marTop w:val="0"/>
          <w:marBottom w:val="0"/>
          <w:divBdr>
            <w:top w:val="none" w:sz="0" w:space="0" w:color="auto"/>
            <w:left w:val="none" w:sz="0" w:space="0" w:color="auto"/>
            <w:bottom w:val="none" w:sz="0" w:space="0" w:color="auto"/>
            <w:right w:val="none" w:sz="0" w:space="0" w:color="auto"/>
          </w:divBdr>
        </w:div>
        <w:div w:id="1328904105">
          <w:marLeft w:val="0"/>
          <w:marRight w:val="0"/>
          <w:marTop w:val="0"/>
          <w:marBottom w:val="0"/>
          <w:divBdr>
            <w:top w:val="none" w:sz="0" w:space="0" w:color="auto"/>
            <w:left w:val="none" w:sz="0" w:space="0" w:color="auto"/>
            <w:bottom w:val="none" w:sz="0" w:space="0" w:color="auto"/>
            <w:right w:val="none" w:sz="0" w:space="0" w:color="auto"/>
          </w:divBdr>
        </w:div>
        <w:div w:id="1501193239">
          <w:marLeft w:val="0"/>
          <w:marRight w:val="0"/>
          <w:marTop w:val="0"/>
          <w:marBottom w:val="0"/>
          <w:divBdr>
            <w:top w:val="none" w:sz="0" w:space="0" w:color="auto"/>
            <w:left w:val="none" w:sz="0" w:space="0" w:color="auto"/>
            <w:bottom w:val="none" w:sz="0" w:space="0" w:color="auto"/>
            <w:right w:val="none" w:sz="0" w:space="0" w:color="auto"/>
          </w:divBdr>
        </w:div>
        <w:div w:id="1869174284">
          <w:marLeft w:val="0"/>
          <w:marRight w:val="0"/>
          <w:marTop w:val="0"/>
          <w:marBottom w:val="0"/>
          <w:divBdr>
            <w:top w:val="none" w:sz="0" w:space="0" w:color="auto"/>
            <w:left w:val="none" w:sz="0" w:space="0" w:color="auto"/>
            <w:bottom w:val="none" w:sz="0" w:space="0" w:color="auto"/>
            <w:right w:val="none" w:sz="0" w:space="0" w:color="auto"/>
          </w:divBdr>
        </w:div>
      </w:divsChild>
    </w:div>
    <w:div w:id="365831886">
      <w:bodyDiv w:val="1"/>
      <w:marLeft w:val="0"/>
      <w:marRight w:val="0"/>
      <w:marTop w:val="0"/>
      <w:marBottom w:val="0"/>
      <w:divBdr>
        <w:top w:val="none" w:sz="0" w:space="0" w:color="auto"/>
        <w:left w:val="none" w:sz="0" w:space="0" w:color="auto"/>
        <w:bottom w:val="none" w:sz="0" w:space="0" w:color="auto"/>
        <w:right w:val="none" w:sz="0" w:space="0" w:color="auto"/>
      </w:divBdr>
    </w:div>
    <w:div w:id="388068480">
      <w:bodyDiv w:val="1"/>
      <w:marLeft w:val="0"/>
      <w:marRight w:val="0"/>
      <w:marTop w:val="0"/>
      <w:marBottom w:val="0"/>
      <w:divBdr>
        <w:top w:val="none" w:sz="0" w:space="0" w:color="auto"/>
        <w:left w:val="none" w:sz="0" w:space="0" w:color="auto"/>
        <w:bottom w:val="none" w:sz="0" w:space="0" w:color="auto"/>
        <w:right w:val="none" w:sz="0" w:space="0" w:color="auto"/>
      </w:divBdr>
    </w:div>
    <w:div w:id="388115394">
      <w:bodyDiv w:val="1"/>
      <w:marLeft w:val="0"/>
      <w:marRight w:val="0"/>
      <w:marTop w:val="0"/>
      <w:marBottom w:val="0"/>
      <w:divBdr>
        <w:top w:val="none" w:sz="0" w:space="0" w:color="auto"/>
        <w:left w:val="none" w:sz="0" w:space="0" w:color="auto"/>
        <w:bottom w:val="none" w:sz="0" w:space="0" w:color="auto"/>
        <w:right w:val="none" w:sz="0" w:space="0" w:color="auto"/>
      </w:divBdr>
      <w:divsChild>
        <w:div w:id="882522253">
          <w:marLeft w:val="0"/>
          <w:marRight w:val="0"/>
          <w:marTop w:val="0"/>
          <w:marBottom w:val="0"/>
          <w:divBdr>
            <w:top w:val="none" w:sz="0" w:space="0" w:color="auto"/>
            <w:left w:val="none" w:sz="0" w:space="0" w:color="auto"/>
            <w:bottom w:val="none" w:sz="0" w:space="0" w:color="auto"/>
            <w:right w:val="none" w:sz="0" w:space="0" w:color="auto"/>
          </w:divBdr>
          <w:divsChild>
            <w:div w:id="680157883">
              <w:marLeft w:val="0"/>
              <w:marRight w:val="0"/>
              <w:marTop w:val="0"/>
              <w:marBottom w:val="0"/>
              <w:divBdr>
                <w:top w:val="none" w:sz="0" w:space="0" w:color="auto"/>
                <w:left w:val="none" w:sz="0" w:space="0" w:color="auto"/>
                <w:bottom w:val="none" w:sz="0" w:space="0" w:color="auto"/>
                <w:right w:val="none" w:sz="0" w:space="0" w:color="auto"/>
              </w:divBdr>
            </w:div>
            <w:div w:id="8976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16720">
      <w:bodyDiv w:val="1"/>
      <w:marLeft w:val="0"/>
      <w:marRight w:val="0"/>
      <w:marTop w:val="0"/>
      <w:marBottom w:val="0"/>
      <w:divBdr>
        <w:top w:val="none" w:sz="0" w:space="0" w:color="auto"/>
        <w:left w:val="none" w:sz="0" w:space="0" w:color="auto"/>
        <w:bottom w:val="none" w:sz="0" w:space="0" w:color="auto"/>
        <w:right w:val="none" w:sz="0" w:space="0" w:color="auto"/>
      </w:divBdr>
      <w:divsChild>
        <w:div w:id="634260145">
          <w:marLeft w:val="0"/>
          <w:marRight w:val="0"/>
          <w:marTop w:val="0"/>
          <w:marBottom w:val="0"/>
          <w:divBdr>
            <w:top w:val="none" w:sz="0" w:space="0" w:color="auto"/>
            <w:left w:val="none" w:sz="0" w:space="0" w:color="auto"/>
            <w:bottom w:val="none" w:sz="0" w:space="0" w:color="auto"/>
            <w:right w:val="none" w:sz="0" w:space="0" w:color="auto"/>
          </w:divBdr>
        </w:div>
        <w:div w:id="766778988">
          <w:marLeft w:val="0"/>
          <w:marRight w:val="0"/>
          <w:marTop w:val="0"/>
          <w:marBottom w:val="0"/>
          <w:divBdr>
            <w:top w:val="none" w:sz="0" w:space="0" w:color="auto"/>
            <w:left w:val="none" w:sz="0" w:space="0" w:color="auto"/>
            <w:bottom w:val="none" w:sz="0" w:space="0" w:color="auto"/>
            <w:right w:val="none" w:sz="0" w:space="0" w:color="auto"/>
          </w:divBdr>
        </w:div>
        <w:div w:id="906261855">
          <w:marLeft w:val="0"/>
          <w:marRight w:val="0"/>
          <w:marTop w:val="0"/>
          <w:marBottom w:val="0"/>
          <w:divBdr>
            <w:top w:val="none" w:sz="0" w:space="0" w:color="auto"/>
            <w:left w:val="none" w:sz="0" w:space="0" w:color="auto"/>
            <w:bottom w:val="none" w:sz="0" w:space="0" w:color="auto"/>
            <w:right w:val="none" w:sz="0" w:space="0" w:color="auto"/>
          </w:divBdr>
        </w:div>
        <w:div w:id="1204175586">
          <w:marLeft w:val="0"/>
          <w:marRight w:val="0"/>
          <w:marTop w:val="0"/>
          <w:marBottom w:val="0"/>
          <w:divBdr>
            <w:top w:val="none" w:sz="0" w:space="0" w:color="auto"/>
            <w:left w:val="none" w:sz="0" w:space="0" w:color="auto"/>
            <w:bottom w:val="none" w:sz="0" w:space="0" w:color="auto"/>
            <w:right w:val="none" w:sz="0" w:space="0" w:color="auto"/>
          </w:divBdr>
        </w:div>
        <w:div w:id="1464689639">
          <w:marLeft w:val="0"/>
          <w:marRight w:val="0"/>
          <w:marTop w:val="0"/>
          <w:marBottom w:val="0"/>
          <w:divBdr>
            <w:top w:val="none" w:sz="0" w:space="0" w:color="auto"/>
            <w:left w:val="none" w:sz="0" w:space="0" w:color="auto"/>
            <w:bottom w:val="none" w:sz="0" w:space="0" w:color="auto"/>
            <w:right w:val="none" w:sz="0" w:space="0" w:color="auto"/>
          </w:divBdr>
        </w:div>
        <w:div w:id="1817524165">
          <w:marLeft w:val="0"/>
          <w:marRight w:val="0"/>
          <w:marTop w:val="0"/>
          <w:marBottom w:val="0"/>
          <w:divBdr>
            <w:top w:val="none" w:sz="0" w:space="0" w:color="auto"/>
            <w:left w:val="none" w:sz="0" w:space="0" w:color="auto"/>
            <w:bottom w:val="none" w:sz="0" w:space="0" w:color="auto"/>
            <w:right w:val="none" w:sz="0" w:space="0" w:color="auto"/>
          </w:divBdr>
        </w:div>
      </w:divsChild>
    </w:div>
    <w:div w:id="527334823">
      <w:bodyDiv w:val="1"/>
      <w:marLeft w:val="0"/>
      <w:marRight w:val="0"/>
      <w:marTop w:val="0"/>
      <w:marBottom w:val="0"/>
      <w:divBdr>
        <w:top w:val="none" w:sz="0" w:space="0" w:color="auto"/>
        <w:left w:val="none" w:sz="0" w:space="0" w:color="auto"/>
        <w:bottom w:val="none" w:sz="0" w:space="0" w:color="auto"/>
        <w:right w:val="none" w:sz="0" w:space="0" w:color="auto"/>
      </w:divBdr>
      <w:divsChild>
        <w:div w:id="1318417247">
          <w:marLeft w:val="0"/>
          <w:marRight w:val="0"/>
          <w:marTop w:val="0"/>
          <w:marBottom w:val="0"/>
          <w:divBdr>
            <w:top w:val="none" w:sz="0" w:space="0" w:color="auto"/>
            <w:left w:val="none" w:sz="0" w:space="0" w:color="auto"/>
            <w:bottom w:val="none" w:sz="0" w:space="0" w:color="auto"/>
            <w:right w:val="none" w:sz="0" w:space="0" w:color="auto"/>
          </w:divBdr>
        </w:div>
        <w:div w:id="1718965159">
          <w:marLeft w:val="0"/>
          <w:marRight w:val="0"/>
          <w:marTop w:val="0"/>
          <w:marBottom w:val="0"/>
          <w:divBdr>
            <w:top w:val="none" w:sz="0" w:space="0" w:color="auto"/>
            <w:left w:val="none" w:sz="0" w:space="0" w:color="auto"/>
            <w:bottom w:val="none" w:sz="0" w:space="0" w:color="auto"/>
            <w:right w:val="none" w:sz="0" w:space="0" w:color="auto"/>
          </w:divBdr>
        </w:div>
      </w:divsChild>
    </w:div>
    <w:div w:id="716048226">
      <w:bodyDiv w:val="1"/>
      <w:marLeft w:val="0"/>
      <w:marRight w:val="0"/>
      <w:marTop w:val="0"/>
      <w:marBottom w:val="0"/>
      <w:divBdr>
        <w:top w:val="none" w:sz="0" w:space="0" w:color="auto"/>
        <w:left w:val="none" w:sz="0" w:space="0" w:color="auto"/>
        <w:bottom w:val="none" w:sz="0" w:space="0" w:color="auto"/>
        <w:right w:val="none" w:sz="0" w:space="0" w:color="auto"/>
      </w:divBdr>
      <w:divsChild>
        <w:div w:id="1427918080">
          <w:marLeft w:val="0"/>
          <w:marRight w:val="0"/>
          <w:marTop w:val="0"/>
          <w:marBottom w:val="0"/>
          <w:divBdr>
            <w:top w:val="none" w:sz="0" w:space="0" w:color="auto"/>
            <w:left w:val="none" w:sz="0" w:space="0" w:color="auto"/>
            <w:bottom w:val="none" w:sz="0" w:space="0" w:color="auto"/>
            <w:right w:val="none" w:sz="0" w:space="0" w:color="auto"/>
          </w:divBdr>
        </w:div>
      </w:divsChild>
    </w:div>
    <w:div w:id="734473587">
      <w:bodyDiv w:val="1"/>
      <w:marLeft w:val="0"/>
      <w:marRight w:val="0"/>
      <w:marTop w:val="0"/>
      <w:marBottom w:val="0"/>
      <w:divBdr>
        <w:top w:val="none" w:sz="0" w:space="0" w:color="auto"/>
        <w:left w:val="none" w:sz="0" w:space="0" w:color="auto"/>
        <w:bottom w:val="none" w:sz="0" w:space="0" w:color="auto"/>
        <w:right w:val="none" w:sz="0" w:space="0" w:color="auto"/>
      </w:divBdr>
      <w:divsChild>
        <w:div w:id="277882674">
          <w:marLeft w:val="0"/>
          <w:marRight w:val="0"/>
          <w:marTop w:val="0"/>
          <w:marBottom w:val="0"/>
          <w:divBdr>
            <w:top w:val="none" w:sz="0" w:space="0" w:color="auto"/>
            <w:left w:val="none" w:sz="0" w:space="0" w:color="auto"/>
            <w:bottom w:val="none" w:sz="0" w:space="0" w:color="auto"/>
            <w:right w:val="none" w:sz="0" w:space="0" w:color="auto"/>
          </w:divBdr>
        </w:div>
        <w:div w:id="579872881">
          <w:marLeft w:val="0"/>
          <w:marRight w:val="0"/>
          <w:marTop w:val="0"/>
          <w:marBottom w:val="0"/>
          <w:divBdr>
            <w:top w:val="none" w:sz="0" w:space="0" w:color="auto"/>
            <w:left w:val="none" w:sz="0" w:space="0" w:color="auto"/>
            <w:bottom w:val="none" w:sz="0" w:space="0" w:color="auto"/>
            <w:right w:val="none" w:sz="0" w:space="0" w:color="auto"/>
          </w:divBdr>
        </w:div>
        <w:div w:id="649679010">
          <w:marLeft w:val="0"/>
          <w:marRight w:val="0"/>
          <w:marTop w:val="0"/>
          <w:marBottom w:val="0"/>
          <w:divBdr>
            <w:top w:val="none" w:sz="0" w:space="0" w:color="auto"/>
            <w:left w:val="none" w:sz="0" w:space="0" w:color="auto"/>
            <w:bottom w:val="none" w:sz="0" w:space="0" w:color="auto"/>
            <w:right w:val="none" w:sz="0" w:space="0" w:color="auto"/>
          </w:divBdr>
        </w:div>
        <w:div w:id="1195575711">
          <w:marLeft w:val="0"/>
          <w:marRight w:val="0"/>
          <w:marTop w:val="0"/>
          <w:marBottom w:val="0"/>
          <w:divBdr>
            <w:top w:val="none" w:sz="0" w:space="0" w:color="auto"/>
            <w:left w:val="none" w:sz="0" w:space="0" w:color="auto"/>
            <w:bottom w:val="none" w:sz="0" w:space="0" w:color="auto"/>
            <w:right w:val="none" w:sz="0" w:space="0" w:color="auto"/>
          </w:divBdr>
        </w:div>
        <w:div w:id="1748572707">
          <w:marLeft w:val="0"/>
          <w:marRight w:val="0"/>
          <w:marTop w:val="0"/>
          <w:marBottom w:val="0"/>
          <w:divBdr>
            <w:top w:val="none" w:sz="0" w:space="0" w:color="auto"/>
            <w:left w:val="none" w:sz="0" w:space="0" w:color="auto"/>
            <w:bottom w:val="none" w:sz="0" w:space="0" w:color="auto"/>
            <w:right w:val="none" w:sz="0" w:space="0" w:color="auto"/>
          </w:divBdr>
        </w:div>
      </w:divsChild>
    </w:div>
    <w:div w:id="757674667">
      <w:bodyDiv w:val="1"/>
      <w:marLeft w:val="0"/>
      <w:marRight w:val="0"/>
      <w:marTop w:val="0"/>
      <w:marBottom w:val="0"/>
      <w:divBdr>
        <w:top w:val="none" w:sz="0" w:space="0" w:color="auto"/>
        <w:left w:val="none" w:sz="0" w:space="0" w:color="auto"/>
        <w:bottom w:val="none" w:sz="0" w:space="0" w:color="auto"/>
        <w:right w:val="none" w:sz="0" w:space="0" w:color="auto"/>
      </w:divBdr>
    </w:div>
    <w:div w:id="759721312">
      <w:bodyDiv w:val="1"/>
      <w:marLeft w:val="0"/>
      <w:marRight w:val="0"/>
      <w:marTop w:val="0"/>
      <w:marBottom w:val="0"/>
      <w:divBdr>
        <w:top w:val="none" w:sz="0" w:space="0" w:color="auto"/>
        <w:left w:val="none" w:sz="0" w:space="0" w:color="auto"/>
        <w:bottom w:val="none" w:sz="0" w:space="0" w:color="auto"/>
        <w:right w:val="none" w:sz="0" w:space="0" w:color="auto"/>
      </w:divBdr>
      <w:divsChild>
        <w:div w:id="24798996">
          <w:marLeft w:val="0"/>
          <w:marRight w:val="0"/>
          <w:marTop w:val="0"/>
          <w:marBottom w:val="0"/>
          <w:divBdr>
            <w:top w:val="none" w:sz="0" w:space="0" w:color="auto"/>
            <w:left w:val="none" w:sz="0" w:space="0" w:color="auto"/>
            <w:bottom w:val="none" w:sz="0" w:space="0" w:color="auto"/>
            <w:right w:val="none" w:sz="0" w:space="0" w:color="auto"/>
          </w:divBdr>
        </w:div>
        <w:div w:id="87848813">
          <w:marLeft w:val="0"/>
          <w:marRight w:val="0"/>
          <w:marTop w:val="0"/>
          <w:marBottom w:val="0"/>
          <w:divBdr>
            <w:top w:val="none" w:sz="0" w:space="0" w:color="auto"/>
            <w:left w:val="none" w:sz="0" w:space="0" w:color="auto"/>
            <w:bottom w:val="none" w:sz="0" w:space="0" w:color="auto"/>
            <w:right w:val="none" w:sz="0" w:space="0" w:color="auto"/>
          </w:divBdr>
        </w:div>
        <w:div w:id="224679090">
          <w:marLeft w:val="0"/>
          <w:marRight w:val="0"/>
          <w:marTop w:val="0"/>
          <w:marBottom w:val="0"/>
          <w:divBdr>
            <w:top w:val="none" w:sz="0" w:space="0" w:color="auto"/>
            <w:left w:val="none" w:sz="0" w:space="0" w:color="auto"/>
            <w:bottom w:val="none" w:sz="0" w:space="0" w:color="auto"/>
            <w:right w:val="none" w:sz="0" w:space="0" w:color="auto"/>
          </w:divBdr>
        </w:div>
        <w:div w:id="1301955074">
          <w:marLeft w:val="0"/>
          <w:marRight w:val="0"/>
          <w:marTop w:val="0"/>
          <w:marBottom w:val="0"/>
          <w:divBdr>
            <w:top w:val="none" w:sz="0" w:space="0" w:color="auto"/>
            <w:left w:val="none" w:sz="0" w:space="0" w:color="auto"/>
            <w:bottom w:val="none" w:sz="0" w:space="0" w:color="auto"/>
            <w:right w:val="none" w:sz="0" w:space="0" w:color="auto"/>
          </w:divBdr>
        </w:div>
        <w:div w:id="1824934290">
          <w:marLeft w:val="0"/>
          <w:marRight w:val="0"/>
          <w:marTop w:val="0"/>
          <w:marBottom w:val="0"/>
          <w:divBdr>
            <w:top w:val="none" w:sz="0" w:space="0" w:color="auto"/>
            <w:left w:val="none" w:sz="0" w:space="0" w:color="auto"/>
            <w:bottom w:val="none" w:sz="0" w:space="0" w:color="auto"/>
            <w:right w:val="none" w:sz="0" w:space="0" w:color="auto"/>
          </w:divBdr>
        </w:div>
      </w:divsChild>
    </w:div>
    <w:div w:id="799612482">
      <w:bodyDiv w:val="1"/>
      <w:marLeft w:val="0"/>
      <w:marRight w:val="0"/>
      <w:marTop w:val="0"/>
      <w:marBottom w:val="0"/>
      <w:divBdr>
        <w:top w:val="none" w:sz="0" w:space="0" w:color="auto"/>
        <w:left w:val="none" w:sz="0" w:space="0" w:color="auto"/>
        <w:bottom w:val="none" w:sz="0" w:space="0" w:color="auto"/>
        <w:right w:val="none" w:sz="0" w:space="0" w:color="auto"/>
      </w:divBdr>
    </w:div>
    <w:div w:id="823744088">
      <w:bodyDiv w:val="1"/>
      <w:marLeft w:val="0"/>
      <w:marRight w:val="0"/>
      <w:marTop w:val="0"/>
      <w:marBottom w:val="0"/>
      <w:divBdr>
        <w:top w:val="none" w:sz="0" w:space="0" w:color="auto"/>
        <w:left w:val="none" w:sz="0" w:space="0" w:color="auto"/>
        <w:bottom w:val="none" w:sz="0" w:space="0" w:color="auto"/>
        <w:right w:val="none" w:sz="0" w:space="0" w:color="auto"/>
      </w:divBdr>
    </w:div>
    <w:div w:id="867989004">
      <w:bodyDiv w:val="1"/>
      <w:marLeft w:val="0"/>
      <w:marRight w:val="0"/>
      <w:marTop w:val="0"/>
      <w:marBottom w:val="0"/>
      <w:divBdr>
        <w:top w:val="none" w:sz="0" w:space="0" w:color="auto"/>
        <w:left w:val="none" w:sz="0" w:space="0" w:color="auto"/>
        <w:bottom w:val="none" w:sz="0" w:space="0" w:color="auto"/>
        <w:right w:val="none" w:sz="0" w:space="0" w:color="auto"/>
      </w:divBdr>
    </w:div>
    <w:div w:id="1051538855">
      <w:bodyDiv w:val="1"/>
      <w:marLeft w:val="0"/>
      <w:marRight w:val="0"/>
      <w:marTop w:val="0"/>
      <w:marBottom w:val="0"/>
      <w:divBdr>
        <w:top w:val="none" w:sz="0" w:space="0" w:color="auto"/>
        <w:left w:val="none" w:sz="0" w:space="0" w:color="auto"/>
        <w:bottom w:val="none" w:sz="0" w:space="0" w:color="auto"/>
        <w:right w:val="none" w:sz="0" w:space="0" w:color="auto"/>
      </w:divBdr>
      <w:divsChild>
        <w:div w:id="2101556776">
          <w:marLeft w:val="0"/>
          <w:marRight w:val="0"/>
          <w:marTop w:val="0"/>
          <w:marBottom w:val="0"/>
          <w:divBdr>
            <w:top w:val="none" w:sz="0" w:space="0" w:color="auto"/>
            <w:left w:val="none" w:sz="0" w:space="0" w:color="auto"/>
            <w:bottom w:val="none" w:sz="0" w:space="0" w:color="auto"/>
            <w:right w:val="none" w:sz="0" w:space="0" w:color="auto"/>
          </w:divBdr>
          <w:divsChild>
            <w:div w:id="542988561">
              <w:marLeft w:val="0"/>
              <w:marRight w:val="0"/>
              <w:marTop w:val="0"/>
              <w:marBottom w:val="0"/>
              <w:divBdr>
                <w:top w:val="none" w:sz="0" w:space="0" w:color="auto"/>
                <w:left w:val="none" w:sz="0" w:space="0" w:color="auto"/>
                <w:bottom w:val="none" w:sz="0" w:space="0" w:color="auto"/>
                <w:right w:val="none" w:sz="0" w:space="0" w:color="auto"/>
              </w:divBdr>
            </w:div>
            <w:div w:id="9179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12047">
      <w:bodyDiv w:val="1"/>
      <w:marLeft w:val="0"/>
      <w:marRight w:val="0"/>
      <w:marTop w:val="0"/>
      <w:marBottom w:val="0"/>
      <w:divBdr>
        <w:top w:val="none" w:sz="0" w:space="0" w:color="auto"/>
        <w:left w:val="none" w:sz="0" w:space="0" w:color="auto"/>
        <w:bottom w:val="none" w:sz="0" w:space="0" w:color="auto"/>
        <w:right w:val="none" w:sz="0" w:space="0" w:color="auto"/>
      </w:divBdr>
    </w:div>
    <w:div w:id="1371296112">
      <w:bodyDiv w:val="1"/>
      <w:marLeft w:val="0"/>
      <w:marRight w:val="0"/>
      <w:marTop w:val="0"/>
      <w:marBottom w:val="0"/>
      <w:divBdr>
        <w:top w:val="none" w:sz="0" w:space="0" w:color="auto"/>
        <w:left w:val="none" w:sz="0" w:space="0" w:color="auto"/>
        <w:bottom w:val="none" w:sz="0" w:space="0" w:color="auto"/>
        <w:right w:val="none" w:sz="0" w:space="0" w:color="auto"/>
      </w:divBdr>
      <w:divsChild>
        <w:div w:id="68700330">
          <w:marLeft w:val="0"/>
          <w:marRight w:val="0"/>
          <w:marTop w:val="0"/>
          <w:marBottom w:val="0"/>
          <w:divBdr>
            <w:top w:val="none" w:sz="0" w:space="0" w:color="auto"/>
            <w:left w:val="none" w:sz="0" w:space="0" w:color="auto"/>
            <w:bottom w:val="none" w:sz="0" w:space="0" w:color="auto"/>
            <w:right w:val="none" w:sz="0" w:space="0" w:color="auto"/>
          </w:divBdr>
        </w:div>
        <w:div w:id="155654195">
          <w:marLeft w:val="0"/>
          <w:marRight w:val="0"/>
          <w:marTop w:val="0"/>
          <w:marBottom w:val="0"/>
          <w:divBdr>
            <w:top w:val="none" w:sz="0" w:space="0" w:color="auto"/>
            <w:left w:val="none" w:sz="0" w:space="0" w:color="auto"/>
            <w:bottom w:val="none" w:sz="0" w:space="0" w:color="auto"/>
            <w:right w:val="none" w:sz="0" w:space="0" w:color="auto"/>
          </w:divBdr>
        </w:div>
        <w:div w:id="251204138">
          <w:marLeft w:val="0"/>
          <w:marRight w:val="0"/>
          <w:marTop w:val="0"/>
          <w:marBottom w:val="0"/>
          <w:divBdr>
            <w:top w:val="none" w:sz="0" w:space="0" w:color="auto"/>
            <w:left w:val="none" w:sz="0" w:space="0" w:color="auto"/>
            <w:bottom w:val="none" w:sz="0" w:space="0" w:color="auto"/>
            <w:right w:val="none" w:sz="0" w:space="0" w:color="auto"/>
          </w:divBdr>
        </w:div>
        <w:div w:id="256259426">
          <w:marLeft w:val="0"/>
          <w:marRight w:val="0"/>
          <w:marTop w:val="0"/>
          <w:marBottom w:val="0"/>
          <w:divBdr>
            <w:top w:val="none" w:sz="0" w:space="0" w:color="auto"/>
            <w:left w:val="none" w:sz="0" w:space="0" w:color="auto"/>
            <w:bottom w:val="none" w:sz="0" w:space="0" w:color="auto"/>
            <w:right w:val="none" w:sz="0" w:space="0" w:color="auto"/>
          </w:divBdr>
        </w:div>
        <w:div w:id="381684083">
          <w:marLeft w:val="0"/>
          <w:marRight w:val="0"/>
          <w:marTop w:val="0"/>
          <w:marBottom w:val="0"/>
          <w:divBdr>
            <w:top w:val="none" w:sz="0" w:space="0" w:color="auto"/>
            <w:left w:val="none" w:sz="0" w:space="0" w:color="auto"/>
            <w:bottom w:val="none" w:sz="0" w:space="0" w:color="auto"/>
            <w:right w:val="none" w:sz="0" w:space="0" w:color="auto"/>
          </w:divBdr>
        </w:div>
        <w:div w:id="699819459">
          <w:marLeft w:val="0"/>
          <w:marRight w:val="0"/>
          <w:marTop w:val="0"/>
          <w:marBottom w:val="0"/>
          <w:divBdr>
            <w:top w:val="none" w:sz="0" w:space="0" w:color="auto"/>
            <w:left w:val="none" w:sz="0" w:space="0" w:color="auto"/>
            <w:bottom w:val="none" w:sz="0" w:space="0" w:color="auto"/>
            <w:right w:val="none" w:sz="0" w:space="0" w:color="auto"/>
          </w:divBdr>
        </w:div>
        <w:div w:id="908462247">
          <w:marLeft w:val="0"/>
          <w:marRight w:val="0"/>
          <w:marTop w:val="0"/>
          <w:marBottom w:val="0"/>
          <w:divBdr>
            <w:top w:val="none" w:sz="0" w:space="0" w:color="auto"/>
            <w:left w:val="none" w:sz="0" w:space="0" w:color="auto"/>
            <w:bottom w:val="none" w:sz="0" w:space="0" w:color="auto"/>
            <w:right w:val="none" w:sz="0" w:space="0" w:color="auto"/>
          </w:divBdr>
        </w:div>
        <w:div w:id="1077094276">
          <w:marLeft w:val="0"/>
          <w:marRight w:val="0"/>
          <w:marTop w:val="0"/>
          <w:marBottom w:val="0"/>
          <w:divBdr>
            <w:top w:val="none" w:sz="0" w:space="0" w:color="auto"/>
            <w:left w:val="none" w:sz="0" w:space="0" w:color="auto"/>
            <w:bottom w:val="none" w:sz="0" w:space="0" w:color="auto"/>
            <w:right w:val="none" w:sz="0" w:space="0" w:color="auto"/>
          </w:divBdr>
        </w:div>
        <w:div w:id="1188980117">
          <w:marLeft w:val="0"/>
          <w:marRight w:val="0"/>
          <w:marTop w:val="0"/>
          <w:marBottom w:val="0"/>
          <w:divBdr>
            <w:top w:val="none" w:sz="0" w:space="0" w:color="auto"/>
            <w:left w:val="none" w:sz="0" w:space="0" w:color="auto"/>
            <w:bottom w:val="none" w:sz="0" w:space="0" w:color="auto"/>
            <w:right w:val="none" w:sz="0" w:space="0" w:color="auto"/>
          </w:divBdr>
        </w:div>
        <w:div w:id="1330986167">
          <w:marLeft w:val="0"/>
          <w:marRight w:val="0"/>
          <w:marTop w:val="0"/>
          <w:marBottom w:val="0"/>
          <w:divBdr>
            <w:top w:val="none" w:sz="0" w:space="0" w:color="auto"/>
            <w:left w:val="none" w:sz="0" w:space="0" w:color="auto"/>
            <w:bottom w:val="none" w:sz="0" w:space="0" w:color="auto"/>
            <w:right w:val="none" w:sz="0" w:space="0" w:color="auto"/>
          </w:divBdr>
        </w:div>
        <w:div w:id="1446343004">
          <w:marLeft w:val="0"/>
          <w:marRight w:val="0"/>
          <w:marTop w:val="0"/>
          <w:marBottom w:val="0"/>
          <w:divBdr>
            <w:top w:val="none" w:sz="0" w:space="0" w:color="auto"/>
            <w:left w:val="none" w:sz="0" w:space="0" w:color="auto"/>
            <w:bottom w:val="none" w:sz="0" w:space="0" w:color="auto"/>
            <w:right w:val="none" w:sz="0" w:space="0" w:color="auto"/>
          </w:divBdr>
        </w:div>
        <w:div w:id="1469591015">
          <w:marLeft w:val="0"/>
          <w:marRight w:val="0"/>
          <w:marTop w:val="0"/>
          <w:marBottom w:val="0"/>
          <w:divBdr>
            <w:top w:val="none" w:sz="0" w:space="0" w:color="auto"/>
            <w:left w:val="none" w:sz="0" w:space="0" w:color="auto"/>
            <w:bottom w:val="none" w:sz="0" w:space="0" w:color="auto"/>
            <w:right w:val="none" w:sz="0" w:space="0" w:color="auto"/>
          </w:divBdr>
        </w:div>
        <w:div w:id="1731882557">
          <w:marLeft w:val="0"/>
          <w:marRight w:val="0"/>
          <w:marTop w:val="0"/>
          <w:marBottom w:val="0"/>
          <w:divBdr>
            <w:top w:val="none" w:sz="0" w:space="0" w:color="auto"/>
            <w:left w:val="none" w:sz="0" w:space="0" w:color="auto"/>
            <w:bottom w:val="none" w:sz="0" w:space="0" w:color="auto"/>
            <w:right w:val="none" w:sz="0" w:space="0" w:color="auto"/>
          </w:divBdr>
        </w:div>
        <w:div w:id="1875658155">
          <w:marLeft w:val="0"/>
          <w:marRight w:val="0"/>
          <w:marTop w:val="0"/>
          <w:marBottom w:val="0"/>
          <w:divBdr>
            <w:top w:val="none" w:sz="0" w:space="0" w:color="auto"/>
            <w:left w:val="none" w:sz="0" w:space="0" w:color="auto"/>
            <w:bottom w:val="none" w:sz="0" w:space="0" w:color="auto"/>
            <w:right w:val="none" w:sz="0" w:space="0" w:color="auto"/>
          </w:divBdr>
        </w:div>
        <w:div w:id="2091004750">
          <w:marLeft w:val="0"/>
          <w:marRight w:val="0"/>
          <w:marTop w:val="0"/>
          <w:marBottom w:val="0"/>
          <w:divBdr>
            <w:top w:val="none" w:sz="0" w:space="0" w:color="auto"/>
            <w:left w:val="none" w:sz="0" w:space="0" w:color="auto"/>
            <w:bottom w:val="none" w:sz="0" w:space="0" w:color="auto"/>
            <w:right w:val="none" w:sz="0" w:space="0" w:color="auto"/>
          </w:divBdr>
        </w:div>
      </w:divsChild>
    </w:div>
    <w:div w:id="1438867470">
      <w:bodyDiv w:val="1"/>
      <w:marLeft w:val="0"/>
      <w:marRight w:val="0"/>
      <w:marTop w:val="0"/>
      <w:marBottom w:val="0"/>
      <w:divBdr>
        <w:top w:val="none" w:sz="0" w:space="0" w:color="auto"/>
        <w:left w:val="none" w:sz="0" w:space="0" w:color="auto"/>
        <w:bottom w:val="none" w:sz="0" w:space="0" w:color="auto"/>
        <w:right w:val="none" w:sz="0" w:space="0" w:color="auto"/>
      </w:divBdr>
    </w:div>
    <w:div w:id="1627807613">
      <w:bodyDiv w:val="1"/>
      <w:marLeft w:val="0"/>
      <w:marRight w:val="0"/>
      <w:marTop w:val="0"/>
      <w:marBottom w:val="0"/>
      <w:divBdr>
        <w:top w:val="none" w:sz="0" w:space="0" w:color="auto"/>
        <w:left w:val="none" w:sz="0" w:space="0" w:color="auto"/>
        <w:bottom w:val="none" w:sz="0" w:space="0" w:color="auto"/>
        <w:right w:val="none" w:sz="0" w:space="0" w:color="auto"/>
      </w:divBdr>
    </w:div>
    <w:div w:id="1634090788">
      <w:bodyDiv w:val="1"/>
      <w:marLeft w:val="0"/>
      <w:marRight w:val="0"/>
      <w:marTop w:val="0"/>
      <w:marBottom w:val="0"/>
      <w:divBdr>
        <w:top w:val="none" w:sz="0" w:space="0" w:color="auto"/>
        <w:left w:val="none" w:sz="0" w:space="0" w:color="auto"/>
        <w:bottom w:val="none" w:sz="0" w:space="0" w:color="auto"/>
        <w:right w:val="none" w:sz="0" w:space="0" w:color="auto"/>
      </w:divBdr>
      <w:divsChild>
        <w:div w:id="555045423">
          <w:marLeft w:val="0"/>
          <w:marRight w:val="0"/>
          <w:marTop w:val="0"/>
          <w:marBottom w:val="0"/>
          <w:divBdr>
            <w:top w:val="none" w:sz="0" w:space="0" w:color="auto"/>
            <w:left w:val="none" w:sz="0" w:space="0" w:color="auto"/>
            <w:bottom w:val="none" w:sz="0" w:space="0" w:color="auto"/>
            <w:right w:val="none" w:sz="0" w:space="0" w:color="auto"/>
          </w:divBdr>
        </w:div>
        <w:div w:id="799492504">
          <w:marLeft w:val="0"/>
          <w:marRight w:val="0"/>
          <w:marTop w:val="0"/>
          <w:marBottom w:val="0"/>
          <w:divBdr>
            <w:top w:val="none" w:sz="0" w:space="0" w:color="auto"/>
            <w:left w:val="none" w:sz="0" w:space="0" w:color="auto"/>
            <w:bottom w:val="none" w:sz="0" w:space="0" w:color="auto"/>
            <w:right w:val="none" w:sz="0" w:space="0" w:color="auto"/>
          </w:divBdr>
        </w:div>
        <w:div w:id="869605634">
          <w:marLeft w:val="0"/>
          <w:marRight w:val="0"/>
          <w:marTop w:val="0"/>
          <w:marBottom w:val="0"/>
          <w:divBdr>
            <w:top w:val="none" w:sz="0" w:space="0" w:color="auto"/>
            <w:left w:val="none" w:sz="0" w:space="0" w:color="auto"/>
            <w:bottom w:val="none" w:sz="0" w:space="0" w:color="auto"/>
            <w:right w:val="none" w:sz="0" w:space="0" w:color="auto"/>
          </w:divBdr>
        </w:div>
        <w:div w:id="1702319923">
          <w:marLeft w:val="0"/>
          <w:marRight w:val="0"/>
          <w:marTop w:val="0"/>
          <w:marBottom w:val="0"/>
          <w:divBdr>
            <w:top w:val="none" w:sz="0" w:space="0" w:color="auto"/>
            <w:left w:val="none" w:sz="0" w:space="0" w:color="auto"/>
            <w:bottom w:val="none" w:sz="0" w:space="0" w:color="auto"/>
            <w:right w:val="none" w:sz="0" w:space="0" w:color="auto"/>
          </w:divBdr>
        </w:div>
        <w:div w:id="1782718988">
          <w:marLeft w:val="0"/>
          <w:marRight w:val="0"/>
          <w:marTop w:val="0"/>
          <w:marBottom w:val="0"/>
          <w:divBdr>
            <w:top w:val="none" w:sz="0" w:space="0" w:color="auto"/>
            <w:left w:val="none" w:sz="0" w:space="0" w:color="auto"/>
            <w:bottom w:val="none" w:sz="0" w:space="0" w:color="auto"/>
            <w:right w:val="none" w:sz="0" w:space="0" w:color="auto"/>
          </w:divBdr>
        </w:div>
        <w:div w:id="1923101602">
          <w:marLeft w:val="0"/>
          <w:marRight w:val="0"/>
          <w:marTop w:val="0"/>
          <w:marBottom w:val="0"/>
          <w:divBdr>
            <w:top w:val="none" w:sz="0" w:space="0" w:color="auto"/>
            <w:left w:val="none" w:sz="0" w:space="0" w:color="auto"/>
            <w:bottom w:val="none" w:sz="0" w:space="0" w:color="auto"/>
            <w:right w:val="none" w:sz="0" w:space="0" w:color="auto"/>
          </w:divBdr>
        </w:div>
        <w:div w:id="2017725260">
          <w:marLeft w:val="0"/>
          <w:marRight w:val="0"/>
          <w:marTop w:val="0"/>
          <w:marBottom w:val="0"/>
          <w:divBdr>
            <w:top w:val="none" w:sz="0" w:space="0" w:color="auto"/>
            <w:left w:val="none" w:sz="0" w:space="0" w:color="auto"/>
            <w:bottom w:val="none" w:sz="0" w:space="0" w:color="auto"/>
            <w:right w:val="none" w:sz="0" w:space="0" w:color="auto"/>
          </w:divBdr>
        </w:div>
        <w:div w:id="2126197254">
          <w:marLeft w:val="0"/>
          <w:marRight w:val="0"/>
          <w:marTop w:val="0"/>
          <w:marBottom w:val="0"/>
          <w:divBdr>
            <w:top w:val="none" w:sz="0" w:space="0" w:color="auto"/>
            <w:left w:val="none" w:sz="0" w:space="0" w:color="auto"/>
            <w:bottom w:val="none" w:sz="0" w:space="0" w:color="auto"/>
            <w:right w:val="none" w:sz="0" w:space="0" w:color="auto"/>
          </w:divBdr>
        </w:div>
      </w:divsChild>
    </w:div>
    <w:div w:id="1740131697">
      <w:bodyDiv w:val="1"/>
      <w:marLeft w:val="0"/>
      <w:marRight w:val="0"/>
      <w:marTop w:val="0"/>
      <w:marBottom w:val="0"/>
      <w:divBdr>
        <w:top w:val="none" w:sz="0" w:space="0" w:color="auto"/>
        <w:left w:val="none" w:sz="0" w:space="0" w:color="auto"/>
        <w:bottom w:val="none" w:sz="0" w:space="0" w:color="auto"/>
        <w:right w:val="none" w:sz="0" w:space="0" w:color="auto"/>
      </w:divBdr>
    </w:div>
    <w:div w:id="1795753665">
      <w:bodyDiv w:val="1"/>
      <w:marLeft w:val="0"/>
      <w:marRight w:val="0"/>
      <w:marTop w:val="0"/>
      <w:marBottom w:val="0"/>
      <w:divBdr>
        <w:top w:val="none" w:sz="0" w:space="0" w:color="auto"/>
        <w:left w:val="none" w:sz="0" w:space="0" w:color="auto"/>
        <w:bottom w:val="none" w:sz="0" w:space="0" w:color="auto"/>
        <w:right w:val="none" w:sz="0" w:space="0" w:color="auto"/>
      </w:divBdr>
    </w:div>
    <w:div w:id="1955401422">
      <w:bodyDiv w:val="1"/>
      <w:marLeft w:val="0"/>
      <w:marRight w:val="0"/>
      <w:marTop w:val="0"/>
      <w:marBottom w:val="0"/>
      <w:divBdr>
        <w:top w:val="none" w:sz="0" w:space="0" w:color="auto"/>
        <w:left w:val="none" w:sz="0" w:space="0" w:color="auto"/>
        <w:bottom w:val="none" w:sz="0" w:space="0" w:color="auto"/>
        <w:right w:val="none" w:sz="0" w:space="0" w:color="auto"/>
      </w:divBdr>
    </w:div>
    <w:div w:id="199937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un.org/en/A/RES/78/287" TargetMode="External"/><Relationship Id="rId299" Type="http://schemas.openxmlformats.org/officeDocument/2006/relationships/hyperlink" Target="https://www.itu.int/net/epub/TSB/2025-Digital-Agriculture-A-Standards-Snapshot/index.html" TargetMode="External"/><Relationship Id="rId21" Type="http://schemas.openxmlformats.org/officeDocument/2006/relationships/hyperlink" Target="https://www.itu.int/osg/year-in-review-2024/" TargetMode="External"/><Relationship Id="rId63" Type="http://schemas.openxmlformats.org/officeDocument/2006/relationships/hyperlink" Target="https://www.itu.int/hub/publication/d-str-digital-04-2024/" TargetMode="External"/><Relationship Id="rId159" Type="http://schemas.openxmlformats.org/officeDocument/2006/relationships/hyperlink" Target="https://s41721.pcdn.co/wp-content/uploads/2024/12/t-ai4g-ai4good-2024-9-pdf-e.pdf" TargetMode="External"/><Relationship Id="rId170" Type="http://schemas.openxmlformats.org/officeDocument/2006/relationships/hyperlink" Target="https://www.itu.int/en/ITU-T/academia/kaleidoscope/Pages/default.aspx" TargetMode="External"/><Relationship Id="rId226" Type="http://schemas.openxmlformats.org/officeDocument/2006/relationships/hyperlink" Target="https://challenge.aiforgood.itu.int/match/matchitem/95" TargetMode="External"/><Relationship Id="rId268" Type="http://schemas.openxmlformats.org/officeDocument/2006/relationships/hyperlink" Target="https://www.itu.int/cities/digitaltransformationdialogues/" TargetMode="External"/><Relationship Id="rId32" Type="http://schemas.openxmlformats.org/officeDocument/2006/relationships/hyperlink" Target="https://www.itu.int/reports/itu-standardization-2024/" TargetMode="External"/><Relationship Id="rId74" Type="http://schemas.openxmlformats.org/officeDocument/2006/relationships/hyperlink" Target="https://www.itu.int/itu-t/workprog/wp_search.aspx?isn_sp=9677&amp;isn_status=-1,2&amp;adf=2024-01-01&amp;adt=2024-12-31&amp;details=0&amp;field=acdefghijo" TargetMode="External"/><Relationship Id="rId128" Type="http://schemas.openxmlformats.org/officeDocument/2006/relationships/image" Target="media/image19.png"/><Relationship Id="rId5" Type="http://schemas.openxmlformats.org/officeDocument/2006/relationships/numbering" Target="numbering.xml"/><Relationship Id="rId181" Type="http://schemas.openxmlformats.org/officeDocument/2006/relationships/hyperlink" Target="https://www.itu.int/hub/publication/r-reg-rr-2024/" TargetMode="External"/><Relationship Id="rId237" Type="http://schemas.openxmlformats.org/officeDocument/2006/relationships/hyperlink" Target="https://www.itu.int/pub/R-GEN-CLC-2025" TargetMode="External"/><Relationship Id="rId279" Type="http://schemas.openxmlformats.org/officeDocument/2006/relationships/hyperlink" Target="https://www.itu.int/en/ITU-T/tsbdir/cto/Documents/Communique_ITU_CxO_2024.pdf" TargetMode="External"/><Relationship Id="rId43" Type="http://schemas.openxmlformats.org/officeDocument/2006/relationships/hyperlink" Target="https://www.itu.int/itu-d/reports/statistics/2024/11/10/ff24-affordability-of-ict-services/" TargetMode="External"/><Relationship Id="rId139" Type="http://schemas.openxmlformats.org/officeDocument/2006/relationships/hyperlink" Target="https://www.itu.int/en/ITU-D/Statistics/Pages/intlcoop/partnership/default.aspx" TargetMode="External"/><Relationship Id="rId290" Type="http://schemas.openxmlformats.org/officeDocument/2006/relationships/hyperlink" Target="https://www.itu.int/pub/publications.aspx?lang=en&amp;parent=T-FG-AI4NDM-2022-1" TargetMode="External"/><Relationship Id="rId304" Type="http://schemas.openxmlformats.org/officeDocument/2006/relationships/hyperlink" Target="https://www.itu.int/md/S24-CL-C-0052/en" TargetMode="External"/><Relationship Id="rId85" Type="http://schemas.openxmlformats.org/officeDocument/2006/relationships/hyperlink" Target="https://www.itu.int/myworkspace/" TargetMode="External"/><Relationship Id="rId150" Type="http://schemas.openxmlformats.org/officeDocument/2006/relationships/hyperlink" Target="http://www.ungis.org/" TargetMode="External"/><Relationship Id="rId192" Type="http://schemas.openxmlformats.org/officeDocument/2006/relationships/hyperlink" Target="https://www.itu.int/en/ITU-D/Pages/regional-initiatives-2023-2025.aspx" TargetMode="External"/><Relationship Id="rId206" Type="http://schemas.openxmlformats.org/officeDocument/2006/relationships/hyperlink" Target="https://www.itu.int/itu-d/reports/statistics/facts-figures-2024/" TargetMode="External"/><Relationship Id="rId248" Type="http://schemas.openxmlformats.org/officeDocument/2006/relationships/hyperlink" Target="https://broadbandcommission.org/event/2024-annual-spring-meeting-of-the-broadband-commission/" TargetMode="External"/><Relationship Id="rId12" Type="http://schemas.openxmlformats.org/officeDocument/2006/relationships/hyperlink" Target="https://www.itu.int/en/council/Documents/basic-texts-2023/RES-151-E.pdf" TargetMode="External"/><Relationship Id="rId108" Type="http://schemas.openxmlformats.org/officeDocument/2006/relationships/hyperlink" Target="https://www.itu.int/en/ITU-T/studygroups/2025-2028/11/Pages/default.aspx" TargetMode="External"/><Relationship Id="rId315" Type="http://schemas.microsoft.com/office/2020/10/relationships/intelligence" Target="intelligence2.xml"/><Relationship Id="rId54" Type="http://schemas.openxmlformats.org/officeDocument/2006/relationships/hyperlink" Target="https://www.itu.int/dms_pub/itu-d/opb/ind/d-ind-ict_mdd-2024-4-pdf-e.pdf" TargetMode="External"/><Relationship Id="rId96" Type="http://schemas.openxmlformats.org/officeDocument/2006/relationships/hyperlink" Target="https://www.itu.int/en/ITU-T/extcoop/ai4resilience/Pages/default.aspx" TargetMode="External"/><Relationship Id="rId161" Type="http://schemas.openxmlformats.org/officeDocument/2006/relationships/hyperlink" Target="https://aiforgood.itu.int/" TargetMode="External"/><Relationship Id="rId217" Type="http://schemas.openxmlformats.org/officeDocument/2006/relationships/hyperlink" Target="https://www.itu.int/en/action/youth/Pages/itu-secretary-generals-youth-advisory-board.aspx" TargetMode="External"/><Relationship Id="rId259" Type="http://schemas.openxmlformats.org/officeDocument/2006/relationships/hyperlink" Target="https://www.itu.int/metaverse/virtual-worlds/" TargetMode="External"/><Relationship Id="rId23" Type="http://schemas.openxmlformats.org/officeDocument/2006/relationships/hyperlink" Target="https://www.itu.int/osg/year-in-review-2024/" TargetMode="External"/><Relationship Id="rId119" Type="http://schemas.openxmlformats.org/officeDocument/2006/relationships/hyperlink" Target="https://www.unicc.org/quantum-for-good-nov-2024/" TargetMode="External"/><Relationship Id="rId270" Type="http://schemas.openxmlformats.org/officeDocument/2006/relationships/hyperlink" Target="https://www.itu.int/cities/dt-resource-hub/" TargetMode="External"/><Relationship Id="rId65" Type="http://schemas.openxmlformats.org/officeDocument/2006/relationships/hyperlink" Target="https://www.itu.int/wrc-23/" TargetMode="External"/><Relationship Id="rId130" Type="http://schemas.openxmlformats.org/officeDocument/2006/relationships/hyperlink" Target="https://www.itu.int/en/ITU-D/Statistics/Pages/definitions/default.aspx" TargetMode="External"/><Relationship Id="rId172" Type="http://schemas.openxmlformats.org/officeDocument/2006/relationships/hyperlink" Target="https://www.itu.int/en/journal/j-fet/2024/002/Pages/default.aspx" TargetMode="External"/><Relationship Id="rId193" Type="http://schemas.openxmlformats.org/officeDocument/2006/relationships/hyperlink" Target="https://www.itu.int/itu-d/sites/digital-impact-unlocked/a-new-national-e-waste-policy-in-malawi/" TargetMode="External"/><Relationship Id="rId207" Type="http://schemas.openxmlformats.org/officeDocument/2006/relationships/hyperlink" Target="https://www.itu.int/women-and-girls/girls-in-ict/international-girls-in-ict-day-2025/" TargetMode="External"/><Relationship Id="rId228" Type="http://schemas.openxmlformats.org/officeDocument/2006/relationships/image" Target="media/image24.png"/><Relationship Id="rId249" Type="http://schemas.openxmlformats.org/officeDocument/2006/relationships/hyperlink" Target="https://broadbandcommission.org/event/2024-annual-fall-meeting-of-the-broadband-commission/" TargetMode="External"/><Relationship Id="rId13" Type="http://schemas.openxmlformats.org/officeDocument/2006/relationships/hyperlink" Target="https://www.itu.int/en/council/Documents/basic-texts-2023/RES-200-E.pdf" TargetMode="External"/><Relationship Id="rId109" Type="http://schemas.openxmlformats.org/officeDocument/2006/relationships/hyperlink" Target="https://www.itu.int/en/ITU-T/studygroups/2025-2028/13/Pages/default.aspx" TargetMode="External"/><Relationship Id="rId260" Type="http://schemas.openxmlformats.org/officeDocument/2006/relationships/hyperlink" Target="https://www.itu.int/un-virtual-worlds-day/2025/" TargetMode="External"/><Relationship Id="rId281" Type="http://schemas.openxmlformats.org/officeDocument/2006/relationships/hyperlink" Target="https://www.worldstandardscooperation.org/what-we-do/world-standards-day/" TargetMode="External"/><Relationship Id="rId34" Type="http://schemas.openxmlformats.org/officeDocument/2006/relationships/hyperlink" Target="https://www.itu.int/wtsa/2024/related-events/" TargetMode="External"/><Relationship Id="rId55" Type="http://schemas.openxmlformats.org/officeDocument/2006/relationships/image" Target="media/image14.png"/><Relationship Id="rId76" Type="http://schemas.openxmlformats.org/officeDocument/2006/relationships/hyperlink" Target="https://www.itu.int/en/ITU-T/studygroups/Pages/default.aspx" TargetMode="External"/><Relationship Id="rId97" Type="http://schemas.openxmlformats.org/officeDocument/2006/relationships/hyperlink" Target="https://s41721.pcdn.co/wp-content/uploads/2021/06/2401225_AI_Governance_Day_2024_Report-E.pdf" TargetMode="External"/><Relationship Id="rId120" Type="http://schemas.openxmlformats.org/officeDocument/2006/relationships/hyperlink" Target="https://www.itu.int/en/ITU-T/focusgroups/mv/Pages/default.aspx" TargetMode="External"/><Relationship Id="rId141" Type="http://schemas.openxmlformats.org/officeDocument/2006/relationships/hyperlink" Target="https://www.itu.int/en/ITU-T/info/Pages/resources.aspx" TargetMode="External"/><Relationship Id="rId7" Type="http://schemas.openxmlformats.org/officeDocument/2006/relationships/settings" Target="settings.xml"/><Relationship Id="rId162" Type="http://schemas.openxmlformats.org/officeDocument/2006/relationships/hyperlink" Target="https://aiforgood.itu.int/ai-skills-coalition/" TargetMode="External"/><Relationship Id="rId183" Type="http://schemas.openxmlformats.org/officeDocument/2006/relationships/hyperlink" Target="https://www.itu.int/en/ITU-R/seminars/rrs/RRS-24-Americas/Pages/default.aspx" TargetMode="External"/><Relationship Id="rId218" Type="http://schemas.openxmlformats.org/officeDocument/2006/relationships/hyperlink" Target="https://www.itu.int/generationconnect/empower/generation-connect-young-leadership-programme-in-partnership-with-huawei/" TargetMode="External"/><Relationship Id="rId239" Type="http://schemas.openxmlformats.org/officeDocument/2006/relationships/hyperlink" Target="https://www.sustainableaicoalition.org/wp-content/uploads/Standardization_AI_Sustainability.pdf" TargetMode="External"/><Relationship Id="rId250" Type="http://schemas.openxmlformats.org/officeDocument/2006/relationships/hyperlink" Target="https://broadbandcommission.org/publication/state-of-broadband-2024/" TargetMode="External"/><Relationship Id="rId271" Type="http://schemas.openxmlformats.org/officeDocument/2006/relationships/hyperlink" Target="https://www.itu.int/en/ITU-T/ITS/Pages/WTSA-Resolution-104.aspx" TargetMode="External"/><Relationship Id="rId292" Type="http://schemas.openxmlformats.org/officeDocument/2006/relationships/hyperlink" Target="https://www.itu.int/en/ITU-T/focusgroups/ai4ndm/Documents/Deliverables/FG-AI4NDM%20WG-MODELING%20-%20AI%20for%20Modeling.pdf" TargetMode="External"/><Relationship Id="rId306" Type="http://schemas.openxmlformats.org/officeDocument/2006/relationships/hyperlink" Target="https://www.itu.int/net4/Search/CL25" TargetMode="External"/><Relationship Id="rId24" Type="http://schemas.openxmlformats.org/officeDocument/2006/relationships/hyperlink" Target="https://www.itu.int/en/council/Documents/basic-texts-2023/RES-071-E.pdf" TargetMode="External"/><Relationship Id="rId45" Type="http://schemas.openxmlformats.org/officeDocument/2006/relationships/image" Target="media/image9.svg"/><Relationship Id="rId66" Type="http://schemas.openxmlformats.org/officeDocument/2006/relationships/hyperlink" Target="https://www.itu.int/hub/publication/r-reg-rr-2024/" TargetMode="External"/><Relationship Id="rId87" Type="http://schemas.openxmlformats.org/officeDocument/2006/relationships/hyperlink" Target="https://www.itu.int/pub/T-RES-T.67-2024" TargetMode="External"/><Relationship Id="rId110" Type="http://schemas.openxmlformats.org/officeDocument/2006/relationships/hyperlink" Target="https://www.itu.int/en/ITU-T/studygroups/2025-2028/15/Pages/default.aspx" TargetMode="External"/><Relationship Id="rId131" Type="http://schemas.openxmlformats.org/officeDocument/2006/relationships/hyperlink" Target="https://datahub.itu.int/" TargetMode="External"/><Relationship Id="rId152" Type="http://schemas.openxmlformats.org/officeDocument/2006/relationships/hyperlink" Target="https://www.itu.int/net4/wsis/stocktaking/Prizes/2024" TargetMode="External"/><Relationship Id="rId173" Type="http://schemas.openxmlformats.org/officeDocument/2006/relationships/hyperlink" Target="https://www.itu.int/en/journal/j-fet/2024/001/Pages/default.aspx" TargetMode="External"/><Relationship Id="rId194" Type="http://schemas.openxmlformats.org/officeDocument/2006/relationships/hyperlink" Target="https://www.itu.int/itu-d/sites/digital-impact-unlocked/crisis-response-itus-response-to-hurricane-beryl/" TargetMode="External"/><Relationship Id="rId208" Type="http://schemas.openxmlformats.org/officeDocument/2006/relationships/hyperlink" Target="https://www.equalsintech.org/" TargetMode="External"/><Relationship Id="rId229" Type="http://schemas.openxmlformats.org/officeDocument/2006/relationships/hyperlink" Target="https://www.itu.int/en/ITU-D/Emergency-Telecommunications/Pages/AI-Sub-Group-EW4All-.aspx" TargetMode="External"/><Relationship Id="rId240" Type="http://schemas.openxmlformats.org/officeDocument/2006/relationships/hyperlink" Target="https://www.linkedin.com/pulse/harnessing-ai-sustainable-future-cop29-climate-bahme/" TargetMode="External"/><Relationship Id="rId261" Type="http://schemas.openxmlformats.org/officeDocument/2006/relationships/hyperlink" Target="http://www.itu.int/en/ITU-T/ssc/united/Pages/default.aspx" TargetMode="External"/><Relationship Id="rId14" Type="http://schemas.openxmlformats.org/officeDocument/2006/relationships/hyperlink" Target="https://www.itu.int/en/council/Documents/basic-texts-2023/Convention-E.pdf" TargetMode="External"/><Relationship Id="rId35" Type="http://schemas.openxmlformats.org/officeDocument/2006/relationships/hyperlink" Target="https://www.itu.int/en/ITU-D/Statistics/Pages/facts/default.aspx" TargetMode="External"/><Relationship Id="rId56" Type="http://schemas.openxmlformats.org/officeDocument/2006/relationships/image" Target="media/image15.svg"/><Relationship Id="rId77" Type="http://schemas.openxmlformats.org/officeDocument/2006/relationships/hyperlink" Target="https://www.itu.int/en/ITU-T/focusgroups/Pages/default.aspx" TargetMode="External"/><Relationship Id="rId100" Type="http://schemas.openxmlformats.org/officeDocument/2006/relationships/hyperlink" Target="https://www.itu.int/hub/2023/07/new-un-initiative-aims-to-step-up-ais-contribution-to-health/" TargetMode="External"/><Relationship Id="rId282" Type="http://schemas.openxmlformats.org/officeDocument/2006/relationships/hyperlink" Target="https://aiforgood.itu.int/multimedia-authenticity/" TargetMode="External"/><Relationship Id="rId8" Type="http://schemas.openxmlformats.org/officeDocument/2006/relationships/webSettings" Target="webSettings.xml"/><Relationship Id="rId98" Type="http://schemas.openxmlformats.org/officeDocument/2006/relationships/hyperlink" Target="https://aiforgood.itu.int/about-ai-for-good/un-ai-actions/" TargetMode="External"/><Relationship Id="rId121" Type="http://schemas.openxmlformats.org/officeDocument/2006/relationships/hyperlink" Target="https://www.itu.int/en/ITU-T/focusgroups/mv/Pages/deliverables.aspx" TargetMode="External"/><Relationship Id="rId142" Type="http://schemas.openxmlformats.org/officeDocument/2006/relationships/hyperlink" Target="https://aiforgood.itu.int/ai-skills-coalition/" TargetMode="External"/><Relationship Id="rId163" Type="http://schemas.openxmlformats.org/officeDocument/2006/relationships/hyperlink" Target="https://www.itu.int/hub/2025/03/ai-skills-for-the-future-a-new-un-training-platform/" TargetMode="External"/><Relationship Id="rId184" Type="http://schemas.openxmlformats.org/officeDocument/2006/relationships/hyperlink" Target="https://www.itu.int/en/ITU-R/seminars/rrs/rrs-24-asia%26pacific/Pages/default.aspx" TargetMode="External"/><Relationship Id="rId219" Type="http://schemas.openxmlformats.org/officeDocument/2006/relationships/hyperlink" Target="https://aiforgood.itu.int/the-5th-edition-of-the-itu-ai-ml-in-5g-challenge-a-year-of-competitions-in-review/" TargetMode="External"/><Relationship Id="rId230" Type="http://schemas.openxmlformats.org/officeDocument/2006/relationships/hyperlink" Target="https://www.itu.int/en/ITU-D/Emergency-Telecommunications/Pages/AI-Sub-Group-EW4All-.aspx" TargetMode="External"/><Relationship Id="rId251" Type="http://schemas.openxmlformats.org/officeDocument/2006/relationships/hyperlink" Target="https://www.broadbandcommission.org/contributions-to-un-processes/" TargetMode="External"/><Relationship Id="rId25" Type="http://schemas.openxmlformats.org/officeDocument/2006/relationships/image" Target="media/image2.png"/><Relationship Id="rId46" Type="http://schemas.openxmlformats.org/officeDocument/2006/relationships/hyperlink" Target="https://www.itu.int/itu-d/reports/statistics/2024/11/10/ff24-internet-use/" TargetMode="External"/><Relationship Id="rId67" Type="http://schemas.openxmlformats.org/officeDocument/2006/relationships/hyperlink" Target="https://www.itu.int/en/ITU-R/Pages/default.aspx" TargetMode="External"/><Relationship Id="rId272" Type="http://schemas.openxmlformats.org/officeDocument/2006/relationships/hyperlink" Target="https://www.itu.int/en/ITU-T/extcoop/cits/Pages/default.aspx" TargetMode="External"/><Relationship Id="rId293" Type="http://schemas.openxmlformats.org/officeDocument/2006/relationships/hyperlink" Target="https://www.itu.int/en/ITU-T/focusgroups/ai4ndm/Pages/events.aspx" TargetMode="External"/><Relationship Id="rId307" Type="http://schemas.openxmlformats.org/officeDocument/2006/relationships/hyperlink" Target="https://www.itu.int/net4/Search/CL25" TargetMode="External"/><Relationship Id="rId88" Type="http://schemas.openxmlformats.org/officeDocument/2006/relationships/hyperlink" Target="https://www.itu.int/md/S25-CL-C-0018/en" TargetMode="External"/><Relationship Id="rId111" Type="http://schemas.openxmlformats.org/officeDocument/2006/relationships/hyperlink" Target="https://www.itu.int/en/ITU-T/studygroups/2025-2028/17/Pages/default.aspx" TargetMode="External"/><Relationship Id="rId132" Type="http://schemas.openxmlformats.org/officeDocument/2006/relationships/hyperlink" Target="https://www.itu.int/en/ITU-D/Statistics/Pages/bigdata/default.aspx" TargetMode="External"/><Relationship Id="rId153" Type="http://schemas.openxmlformats.org/officeDocument/2006/relationships/hyperlink" Target="https://aiforgood.itu.int/brain-machine-interface-press-conference-at-ai-for-good-global-summit-2024/" TargetMode="External"/><Relationship Id="rId174" Type="http://schemas.openxmlformats.org/officeDocument/2006/relationships/hyperlink" Target="https://www.itu.int/en/journal/j-fet/2023/003/Pages/default.aspx" TargetMode="External"/><Relationship Id="rId195" Type="http://schemas.openxmlformats.org/officeDocument/2006/relationships/hyperlink" Target="https://www.itu.int/itu-d/sites/digital-impact-unlocked/bdt4impact-case-study-record-breaking-cyber-response-trainings/" TargetMode="External"/><Relationship Id="rId209" Type="http://schemas.openxmlformats.org/officeDocument/2006/relationships/hyperlink" Target="https://www.itu.int/women-and-girls/women-in-ict/ai-skills-accelerator-for-girls" TargetMode="External"/><Relationship Id="rId220" Type="http://schemas.openxmlformats.org/officeDocument/2006/relationships/hyperlink" Target="https://aiforgood.itu.int/robotics-for-good-youth-challenge/" TargetMode="External"/><Relationship Id="rId241" Type="http://schemas.openxmlformats.org/officeDocument/2006/relationships/hyperlink" Target="https://www.linkedin.com/pulse/harnessing-ai-sustainable-future-cop29-climate-bahme/" TargetMode="External"/><Relationship Id="rId15" Type="http://schemas.openxmlformats.org/officeDocument/2006/relationships/header" Target="header1.xml"/><Relationship Id="rId36" Type="http://schemas.openxmlformats.org/officeDocument/2006/relationships/image" Target="media/image3.png"/><Relationship Id="rId57" Type="http://schemas.openxmlformats.org/officeDocument/2006/relationships/hyperlink" Target="https://www.itu.int/itu-d/reports/statistics/2024/11/10/ff24-the-gender-digital-divide/" TargetMode="External"/><Relationship Id="rId262" Type="http://schemas.openxmlformats.org/officeDocument/2006/relationships/hyperlink" Target="https://www.itu.int/en/ITU-T/ssc/united/Pages/publication-U4SSC-KPIs.aspx" TargetMode="External"/><Relationship Id="rId283" Type="http://schemas.openxmlformats.org/officeDocument/2006/relationships/hyperlink" Target="https://www.itu.int/en/ITU-T/extcoop/amas/Documents/Terms%20of%20reference%20for%20AI%20and%20multimedia%20authenticity%20standards%20collaboration.pdf" TargetMode="External"/><Relationship Id="rId78" Type="http://schemas.openxmlformats.org/officeDocument/2006/relationships/hyperlink" Target="https://www.itu.int/pub/R-REC" TargetMode="External"/><Relationship Id="rId99" Type="http://schemas.openxmlformats.org/officeDocument/2006/relationships/hyperlink" Target="https://unsceb.org/sites/default/files/2024-04/United%20Nations%20System%20White%20Paper%20on%20AI%20Governance.pdf" TargetMode="External"/><Relationship Id="rId101" Type="http://schemas.openxmlformats.org/officeDocument/2006/relationships/hyperlink" Target="https://aiforgood.itu.int/summit23/" TargetMode="External"/><Relationship Id="rId122" Type="http://schemas.openxmlformats.org/officeDocument/2006/relationships/hyperlink" Target="https://www.itu.int/metaverse/un-virtual-worlds-day/thinkathon/" TargetMode="External"/><Relationship Id="rId143" Type="http://schemas.openxmlformats.org/officeDocument/2006/relationships/image" Target="media/image20.png"/><Relationship Id="rId164" Type="http://schemas.openxmlformats.org/officeDocument/2006/relationships/hyperlink" Target="https://www.itu.int/hub/2025/03/ai-skills-for-the-future-a-new-un-training-platform/" TargetMode="External"/><Relationship Id="rId185" Type="http://schemas.openxmlformats.org/officeDocument/2006/relationships/hyperlink" Target="https://www.itu.int/en/ITU-R/seminars/ntfa/Pages/default.aspx" TargetMode="External"/><Relationship Id="rId9" Type="http://schemas.openxmlformats.org/officeDocument/2006/relationships/footnotes" Target="footnotes.xml"/><Relationship Id="rId210" Type="http://schemas.openxmlformats.org/officeDocument/2006/relationships/hyperlink" Target="https://www.equalsintech.org/her-digital-skills/" TargetMode="External"/><Relationship Id="rId26" Type="http://schemas.openxmlformats.org/officeDocument/2006/relationships/hyperlink" Target="https://www.itu.int/wtsa/2024/" TargetMode="External"/><Relationship Id="rId231" Type="http://schemas.openxmlformats.org/officeDocument/2006/relationships/hyperlink" Target="https://www.itu.int/en/ITU-T/extcoop/ai4resilience/Pages/default.aspx" TargetMode="External"/><Relationship Id="rId252" Type="http://schemas.openxmlformats.org/officeDocument/2006/relationships/hyperlink" Target="https://www.broadbandcommission.org/wp-content/uploads/2024/04/Broadband-Commission-Championing-Digital-Equality-1.pdf" TargetMode="External"/><Relationship Id="rId273" Type="http://schemas.openxmlformats.org/officeDocument/2006/relationships/hyperlink" Target="http://www.unece.org/trans/main/welcwp29.html" TargetMode="External"/><Relationship Id="rId294" Type="http://schemas.openxmlformats.org/officeDocument/2006/relationships/hyperlink" Target="https://www.itu.int/pub/publications.aspx?lang=en&amp;parent=T-FG-AI4NDM-2024-4" TargetMode="External"/><Relationship Id="rId308" Type="http://schemas.openxmlformats.org/officeDocument/2006/relationships/header" Target="header3.xml"/><Relationship Id="rId47" Type="http://schemas.openxmlformats.org/officeDocument/2006/relationships/image" Target="media/image10.png"/><Relationship Id="rId68" Type="http://schemas.openxmlformats.org/officeDocument/2006/relationships/hyperlink" Target="https://www.itu.int/en/ITU-R/Pages/default.aspx" TargetMode="External"/><Relationship Id="rId89" Type="http://schemas.openxmlformats.org/officeDocument/2006/relationships/hyperlink" Target="https://www.itu.int/en/action/cybersecurity/Pages/default.aspx" TargetMode="External"/><Relationship Id="rId112" Type="http://schemas.openxmlformats.org/officeDocument/2006/relationships/hyperlink" Target="https://www.itu.int/en/ITU-T/jca/qkdn/Pages/default.aspx" TargetMode="External"/><Relationship Id="rId133" Type="http://schemas.openxmlformats.org/officeDocument/2006/relationships/hyperlink" Target="https://unstats.un.org/bigdata/task-teams/mobile-phone/index.cshtml" TargetMode="External"/><Relationship Id="rId154" Type="http://schemas.openxmlformats.org/officeDocument/2006/relationships/hyperlink" Target="https://www.itu.int/en/mediacentre/Pages/PR-2024-05-31-AI-for-Good-Global-Summit.aspx" TargetMode="External"/><Relationship Id="rId175" Type="http://schemas.openxmlformats.org/officeDocument/2006/relationships/hyperlink" Target="https://www.itu.int/en/journal/j-fet/2024/003/Pages/default.aspx" TargetMode="External"/><Relationship Id="rId196" Type="http://schemas.openxmlformats.org/officeDocument/2006/relationships/hyperlink" Target="https://www.itu.int/itu-d/sites/digital-impact-unlocked/digital-training-empowers-vanilla-farmers-in-papua-new-guinea-to-find-new-markets/" TargetMode="External"/><Relationship Id="rId200" Type="http://schemas.openxmlformats.org/officeDocument/2006/relationships/hyperlink" Target="https://www.itu.int/itu-d/sites/digital-impact-unlocked/crisis-response-itus-response-to-hurricane-beryl/" TargetMode="External"/><Relationship Id="rId16" Type="http://schemas.openxmlformats.org/officeDocument/2006/relationships/footer" Target="footer1.xml"/><Relationship Id="rId221" Type="http://schemas.openxmlformats.org/officeDocument/2006/relationships/hyperlink" Target="https://www.itu.int/md/S25-CL-C-0031/en" TargetMode="External"/><Relationship Id="rId242" Type="http://schemas.openxmlformats.org/officeDocument/2006/relationships/hyperlink" Target="https://www.itu.int/en/ITU-D/Environment/Pages/Publications/The-Global-E-waste-Monitor-2024.aspx" TargetMode="External"/><Relationship Id="rId263" Type="http://schemas.openxmlformats.org/officeDocument/2006/relationships/hyperlink" Target="https://www.itu.int/en/ITU-T/ssc/united/Pages/publication-U4SSC-KPIs.aspx" TargetMode="External"/><Relationship Id="rId284" Type="http://schemas.openxmlformats.org/officeDocument/2006/relationships/hyperlink" Target="https://www.itu.int/en/ITU-D/Emergency-Telecommunications/Pages/AI-Sub-Group-EW4All-.aspx" TargetMode="External"/><Relationship Id="rId37" Type="http://schemas.openxmlformats.org/officeDocument/2006/relationships/hyperlink" Target="https://www.itu.int/itu-d/reports/statistics/2024/11/10/ff24-internet-use/" TargetMode="External"/><Relationship Id="rId58" Type="http://schemas.openxmlformats.org/officeDocument/2006/relationships/image" Target="media/image16.png"/><Relationship Id="rId79" Type="http://schemas.openxmlformats.org/officeDocument/2006/relationships/hyperlink" Target="https://www.itu.int/pub/R-REC" TargetMode="External"/><Relationship Id="rId102" Type="http://schemas.openxmlformats.org/officeDocument/2006/relationships/hyperlink" Target="https://www.itu.int/en/ITU-T/focusgroups/ai4h/Pages/default.aspx" TargetMode="External"/><Relationship Id="rId123" Type="http://schemas.openxmlformats.org/officeDocument/2006/relationships/hyperlink" Target="https://www.itu.int/metaverse/virtual-worlds/1st-un-citiverse-challenge/" TargetMode="External"/><Relationship Id="rId144" Type="http://schemas.openxmlformats.org/officeDocument/2006/relationships/image" Target="media/image21.svg"/><Relationship Id="rId90" Type="http://schemas.openxmlformats.org/officeDocument/2006/relationships/hyperlink" Target="https://www.itu.int/en/action/cybersecurity/Pages/default.aspx" TargetMode="External"/><Relationship Id="rId165" Type="http://schemas.openxmlformats.org/officeDocument/2006/relationships/hyperlink" Target="https://aiforgood.itu.int/event/ai-for-good-impact-india/" TargetMode="External"/><Relationship Id="rId186" Type="http://schemas.openxmlformats.org/officeDocument/2006/relationships/hyperlink" Target="https://aiforgood.itu.int/" TargetMode="External"/><Relationship Id="rId211" Type="http://schemas.openxmlformats.org/officeDocument/2006/relationships/hyperlink" Target="https://www.itu.int/en/ITU-D/Cybersecurity/Pages/Skills-Development/Her-CyberTracks.aspx" TargetMode="External"/><Relationship Id="rId232" Type="http://schemas.openxmlformats.org/officeDocument/2006/relationships/hyperlink" Target="https://www.itu.int/en/ITU-T/focusgroups/ai4ndm/Pages/default.aspx" TargetMode="External"/><Relationship Id="rId253" Type="http://schemas.openxmlformats.org/officeDocument/2006/relationships/hyperlink" Target="https://www.broadbandcommission.org/global-digital-compact-data-governance/" TargetMode="External"/><Relationship Id="rId274" Type="http://schemas.openxmlformats.org/officeDocument/2006/relationships/hyperlink" Target="https://www.itu.int/en/ITU-T/extcoop/cits/Pages/egcomad.aspx" TargetMode="External"/><Relationship Id="rId295" Type="http://schemas.openxmlformats.org/officeDocument/2006/relationships/hyperlink" Target="https://www.medewsa.eu/" TargetMode="External"/><Relationship Id="rId309" Type="http://schemas.openxmlformats.org/officeDocument/2006/relationships/footer" Target="footer3.xml"/><Relationship Id="rId27" Type="http://schemas.openxmlformats.org/officeDocument/2006/relationships/hyperlink" Target="https://gss.itu.int/" TargetMode="External"/><Relationship Id="rId48" Type="http://schemas.openxmlformats.org/officeDocument/2006/relationships/image" Target="media/image11.svg"/><Relationship Id="rId69" Type="http://schemas.openxmlformats.org/officeDocument/2006/relationships/hyperlink" Target="https://www.itu.int/en/ITU-R/space/brific/Pages/default.aspx" TargetMode="External"/><Relationship Id="rId113" Type="http://schemas.openxmlformats.org/officeDocument/2006/relationships/hyperlink" Target="https://www.itu.int/en/ITU-T/Workshops-and-Seminars/2024/0517/Pages/default.aspx" TargetMode="External"/><Relationship Id="rId134" Type="http://schemas.openxmlformats.org/officeDocument/2006/relationships/hyperlink" Target="https://www.itu.int/en/ITU-D/Statistics/Pages/publications/default.aspx" TargetMode="External"/><Relationship Id="rId80" Type="http://schemas.openxmlformats.org/officeDocument/2006/relationships/hyperlink" Target="https://www.itu.int/pub/T-RES-T.44-2024" TargetMode="External"/><Relationship Id="rId155" Type="http://schemas.openxmlformats.org/officeDocument/2006/relationships/hyperlink" Target="https://s41721.pcdn.co/wp-content/uploads/2024/12/t-ai4g-ai4good-2024-9-pdf-e.pdf" TargetMode="External"/><Relationship Id="rId176" Type="http://schemas.openxmlformats.org/officeDocument/2006/relationships/hyperlink" Target="https://www.itu.int/en/journal/j-fet/webinars/Pages/default.aspx" TargetMode="External"/><Relationship Id="rId197" Type="http://schemas.openxmlformats.org/officeDocument/2006/relationships/hyperlink" Target="https://www.itu.int/itu-d/sites/digital-impact-unlocked/enhancing-azerbaijans-ict-data-systems/" TargetMode="External"/><Relationship Id="rId201" Type="http://schemas.openxmlformats.org/officeDocument/2006/relationships/hyperlink" Target="https://www.itu.int/itu-d/sites/digital-impact-unlocked/bdt4impact-case-study-record-breaking-cyber-response-trainings/" TargetMode="External"/><Relationship Id="rId222" Type="http://schemas.openxmlformats.org/officeDocument/2006/relationships/hyperlink" Target="https://www.itu.int/wtsa/2024/" TargetMode="External"/><Relationship Id="rId243" Type="http://schemas.openxmlformats.org/officeDocument/2006/relationships/hyperlink" Target="https://www.itu.int/en/action/environment-and-climate-change/Pages/greening-ITU.aspx" TargetMode="External"/><Relationship Id="rId264" Type="http://schemas.openxmlformats.org/officeDocument/2006/relationships/hyperlink" Target="https://u4ssc.itu.int/publications/" TargetMode="External"/><Relationship Id="rId285" Type="http://schemas.openxmlformats.org/officeDocument/2006/relationships/hyperlink" Target="https://dcm.itu.int/" TargetMode="External"/><Relationship Id="rId17" Type="http://schemas.openxmlformats.org/officeDocument/2006/relationships/header" Target="header2.xml"/><Relationship Id="rId38" Type="http://schemas.openxmlformats.org/officeDocument/2006/relationships/image" Target="media/image4.png"/><Relationship Id="rId59" Type="http://schemas.openxmlformats.org/officeDocument/2006/relationships/image" Target="media/image17.svg"/><Relationship Id="rId103" Type="http://schemas.openxmlformats.org/officeDocument/2006/relationships/hyperlink" Target="https://www.itu.int/hub/2023/07/new-un-initiative-aims-to-step-up-ais-contribution-to-health/" TargetMode="External"/><Relationship Id="rId124" Type="http://schemas.openxmlformats.org/officeDocument/2006/relationships/hyperlink" Target="https://www.itu.int/net/epub/TSB/2024-UN-Executive-Briefing-on-unlocking-potential/index.html" TargetMode="External"/><Relationship Id="rId310" Type="http://schemas.openxmlformats.org/officeDocument/2006/relationships/header" Target="header4.xml"/><Relationship Id="rId70" Type="http://schemas.openxmlformats.org/officeDocument/2006/relationships/hyperlink" Target="https://www.itu.int/en/ITU-R/terrestrial/Pages/default.aspx" TargetMode="External"/><Relationship Id="rId91" Type="http://schemas.openxmlformats.org/officeDocument/2006/relationships/hyperlink" Target="https://www.itu.int/en/action/ai/Pages/default.aspx" TargetMode="External"/><Relationship Id="rId145" Type="http://schemas.openxmlformats.org/officeDocument/2006/relationships/hyperlink" Target="https://www.itu.int/itu-d/sites/projects/home/projects/" TargetMode="External"/><Relationship Id="rId166" Type="http://schemas.openxmlformats.org/officeDocument/2006/relationships/hyperlink" Target="https://gss.itu.int/" TargetMode="External"/><Relationship Id="rId187" Type="http://schemas.openxmlformats.org/officeDocument/2006/relationships/hyperlink" Target="https://www.itu.int/en/ITU-T/Workshops-and-Seminars/2024/Pages/default.aspx" TargetMode="External"/><Relationship Id="rId1" Type="http://schemas.openxmlformats.org/officeDocument/2006/relationships/customXml" Target="../customXml/item1.xml"/><Relationship Id="rId212" Type="http://schemas.openxmlformats.org/officeDocument/2006/relationships/hyperlink" Target="https://www.itu.int/now4wrc/" TargetMode="External"/><Relationship Id="rId233" Type="http://schemas.openxmlformats.org/officeDocument/2006/relationships/hyperlink" Target="https://www.itu.int/hub/2024/08/new-un-initiative-to-reduce-disaster-risk-with-ai/" TargetMode="External"/><Relationship Id="rId254" Type="http://schemas.openxmlformats.org/officeDocument/2006/relationships/hyperlink" Target="https://www.broadbandcommission.org/working-groups/data-for-learning/" TargetMode="External"/><Relationship Id="rId28" Type="http://schemas.openxmlformats.org/officeDocument/2006/relationships/hyperlink" Target="https://www.itu.int/en/ITU-T/studygroups/2022-2024/09/Pages/default.aspx" TargetMode="External"/><Relationship Id="rId49" Type="http://schemas.openxmlformats.org/officeDocument/2006/relationships/hyperlink" Target="https://www.itu.int/itu-d/reports/statistics/2024/11/10/ff24-mobile-phone-ownership/" TargetMode="External"/><Relationship Id="rId114" Type="http://schemas.openxmlformats.org/officeDocument/2006/relationships/hyperlink" Target="https://www.itu.int/itu-t/landscape/?topic=tx467&amp;group=g&amp;search_text=" TargetMode="External"/><Relationship Id="rId275" Type="http://schemas.openxmlformats.org/officeDocument/2006/relationships/hyperlink" Target="https://www.itu.int/en/ITU-T/extcoop/cits/egcomad/wg01/Pages/default.aspx" TargetMode="External"/><Relationship Id="rId296" Type="http://schemas.openxmlformats.org/officeDocument/2006/relationships/hyperlink" Target="https://www.itu.int/en/ITU-T/extcoop/ai4resilience/Pages/default.aspx" TargetMode="External"/><Relationship Id="rId300" Type="http://schemas.openxmlformats.org/officeDocument/2006/relationships/hyperlink" Target="https://app.powerbi.com/view?r=eyJrIjoiNTNlMzVkYmItZWE5ZC00NTMwLTk2ZTgtZjJiM2IxZmJjY2UyIiwidCI6IjIzZTQ2NGQ3LTA0ZTYtNGI4Ny05MTNjLTI0YmQ4OTIxOWZkMyIsImMiOjl9" TargetMode="External"/><Relationship Id="rId60" Type="http://schemas.openxmlformats.org/officeDocument/2006/relationships/hyperlink" Target="https://www.itu.int/itu-d/reports/statistics/2024/11/10/ff24-youth-internet-use/" TargetMode="External"/><Relationship Id="rId81" Type="http://schemas.openxmlformats.org/officeDocument/2006/relationships/hyperlink" Target="https://www.itu.int/en/ITU-T/gap/Pages/default.aspx" TargetMode="External"/><Relationship Id="rId135" Type="http://schemas.openxmlformats.org/officeDocument/2006/relationships/hyperlink" Target="https://www.itu.int/en/ITU-D/Statistics/Pages/capacitydev/default.aspx" TargetMode="External"/><Relationship Id="rId156" Type="http://schemas.openxmlformats.org/officeDocument/2006/relationships/hyperlink" Target="https://aiforgood.itu.int/young-ai-leaders-community/" TargetMode="External"/><Relationship Id="rId177" Type="http://schemas.openxmlformats.org/officeDocument/2006/relationships/hyperlink" Target="https://www.itu.int/en/ITU-T/academia/kaleidoscope/2024/Pages/default.aspx" TargetMode="External"/><Relationship Id="rId198" Type="http://schemas.openxmlformats.org/officeDocument/2006/relationships/hyperlink" Target="https://www.itu.int/itu-d/sites/digital-impact-unlocked/digital-innovation-profile-co-creation-advances-innovation-in-albania/" TargetMode="External"/><Relationship Id="rId202" Type="http://schemas.openxmlformats.org/officeDocument/2006/relationships/hyperlink" Target="https://www.itu.int/itu-d/sites/digital-impact-unlocked/digital-training-empowers-vanilla-farmers-in-papua-new-guinea-to-find-new-markets/" TargetMode="External"/><Relationship Id="rId223" Type="http://schemas.openxmlformats.org/officeDocument/2006/relationships/hyperlink" Target="https://www.itu.int/dms_pub/itu-t/opb/res/T-RES-T.107-2024-PDF-E.pdf" TargetMode="External"/><Relationship Id="rId244" Type="http://schemas.openxmlformats.org/officeDocument/2006/relationships/hyperlink" Target="https://www.itu.int/en/action/environment-and-climate-change/Documents/ITU%20Environmental%20Sustainability%20Policy%20%282025%29.pdf" TargetMode="External"/><Relationship Id="rId18" Type="http://schemas.openxmlformats.org/officeDocument/2006/relationships/footer" Target="footer2.xml"/><Relationship Id="rId39" Type="http://schemas.openxmlformats.org/officeDocument/2006/relationships/image" Target="media/image5.svg"/><Relationship Id="rId265" Type="http://schemas.openxmlformats.org/officeDocument/2006/relationships/hyperlink" Target="https://u4ssc.itu.int/latest-meetings/8th-meeting/" TargetMode="External"/><Relationship Id="rId286" Type="http://schemas.openxmlformats.org/officeDocument/2006/relationships/hyperlink" Target="https://www.youtube.com/watch?v=xjKjamBKHAw&amp;feature=youtu.be" TargetMode="External"/><Relationship Id="rId50" Type="http://schemas.openxmlformats.org/officeDocument/2006/relationships/hyperlink" Target="https://www.unesco.org/en/sdg4scorecard-dashboard" TargetMode="External"/><Relationship Id="rId104" Type="http://schemas.openxmlformats.org/officeDocument/2006/relationships/hyperlink" Target="https://aiforgood.itu.int/summit23/" TargetMode="External"/><Relationship Id="rId125" Type="http://schemas.openxmlformats.org/officeDocument/2006/relationships/hyperlink" Target="https://www.itu.int/itu-d/sites/statistics/" TargetMode="External"/><Relationship Id="rId146" Type="http://schemas.openxmlformats.org/officeDocument/2006/relationships/hyperlink" Target="https://www.itu.int/en/ITU-D/Projects/Pages/reports/default.aspx" TargetMode="External"/><Relationship Id="rId167" Type="http://schemas.openxmlformats.org/officeDocument/2006/relationships/hyperlink" Target="https://gss.itu.int/gss24-conclusions/" TargetMode="External"/><Relationship Id="rId188" Type="http://schemas.openxmlformats.org/officeDocument/2006/relationships/hyperlink" Target="https://www.itu.int/wtsa/2024/related-events/" TargetMode="External"/><Relationship Id="rId311" Type="http://schemas.openxmlformats.org/officeDocument/2006/relationships/footer" Target="footer4.xml"/><Relationship Id="rId71" Type="http://schemas.openxmlformats.org/officeDocument/2006/relationships/hyperlink" Target="https://www.itu.int/en/ITU-T/publications/Pages/recs.aspx" TargetMode="External"/><Relationship Id="rId92" Type="http://schemas.openxmlformats.org/officeDocument/2006/relationships/hyperlink" Target="https://aiforgood.itu.int/" TargetMode="External"/><Relationship Id="rId213" Type="http://schemas.openxmlformats.org/officeDocument/2006/relationships/hyperlink" Target="https://www.itu.int/en/ITU-T/NoW/Pages/default.aspx" TargetMode="External"/><Relationship Id="rId234" Type="http://schemas.openxmlformats.org/officeDocument/2006/relationships/hyperlink" Target="https://www.itu.int/hub/2025/04/ai-standards-and-future-disaster-resilience/" TargetMode="External"/><Relationship Id="rId2" Type="http://schemas.openxmlformats.org/officeDocument/2006/relationships/customXml" Target="../customXml/item2.xml"/><Relationship Id="rId29" Type="http://schemas.openxmlformats.org/officeDocument/2006/relationships/hyperlink" Target="https://www.itu.int/en/ITU-T/studygroups/2022-2024/16/Pages/default.aspx" TargetMode="External"/><Relationship Id="rId255" Type="http://schemas.openxmlformats.org/officeDocument/2006/relationships/hyperlink" Target="https://www.broadbandcommission.org/working-groups/ai-capacity-building/" TargetMode="External"/><Relationship Id="rId276" Type="http://schemas.openxmlformats.org/officeDocument/2006/relationships/hyperlink" Target="https://www.itu.int/en/ITU-T/extcoop/cits/egcomad/wg02/Pages/default.aspx" TargetMode="External"/><Relationship Id="rId297" Type="http://schemas.openxmlformats.org/officeDocument/2006/relationships/hyperlink" Target="https://www.itu.int/en/ITU-T/focusgroups/ai4a/Pages/default.aspx" TargetMode="External"/><Relationship Id="rId40" Type="http://schemas.openxmlformats.org/officeDocument/2006/relationships/hyperlink" Target="https://www.itu.int/itu-d/reports/statistics/2024/11/10/ff24-affordability-of-ict-services/" TargetMode="External"/><Relationship Id="rId115" Type="http://schemas.openxmlformats.org/officeDocument/2006/relationships/hyperlink" Target="https://www.itu.int/hub/2024/11/quantum-no-longer-20-years-away/" TargetMode="External"/><Relationship Id="rId136" Type="http://schemas.openxmlformats.org/officeDocument/2006/relationships/hyperlink" Target="https://www.itu.int/en/ITU-D/Statistics/Pages/intlcoop/default.aspx" TargetMode="External"/><Relationship Id="rId157" Type="http://schemas.openxmlformats.org/officeDocument/2006/relationships/hyperlink" Target="https://aiforgood.itu.int/brain-machine-interface-press-conference-at-ai-for-good-global-summit-2024/" TargetMode="External"/><Relationship Id="rId178" Type="http://schemas.openxmlformats.org/officeDocument/2006/relationships/hyperlink" Target="https://www.itu.int/hub/2024/12/wrs-24-global-itu-seminar-outlines-latest-radio-spectrum-regulations/" TargetMode="External"/><Relationship Id="rId301" Type="http://schemas.openxmlformats.org/officeDocument/2006/relationships/image" Target="media/image25.png"/><Relationship Id="rId61" Type="http://schemas.openxmlformats.org/officeDocument/2006/relationships/image" Target="media/image18.png"/><Relationship Id="rId82" Type="http://schemas.openxmlformats.org/officeDocument/2006/relationships/hyperlink" Target="https://www.itu.int/en/ITU-T/info/Pages/resources.aspx" TargetMode="External"/><Relationship Id="rId199" Type="http://schemas.openxmlformats.org/officeDocument/2006/relationships/hyperlink" Target="https://www.itu.int/itu-d/sites/digital-impact-unlocked/a-new-national-e-waste-policy-in-malawi/" TargetMode="External"/><Relationship Id="rId203" Type="http://schemas.openxmlformats.org/officeDocument/2006/relationships/hyperlink" Target="https://www.itu.int/itu-d/sites/digital-impact-unlocked/enhancing-azerbaijans-ict-data-systems/" TargetMode="External"/><Relationship Id="rId19" Type="http://schemas.openxmlformats.org/officeDocument/2006/relationships/hyperlink" Target="https://www.itu.int/reports/itu-standardization-2024/" TargetMode="External"/><Relationship Id="rId224" Type="http://schemas.openxmlformats.org/officeDocument/2006/relationships/hyperlink" Target="https://www.itu.int/en/ITU-T/academia/kaleidoscope/2024/Pages/default.aspx" TargetMode="External"/><Relationship Id="rId245" Type="http://schemas.openxmlformats.org/officeDocument/2006/relationships/hyperlink" Target="https://www.itu.int/md/S25-CL-C-0045/en" TargetMode="External"/><Relationship Id="rId266" Type="http://schemas.openxmlformats.org/officeDocument/2006/relationships/hyperlink" Target="https://u4ssc.itu.int/publications/" TargetMode="External"/><Relationship Id="rId287" Type="http://schemas.openxmlformats.org/officeDocument/2006/relationships/hyperlink" Target="https://www.itu.int/en/ITU-T/focusgroups/ai4ndm/Pages/default.aspx" TargetMode="External"/><Relationship Id="rId30" Type="http://schemas.openxmlformats.org/officeDocument/2006/relationships/hyperlink" Target="https://www.itu.int/wtsa/2024/" TargetMode="External"/><Relationship Id="rId105" Type="http://schemas.openxmlformats.org/officeDocument/2006/relationships/hyperlink" Target="https://www.itu.int/en/ITU-T/focusgroups/ai4h/Pages/default.aspx" TargetMode="External"/><Relationship Id="rId126" Type="http://schemas.openxmlformats.org/officeDocument/2006/relationships/hyperlink" Target="https://www.itu.int/itu-d/meetings/statistics/umc2030/" TargetMode="External"/><Relationship Id="rId147" Type="http://schemas.openxmlformats.org/officeDocument/2006/relationships/hyperlink" Target="https://www.itu.int/net4/wsis/forum/2024/Home/About" TargetMode="External"/><Relationship Id="rId168" Type="http://schemas.openxmlformats.org/officeDocument/2006/relationships/hyperlink" Target="http://www.itu.int/gsr24" TargetMode="External"/><Relationship Id="rId312" Type="http://schemas.openxmlformats.org/officeDocument/2006/relationships/fontTable" Target="fontTable.xml"/><Relationship Id="rId51" Type="http://schemas.openxmlformats.org/officeDocument/2006/relationships/image" Target="media/image12.png"/><Relationship Id="rId72" Type="http://schemas.openxmlformats.org/officeDocument/2006/relationships/hyperlink" Target="https://www.itu.int/pub/R-REC" TargetMode="External"/><Relationship Id="rId93" Type="http://schemas.openxmlformats.org/officeDocument/2006/relationships/hyperlink" Target="https://aiforgood.itu.int/ai-skills-coalition/" TargetMode="External"/><Relationship Id="rId189" Type="http://schemas.openxmlformats.org/officeDocument/2006/relationships/image" Target="media/image22.png"/><Relationship Id="rId3" Type="http://schemas.openxmlformats.org/officeDocument/2006/relationships/customXml" Target="../customXml/item3.xml"/><Relationship Id="rId214" Type="http://schemas.openxmlformats.org/officeDocument/2006/relationships/hyperlink" Target="https://www.itu.int/en/ITU-D/Digital-Inclusion/Women-and-Girls/NoW/Pages/default.aspx" TargetMode="External"/><Relationship Id="rId235" Type="http://schemas.openxmlformats.org/officeDocument/2006/relationships/hyperlink" Target="https://www.itu.int/hub/2024/08/new-un-initiative-to-reduce-disaster-risk-with-ai/" TargetMode="External"/><Relationship Id="rId256" Type="http://schemas.openxmlformats.org/officeDocument/2006/relationships/hyperlink" Target="https://www.equalsintech.org/" TargetMode="External"/><Relationship Id="rId277" Type="http://schemas.openxmlformats.org/officeDocument/2006/relationships/hyperlink" Target="https://fnc.itu.int/" TargetMode="External"/><Relationship Id="rId298" Type="http://schemas.openxmlformats.org/officeDocument/2006/relationships/hyperlink" Target="https://www.itu.int/en/ITU-T/focusgroups/ai4a/Pages/events.aspx" TargetMode="External"/><Relationship Id="rId116" Type="http://schemas.openxmlformats.org/officeDocument/2006/relationships/hyperlink" Target="https://www.itu.int/hub/2024/11/quantum-no-longer-20-years-away/" TargetMode="External"/><Relationship Id="rId137" Type="http://schemas.openxmlformats.org/officeDocument/2006/relationships/hyperlink" Target="https://www.itu.int/itu-d/sites/projectumc/" TargetMode="External"/><Relationship Id="rId158" Type="http://schemas.openxmlformats.org/officeDocument/2006/relationships/hyperlink" Target="https://www.itu.int/en/mediacentre/Pages/PR-2024-05-31-AI-for-Good-Global-Summit.aspx" TargetMode="External"/><Relationship Id="rId302" Type="http://schemas.openxmlformats.org/officeDocument/2006/relationships/hyperlink" Target="https://www.itu.int/md/S25-CL-C-0066/en" TargetMode="External"/><Relationship Id="rId20" Type="http://schemas.openxmlformats.org/officeDocument/2006/relationships/hyperlink" Target="https://www.itu.int/osg/year-in-review-2024/boosting-connectivity/" TargetMode="External"/><Relationship Id="rId41" Type="http://schemas.openxmlformats.org/officeDocument/2006/relationships/image" Target="media/image6.png"/><Relationship Id="rId62" Type="http://schemas.openxmlformats.org/officeDocument/2006/relationships/hyperlink" Target="https://globalewaste.org/" TargetMode="External"/><Relationship Id="rId83" Type="http://schemas.openxmlformats.org/officeDocument/2006/relationships/hyperlink" Target="https://www.itu.int/pub/T-RES-T.55-2024" TargetMode="External"/><Relationship Id="rId179" Type="http://schemas.openxmlformats.org/officeDocument/2006/relationships/hyperlink" Target="https://www.itu.int/hub/publication/r-reg-rr-2024/" TargetMode="External"/><Relationship Id="rId190" Type="http://schemas.openxmlformats.org/officeDocument/2006/relationships/image" Target="media/image23.png"/><Relationship Id="rId204" Type="http://schemas.openxmlformats.org/officeDocument/2006/relationships/hyperlink" Target="https://www.itu.int/itu-d/sites/digital-impact-unlocked/digital-innovation-profile-co-creation-advances-innovation-in-albania/" TargetMode="External"/><Relationship Id="rId225" Type="http://schemas.openxmlformats.org/officeDocument/2006/relationships/hyperlink" Target="https://aiforgood.itu.int/event/robotics-for-good-youth-challenge-india/" TargetMode="External"/><Relationship Id="rId246" Type="http://schemas.openxmlformats.org/officeDocument/2006/relationships/hyperlink" Target="https://www.itu.int/partner2connect/" TargetMode="External"/><Relationship Id="rId267" Type="http://schemas.openxmlformats.org/officeDocument/2006/relationships/hyperlink" Target="https://www.itu.int/cities/publications/" TargetMode="External"/><Relationship Id="rId288" Type="http://schemas.openxmlformats.org/officeDocument/2006/relationships/hyperlink" Target="https://www.itu.int/pub/publications.aspx?lang=en&amp;parent=T-FG-AI4NDM-2023-2" TargetMode="External"/><Relationship Id="rId106" Type="http://schemas.openxmlformats.org/officeDocument/2006/relationships/hyperlink" Target="https://www.linkedin.com/pulse/shaping-future-telecommunications-itu-wtsa-24-hy9be/" TargetMode="External"/><Relationship Id="rId127" Type="http://schemas.openxmlformats.org/officeDocument/2006/relationships/hyperlink" Target="https://www.itu.int/en/ITU-D/Statistics/Pages/facts/default.aspx" TargetMode="External"/><Relationship Id="rId313"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itu.int/pub/T-REG-LIV.1-2024" TargetMode="External"/><Relationship Id="rId52" Type="http://schemas.openxmlformats.org/officeDocument/2006/relationships/image" Target="media/image13.svg"/><Relationship Id="rId73" Type="http://schemas.openxmlformats.org/officeDocument/2006/relationships/hyperlink" Target="https://www.itu.int/itu-t/workprog/wp_search.aspx?isn_sp=8265&amp;isn_status=-1,2&amp;adf=2024-01-01&amp;adt=2024-12-31&amp;details=0&amp;field=acdefghijo" TargetMode="External"/><Relationship Id="rId94" Type="http://schemas.openxmlformats.org/officeDocument/2006/relationships/hyperlink" Target="https://www.itu.int/dms_pub/itu-t/opb/res/T-RES-T.101-2024-PDF-E.pdf" TargetMode="External"/><Relationship Id="rId148" Type="http://schemas.openxmlformats.org/officeDocument/2006/relationships/hyperlink" Target="http://www.wsis.org/review" TargetMode="External"/><Relationship Id="rId169" Type="http://schemas.openxmlformats.org/officeDocument/2006/relationships/hyperlink" Target="https://www.itu.int/en/journal/j-fet/Pages/default.aspx" TargetMode="External"/><Relationship Id="rId4" Type="http://schemas.openxmlformats.org/officeDocument/2006/relationships/customXml" Target="../customXml/item4.xml"/><Relationship Id="rId180" Type="http://schemas.openxmlformats.org/officeDocument/2006/relationships/hyperlink" Target="https://www.itu.int/hub/2024/12/wrs-24-global-itu-seminar-outlines-latest-radio-spectrum-regulations/" TargetMode="External"/><Relationship Id="rId215" Type="http://schemas.openxmlformats.org/officeDocument/2006/relationships/hyperlink" Target="http://www.itu.int/gender" TargetMode="External"/><Relationship Id="rId236" Type="http://schemas.openxmlformats.org/officeDocument/2006/relationships/hyperlink" Target="https://www.itu.int/hub/2025/04/ai-standards-and-future-disaster-resilience/" TargetMode="External"/><Relationship Id="rId257" Type="http://schemas.openxmlformats.org/officeDocument/2006/relationships/hyperlink" Target="https://giga.global/" TargetMode="External"/><Relationship Id="rId278" Type="http://schemas.openxmlformats.org/officeDocument/2006/relationships/hyperlink" Target="https://www.itu.int/en/ITU-T/tsbdir/CxO/Pages/CxO-Roundtable-9-December-2024.aspx" TargetMode="External"/><Relationship Id="rId303" Type="http://schemas.openxmlformats.org/officeDocument/2006/relationships/hyperlink" Target="https://www.itu.int/md/S25-CL-C-0055/en" TargetMode="External"/><Relationship Id="rId42" Type="http://schemas.openxmlformats.org/officeDocument/2006/relationships/image" Target="media/image7.svg"/><Relationship Id="rId84" Type="http://schemas.openxmlformats.org/officeDocument/2006/relationships/hyperlink" Target="https://www.itu.int/pub/T-RES-T.107-2024" TargetMode="External"/><Relationship Id="rId138" Type="http://schemas.openxmlformats.org/officeDocument/2006/relationships/hyperlink" Target="https://www.itu.int/itu-d/meetings/wtis24/" TargetMode="External"/><Relationship Id="rId191" Type="http://schemas.openxmlformats.org/officeDocument/2006/relationships/hyperlink" Target="https://www.itu.int/itu-d/sites/priorities/enablers-of-itu-d-priorities/regional-presence/" TargetMode="External"/><Relationship Id="rId205" Type="http://schemas.openxmlformats.org/officeDocument/2006/relationships/hyperlink" Target="https://www.itu.int/md/S25-CL-C-0006/en" TargetMode="External"/><Relationship Id="rId247" Type="http://schemas.openxmlformats.org/officeDocument/2006/relationships/hyperlink" Target="https://www.broadbandcommission.org/working-groups/data-governance/" TargetMode="External"/><Relationship Id="rId107" Type="http://schemas.openxmlformats.org/officeDocument/2006/relationships/hyperlink" Target="https://www.linkedin.com/pulse/shaping-future-telecommunications-itu-wtsa-24-hy9be/" TargetMode="External"/><Relationship Id="rId289" Type="http://schemas.openxmlformats.org/officeDocument/2006/relationships/hyperlink" Target="https://www.itu.int/pub/publications.aspx?lang=en&amp;parent=T-FG-AI4NDM-2022" TargetMode="External"/><Relationship Id="rId11" Type="http://schemas.openxmlformats.org/officeDocument/2006/relationships/hyperlink" Target="https://www.itu.int/en/council/Documents/basic-texts-2023/RES-071-E.pdf" TargetMode="External"/><Relationship Id="rId53" Type="http://schemas.openxmlformats.org/officeDocument/2006/relationships/hyperlink" Target="https://www.itu.int/itu-d/reports/statistics/2024/11/10/ff24-internet-use-in-urban-and-rural-areas/" TargetMode="External"/><Relationship Id="rId149" Type="http://schemas.openxmlformats.org/officeDocument/2006/relationships/hyperlink" Target="https://www.itu.int/en/council/cwg-wsis/Pages/default.aspx" TargetMode="External"/><Relationship Id="rId314" Type="http://schemas.microsoft.com/office/2019/05/relationships/documenttasks" Target="documenttasks/documenttasks1.xml"/><Relationship Id="rId95" Type="http://schemas.openxmlformats.org/officeDocument/2006/relationships/hyperlink" Target="https://www.itu.int/en/ITU-T/focusgroups/ainn/Pages/default.aspx" TargetMode="External"/><Relationship Id="rId160" Type="http://schemas.openxmlformats.org/officeDocument/2006/relationships/hyperlink" Target="https://aiforgood.itu.int/young-ai-leaders-community/" TargetMode="External"/><Relationship Id="rId216" Type="http://schemas.openxmlformats.org/officeDocument/2006/relationships/hyperlink" Target="http://www.itu.int/genderdashboard" TargetMode="External"/><Relationship Id="rId258" Type="http://schemas.openxmlformats.org/officeDocument/2006/relationships/hyperlink" Target="https://www.itu.int/ssf/" TargetMode="External"/><Relationship Id="rId22" Type="http://schemas.openxmlformats.org/officeDocument/2006/relationships/hyperlink" Target="https://www.itu.int/osg/year-in-review-2024/boosting-connectivity/" TargetMode="External"/><Relationship Id="rId64" Type="http://schemas.openxmlformats.org/officeDocument/2006/relationships/hyperlink" Target="https://www.itu.int/pub/R-REG-RR" TargetMode="External"/><Relationship Id="rId118" Type="http://schemas.openxmlformats.org/officeDocument/2006/relationships/hyperlink" Target="https://www.unicc.org/event-quantum-for-good-sep2024/" TargetMode="External"/><Relationship Id="rId171" Type="http://schemas.openxmlformats.org/officeDocument/2006/relationships/hyperlink" Target="https://www.itu.int/en/journal/j-fet/Pages/default.aspx" TargetMode="External"/><Relationship Id="rId227" Type="http://schemas.openxmlformats.org/officeDocument/2006/relationships/hyperlink" Target="https://aiforgood.itu.int/young-ai-leaders-community/" TargetMode="External"/><Relationship Id="rId269" Type="http://schemas.openxmlformats.org/officeDocument/2006/relationships/hyperlink" Target="https://www.itu.int/cities/dt-digest/" TargetMode="External"/><Relationship Id="rId33" Type="http://schemas.openxmlformats.org/officeDocument/2006/relationships/hyperlink" Target="https://www.itu.int/en/ITU-T/wtsa24/Documents/WTSA-24_GSS-24_Brochure.pdf" TargetMode="External"/><Relationship Id="rId129" Type="http://schemas.openxmlformats.org/officeDocument/2006/relationships/hyperlink" Target="https://www.itu.int/itu-d/sites/statistics/" TargetMode="External"/><Relationship Id="rId280" Type="http://schemas.openxmlformats.org/officeDocument/2006/relationships/hyperlink" Target="https://www.itu.int/en/ITU-T/extcoop/Pages/wsc.aspx" TargetMode="External"/><Relationship Id="rId75" Type="http://schemas.openxmlformats.org/officeDocument/2006/relationships/hyperlink" Target="https://www.itu.int/en/ITU-T/publications/Pages/recs.aspx" TargetMode="External"/><Relationship Id="rId140" Type="http://schemas.openxmlformats.org/officeDocument/2006/relationships/hyperlink" Target="https://academy.itu.int/itu-d/projects-activities/itu-academy-training-centres" TargetMode="External"/><Relationship Id="rId182" Type="http://schemas.openxmlformats.org/officeDocument/2006/relationships/hyperlink" Target="https://www.itu.int/en/ITU-R/seminars/rrs/rrs-24-cis/Pages/default.aspx" TargetMode="External"/><Relationship Id="rId6" Type="http://schemas.openxmlformats.org/officeDocument/2006/relationships/styles" Target="styles.xml"/><Relationship Id="rId238" Type="http://schemas.openxmlformats.org/officeDocument/2006/relationships/hyperlink" Target="https://www.itu.int/pub/T-ENV-ENV-2024-1" TargetMode="External"/><Relationship Id="rId291" Type="http://schemas.openxmlformats.org/officeDocument/2006/relationships/hyperlink" Target="https://www.itu.int/pub/T-FG-AI4NDM-2023-3" TargetMode="External"/><Relationship Id="rId305" Type="http://schemas.openxmlformats.org/officeDocument/2006/relationships/hyperlink" Target="https://www.itu.int/md/S25-CL-C-0055/en" TargetMode="External"/><Relationship Id="rId44" Type="http://schemas.openxmlformats.org/officeDocument/2006/relationships/image" Target="media/image8.png"/><Relationship Id="rId86" Type="http://schemas.openxmlformats.org/officeDocument/2006/relationships/hyperlink" Target="https://www.itu.int/pub/T-RES-T.32-2024" TargetMode="External"/><Relationship Id="rId151" Type="http://schemas.openxmlformats.org/officeDocument/2006/relationships/hyperlink" Target="http://www.wsis.org/stocktak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F4A74277-4EC6-43EF-AA67-4735D8F834A8}">
    <t:Anchor>
      <t:Comment id="1489370128"/>
    </t:Anchor>
    <t:History>
      <t:Event id="{FF1A55CF-602B-4907-BCAB-0EDA5CD2E32B}" time="2025-02-27T17:21:55.946Z">
        <t:Attribution userId="S::caroline.troein@itu.int::9d3e52f6-55d6-47e8-8e6f-98e8aa5e940c" userProvider="AD" userName="Troein, Caroline"/>
        <t:Anchor>
          <t:Comment id="1489370128"/>
        </t:Anchor>
        <t:Create/>
      </t:Event>
      <t:Event id="{B20ADF33-AD56-4889-8B99-6C5181B0C495}" time="2025-02-27T17:21:55.946Z">
        <t:Attribution userId="S::caroline.troein@itu.int::9d3e52f6-55d6-47e8-8e6f-98e8aa5e940c" userProvider="AD" userName="Troein, Caroline"/>
        <t:Anchor>
          <t:Comment id="1489370128"/>
        </t:Anchor>
        <t:Assign userId="S::Orhan.Osmani@itu.int::7a528e2b-a681-4592-a802-6345b8f4e645" userProvider="AD" userName="Osmani, Orhan"/>
      </t:Event>
      <t:Event id="{1587D154-B2DB-4E10-BD4A-7D8E06F7CBE3}" time="2025-02-27T17:21:55.946Z">
        <t:Attribution userId="S::caroline.troein@itu.int::9d3e52f6-55d6-47e8-8e6f-98e8aa5e940c" userProvider="AD" userName="Troein, Caroline"/>
        <t:Anchor>
          <t:Comment id="1489370128"/>
        </t:Anchor>
        <t:SetTitle title="@Osmani, Orhan for your review. This mirrors what was sent to council in 2024. Not that Document C24/18 will need to be updated https://www.itu.int/md/S24-CL-C-0018/en"/>
      </t:Event>
      <t:Event id="{CF6F4468-D1CE-497A-9CAF-BCA14AAD2A5E}" time="2025-02-28T10:24:10.952Z">
        <t:Attribution userId="S::caroline.troein@itu.int::9d3e52f6-55d6-47e8-8e6f-98e8aa5e940c" userProvider="AD" userName="Troein, Carolin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B2CC4DF5F10149B2E37F08EDC3AC3A" ma:contentTypeVersion="8" ma:contentTypeDescription="Create a new document." ma:contentTypeScope="" ma:versionID="df57621dcd9cb730b7324d398b3ce10c">
  <xsd:schema xmlns:xsd="http://www.w3.org/2001/XMLSchema" xmlns:xs="http://www.w3.org/2001/XMLSchema" xmlns:p="http://schemas.microsoft.com/office/2006/metadata/properties" xmlns:ns2="a1cf676c-2816-4389-ad5d-0f2e7c7e67c4" targetNamespace="http://schemas.microsoft.com/office/2006/metadata/properties" ma:root="true" ma:fieldsID="21bebef123d8a211588512afbbbc1c26"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749095-B4E3-4258-8960-667825AE2512}">
  <ds:schemaRefs>
    <ds:schemaRef ds:uri="http://schemas.microsoft.com/sharepoint/v3/contenttype/forms"/>
  </ds:schemaRefs>
</ds:datastoreItem>
</file>

<file path=customXml/itemProps2.xml><?xml version="1.0" encoding="utf-8"?>
<ds:datastoreItem xmlns:ds="http://schemas.openxmlformats.org/officeDocument/2006/customXml" ds:itemID="{D4C25899-3268-45E8-AFB2-B4632A9F100E}">
  <ds:schemaRefs>
    <ds:schemaRef ds:uri="http://schemas.openxmlformats.org/officeDocument/2006/bibliography"/>
  </ds:schemaRefs>
</ds:datastoreItem>
</file>

<file path=customXml/itemProps3.xml><?xml version="1.0" encoding="utf-8"?>
<ds:datastoreItem xmlns:ds="http://schemas.openxmlformats.org/officeDocument/2006/customXml" ds:itemID="{721526DD-3528-4FD5-846F-53C5626D3EAA}">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a1cf676c-2816-4389-ad5d-0f2e7c7e67c4"/>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65304FC-01F5-4808-84A4-620BEC7F1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3e464d7-04e6-4b87-913c-24bd89219fd3}" enabled="0" method="" siteId="{23e464d7-04e6-4b87-913c-24bd89219fd3}" removed="1"/>
</clbl:labelList>
</file>

<file path=docProps/app.xml><?xml version="1.0" encoding="utf-8"?>
<Properties xmlns="http://schemas.openxmlformats.org/officeDocument/2006/extended-properties" xmlns:vt="http://schemas.openxmlformats.org/officeDocument/2006/docPropsVTypes">
  <Template>Normal.dotm</Template>
  <TotalTime>267</TotalTime>
  <Pages>53</Pages>
  <Words>19290</Words>
  <Characters>115815</Characters>
  <Application>Microsoft Office Word</Application>
  <DocSecurity>0</DocSecurity>
  <Lines>1855</Lines>
  <Paragraphs>675</Paragraphs>
  <ScaleCrop>false</ScaleCrop>
  <HeadingPairs>
    <vt:vector size="2" baseType="variant">
      <vt:variant>
        <vt:lpstr>Title</vt:lpstr>
      </vt:variant>
      <vt:variant>
        <vt:i4>1</vt:i4>
      </vt:variant>
    </vt:vector>
  </HeadingPairs>
  <TitlesOfParts>
    <vt:vector size="1" baseType="lpstr">
      <vt:lpstr>Annual report on the implementation of the strategic plan and the activities of the Union, 2024</vt:lpstr>
    </vt:vector>
  </TitlesOfParts>
  <Manager>General Secretariat - Pool</Manager>
  <Company>International Telecommunication Union (ITU)</Company>
  <LinksUpToDate>false</LinksUpToDate>
  <CharactersWithSpaces>134616</CharactersWithSpaces>
  <SharedDoc>false</SharedDoc>
  <HLinks>
    <vt:vector size="1980" baseType="variant">
      <vt:variant>
        <vt:i4>327770</vt:i4>
      </vt:variant>
      <vt:variant>
        <vt:i4>986</vt:i4>
      </vt:variant>
      <vt:variant>
        <vt:i4>0</vt:i4>
      </vt:variant>
      <vt:variant>
        <vt:i4>5</vt:i4>
      </vt:variant>
      <vt:variant>
        <vt:lpwstr>https://www.itu.int/net4/Search/CL25</vt:lpwstr>
      </vt:variant>
      <vt:variant>
        <vt:lpwstr/>
      </vt:variant>
      <vt:variant>
        <vt:i4>327770</vt:i4>
      </vt:variant>
      <vt:variant>
        <vt:i4>984</vt:i4>
      </vt:variant>
      <vt:variant>
        <vt:i4>0</vt:i4>
      </vt:variant>
      <vt:variant>
        <vt:i4>5</vt:i4>
      </vt:variant>
      <vt:variant>
        <vt:lpwstr>https://www.itu.int/net4/Search/CL25</vt:lpwstr>
      </vt:variant>
      <vt:variant>
        <vt:lpwstr/>
      </vt:variant>
      <vt:variant>
        <vt:i4>7471161</vt:i4>
      </vt:variant>
      <vt:variant>
        <vt:i4>981</vt:i4>
      </vt:variant>
      <vt:variant>
        <vt:i4>0</vt:i4>
      </vt:variant>
      <vt:variant>
        <vt:i4>5</vt:i4>
      </vt:variant>
      <vt:variant>
        <vt:lpwstr>https://www.itu.int/md/S25-CL-C-0055/en</vt:lpwstr>
      </vt:variant>
      <vt:variant>
        <vt:lpwstr/>
      </vt:variant>
      <vt:variant>
        <vt:i4>7667769</vt:i4>
      </vt:variant>
      <vt:variant>
        <vt:i4>978</vt:i4>
      </vt:variant>
      <vt:variant>
        <vt:i4>0</vt:i4>
      </vt:variant>
      <vt:variant>
        <vt:i4>5</vt:i4>
      </vt:variant>
      <vt:variant>
        <vt:lpwstr>https://www.itu.int/md/S25-CL-C-0052/en</vt:lpwstr>
      </vt:variant>
      <vt:variant>
        <vt:lpwstr/>
      </vt:variant>
      <vt:variant>
        <vt:i4>7471161</vt:i4>
      </vt:variant>
      <vt:variant>
        <vt:i4>975</vt:i4>
      </vt:variant>
      <vt:variant>
        <vt:i4>0</vt:i4>
      </vt:variant>
      <vt:variant>
        <vt:i4>5</vt:i4>
      </vt:variant>
      <vt:variant>
        <vt:lpwstr>https://www.itu.int/md/S25-CL-C-0055/en</vt:lpwstr>
      </vt:variant>
      <vt:variant>
        <vt:lpwstr/>
      </vt:variant>
      <vt:variant>
        <vt:i4>7405626</vt:i4>
      </vt:variant>
      <vt:variant>
        <vt:i4>972</vt:i4>
      </vt:variant>
      <vt:variant>
        <vt:i4>0</vt:i4>
      </vt:variant>
      <vt:variant>
        <vt:i4>5</vt:i4>
      </vt:variant>
      <vt:variant>
        <vt:lpwstr>https://www.itu.int/md/S25-CL-C-0066/en</vt:lpwstr>
      </vt:variant>
      <vt:variant>
        <vt:lpwstr/>
      </vt:variant>
      <vt:variant>
        <vt:i4>2949216</vt:i4>
      </vt:variant>
      <vt:variant>
        <vt:i4>969</vt:i4>
      </vt:variant>
      <vt:variant>
        <vt:i4>0</vt:i4>
      </vt:variant>
      <vt:variant>
        <vt:i4>5</vt:i4>
      </vt:variant>
      <vt:variant>
        <vt:lpwstr>https://app.powerbi.com/view?r=eyJrIjoiNTNlMzVkYmItZWE5ZC00NTMwLTk2ZTgtZjJiM2IxZmJjY2UyIiwidCI6IjIzZTQ2NGQ3LTA0ZTYtNGI4Ny05MTNjLTI0YmQ4OTIxOWZkMyIsImMiOjl9</vt:lpwstr>
      </vt:variant>
      <vt:variant>
        <vt:lpwstr/>
      </vt:variant>
      <vt:variant>
        <vt:i4>8126524</vt:i4>
      </vt:variant>
      <vt:variant>
        <vt:i4>966</vt:i4>
      </vt:variant>
      <vt:variant>
        <vt:i4>0</vt:i4>
      </vt:variant>
      <vt:variant>
        <vt:i4>5</vt:i4>
      </vt:variant>
      <vt:variant>
        <vt:lpwstr>https://www.itu.int/net/epub/TSB/2025-Digital-Agriculture-A-Standards-Snapshot/index.html</vt:lpwstr>
      </vt:variant>
      <vt:variant>
        <vt:lpwstr>p=1</vt:lpwstr>
      </vt:variant>
      <vt:variant>
        <vt:i4>8126581</vt:i4>
      </vt:variant>
      <vt:variant>
        <vt:i4>963</vt:i4>
      </vt:variant>
      <vt:variant>
        <vt:i4>0</vt:i4>
      </vt:variant>
      <vt:variant>
        <vt:i4>5</vt:i4>
      </vt:variant>
      <vt:variant>
        <vt:lpwstr>https://www.itu.int/en/ITU-T/focusgroups/ai4a/Pages/events.aspx</vt:lpwstr>
      </vt:variant>
      <vt:variant>
        <vt:lpwstr/>
      </vt:variant>
      <vt:variant>
        <vt:i4>4915278</vt:i4>
      </vt:variant>
      <vt:variant>
        <vt:i4>960</vt:i4>
      </vt:variant>
      <vt:variant>
        <vt:i4>0</vt:i4>
      </vt:variant>
      <vt:variant>
        <vt:i4>5</vt:i4>
      </vt:variant>
      <vt:variant>
        <vt:lpwstr>https://www.itu.int/en/ITU-T/focusgroups/ai4a/Pages/default.aspx</vt:lpwstr>
      </vt:variant>
      <vt:variant>
        <vt:lpwstr/>
      </vt:variant>
      <vt:variant>
        <vt:i4>1441813</vt:i4>
      </vt:variant>
      <vt:variant>
        <vt:i4>957</vt:i4>
      </vt:variant>
      <vt:variant>
        <vt:i4>0</vt:i4>
      </vt:variant>
      <vt:variant>
        <vt:i4>5</vt:i4>
      </vt:variant>
      <vt:variant>
        <vt:lpwstr>https://www.itu.int/en/ITU-T/extcoop/ai4resilience/Pages/default.aspx</vt:lpwstr>
      </vt:variant>
      <vt:variant>
        <vt:lpwstr/>
      </vt:variant>
      <vt:variant>
        <vt:i4>6291514</vt:i4>
      </vt:variant>
      <vt:variant>
        <vt:i4>954</vt:i4>
      </vt:variant>
      <vt:variant>
        <vt:i4>0</vt:i4>
      </vt:variant>
      <vt:variant>
        <vt:i4>5</vt:i4>
      </vt:variant>
      <vt:variant>
        <vt:lpwstr>https://www.medewsa.eu/</vt:lpwstr>
      </vt:variant>
      <vt:variant>
        <vt:lpwstr/>
      </vt:variant>
      <vt:variant>
        <vt:i4>7864377</vt:i4>
      </vt:variant>
      <vt:variant>
        <vt:i4>951</vt:i4>
      </vt:variant>
      <vt:variant>
        <vt:i4>0</vt:i4>
      </vt:variant>
      <vt:variant>
        <vt:i4>5</vt:i4>
      </vt:variant>
      <vt:variant>
        <vt:lpwstr>https://www.itu.int/pub/publications.aspx?lang=en&amp;parent=T-FG-AI4NDM-2024-4</vt:lpwstr>
      </vt:variant>
      <vt:variant>
        <vt:lpwstr/>
      </vt:variant>
      <vt:variant>
        <vt:i4>1572887</vt:i4>
      </vt:variant>
      <vt:variant>
        <vt:i4>948</vt:i4>
      </vt:variant>
      <vt:variant>
        <vt:i4>0</vt:i4>
      </vt:variant>
      <vt:variant>
        <vt:i4>5</vt:i4>
      </vt:variant>
      <vt:variant>
        <vt:lpwstr>https://www.itu.int/en/ITU-T/focusgroups/ai4ndm/Pages/events.aspx</vt:lpwstr>
      </vt:variant>
      <vt:variant>
        <vt:lpwstr/>
      </vt:variant>
      <vt:variant>
        <vt:i4>3407919</vt:i4>
      </vt:variant>
      <vt:variant>
        <vt:i4>945</vt:i4>
      </vt:variant>
      <vt:variant>
        <vt:i4>0</vt:i4>
      </vt:variant>
      <vt:variant>
        <vt:i4>5</vt:i4>
      </vt:variant>
      <vt:variant>
        <vt:lpwstr>https://www.itu.int/en/ITU-T/focusgroups/ai4ndm/Documents/Deliverables/FG-AI4NDM WG-MODELING - AI for Modeling.pdf</vt:lpwstr>
      </vt:variant>
      <vt:variant>
        <vt:lpwstr/>
      </vt:variant>
      <vt:variant>
        <vt:i4>7274539</vt:i4>
      </vt:variant>
      <vt:variant>
        <vt:i4>942</vt:i4>
      </vt:variant>
      <vt:variant>
        <vt:i4>0</vt:i4>
      </vt:variant>
      <vt:variant>
        <vt:i4>5</vt:i4>
      </vt:variant>
      <vt:variant>
        <vt:lpwstr>https://www.itu.int/pub/T-FG-AI4NDM-2023-3</vt:lpwstr>
      </vt:variant>
      <vt:variant>
        <vt:lpwstr/>
      </vt:variant>
      <vt:variant>
        <vt:i4>7864383</vt:i4>
      </vt:variant>
      <vt:variant>
        <vt:i4>939</vt:i4>
      </vt:variant>
      <vt:variant>
        <vt:i4>0</vt:i4>
      </vt:variant>
      <vt:variant>
        <vt:i4>5</vt:i4>
      </vt:variant>
      <vt:variant>
        <vt:lpwstr>https://www.itu.int/pub/publications.aspx?lang=en&amp;parent=T-FG-AI4NDM-2022-1</vt:lpwstr>
      </vt:variant>
      <vt:variant>
        <vt:lpwstr/>
      </vt:variant>
      <vt:variant>
        <vt:i4>5570573</vt:i4>
      </vt:variant>
      <vt:variant>
        <vt:i4>936</vt:i4>
      </vt:variant>
      <vt:variant>
        <vt:i4>0</vt:i4>
      </vt:variant>
      <vt:variant>
        <vt:i4>5</vt:i4>
      </vt:variant>
      <vt:variant>
        <vt:lpwstr>https://www.itu.int/pub/publications.aspx?lang=en&amp;parent=T-FG-AI4NDM-2022</vt:lpwstr>
      </vt:variant>
      <vt:variant>
        <vt:lpwstr/>
      </vt:variant>
      <vt:variant>
        <vt:i4>7864382</vt:i4>
      </vt:variant>
      <vt:variant>
        <vt:i4>933</vt:i4>
      </vt:variant>
      <vt:variant>
        <vt:i4>0</vt:i4>
      </vt:variant>
      <vt:variant>
        <vt:i4>5</vt:i4>
      </vt:variant>
      <vt:variant>
        <vt:lpwstr>https://www.itu.int/pub/publications.aspx?lang=en&amp;parent=T-FG-AI4NDM-2023-2</vt:lpwstr>
      </vt:variant>
      <vt:variant>
        <vt:lpwstr/>
      </vt:variant>
      <vt:variant>
        <vt:i4>3080236</vt:i4>
      </vt:variant>
      <vt:variant>
        <vt:i4>930</vt:i4>
      </vt:variant>
      <vt:variant>
        <vt:i4>0</vt:i4>
      </vt:variant>
      <vt:variant>
        <vt:i4>5</vt:i4>
      </vt:variant>
      <vt:variant>
        <vt:lpwstr>https://www.itu.int/en/ITU-T/focusgroups/ai4ndm/Pages/default.aspx</vt:lpwstr>
      </vt:variant>
      <vt:variant>
        <vt:lpwstr/>
      </vt:variant>
      <vt:variant>
        <vt:i4>1048652</vt:i4>
      </vt:variant>
      <vt:variant>
        <vt:i4>927</vt:i4>
      </vt:variant>
      <vt:variant>
        <vt:i4>0</vt:i4>
      </vt:variant>
      <vt:variant>
        <vt:i4>5</vt:i4>
      </vt:variant>
      <vt:variant>
        <vt:lpwstr>https://www.youtube.com/watch?v=xjKjamBKHAw&amp;feature=youtu.be</vt:lpwstr>
      </vt:variant>
      <vt:variant>
        <vt:lpwstr/>
      </vt:variant>
      <vt:variant>
        <vt:i4>4653128</vt:i4>
      </vt:variant>
      <vt:variant>
        <vt:i4>924</vt:i4>
      </vt:variant>
      <vt:variant>
        <vt:i4>0</vt:i4>
      </vt:variant>
      <vt:variant>
        <vt:i4>5</vt:i4>
      </vt:variant>
      <vt:variant>
        <vt:lpwstr>https://dcm.itu.int/</vt:lpwstr>
      </vt:variant>
      <vt:variant>
        <vt:lpwstr/>
      </vt:variant>
      <vt:variant>
        <vt:i4>6029395</vt:i4>
      </vt:variant>
      <vt:variant>
        <vt:i4>921</vt:i4>
      </vt:variant>
      <vt:variant>
        <vt:i4>0</vt:i4>
      </vt:variant>
      <vt:variant>
        <vt:i4>5</vt:i4>
      </vt:variant>
      <vt:variant>
        <vt:lpwstr>https://www.itu.int/en/ITU-D/Emergency-Telecommunications/Pages/AI-Sub-Group-EW4All-.aspx</vt:lpwstr>
      </vt:variant>
      <vt:variant>
        <vt:lpwstr/>
      </vt:variant>
      <vt:variant>
        <vt:i4>3407980</vt:i4>
      </vt:variant>
      <vt:variant>
        <vt:i4>918</vt:i4>
      </vt:variant>
      <vt:variant>
        <vt:i4>0</vt:i4>
      </vt:variant>
      <vt:variant>
        <vt:i4>5</vt:i4>
      </vt:variant>
      <vt:variant>
        <vt:lpwstr>https://aiforgood.itu.int/ai-standards/</vt:lpwstr>
      </vt:variant>
      <vt:variant>
        <vt:lpwstr/>
      </vt:variant>
      <vt:variant>
        <vt:i4>5177438</vt:i4>
      </vt:variant>
      <vt:variant>
        <vt:i4>915</vt:i4>
      </vt:variant>
      <vt:variant>
        <vt:i4>0</vt:i4>
      </vt:variant>
      <vt:variant>
        <vt:i4>5</vt:i4>
      </vt:variant>
      <vt:variant>
        <vt:lpwstr>https://www.itu.int/en/ITU-T/extcoop/amas/Documents/Terms of reference for AI and multimedia authenticity standards collaboration.pdf</vt:lpwstr>
      </vt:variant>
      <vt:variant>
        <vt:lpwstr/>
      </vt:variant>
      <vt:variant>
        <vt:i4>8323196</vt:i4>
      </vt:variant>
      <vt:variant>
        <vt:i4>912</vt:i4>
      </vt:variant>
      <vt:variant>
        <vt:i4>0</vt:i4>
      </vt:variant>
      <vt:variant>
        <vt:i4>5</vt:i4>
      </vt:variant>
      <vt:variant>
        <vt:lpwstr>https://aiforgood.itu.int/multimedia-authenticity/</vt:lpwstr>
      </vt:variant>
      <vt:variant>
        <vt:lpwstr/>
      </vt:variant>
      <vt:variant>
        <vt:i4>1769553</vt:i4>
      </vt:variant>
      <vt:variant>
        <vt:i4>909</vt:i4>
      </vt:variant>
      <vt:variant>
        <vt:i4>0</vt:i4>
      </vt:variant>
      <vt:variant>
        <vt:i4>5</vt:i4>
      </vt:variant>
      <vt:variant>
        <vt:lpwstr>https://www.worldstandardscooperation.org/what-we-do/world-standards-day/</vt:lpwstr>
      </vt:variant>
      <vt:variant>
        <vt:lpwstr/>
      </vt:variant>
      <vt:variant>
        <vt:i4>2162804</vt:i4>
      </vt:variant>
      <vt:variant>
        <vt:i4>906</vt:i4>
      </vt:variant>
      <vt:variant>
        <vt:i4>0</vt:i4>
      </vt:variant>
      <vt:variant>
        <vt:i4>5</vt:i4>
      </vt:variant>
      <vt:variant>
        <vt:lpwstr>https://www.worldstandardsday.org/home.html</vt:lpwstr>
      </vt:variant>
      <vt:variant>
        <vt:lpwstr/>
      </vt:variant>
      <vt:variant>
        <vt:i4>3801123</vt:i4>
      </vt:variant>
      <vt:variant>
        <vt:i4>903</vt:i4>
      </vt:variant>
      <vt:variant>
        <vt:i4>0</vt:i4>
      </vt:variant>
      <vt:variant>
        <vt:i4>5</vt:i4>
      </vt:variant>
      <vt:variant>
        <vt:lpwstr>https://www.itu.int/en/ITU-T/extcoop/Pages/wsc.aspx</vt:lpwstr>
      </vt:variant>
      <vt:variant>
        <vt:lpwstr/>
      </vt:variant>
      <vt:variant>
        <vt:i4>5767203</vt:i4>
      </vt:variant>
      <vt:variant>
        <vt:i4>900</vt:i4>
      </vt:variant>
      <vt:variant>
        <vt:i4>0</vt:i4>
      </vt:variant>
      <vt:variant>
        <vt:i4>5</vt:i4>
      </vt:variant>
      <vt:variant>
        <vt:lpwstr>https://www.itu.int/en/ITU-T/tsbdir/cto/Documents/Communique_ITU_CxO_2024.pdf</vt:lpwstr>
      </vt:variant>
      <vt:variant>
        <vt:lpwstr/>
      </vt:variant>
      <vt:variant>
        <vt:i4>5242975</vt:i4>
      </vt:variant>
      <vt:variant>
        <vt:i4>897</vt:i4>
      </vt:variant>
      <vt:variant>
        <vt:i4>0</vt:i4>
      </vt:variant>
      <vt:variant>
        <vt:i4>5</vt:i4>
      </vt:variant>
      <vt:variant>
        <vt:lpwstr>https://www.itu.int/en/ITU-T/tsbdir/CxO/Pages/CxO-Roundtable-9-December-2024.aspx</vt:lpwstr>
      </vt:variant>
      <vt:variant>
        <vt:lpwstr/>
      </vt:variant>
      <vt:variant>
        <vt:i4>4849732</vt:i4>
      </vt:variant>
      <vt:variant>
        <vt:i4>894</vt:i4>
      </vt:variant>
      <vt:variant>
        <vt:i4>0</vt:i4>
      </vt:variant>
      <vt:variant>
        <vt:i4>5</vt:i4>
      </vt:variant>
      <vt:variant>
        <vt:lpwstr>https://fnc.itu.int/</vt:lpwstr>
      </vt:variant>
      <vt:variant>
        <vt:lpwstr/>
      </vt:variant>
      <vt:variant>
        <vt:i4>393285</vt:i4>
      </vt:variant>
      <vt:variant>
        <vt:i4>891</vt:i4>
      </vt:variant>
      <vt:variant>
        <vt:i4>0</vt:i4>
      </vt:variant>
      <vt:variant>
        <vt:i4>5</vt:i4>
      </vt:variant>
      <vt:variant>
        <vt:lpwstr>https://www.itu.int/en/ITU-T/extcoop/cits/egcomad/wg02/Pages/default.aspx</vt:lpwstr>
      </vt:variant>
      <vt:variant>
        <vt:lpwstr/>
      </vt:variant>
      <vt:variant>
        <vt:i4>327749</vt:i4>
      </vt:variant>
      <vt:variant>
        <vt:i4>888</vt:i4>
      </vt:variant>
      <vt:variant>
        <vt:i4>0</vt:i4>
      </vt:variant>
      <vt:variant>
        <vt:i4>5</vt:i4>
      </vt:variant>
      <vt:variant>
        <vt:lpwstr>https://www.itu.int/en/ITU-T/extcoop/cits/egcomad/wg01/Pages/default.aspx</vt:lpwstr>
      </vt:variant>
      <vt:variant>
        <vt:lpwstr/>
      </vt:variant>
      <vt:variant>
        <vt:i4>262214</vt:i4>
      </vt:variant>
      <vt:variant>
        <vt:i4>885</vt:i4>
      </vt:variant>
      <vt:variant>
        <vt:i4>0</vt:i4>
      </vt:variant>
      <vt:variant>
        <vt:i4>5</vt:i4>
      </vt:variant>
      <vt:variant>
        <vt:lpwstr>https://www.itu.int/en/ITU-T/extcoop/cits/Pages/egcomad.aspx</vt:lpwstr>
      </vt:variant>
      <vt:variant>
        <vt:lpwstr/>
      </vt:variant>
      <vt:variant>
        <vt:i4>5308438</vt:i4>
      </vt:variant>
      <vt:variant>
        <vt:i4>882</vt:i4>
      </vt:variant>
      <vt:variant>
        <vt:i4>0</vt:i4>
      </vt:variant>
      <vt:variant>
        <vt:i4>5</vt:i4>
      </vt:variant>
      <vt:variant>
        <vt:lpwstr>http://www.unece.org/trans/main/welcwp29.html</vt:lpwstr>
      </vt:variant>
      <vt:variant>
        <vt:lpwstr/>
      </vt:variant>
      <vt:variant>
        <vt:i4>327754</vt:i4>
      </vt:variant>
      <vt:variant>
        <vt:i4>879</vt:i4>
      </vt:variant>
      <vt:variant>
        <vt:i4>0</vt:i4>
      </vt:variant>
      <vt:variant>
        <vt:i4>5</vt:i4>
      </vt:variant>
      <vt:variant>
        <vt:lpwstr>https://www.itu.int/en/ITU-T/extcoop/cits/Pages/default.aspx</vt:lpwstr>
      </vt:variant>
      <vt:variant>
        <vt:lpwstr/>
      </vt:variant>
      <vt:variant>
        <vt:i4>7209006</vt:i4>
      </vt:variant>
      <vt:variant>
        <vt:i4>876</vt:i4>
      </vt:variant>
      <vt:variant>
        <vt:i4>0</vt:i4>
      </vt:variant>
      <vt:variant>
        <vt:i4>5</vt:i4>
      </vt:variant>
      <vt:variant>
        <vt:lpwstr>https://www.itu.int/en/ITU-T/ITS/Pages/WTSA-Resolution-104.aspx</vt:lpwstr>
      </vt:variant>
      <vt:variant>
        <vt:lpwstr/>
      </vt:variant>
      <vt:variant>
        <vt:i4>8257575</vt:i4>
      </vt:variant>
      <vt:variant>
        <vt:i4>873</vt:i4>
      </vt:variant>
      <vt:variant>
        <vt:i4>0</vt:i4>
      </vt:variant>
      <vt:variant>
        <vt:i4>5</vt:i4>
      </vt:variant>
      <vt:variant>
        <vt:lpwstr>https://www.itu.int/cities/dt-resource-hub/</vt:lpwstr>
      </vt:variant>
      <vt:variant>
        <vt:lpwstr/>
      </vt:variant>
      <vt:variant>
        <vt:i4>1114136</vt:i4>
      </vt:variant>
      <vt:variant>
        <vt:i4>870</vt:i4>
      </vt:variant>
      <vt:variant>
        <vt:i4>0</vt:i4>
      </vt:variant>
      <vt:variant>
        <vt:i4>5</vt:i4>
      </vt:variant>
      <vt:variant>
        <vt:lpwstr>https://www.itu.int/cities/dt-digest/</vt:lpwstr>
      </vt:variant>
      <vt:variant>
        <vt:lpwstr/>
      </vt:variant>
      <vt:variant>
        <vt:i4>8192110</vt:i4>
      </vt:variant>
      <vt:variant>
        <vt:i4>867</vt:i4>
      </vt:variant>
      <vt:variant>
        <vt:i4>0</vt:i4>
      </vt:variant>
      <vt:variant>
        <vt:i4>5</vt:i4>
      </vt:variant>
      <vt:variant>
        <vt:lpwstr>https://www.itu.int/cities/digitaltransformationdialogues/</vt:lpwstr>
      </vt:variant>
      <vt:variant>
        <vt:lpwstr/>
      </vt:variant>
      <vt:variant>
        <vt:i4>1179662</vt:i4>
      </vt:variant>
      <vt:variant>
        <vt:i4>864</vt:i4>
      </vt:variant>
      <vt:variant>
        <vt:i4>0</vt:i4>
      </vt:variant>
      <vt:variant>
        <vt:i4>5</vt:i4>
      </vt:variant>
      <vt:variant>
        <vt:lpwstr>https://www.itu.int/cities/publications/</vt:lpwstr>
      </vt:variant>
      <vt:variant>
        <vt:lpwstr/>
      </vt:variant>
      <vt:variant>
        <vt:i4>7405625</vt:i4>
      </vt:variant>
      <vt:variant>
        <vt:i4>861</vt:i4>
      </vt:variant>
      <vt:variant>
        <vt:i4>0</vt:i4>
      </vt:variant>
      <vt:variant>
        <vt:i4>5</vt:i4>
      </vt:variant>
      <vt:variant>
        <vt:lpwstr>https://u4ssc.itu.int/publications/</vt:lpwstr>
      </vt:variant>
      <vt:variant>
        <vt:lpwstr/>
      </vt:variant>
      <vt:variant>
        <vt:i4>3342392</vt:i4>
      </vt:variant>
      <vt:variant>
        <vt:i4>858</vt:i4>
      </vt:variant>
      <vt:variant>
        <vt:i4>0</vt:i4>
      </vt:variant>
      <vt:variant>
        <vt:i4>5</vt:i4>
      </vt:variant>
      <vt:variant>
        <vt:lpwstr>https://u4ssc.itu.int/latest-meetings/8th-meeting/</vt:lpwstr>
      </vt:variant>
      <vt:variant>
        <vt:lpwstr/>
      </vt:variant>
      <vt:variant>
        <vt:i4>7405625</vt:i4>
      </vt:variant>
      <vt:variant>
        <vt:i4>855</vt:i4>
      </vt:variant>
      <vt:variant>
        <vt:i4>0</vt:i4>
      </vt:variant>
      <vt:variant>
        <vt:i4>5</vt:i4>
      </vt:variant>
      <vt:variant>
        <vt:lpwstr>https://u4ssc.itu.int/publications/</vt:lpwstr>
      </vt:variant>
      <vt:variant>
        <vt:lpwstr/>
      </vt:variant>
      <vt:variant>
        <vt:i4>786460</vt:i4>
      </vt:variant>
      <vt:variant>
        <vt:i4>852</vt:i4>
      </vt:variant>
      <vt:variant>
        <vt:i4>0</vt:i4>
      </vt:variant>
      <vt:variant>
        <vt:i4>5</vt:i4>
      </vt:variant>
      <vt:variant>
        <vt:lpwstr>https://www.itu.int/en/ITU-T/ssc/united/Pages/publication-U4SSC-KPIs.aspx</vt:lpwstr>
      </vt:variant>
      <vt:variant>
        <vt:lpwstr/>
      </vt:variant>
      <vt:variant>
        <vt:i4>786460</vt:i4>
      </vt:variant>
      <vt:variant>
        <vt:i4>849</vt:i4>
      </vt:variant>
      <vt:variant>
        <vt:i4>0</vt:i4>
      </vt:variant>
      <vt:variant>
        <vt:i4>5</vt:i4>
      </vt:variant>
      <vt:variant>
        <vt:lpwstr>https://www.itu.int/en/ITU-T/ssc/united/Pages/publication-U4SSC-KPIs.aspx</vt:lpwstr>
      </vt:variant>
      <vt:variant>
        <vt:lpwstr/>
      </vt:variant>
      <vt:variant>
        <vt:i4>4325397</vt:i4>
      </vt:variant>
      <vt:variant>
        <vt:i4>846</vt:i4>
      </vt:variant>
      <vt:variant>
        <vt:i4>0</vt:i4>
      </vt:variant>
      <vt:variant>
        <vt:i4>5</vt:i4>
      </vt:variant>
      <vt:variant>
        <vt:lpwstr>http://www.itu.int/en/ITU-T/ssc/united/Pages/default.aspx</vt:lpwstr>
      </vt:variant>
      <vt:variant>
        <vt:lpwstr/>
      </vt:variant>
      <vt:variant>
        <vt:i4>2555941</vt:i4>
      </vt:variant>
      <vt:variant>
        <vt:i4>843</vt:i4>
      </vt:variant>
      <vt:variant>
        <vt:i4>0</vt:i4>
      </vt:variant>
      <vt:variant>
        <vt:i4>5</vt:i4>
      </vt:variant>
      <vt:variant>
        <vt:lpwstr>https://www.itu.int/un-virtual-worlds-day/2025/</vt:lpwstr>
      </vt:variant>
      <vt:variant>
        <vt:lpwstr/>
      </vt:variant>
      <vt:variant>
        <vt:i4>5177413</vt:i4>
      </vt:variant>
      <vt:variant>
        <vt:i4>840</vt:i4>
      </vt:variant>
      <vt:variant>
        <vt:i4>0</vt:i4>
      </vt:variant>
      <vt:variant>
        <vt:i4>5</vt:i4>
      </vt:variant>
      <vt:variant>
        <vt:lpwstr>https://www.itu.int/metaverse/virtual-worlds/</vt:lpwstr>
      </vt:variant>
      <vt:variant>
        <vt:lpwstr/>
      </vt:variant>
      <vt:variant>
        <vt:i4>983124</vt:i4>
      </vt:variant>
      <vt:variant>
        <vt:i4>837</vt:i4>
      </vt:variant>
      <vt:variant>
        <vt:i4>0</vt:i4>
      </vt:variant>
      <vt:variant>
        <vt:i4>5</vt:i4>
      </vt:variant>
      <vt:variant>
        <vt:lpwstr>https://www.itu.int/ssf/</vt:lpwstr>
      </vt:variant>
      <vt:variant>
        <vt:lpwstr/>
      </vt:variant>
      <vt:variant>
        <vt:i4>6225932</vt:i4>
      </vt:variant>
      <vt:variant>
        <vt:i4>834</vt:i4>
      </vt:variant>
      <vt:variant>
        <vt:i4>0</vt:i4>
      </vt:variant>
      <vt:variant>
        <vt:i4>5</vt:i4>
      </vt:variant>
      <vt:variant>
        <vt:lpwstr>https://giga.global/</vt:lpwstr>
      </vt:variant>
      <vt:variant>
        <vt:lpwstr/>
      </vt:variant>
      <vt:variant>
        <vt:i4>4194334</vt:i4>
      </vt:variant>
      <vt:variant>
        <vt:i4>831</vt:i4>
      </vt:variant>
      <vt:variant>
        <vt:i4>0</vt:i4>
      </vt:variant>
      <vt:variant>
        <vt:i4>5</vt:i4>
      </vt:variant>
      <vt:variant>
        <vt:lpwstr>https://www.equalsintech.org/</vt:lpwstr>
      </vt:variant>
      <vt:variant>
        <vt:lpwstr/>
      </vt:variant>
      <vt:variant>
        <vt:i4>1966169</vt:i4>
      </vt:variant>
      <vt:variant>
        <vt:i4>828</vt:i4>
      </vt:variant>
      <vt:variant>
        <vt:i4>0</vt:i4>
      </vt:variant>
      <vt:variant>
        <vt:i4>5</vt:i4>
      </vt:variant>
      <vt:variant>
        <vt:lpwstr>https://www.broadbandcommission.org/working-groups/ai-capacity-building/</vt:lpwstr>
      </vt:variant>
      <vt:variant>
        <vt:lpwstr/>
      </vt:variant>
      <vt:variant>
        <vt:i4>655383</vt:i4>
      </vt:variant>
      <vt:variant>
        <vt:i4>825</vt:i4>
      </vt:variant>
      <vt:variant>
        <vt:i4>0</vt:i4>
      </vt:variant>
      <vt:variant>
        <vt:i4>5</vt:i4>
      </vt:variant>
      <vt:variant>
        <vt:lpwstr>https://www.broadbandcommission.org/working-groups/data-for-learning/</vt:lpwstr>
      </vt:variant>
      <vt:variant>
        <vt:lpwstr/>
      </vt:variant>
      <vt:variant>
        <vt:i4>7274602</vt:i4>
      </vt:variant>
      <vt:variant>
        <vt:i4>822</vt:i4>
      </vt:variant>
      <vt:variant>
        <vt:i4>0</vt:i4>
      </vt:variant>
      <vt:variant>
        <vt:i4>5</vt:i4>
      </vt:variant>
      <vt:variant>
        <vt:lpwstr>https://www.broadbandcommission.org/global-digital-compact-data-governance/</vt:lpwstr>
      </vt:variant>
      <vt:variant>
        <vt:lpwstr/>
      </vt:variant>
      <vt:variant>
        <vt:i4>3342398</vt:i4>
      </vt:variant>
      <vt:variant>
        <vt:i4>819</vt:i4>
      </vt:variant>
      <vt:variant>
        <vt:i4>0</vt:i4>
      </vt:variant>
      <vt:variant>
        <vt:i4>5</vt:i4>
      </vt:variant>
      <vt:variant>
        <vt:lpwstr>https://www.broadbandcommission.org/wp-content/uploads/2024/04/Broadband-Commission-Championing-Digital-Equality-1.pdf</vt:lpwstr>
      </vt:variant>
      <vt:variant>
        <vt:lpwstr/>
      </vt:variant>
      <vt:variant>
        <vt:i4>7143530</vt:i4>
      </vt:variant>
      <vt:variant>
        <vt:i4>816</vt:i4>
      </vt:variant>
      <vt:variant>
        <vt:i4>0</vt:i4>
      </vt:variant>
      <vt:variant>
        <vt:i4>5</vt:i4>
      </vt:variant>
      <vt:variant>
        <vt:lpwstr>https://www.broadbandcommission.org/contributions-to-un-processes/</vt:lpwstr>
      </vt:variant>
      <vt:variant>
        <vt:lpwstr/>
      </vt:variant>
      <vt:variant>
        <vt:i4>4194380</vt:i4>
      </vt:variant>
      <vt:variant>
        <vt:i4>813</vt:i4>
      </vt:variant>
      <vt:variant>
        <vt:i4>0</vt:i4>
      </vt:variant>
      <vt:variant>
        <vt:i4>5</vt:i4>
      </vt:variant>
      <vt:variant>
        <vt:lpwstr>https://broadbandcommission.org/publication/state-of-broadband-2024/</vt:lpwstr>
      </vt:variant>
      <vt:variant>
        <vt:lpwstr/>
      </vt:variant>
      <vt:variant>
        <vt:i4>4063337</vt:i4>
      </vt:variant>
      <vt:variant>
        <vt:i4>810</vt:i4>
      </vt:variant>
      <vt:variant>
        <vt:i4>0</vt:i4>
      </vt:variant>
      <vt:variant>
        <vt:i4>5</vt:i4>
      </vt:variant>
      <vt:variant>
        <vt:lpwstr>https://broadbandcommission.org/event/2024-annual-fall-meeting-of-the-broadband-commission/</vt:lpwstr>
      </vt:variant>
      <vt:variant>
        <vt:lpwstr/>
      </vt:variant>
      <vt:variant>
        <vt:i4>5046284</vt:i4>
      </vt:variant>
      <vt:variant>
        <vt:i4>807</vt:i4>
      </vt:variant>
      <vt:variant>
        <vt:i4>0</vt:i4>
      </vt:variant>
      <vt:variant>
        <vt:i4>5</vt:i4>
      </vt:variant>
      <vt:variant>
        <vt:lpwstr>https://broadbandcommission.org/event/2024-annual-spring-meeting-of-the-broadband-commission/</vt:lpwstr>
      </vt:variant>
      <vt:variant>
        <vt:lpwstr/>
      </vt:variant>
      <vt:variant>
        <vt:i4>4063343</vt:i4>
      </vt:variant>
      <vt:variant>
        <vt:i4>804</vt:i4>
      </vt:variant>
      <vt:variant>
        <vt:i4>0</vt:i4>
      </vt:variant>
      <vt:variant>
        <vt:i4>5</vt:i4>
      </vt:variant>
      <vt:variant>
        <vt:lpwstr>https://www.broadbandcommission.org/working-groups/data-governance/</vt:lpwstr>
      </vt:variant>
      <vt:variant>
        <vt:lpwstr/>
      </vt:variant>
      <vt:variant>
        <vt:i4>6029379</vt:i4>
      </vt:variant>
      <vt:variant>
        <vt:i4>801</vt:i4>
      </vt:variant>
      <vt:variant>
        <vt:i4>0</vt:i4>
      </vt:variant>
      <vt:variant>
        <vt:i4>5</vt:i4>
      </vt:variant>
      <vt:variant>
        <vt:lpwstr>https://www.itu.int/partner2connect/</vt:lpwstr>
      </vt:variant>
      <vt:variant>
        <vt:lpwstr/>
      </vt:variant>
      <vt:variant>
        <vt:i4>7471160</vt:i4>
      </vt:variant>
      <vt:variant>
        <vt:i4>798</vt:i4>
      </vt:variant>
      <vt:variant>
        <vt:i4>0</vt:i4>
      </vt:variant>
      <vt:variant>
        <vt:i4>5</vt:i4>
      </vt:variant>
      <vt:variant>
        <vt:lpwstr>https://www.itu.int/md/S25-CL-C-0045/en</vt:lpwstr>
      </vt:variant>
      <vt:variant>
        <vt:lpwstr/>
      </vt:variant>
      <vt:variant>
        <vt:i4>327707</vt:i4>
      </vt:variant>
      <vt:variant>
        <vt:i4>795</vt:i4>
      </vt:variant>
      <vt:variant>
        <vt:i4>0</vt:i4>
      </vt:variant>
      <vt:variant>
        <vt:i4>5</vt:i4>
      </vt:variant>
      <vt:variant>
        <vt:lpwstr>https://www.itu.int/en/action/environment-and-climate-change/Documents/ITU Environmental Sustainability Policy %282025%29.pdf</vt:lpwstr>
      </vt:variant>
      <vt:variant>
        <vt:lpwstr/>
      </vt:variant>
      <vt:variant>
        <vt:i4>4980751</vt:i4>
      </vt:variant>
      <vt:variant>
        <vt:i4>792</vt:i4>
      </vt:variant>
      <vt:variant>
        <vt:i4>0</vt:i4>
      </vt:variant>
      <vt:variant>
        <vt:i4>5</vt:i4>
      </vt:variant>
      <vt:variant>
        <vt:lpwstr>https://www.itu.int/en/action/environment-and-climate-change/Pages/greening-ITU.aspx</vt:lpwstr>
      </vt:variant>
      <vt:variant>
        <vt:lpwstr/>
      </vt:variant>
      <vt:variant>
        <vt:i4>917521</vt:i4>
      </vt:variant>
      <vt:variant>
        <vt:i4>789</vt:i4>
      </vt:variant>
      <vt:variant>
        <vt:i4>0</vt:i4>
      </vt:variant>
      <vt:variant>
        <vt:i4>5</vt:i4>
      </vt:variant>
      <vt:variant>
        <vt:lpwstr>https://www.itu.int/en/ITU-D/Environment/Pages/Publications/The-Global-E-waste-Monitor-2024.aspx</vt:lpwstr>
      </vt:variant>
      <vt:variant>
        <vt:lpwstr/>
      </vt:variant>
      <vt:variant>
        <vt:i4>720920</vt:i4>
      </vt:variant>
      <vt:variant>
        <vt:i4>774</vt:i4>
      </vt:variant>
      <vt:variant>
        <vt:i4>0</vt:i4>
      </vt:variant>
      <vt:variant>
        <vt:i4>5</vt:i4>
      </vt:variant>
      <vt:variant>
        <vt:lpwstr>https://www.sustainableaicoalition.org/wp-content/uploads/Standardization_AI_Sustainability.pdf</vt:lpwstr>
      </vt:variant>
      <vt:variant>
        <vt:lpwstr/>
      </vt:variant>
      <vt:variant>
        <vt:i4>1114122</vt:i4>
      </vt:variant>
      <vt:variant>
        <vt:i4>771</vt:i4>
      </vt:variant>
      <vt:variant>
        <vt:i4>0</vt:i4>
      </vt:variant>
      <vt:variant>
        <vt:i4>5</vt:i4>
      </vt:variant>
      <vt:variant>
        <vt:lpwstr>https://www.itu.int/pub/T-ENV-ENV-2024-1</vt:lpwstr>
      </vt:variant>
      <vt:variant>
        <vt:lpwstr/>
      </vt:variant>
      <vt:variant>
        <vt:i4>2621480</vt:i4>
      </vt:variant>
      <vt:variant>
        <vt:i4>762</vt:i4>
      </vt:variant>
      <vt:variant>
        <vt:i4>0</vt:i4>
      </vt:variant>
      <vt:variant>
        <vt:i4>5</vt:i4>
      </vt:variant>
      <vt:variant>
        <vt:lpwstr>https://www.itu.int/pub/R-GEN-CLC-2025</vt:lpwstr>
      </vt:variant>
      <vt:variant>
        <vt:lpwstr/>
      </vt:variant>
      <vt:variant>
        <vt:i4>3080236</vt:i4>
      </vt:variant>
      <vt:variant>
        <vt:i4>759</vt:i4>
      </vt:variant>
      <vt:variant>
        <vt:i4>0</vt:i4>
      </vt:variant>
      <vt:variant>
        <vt:i4>5</vt:i4>
      </vt:variant>
      <vt:variant>
        <vt:lpwstr>https://www.itu.int/en/ITU-T/focusgroups/ai4ndm/Pages/default.aspx</vt:lpwstr>
      </vt:variant>
      <vt:variant>
        <vt:lpwstr/>
      </vt:variant>
      <vt:variant>
        <vt:i4>1441813</vt:i4>
      </vt:variant>
      <vt:variant>
        <vt:i4>756</vt:i4>
      </vt:variant>
      <vt:variant>
        <vt:i4>0</vt:i4>
      </vt:variant>
      <vt:variant>
        <vt:i4>5</vt:i4>
      </vt:variant>
      <vt:variant>
        <vt:lpwstr>https://www.itu.int/en/ITU-T/extcoop/ai4resilience/Pages/default.aspx</vt:lpwstr>
      </vt:variant>
      <vt:variant>
        <vt:lpwstr/>
      </vt:variant>
      <vt:variant>
        <vt:i4>6029395</vt:i4>
      </vt:variant>
      <vt:variant>
        <vt:i4>752</vt:i4>
      </vt:variant>
      <vt:variant>
        <vt:i4>0</vt:i4>
      </vt:variant>
      <vt:variant>
        <vt:i4>5</vt:i4>
      </vt:variant>
      <vt:variant>
        <vt:lpwstr>https://www.itu.int/en/ITU-D/Emergency-Telecommunications/Pages/AI-Sub-Group-EW4All-.aspx</vt:lpwstr>
      </vt:variant>
      <vt:variant>
        <vt:lpwstr/>
      </vt:variant>
      <vt:variant>
        <vt:i4>6029395</vt:i4>
      </vt:variant>
      <vt:variant>
        <vt:i4>750</vt:i4>
      </vt:variant>
      <vt:variant>
        <vt:i4>0</vt:i4>
      </vt:variant>
      <vt:variant>
        <vt:i4>5</vt:i4>
      </vt:variant>
      <vt:variant>
        <vt:lpwstr>https://www.itu.int/en/ITU-D/Emergency-Telecommunications/Pages/AI-Sub-Group-EW4All-.aspx</vt:lpwstr>
      </vt:variant>
      <vt:variant>
        <vt:lpwstr/>
      </vt:variant>
      <vt:variant>
        <vt:i4>2031710</vt:i4>
      </vt:variant>
      <vt:variant>
        <vt:i4>747</vt:i4>
      </vt:variant>
      <vt:variant>
        <vt:i4>0</vt:i4>
      </vt:variant>
      <vt:variant>
        <vt:i4>5</vt:i4>
      </vt:variant>
      <vt:variant>
        <vt:lpwstr>https://aiforgood.itu.int/young-ai-leaders-community/</vt:lpwstr>
      </vt:variant>
      <vt:variant>
        <vt:lpwstr/>
      </vt:variant>
      <vt:variant>
        <vt:i4>3866746</vt:i4>
      </vt:variant>
      <vt:variant>
        <vt:i4>744</vt:i4>
      </vt:variant>
      <vt:variant>
        <vt:i4>0</vt:i4>
      </vt:variant>
      <vt:variant>
        <vt:i4>5</vt:i4>
      </vt:variant>
      <vt:variant>
        <vt:lpwstr>https://challenge.aiforgood.itu.int/match/matchitem/95</vt:lpwstr>
      </vt:variant>
      <vt:variant>
        <vt:lpwstr/>
      </vt:variant>
      <vt:variant>
        <vt:i4>6422585</vt:i4>
      </vt:variant>
      <vt:variant>
        <vt:i4>741</vt:i4>
      </vt:variant>
      <vt:variant>
        <vt:i4>0</vt:i4>
      </vt:variant>
      <vt:variant>
        <vt:i4>5</vt:i4>
      </vt:variant>
      <vt:variant>
        <vt:lpwstr>https://aiforgood.itu.int/event/robotics-for-good-youth-challenge-india/</vt:lpwstr>
      </vt:variant>
      <vt:variant>
        <vt:lpwstr>:~:text=The%20Robotics%20for%20Good%20Youth%20Challenge%20is%20an%20UN%2Dbased,Sustainable%20Development%20Goals%20(SDGs).</vt:lpwstr>
      </vt:variant>
      <vt:variant>
        <vt:i4>2490425</vt:i4>
      </vt:variant>
      <vt:variant>
        <vt:i4>738</vt:i4>
      </vt:variant>
      <vt:variant>
        <vt:i4>0</vt:i4>
      </vt:variant>
      <vt:variant>
        <vt:i4>5</vt:i4>
      </vt:variant>
      <vt:variant>
        <vt:lpwstr>https://www.itu.int/en/ITU-T/academia/kaleidoscope/2024/Pages/default.aspx</vt:lpwstr>
      </vt:variant>
      <vt:variant>
        <vt:lpwstr/>
      </vt:variant>
      <vt:variant>
        <vt:i4>7274505</vt:i4>
      </vt:variant>
      <vt:variant>
        <vt:i4>735</vt:i4>
      </vt:variant>
      <vt:variant>
        <vt:i4>0</vt:i4>
      </vt:variant>
      <vt:variant>
        <vt:i4>5</vt:i4>
      </vt:variant>
      <vt:variant>
        <vt:lpwstr>https://www.itu.int/dms_pub/itu-t/opb/res/T-RES-T.107-2024-PDF-E.pdf</vt:lpwstr>
      </vt:variant>
      <vt:variant>
        <vt:lpwstr/>
      </vt:variant>
      <vt:variant>
        <vt:i4>6881390</vt:i4>
      </vt:variant>
      <vt:variant>
        <vt:i4>732</vt:i4>
      </vt:variant>
      <vt:variant>
        <vt:i4>0</vt:i4>
      </vt:variant>
      <vt:variant>
        <vt:i4>5</vt:i4>
      </vt:variant>
      <vt:variant>
        <vt:lpwstr>https://www.itu.int/wtsa/2024/</vt:lpwstr>
      </vt:variant>
      <vt:variant>
        <vt:lpwstr/>
      </vt:variant>
      <vt:variant>
        <vt:i4>7733311</vt:i4>
      </vt:variant>
      <vt:variant>
        <vt:i4>729</vt:i4>
      </vt:variant>
      <vt:variant>
        <vt:i4>0</vt:i4>
      </vt:variant>
      <vt:variant>
        <vt:i4>5</vt:i4>
      </vt:variant>
      <vt:variant>
        <vt:lpwstr>https://www.itu.int/md/S25-CL-C-0031/en</vt:lpwstr>
      </vt:variant>
      <vt:variant>
        <vt:lpwstr/>
      </vt:variant>
      <vt:variant>
        <vt:i4>1966173</vt:i4>
      </vt:variant>
      <vt:variant>
        <vt:i4>726</vt:i4>
      </vt:variant>
      <vt:variant>
        <vt:i4>0</vt:i4>
      </vt:variant>
      <vt:variant>
        <vt:i4>5</vt:i4>
      </vt:variant>
      <vt:variant>
        <vt:lpwstr>https://aiforgood.itu.int/robotics-for-good-youth-challenge/</vt:lpwstr>
      </vt:variant>
      <vt:variant>
        <vt:lpwstr/>
      </vt:variant>
      <vt:variant>
        <vt:i4>5439510</vt:i4>
      </vt:variant>
      <vt:variant>
        <vt:i4>723</vt:i4>
      </vt:variant>
      <vt:variant>
        <vt:i4>0</vt:i4>
      </vt:variant>
      <vt:variant>
        <vt:i4>5</vt:i4>
      </vt:variant>
      <vt:variant>
        <vt:lpwstr>https://aiforgood.itu.int/the-5th-edition-of-the-itu-ai-ml-in-5g-challenge-a-year-of-competitions-in-review/</vt:lpwstr>
      </vt:variant>
      <vt:variant>
        <vt:lpwstr/>
      </vt:variant>
      <vt:variant>
        <vt:i4>6750307</vt:i4>
      </vt:variant>
      <vt:variant>
        <vt:i4>720</vt:i4>
      </vt:variant>
      <vt:variant>
        <vt:i4>0</vt:i4>
      </vt:variant>
      <vt:variant>
        <vt:i4>5</vt:i4>
      </vt:variant>
      <vt:variant>
        <vt:lpwstr>https://www.itu.int/generationconnect/empower/generation-connect-young-leadership-programme-in-partnership-with-huawei/</vt:lpwstr>
      </vt:variant>
      <vt:variant>
        <vt:lpwstr/>
      </vt:variant>
      <vt:variant>
        <vt:i4>6750335</vt:i4>
      </vt:variant>
      <vt:variant>
        <vt:i4>717</vt:i4>
      </vt:variant>
      <vt:variant>
        <vt:i4>0</vt:i4>
      </vt:variant>
      <vt:variant>
        <vt:i4>5</vt:i4>
      </vt:variant>
      <vt:variant>
        <vt:lpwstr>https://www.itu.int/en/action/youth/Pages/itu-secretary-generals-youth-advisory-board.aspx</vt:lpwstr>
      </vt:variant>
      <vt:variant>
        <vt:lpwstr/>
      </vt:variant>
      <vt:variant>
        <vt:i4>3538988</vt:i4>
      </vt:variant>
      <vt:variant>
        <vt:i4>714</vt:i4>
      </vt:variant>
      <vt:variant>
        <vt:i4>0</vt:i4>
      </vt:variant>
      <vt:variant>
        <vt:i4>5</vt:i4>
      </vt:variant>
      <vt:variant>
        <vt:lpwstr>http://www.itu.int/genderdashboard</vt:lpwstr>
      </vt:variant>
      <vt:variant>
        <vt:lpwstr/>
      </vt:variant>
      <vt:variant>
        <vt:i4>4587594</vt:i4>
      </vt:variant>
      <vt:variant>
        <vt:i4>711</vt:i4>
      </vt:variant>
      <vt:variant>
        <vt:i4>0</vt:i4>
      </vt:variant>
      <vt:variant>
        <vt:i4>5</vt:i4>
      </vt:variant>
      <vt:variant>
        <vt:lpwstr>http://www.itu.int/gender</vt:lpwstr>
      </vt:variant>
      <vt:variant>
        <vt:lpwstr/>
      </vt:variant>
      <vt:variant>
        <vt:i4>6160400</vt:i4>
      </vt:variant>
      <vt:variant>
        <vt:i4>708</vt:i4>
      </vt:variant>
      <vt:variant>
        <vt:i4>0</vt:i4>
      </vt:variant>
      <vt:variant>
        <vt:i4>5</vt:i4>
      </vt:variant>
      <vt:variant>
        <vt:lpwstr>https://www.itu.int/en/ITU-D/Digital-Inclusion/Women-and-Girls/NoW/Pages/default.aspx</vt:lpwstr>
      </vt:variant>
      <vt:variant>
        <vt:lpwstr/>
      </vt:variant>
      <vt:variant>
        <vt:i4>3801123</vt:i4>
      </vt:variant>
      <vt:variant>
        <vt:i4>705</vt:i4>
      </vt:variant>
      <vt:variant>
        <vt:i4>0</vt:i4>
      </vt:variant>
      <vt:variant>
        <vt:i4>5</vt:i4>
      </vt:variant>
      <vt:variant>
        <vt:lpwstr>https://www.itu.int/en/ITU-T/NoW/Pages/default.aspx</vt:lpwstr>
      </vt:variant>
      <vt:variant>
        <vt:lpwstr/>
      </vt:variant>
      <vt:variant>
        <vt:i4>5570636</vt:i4>
      </vt:variant>
      <vt:variant>
        <vt:i4>702</vt:i4>
      </vt:variant>
      <vt:variant>
        <vt:i4>0</vt:i4>
      </vt:variant>
      <vt:variant>
        <vt:i4>5</vt:i4>
      </vt:variant>
      <vt:variant>
        <vt:lpwstr>https://www.itu.int/now4wrc/</vt:lpwstr>
      </vt:variant>
      <vt:variant>
        <vt:lpwstr/>
      </vt:variant>
      <vt:variant>
        <vt:i4>4521986</vt:i4>
      </vt:variant>
      <vt:variant>
        <vt:i4>699</vt:i4>
      </vt:variant>
      <vt:variant>
        <vt:i4>0</vt:i4>
      </vt:variant>
      <vt:variant>
        <vt:i4>5</vt:i4>
      </vt:variant>
      <vt:variant>
        <vt:lpwstr>https://www.itu.int/en/ITU-D/Cybersecurity/Pages/Skills-Development/Her-CyberTracks.aspx</vt:lpwstr>
      </vt:variant>
      <vt:variant>
        <vt:lpwstr/>
      </vt:variant>
      <vt:variant>
        <vt:i4>1572929</vt:i4>
      </vt:variant>
      <vt:variant>
        <vt:i4>696</vt:i4>
      </vt:variant>
      <vt:variant>
        <vt:i4>0</vt:i4>
      </vt:variant>
      <vt:variant>
        <vt:i4>5</vt:i4>
      </vt:variant>
      <vt:variant>
        <vt:lpwstr>https://www.equalsintech.org/her-digital-skills/</vt:lpwstr>
      </vt:variant>
      <vt:variant>
        <vt:lpwstr/>
      </vt:variant>
      <vt:variant>
        <vt:i4>1638431</vt:i4>
      </vt:variant>
      <vt:variant>
        <vt:i4>693</vt:i4>
      </vt:variant>
      <vt:variant>
        <vt:i4>0</vt:i4>
      </vt:variant>
      <vt:variant>
        <vt:i4>5</vt:i4>
      </vt:variant>
      <vt:variant>
        <vt:lpwstr>https://www.itu.int/women-and-girls/women-in-ict/ai-skills-accelerator-for-girls</vt:lpwstr>
      </vt:variant>
      <vt:variant>
        <vt:lpwstr/>
      </vt:variant>
      <vt:variant>
        <vt:i4>4587550</vt:i4>
      </vt:variant>
      <vt:variant>
        <vt:i4>690</vt:i4>
      </vt:variant>
      <vt:variant>
        <vt:i4>0</vt:i4>
      </vt:variant>
      <vt:variant>
        <vt:i4>5</vt:i4>
      </vt:variant>
      <vt:variant>
        <vt:lpwstr>C:\Users\rivera\Downloads\EQUALS</vt:lpwstr>
      </vt:variant>
      <vt:variant>
        <vt:lpwstr/>
      </vt:variant>
      <vt:variant>
        <vt:i4>393292</vt:i4>
      </vt:variant>
      <vt:variant>
        <vt:i4>687</vt:i4>
      </vt:variant>
      <vt:variant>
        <vt:i4>0</vt:i4>
      </vt:variant>
      <vt:variant>
        <vt:i4>5</vt:i4>
      </vt:variant>
      <vt:variant>
        <vt:lpwstr>https://www.itu.int/women-and-girls/girls-in-ict/international-girls-in-ict-day-2025/</vt:lpwstr>
      </vt:variant>
      <vt:variant>
        <vt:lpwstr/>
      </vt:variant>
      <vt:variant>
        <vt:i4>4456465</vt:i4>
      </vt:variant>
      <vt:variant>
        <vt:i4>684</vt:i4>
      </vt:variant>
      <vt:variant>
        <vt:i4>0</vt:i4>
      </vt:variant>
      <vt:variant>
        <vt:i4>5</vt:i4>
      </vt:variant>
      <vt:variant>
        <vt:lpwstr>https://www.itu.int/itu-d/reports/statistics/facts-figures-2024/</vt:lpwstr>
      </vt:variant>
      <vt:variant>
        <vt:lpwstr/>
      </vt:variant>
      <vt:variant>
        <vt:i4>7405628</vt:i4>
      </vt:variant>
      <vt:variant>
        <vt:i4>681</vt:i4>
      </vt:variant>
      <vt:variant>
        <vt:i4>0</vt:i4>
      </vt:variant>
      <vt:variant>
        <vt:i4>5</vt:i4>
      </vt:variant>
      <vt:variant>
        <vt:lpwstr>https://www.itu.int/md/S25-CL-C-0006/en</vt:lpwstr>
      </vt:variant>
      <vt:variant>
        <vt:lpwstr/>
      </vt:variant>
      <vt:variant>
        <vt:i4>7012473</vt:i4>
      </vt:variant>
      <vt:variant>
        <vt:i4>678</vt:i4>
      </vt:variant>
      <vt:variant>
        <vt:i4>0</vt:i4>
      </vt:variant>
      <vt:variant>
        <vt:i4>5</vt:i4>
      </vt:variant>
      <vt:variant>
        <vt:lpwstr>https://www.itu.int/en/ITU-D/Pages/regional-initiatives-2023-2025.aspx</vt:lpwstr>
      </vt:variant>
      <vt:variant>
        <vt:lpwstr/>
      </vt:variant>
      <vt:variant>
        <vt:i4>2490470</vt:i4>
      </vt:variant>
      <vt:variant>
        <vt:i4>675</vt:i4>
      </vt:variant>
      <vt:variant>
        <vt:i4>0</vt:i4>
      </vt:variant>
      <vt:variant>
        <vt:i4>5</vt:i4>
      </vt:variant>
      <vt:variant>
        <vt:lpwstr>https://www.itu.int/itu-d/sites/priorities/enablers-of-itu-d-priorities/regional-presence/</vt:lpwstr>
      </vt:variant>
      <vt:variant>
        <vt:lpwstr/>
      </vt:variant>
      <vt:variant>
        <vt:i4>5111828</vt:i4>
      </vt:variant>
      <vt:variant>
        <vt:i4>672</vt:i4>
      </vt:variant>
      <vt:variant>
        <vt:i4>0</vt:i4>
      </vt:variant>
      <vt:variant>
        <vt:i4>5</vt:i4>
      </vt:variant>
      <vt:variant>
        <vt:lpwstr>https://www.itu.int/wtsa/2024/related-events/</vt:lpwstr>
      </vt:variant>
      <vt:variant>
        <vt:lpwstr/>
      </vt:variant>
      <vt:variant>
        <vt:i4>6619168</vt:i4>
      </vt:variant>
      <vt:variant>
        <vt:i4>669</vt:i4>
      </vt:variant>
      <vt:variant>
        <vt:i4>0</vt:i4>
      </vt:variant>
      <vt:variant>
        <vt:i4>5</vt:i4>
      </vt:variant>
      <vt:variant>
        <vt:lpwstr>https://www.itu.int/en/ITU-T/Workshops-and-Seminars/2024/Pages/default.aspx</vt:lpwstr>
      </vt:variant>
      <vt:variant>
        <vt:lpwstr/>
      </vt:variant>
      <vt:variant>
        <vt:i4>2752575</vt:i4>
      </vt:variant>
      <vt:variant>
        <vt:i4>666</vt:i4>
      </vt:variant>
      <vt:variant>
        <vt:i4>0</vt:i4>
      </vt:variant>
      <vt:variant>
        <vt:i4>5</vt:i4>
      </vt:variant>
      <vt:variant>
        <vt:lpwstr>https://aiforgood.itu.int/</vt:lpwstr>
      </vt:variant>
      <vt:variant>
        <vt:lpwstr/>
      </vt:variant>
      <vt:variant>
        <vt:i4>1900634</vt:i4>
      </vt:variant>
      <vt:variant>
        <vt:i4>663</vt:i4>
      </vt:variant>
      <vt:variant>
        <vt:i4>0</vt:i4>
      </vt:variant>
      <vt:variant>
        <vt:i4>5</vt:i4>
      </vt:variant>
      <vt:variant>
        <vt:lpwstr>https://www.itu.int/en/ITU-R/seminars/ntfa/Pages/default.aspx</vt:lpwstr>
      </vt:variant>
      <vt:variant>
        <vt:lpwstr/>
      </vt:variant>
      <vt:variant>
        <vt:i4>8060988</vt:i4>
      </vt:variant>
      <vt:variant>
        <vt:i4>660</vt:i4>
      </vt:variant>
      <vt:variant>
        <vt:i4>0</vt:i4>
      </vt:variant>
      <vt:variant>
        <vt:i4>5</vt:i4>
      </vt:variant>
      <vt:variant>
        <vt:lpwstr>https://www.itu.int/en/ITU-R/seminars/rrs/rrs-24-asia%26pacific/Pages/default.aspx</vt:lpwstr>
      </vt:variant>
      <vt:variant>
        <vt:lpwstr/>
      </vt:variant>
      <vt:variant>
        <vt:i4>851973</vt:i4>
      </vt:variant>
      <vt:variant>
        <vt:i4>657</vt:i4>
      </vt:variant>
      <vt:variant>
        <vt:i4>0</vt:i4>
      </vt:variant>
      <vt:variant>
        <vt:i4>5</vt:i4>
      </vt:variant>
      <vt:variant>
        <vt:lpwstr>https://www.itu.int/en/ITU-R/seminars/rrs/RRS-24-Americas/Pages/default.aspx</vt:lpwstr>
      </vt:variant>
      <vt:variant>
        <vt:lpwstr/>
      </vt:variant>
      <vt:variant>
        <vt:i4>3014692</vt:i4>
      </vt:variant>
      <vt:variant>
        <vt:i4>654</vt:i4>
      </vt:variant>
      <vt:variant>
        <vt:i4>0</vt:i4>
      </vt:variant>
      <vt:variant>
        <vt:i4>5</vt:i4>
      </vt:variant>
      <vt:variant>
        <vt:lpwstr>https://www.itu.int/en/ITU-R/seminars/rrs/rrs-24-cis/Pages/default.aspx</vt:lpwstr>
      </vt:variant>
      <vt:variant>
        <vt:lpwstr/>
      </vt:variant>
      <vt:variant>
        <vt:i4>2490425</vt:i4>
      </vt:variant>
      <vt:variant>
        <vt:i4>651</vt:i4>
      </vt:variant>
      <vt:variant>
        <vt:i4>0</vt:i4>
      </vt:variant>
      <vt:variant>
        <vt:i4>5</vt:i4>
      </vt:variant>
      <vt:variant>
        <vt:lpwstr>https://www.itu.int/en/ITU-T/academia/kaleidoscope/2024/Pages/default.aspx</vt:lpwstr>
      </vt:variant>
      <vt:variant>
        <vt:lpwstr/>
      </vt:variant>
      <vt:variant>
        <vt:i4>1572951</vt:i4>
      </vt:variant>
      <vt:variant>
        <vt:i4>648</vt:i4>
      </vt:variant>
      <vt:variant>
        <vt:i4>0</vt:i4>
      </vt:variant>
      <vt:variant>
        <vt:i4>5</vt:i4>
      </vt:variant>
      <vt:variant>
        <vt:lpwstr>https://www.itu.int/en/journal/j-fet/webinars/Pages/default.aspx</vt:lpwstr>
      </vt:variant>
      <vt:variant>
        <vt:lpwstr/>
      </vt:variant>
      <vt:variant>
        <vt:i4>917582</vt:i4>
      </vt:variant>
      <vt:variant>
        <vt:i4>645</vt:i4>
      </vt:variant>
      <vt:variant>
        <vt:i4>0</vt:i4>
      </vt:variant>
      <vt:variant>
        <vt:i4>5</vt:i4>
      </vt:variant>
      <vt:variant>
        <vt:lpwstr>https://www.itu.int/en/journal/j-fet/2024/003/Pages/default.aspx</vt:lpwstr>
      </vt:variant>
      <vt:variant>
        <vt:lpwstr/>
      </vt:variant>
      <vt:variant>
        <vt:i4>917577</vt:i4>
      </vt:variant>
      <vt:variant>
        <vt:i4>642</vt:i4>
      </vt:variant>
      <vt:variant>
        <vt:i4>0</vt:i4>
      </vt:variant>
      <vt:variant>
        <vt:i4>5</vt:i4>
      </vt:variant>
      <vt:variant>
        <vt:lpwstr>https://www.itu.int/en/journal/j-fet/2023/003/Pages/default.aspx</vt:lpwstr>
      </vt:variant>
      <vt:variant>
        <vt:lpwstr/>
      </vt:variant>
      <vt:variant>
        <vt:i4>917580</vt:i4>
      </vt:variant>
      <vt:variant>
        <vt:i4>639</vt:i4>
      </vt:variant>
      <vt:variant>
        <vt:i4>0</vt:i4>
      </vt:variant>
      <vt:variant>
        <vt:i4>5</vt:i4>
      </vt:variant>
      <vt:variant>
        <vt:lpwstr>https://www.itu.int/en/journal/j-fet/2024/001/Pages/default.aspx</vt:lpwstr>
      </vt:variant>
      <vt:variant>
        <vt:lpwstr/>
      </vt:variant>
      <vt:variant>
        <vt:i4>917583</vt:i4>
      </vt:variant>
      <vt:variant>
        <vt:i4>636</vt:i4>
      </vt:variant>
      <vt:variant>
        <vt:i4>0</vt:i4>
      </vt:variant>
      <vt:variant>
        <vt:i4>5</vt:i4>
      </vt:variant>
      <vt:variant>
        <vt:lpwstr>https://www.itu.int/en/journal/j-fet/2024/002/Pages/default.aspx</vt:lpwstr>
      </vt:variant>
      <vt:variant>
        <vt:lpwstr/>
      </vt:variant>
      <vt:variant>
        <vt:i4>3014689</vt:i4>
      </vt:variant>
      <vt:variant>
        <vt:i4>633</vt:i4>
      </vt:variant>
      <vt:variant>
        <vt:i4>0</vt:i4>
      </vt:variant>
      <vt:variant>
        <vt:i4>5</vt:i4>
      </vt:variant>
      <vt:variant>
        <vt:lpwstr>https://www.itu.int/en/journal/j-fet/Pages/default.aspx</vt:lpwstr>
      </vt:variant>
      <vt:variant>
        <vt:lpwstr/>
      </vt:variant>
      <vt:variant>
        <vt:i4>1638485</vt:i4>
      </vt:variant>
      <vt:variant>
        <vt:i4>630</vt:i4>
      </vt:variant>
      <vt:variant>
        <vt:i4>0</vt:i4>
      </vt:variant>
      <vt:variant>
        <vt:i4>5</vt:i4>
      </vt:variant>
      <vt:variant>
        <vt:lpwstr>https://www.itu.int/en/ITU-T/academia/kaleidoscope/Pages/default.aspx</vt:lpwstr>
      </vt:variant>
      <vt:variant>
        <vt:lpwstr/>
      </vt:variant>
      <vt:variant>
        <vt:i4>3014689</vt:i4>
      </vt:variant>
      <vt:variant>
        <vt:i4>627</vt:i4>
      </vt:variant>
      <vt:variant>
        <vt:i4>0</vt:i4>
      </vt:variant>
      <vt:variant>
        <vt:i4>5</vt:i4>
      </vt:variant>
      <vt:variant>
        <vt:lpwstr>https://www.itu.int/en/journal/j-fet/Pages/default.aspx</vt:lpwstr>
      </vt:variant>
      <vt:variant>
        <vt:lpwstr/>
      </vt:variant>
      <vt:variant>
        <vt:i4>6553652</vt:i4>
      </vt:variant>
      <vt:variant>
        <vt:i4>624</vt:i4>
      </vt:variant>
      <vt:variant>
        <vt:i4>0</vt:i4>
      </vt:variant>
      <vt:variant>
        <vt:i4>5</vt:i4>
      </vt:variant>
      <vt:variant>
        <vt:lpwstr>https://www.itu.int/hub/membership/</vt:lpwstr>
      </vt:variant>
      <vt:variant>
        <vt:lpwstr/>
      </vt:variant>
      <vt:variant>
        <vt:i4>720906</vt:i4>
      </vt:variant>
      <vt:variant>
        <vt:i4>621</vt:i4>
      </vt:variant>
      <vt:variant>
        <vt:i4>0</vt:i4>
      </vt:variant>
      <vt:variant>
        <vt:i4>5</vt:i4>
      </vt:variant>
      <vt:variant>
        <vt:lpwstr>http://www.itu.int/gsr24</vt:lpwstr>
      </vt:variant>
      <vt:variant>
        <vt:lpwstr/>
      </vt:variant>
      <vt:variant>
        <vt:i4>6946939</vt:i4>
      </vt:variant>
      <vt:variant>
        <vt:i4>618</vt:i4>
      </vt:variant>
      <vt:variant>
        <vt:i4>0</vt:i4>
      </vt:variant>
      <vt:variant>
        <vt:i4>5</vt:i4>
      </vt:variant>
      <vt:variant>
        <vt:lpwstr>https://gss.itu.int/gss24-conclusions/</vt:lpwstr>
      </vt:variant>
      <vt:variant>
        <vt:lpwstr/>
      </vt:variant>
      <vt:variant>
        <vt:i4>5701717</vt:i4>
      </vt:variant>
      <vt:variant>
        <vt:i4>615</vt:i4>
      </vt:variant>
      <vt:variant>
        <vt:i4>0</vt:i4>
      </vt:variant>
      <vt:variant>
        <vt:i4>5</vt:i4>
      </vt:variant>
      <vt:variant>
        <vt:lpwstr>https://gss.itu.int/</vt:lpwstr>
      </vt:variant>
      <vt:variant>
        <vt:lpwstr/>
      </vt:variant>
      <vt:variant>
        <vt:i4>5308446</vt:i4>
      </vt:variant>
      <vt:variant>
        <vt:i4>612</vt:i4>
      </vt:variant>
      <vt:variant>
        <vt:i4>0</vt:i4>
      </vt:variant>
      <vt:variant>
        <vt:i4>5</vt:i4>
      </vt:variant>
      <vt:variant>
        <vt:lpwstr>https://aiforgood.itu.int/event/ai-for-good-impact-india/</vt:lpwstr>
      </vt:variant>
      <vt:variant>
        <vt:lpwstr/>
      </vt:variant>
      <vt:variant>
        <vt:i4>3080299</vt:i4>
      </vt:variant>
      <vt:variant>
        <vt:i4>609</vt:i4>
      </vt:variant>
      <vt:variant>
        <vt:i4>0</vt:i4>
      </vt:variant>
      <vt:variant>
        <vt:i4>5</vt:i4>
      </vt:variant>
      <vt:variant>
        <vt:lpwstr>https://aiforgood.itu.int/ai-skills-coalition/</vt:lpwstr>
      </vt:variant>
      <vt:variant>
        <vt:lpwstr/>
      </vt:variant>
      <vt:variant>
        <vt:i4>2752575</vt:i4>
      </vt:variant>
      <vt:variant>
        <vt:i4>606</vt:i4>
      </vt:variant>
      <vt:variant>
        <vt:i4>0</vt:i4>
      </vt:variant>
      <vt:variant>
        <vt:i4>5</vt:i4>
      </vt:variant>
      <vt:variant>
        <vt:lpwstr>https://aiforgood.itu.int/</vt:lpwstr>
      </vt:variant>
      <vt:variant>
        <vt:lpwstr/>
      </vt:variant>
      <vt:variant>
        <vt:i4>65551</vt:i4>
      </vt:variant>
      <vt:variant>
        <vt:i4>600</vt:i4>
      </vt:variant>
      <vt:variant>
        <vt:i4>0</vt:i4>
      </vt:variant>
      <vt:variant>
        <vt:i4>5</vt:i4>
      </vt:variant>
      <vt:variant>
        <vt:lpwstr>https://www.itu.int/net4/wsis/stocktaking/Prizes/2024</vt:lpwstr>
      </vt:variant>
      <vt:variant>
        <vt:lpwstr/>
      </vt:variant>
      <vt:variant>
        <vt:i4>2097191</vt:i4>
      </vt:variant>
      <vt:variant>
        <vt:i4>597</vt:i4>
      </vt:variant>
      <vt:variant>
        <vt:i4>0</vt:i4>
      </vt:variant>
      <vt:variant>
        <vt:i4>5</vt:i4>
      </vt:variant>
      <vt:variant>
        <vt:lpwstr>http://www.wsis.org/stocktaking</vt:lpwstr>
      </vt:variant>
      <vt:variant>
        <vt:lpwstr/>
      </vt:variant>
      <vt:variant>
        <vt:i4>4325387</vt:i4>
      </vt:variant>
      <vt:variant>
        <vt:i4>594</vt:i4>
      </vt:variant>
      <vt:variant>
        <vt:i4>0</vt:i4>
      </vt:variant>
      <vt:variant>
        <vt:i4>5</vt:i4>
      </vt:variant>
      <vt:variant>
        <vt:lpwstr>http://www.ungis.org/</vt:lpwstr>
      </vt:variant>
      <vt:variant>
        <vt:lpwstr/>
      </vt:variant>
      <vt:variant>
        <vt:i4>7798880</vt:i4>
      </vt:variant>
      <vt:variant>
        <vt:i4>591</vt:i4>
      </vt:variant>
      <vt:variant>
        <vt:i4>0</vt:i4>
      </vt:variant>
      <vt:variant>
        <vt:i4>5</vt:i4>
      </vt:variant>
      <vt:variant>
        <vt:lpwstr>https://www.itu.int/en/council/cwg-wsis/Pages/default.aspx</vt:lpwstr>
      </vt:variant>
      <vt:variant>
        <vt:lpwstr/>
      </vt:variant>
      <vt:variant>
        <vt:i4>3997753</vt:i4>
      </vt:variant>
      <vt:variant>
        <vt:i4>588</vt:i4>
      </vt:variant>
      <vt:variant>
        <vt:i4>0</vt:i4>
      </vt:variant>
      <vt:variant>
        <vt:i4>5</vt:i4>
      </vt:variant>
      <vt:variant>
        <vt:lpwstr>http://www.wsis.org/review</vt:lpwstr>
      </vt:variant>
      <vt:variant>
        <vt:lpwstr/>
      </vt:variant>
      <vt:variant>
        <vt:i4>5701726</vt:i4>
      </vt:variant>
      <vt:variant>
        <vt:i4>585</vt:i4>
      </vt:variant>
      <vt:variant>
        <vt:i4>0</vt:i4>
      </vt:variant>
      <vt:variant>
        <vt:i4>5</vt:i4>
      </vt:variant>
      <vt:variant>
        <vt:lpwstr>https://www.itu.int/net4/wsis/forum/2024/Home/About</vt:lpwstr>
      </vt:variant>
      <vt:variant>
        <vt:lpwstr>actionLines</vt:lpwstr>
      </vt:variant>
      <vt:variant>
        <vt:i4>5439488</vt:i4>
      </vt:variant>
      <vt:variant>
        <vt:i4>582</vt:i4>
      </vt:variant>
      <vt:variant>
        <vt:i4>0</vt:i4>
      </vt:variant>
      <vt:variant>
        <vt:i4>5</vt:i4>
      </vt:variant>
      <vt:variant>
        <vt:lpwstr>https://www.itu.int/en/ITU-D/Projects/Pages/reports/default.aspx</vt:lpwstr>
      </vt:variant>
      <vt:variant>
        <vt:lpwstr/>
      </vt:variant>
      <vt:variant>
        <vt:i4>2883688</vt:i4>
      </vt:variant>
      <vt:variant>
        <vt:i4>579</vt:i4>
      </vt:variant>
      <vt:variant>
        <vt:i4>0</vt:i4>
      </vt:variant>
      <vt:variant>
        <vt:i4>5</vt:i4>
      </vt:variant>
      <vt:variant>
        <vt:lpwstr>https://www.itu.int/itu-d/sites/projects/home/projects/</vt:lpwstr>
      </vt:variant>
      <vt:variant>
        <vt:lpwstr/>
      </vt:variant>
      <vt:variant>
        <vt:i4>3080299</vt:i4>
      </vt:variant>
      <vt:variant>
        <vt:i4>576</vt:i4>
      </vt:variant>
      <vt:variant>
        <vt:i4>0</vt:i4>
      </vt:variant>
      <vt:variant>
        <vt:i4>5</vt:i4>
      </vt:variant>
      <vt:variant>
        <vt:lpwstr>https://aiforgood.itu.int/ai-skills-coalition/</vt:lpwstr>
      </vt:variant>
      <vt:variant>
        <vt:lpwstr/>
      </vt:variant>
      <vt:variant>
        <vt:i4>6684781</vt:i4>
      </vt:variant>
      <vt:variant>
        <vt:i4>573</vt:i4>
      </vt:variant>
      <vt:variant>
        <vt:i4>0</vt:i4>
      </vt:variant>
      <vt:variant>
        <vt:i4>5</vt:i4>
      </vt:variant>
      <vt:variant>
        <vt:lpwstr>https://www.itu.int/en/ITU-T/info/Pages/resources.aspx</vt:lpwstr>
      </vt:variant>
      <vt:variant>
        <vt:lpwstr/>
      </vt:variant>
      <vt:variant>
        <vt:i4>6946867</vt:i4>
      </vt:variant>
      <vt:variant>
        <vt:i4>570</vt:i4>
      </vt:variant>
      <vt:variant>
        <vt:i4>0</vt:i4>
      </vt:variant>
      <vt:variant>
        <vt:i4>5</vt:i4>
      </vt:variant>
      <vt:variant>
        <vt:lpwstr>https://academy.itu.int/itu-d/projects-activities/itu-academy-training-centres</vt:lpwstr>
      </vt:variant>
      <vt:variant>
        <vt:lpwstr/>
      </vt:variant>
      <vt:variant>
        <vt:i4>2359358</vt:i4>
      </vt:variant>
      <vt:variant>
        <vt:i4>567</vt:i4>
      </vt:variant>
      <vt:variant>
        <vt:i4>0</vt:i4>
      </vt:variant>
      <vt:variant>
        <vt:i4>5</vt:i4>
      </vt:variant>
      <vt:variant>
        <vt:lpwstr>https://www.itu.int/en/ITU-D/Statistics/Pages/intlcoop/partnership/default.aspx</vt:lpwstr>
      </vt:variant>
      <vt:variant>
        <vt:lpwstr/>
      </vt:variant>
      <vt:variant>
        <vt:i4>2752547</vt:i4>
      </vt:variant>
      <vt:variant>
        <vt:i4>564</vt:i4>
      </vt:variant>
      <vt:variant>
        <vt:i4>0</vt:i4>
      </vt:variant>
      <vt:variant>
        <vt:i4>5</vt:i4>
      </vt:variant>
      <vt:variant>
        <vt:lpwstr>https://www.itu.int/itu-d/meetings/wtis24/</vt:lpwstr>
      </vt:variant>
      <vt:variant>
        <vt:lpwstr/>
      </vt:variant>
      <vt:variant>
        <vt:i4>7012398</vt:i4>
      </vt:variant>
      <vt:variant>
        <vt:i4>561</vt:i4>
      </vt:variant>
      <vt:variant>
        <vt:i4>0</vt:i4>
      </vt:variant>
      <vt:variant>
        <vt:i4>5</vt:i4>
      </vt:variant>
      <vt:variant>
        <vt:lpwstr>https://www.itu.int/itu-d/sites/projectumc/</vt:lpwstr>
      </vt:variant>
      <vt:variant>
        <vt:lpwstr/>
      </vt:variant>
      <vt:variant>
        <vt:i4>2228347</vt:i4>
      </vt:variant>
      <vt:variant>
        <vt:i4>558</vt:i4>
      </vt:variant>
      <vt:variant>
        <vt:i4>0</vt:i4>
      </vt:variant>
      <vt:variant>
        <vt:i4>5</vt:i4>
      </vt:variant>
      <vt:variant>
        <vt:lpwstr>https://www.itu.int/en/ITU-D/Statistics/Pages/intlcoop/default.aspx</vt:lpwstr>
      </vt:variant>
      <vt:variant>
        <vt:lpwstr/>
      </vt:variant>
      <vt:variant>
        <vt:i4>3801204</vt:i4>
      </vt:variant>
      <vt:variant>
        <vt:i4>555</vt:i4>
      </vt:variant>
      <vt:variant>
        <vt:i4>0</vt:i4>
      </vt:variant>
      <vt:variant>
        <vt:i4>5</vt:i4>
      </vt:variant>
      <vt:variant>
        <vt:lpwstr>https://www.itu.int/en/ITU-D/Statistics/Pages/capacitydev/default.aspx</vt:lpwstr>
      </vt:variant>
      <vt:variant>
        <vt:lpwstr/>
      </vt:variant>
      <vt:variant>
        <vt:i4>2949239</vt:i4>
      </vt:variant>
      <vt:variant>
        <vt:i4>552</vt:i4>
      </vt:variant>
      <vt:variant>
        <vt:i4>0</vt:i4>
      </vt:variant>
      <vt:variant>
        <vt:i4>5</vt:i4>
      </vt:variant>
      <vt:variant>
        <vt:lpwstr>https://www.itu.int/en/ITU-D/Statistics/Pages/publications/default.aspx</vt:lpwstr>
      </vt:variant>
      <vt:variant>
        <vt:lpwstr/>
      </vt:variant>
      <vt:variant>
        <vt:i4>3473453</vt:i4>
      </vt:variant>
      <vt:variant>
        <vt:i4>549</vt:i4>
      </vt:variant>
      <vt:variant>
        <vt:i4>0</vt:i4>
      </vt:variant>
      <vt:variant>
        <vt:i4>5</vt:i4>
      </vt:variant>
      <vt:variant>
        <vt:lpwstr>https://unstats.un.org/bigdata/task-teams/mobile-phone/index.cshtml</vt:lpwstr>
      </vt:variant>
      <vt:variant>
        <vt:lpwstr/>
      </vt:variant>
      <vt:variant>
        <vt:i4>3539047</vt:i4>
      </vt:variant>
      <vt:variant>
        <vt:i4>546</vt:i4>
      </vt:variant>
      <vt:variant>
        <vt:i4>0</vt:i4>
      </vt:variant>
      <vt:variant>
        <vt:i4>5</vt:i4>
      </vt:variant>
      <vt:variant>
        <vt:lpwstr>https://www.itu.int/en/ITU-D/Statistics/Pages/bigdata/default.aspx</vt:lpwstr>
      </vt:variant>
      <vt:variant>
        <vt:lpwstr/>
      </vt:variant>
      <vt:variant>
        <vt:i4>5308507</vt:i4>
      </vt:variant>
      <vt:variant>
        <vt:i4>543</vt:i4>
      </vt:variant>
      <vt:variant>
        <vt:i4>0</vt:i4>
      </vt:variant>
      <vt:variant>
        <vt:i4>5</vt:i4>
      </vt:variant>
      <vt:variant>
        <vt:lpwstr>https://datahub.itu.int/</vt:lpwstr>
      </vt:variant>
      <vt:variant>
        <vt:lpwstr/>
      </vt:variant>
      <vt:variant>
        <vt:i4>2949222</vt:i4>
      </vt:variant>
      <vt:variant>
        <vt:i4>540</vt:i4>
      </vt:variant>
      <vt:variant>
        <vt:i4>0</vt:i4>
      </vt:variant>
      <vt:variant>
        <vt:i4>5</vt:i4>
      </vt:variant>
      <vt:variant>
        <vt:lpwstr>https://www.itu.int/en/ITU-D/Statistics/Pages/definitions/default.aspx</vt:lpwstr>
      </vt:variant>
      <vt:variant>
        <vt:lpwstr/>
      </vt:variant>
      <vt:variant>
        <vt:i4>7274529</vt:i4>
      </vt:variant>
      <vt:variant>
        <vt:i4>537</vt:i4>
      </vt:variant>
      <vt:variant>
        <vt:i4>0</vt:i4>
      </vt:variant>
      <vt:variant>
        <vt:i4>5</vt:i4>
      </vt:variant>
      <vt:variant>
        <vt:lpwstr>https://www.itu.int/itu-d/sites/statistics/</vt:lpwstr>
      </vt:variant>
      <vt:variant>
        <vt:lpwstr/>
      </vt:variant>
      <vt:variant>
        <vt:i4>5898260</vt:i4>
      </vt:variant>
      <vt:variant>
        <vt:i4>534</vt:i4>
      </vt:variant>
      <vt:variant>
        <vt:i4>0</vt:i4>
      </vt:variant>
      <vt:variant>
        <vt:i4>5</vt:i4>
      </vt:variant>
      <vt:variant>
        <vt:lpwstr>https://www.itu.int/en/ITU-D/Statistics/Pages/facts/default.aspx</vt:lpwstr>
      </vt:variant>
      <vt:variant>
        <vt:lpwstr/>
      </vt:variant>
      <vt:variant>
        <vt:i4>2687087</vt:i4>
      </vt:variant>
      <vt:variant>
        <vt:i4>531</vt:i4>
      </vt:variant>
      <vt:variant>
        <vt:i4>0</vt:i4>
      </vt:variant>
      <vt:variant>
        <vt:i4>5</vt:i4>
      </vt:variant>
      <vt:variant>
        <vt:lpwstr>https://www.itu.int/itu-d/meetings/statistics/umc2030/</vt:lpwstr>
      </vt:variant>
      <vt:variant>
        <vt:lpwstr/>
      </vt:variant>
      <vt:variant>
        <vt:i4>7274529</vt:i4>
      </vt:variant>
      <vt:variant>
        <vt:i4>528</vt:i4>
      </vt:variant>
      <vt:variant>
        <vt:i4>0</vt:i4>
      </vt:variant>
      <vt:variant>
        <vt:i4>5</vt:i4>
      </vt:variant>
      <vt:variant>
        <vt:lpwstr>https://www.itu.int/itu-d/sites/statistics/</vt:lpwstr>
      </vt:variant>
      <vt:variant>
        <vt:lpwstr/>
      </vt:variant>
      <vt:variant>
        <vt:i4>3211315</vt:i4>
      </vt:variant>
      <vt:variant>
        <vt:i4>525</vt:i4>
      </vt:variant>
      <vt:variant>
        <vt:i4>0</vt:i4>
      </vt:variant>
      <vt:variant>
        <vt:i4>5</vt:i4>
      </vt:variant>
      <vt:variant>
        <vt:lpwstr>https://www.itu.int/net/epub/TSB/2024-UN-Executive-Briefing-on-unlocking-potential/index.html</vt:lpwstr>
      </vt:variant>
      <vt:variant>
        <vt:lpwstr>p=1</vt:lpwstr>
      </vt:variant>
      <vt:variant>
        <vt:i4>4194377</vt:i4>
      </vt:variant>
      <vt:variant>
        <vt:i4>522</vt:i4>
      </vt:variant>
      <vt:variant>
        <vt:i4>0</vt:i4>
      </vt:variant>
      <vt:variant>
        <vt:i4>5</vt:i4>
      </vt:variant>
      <vt:variant>
        <vt:lpwstr>https://www.itu.int/metaverse/virtual-worlds/1st-un-citiverse-challenge/</vt:lpwstr>
      </vt:variant>
      <vt:variant>
        <vt:lpwstr/>
      </vt:variant>
      <vt:variant>
        <vt:i4>8257584</vt:i4>
      </vt:variant>
      <vt:variant>
        <vt:i4>519</vt:i4>
      </vt:variant>
      <vt:variant>
        <vt:i4>0</vt:i4>
      </vt:variant>
      <vt:variant>
        <vt:i4>5</vt:i4>
      </vt:variant>
      <vt:variant>
        <vt:lpwstr>https://www.itu.int/metaverse/un-virtual-worlds-day/thinkathon/</vt:lpwstr>
      </vt:variant>
      <vt:variant>
        <vt:lpwstr/>
      </vt:variant>
      <vt:variant>
        <vt:i4>3670132</vt:i4>
      </vt:variant>
      <vt:variant>
        <vt:i4>516</vt:i4>
      </vt:variant>
      <vt:variant>
        <vt:i4>0</vt:i4>
      </vt:variant>
      <vt:variant>
        <vt:i4>5</vt:i4>
      </vt:variant>
      <vt:variant>
        <vt:lpwstr>https://www.itu.int/en/ITU-T/focusgroups/mv/Pages/deliverables.aspx</vt:lpwstr>
      </vt:variant>
      <vt:variant>
        <vt:lpwstr/>
      </vt:variant>
      <vt:variant>
        <vt:i4>7536688</vt:i4>
      </vt:variant>
      <vt:variant>
        <vt:i4>513</vt:i4>
      </vt:variant>
      <vt:variant>
        <vt:i4>0</vt:i4>
      </vt:variant>
      <vt:variant>
        <vt:i4>5</vt:i4>
      </vt:variant>
      <vt:variant>
        <vt:lpwstr>https://www.itu.int/en/ITU-T/focusgroups/mv/Pages/default.aspx</vt:lpwstr>
      </vt:variant>
      <vt:variant>
        <vt:lpwstr/>
      </vt:variant>
      <vt:variant>
        <vt:i4>720969</vt:i4>
      </vt:variant>
      <vt:variant>
        <vt:i4>510</vt:i4>
      </vt:variant>
      <vt:variant>
        <vt:i4>0</vt:i4>
      </vt:variant>
      <vt:variant>
        <vt:i4>5</vt:i4>
      </vt:variant>
      <vt:variant>
        <vt:lpwstr>https://www.unicc.org/quantum-for-good-nov-2024/</vt:lpwstr>
      </vt:variant>
      <vt:variant>
        <vt:lpwstr/>
      </vt:variant>
      <vt:variant>
        <vt:i4>917534</vt:i4>
      </vt:variant>
      <vt:variant>
        <vt:i4>507</vt:i4>
      </vt:variant>
      <vt:variant>
        <vt:i4>0</vt:i4>
      </vt:variant>
      <vt:variant>
        <vt:i4>5</vt:i4>
      </vt:variant>
      <vt:variant>
        <vt:lpwstr>https://www.unicc.org/event-quantum-for-good-sep2024/</vt:lpwstr>
      </vt:variant>
      <vt:variant>
        <vt:lpwstr/>
      </vt:variant>
      <vt:variant>
        <vt:i4>2424874</vt:i4>
      </vt:variant>
      <vt:variant>
        <vt:i4>504</vt:i4>
      </vt:variant>
      <vt:variant>
        <vt:i4>0</vt:i4>
      </vt:variant>
      <vt:variant>
        <vt:i4>5</vt:i4>
      </vt:variant>
      <vt:variant>
        <vt:lpwstr>https://docs.un.org/en/A/RES/78/287</vt:lpwstr>
      </vt:variant>
      <vt:variant>
        <vt:lpwstr/>
      </vt:variant>
      <vt:variant>
        <vt:i4>2883679</vt:i4>
      </vt:variant>
      <vt:variant>
        <vt:i4>501</vt:i4>
      </vt:variant>
      <vt:variant>
        <vt:i4>0</vt:i4>
      </vt:variant>
      <vt:variant>
        <vt:i4>5</vt:i4>
      </vt:variant>
      <vt:variant>
        <vt:lpwstr>https://www.itu.int/itu-t/landscape/?topic=tx467&amp;group=g&amp;search_text=</vt:lpwstr>
      </vt:variant>
      <vt:variant>
        <vt:lpwstr/>
      </vt:variant>
      <vt:variant>
        <vt:i4>5963850</vt:i4>
      </vt:variant>
      <vt:variant>
        <vt:i4>498</vt:i4>
      </vt:variant>
      <vt:variant>
        <vt:i4>0</vt:i4>
      </vt:variant>
      <vt:variant>
        <vt:i4>5</vt:i4>
      </vt:variant>
      <vt:variant>
        <vt:lpwstr>https://www.itu.int/en/ITU-T/Workshops-and-Seminars/2024/0517/Pages/default.aspx</vt:lpwstr>
      </vt:variant>
      <vt:variant>
        <vt:lpwstr/>
      </vt:variant>
      <vt:variant>
        <vt:i4>131138</vt:i4>
      </vt:variant>
      <vt:variant>
        <vt:i4>495</vt:i4>
      </vt:variant>
      <vt:variant>
        <vt:i4>0</vt:i4>
      </vt:variant>
      <vt:variant>
        <vt:i4>5</vt:i4>
      </vt:variant>
      <vt:variant>
        <vt:lpwstr>https://www.itu.int/en/ITU-T/jca/qkdn/Pages/default.aspx</vt:lpwstr>
      </vt:variant>
      <vt:variant>
        <vt:lpwstr/>
      </vt:variant>
      <vt:variant>
        <vt:i4>196689</vt:i4>
      </vt:variant>
      <vt:variant>
        <vt:i4>492</vt:i4>
      </vt:variant>
      <vt:variant>
        <vt:i4>0</vt:i4>
      </vt:variant>
      <vt:variant>
        <vt:i4>5</vt:i4>
      </vt:variant>
      <vt:variant>
        <vt:lpwstr>https://www.itu.int/en/ITU-T/studygroups/2025-2028/17/Pages/default.aspx</vt:lpwstr>
      </vt:variant>
      <vt:variant>
        <vt:lpwstr/>
      </vt:variant>
      <vt:variant>
        <vt:i4>196691</vt:i4>
      </vt:variant>
      <vt:variant>
        <vt:i4>489</vt:i4>
      </vt:variant>
      <vt:variant>
        <vt:i4>0</vt:i4>
      </vt:variant>
      <vt:variant>
        <vt:i4>5</vt:i4>
      </vt:variant>
      <vt:variant>
        <vt:lpwstr>https://www.itu.int/en/ITU-T/studygroups/2025-2028/15/Pages/default.aspx</vt:lpwstr>
      </vt:variant>
      <vt:variant>
        <vt:lpwstr/>
      </vt:variant>
      <vt:variant>
        <vt:i4>196693</vt:i4>
      </vt:variant>
      <vt:variant>
        <vt:i4>486</vt:i4>
      </vt:variant>
      <vt:variant>
        <vt:i4>0</vt:i4>
      </vt:variant>
      <vt:variant>
        <vt:i4>5</vt:i4>
      </vt:variant>
      <vt:variant>
        <vt:lpwstr>https://www.itu.int/en/ITU-T/studygroups/2025-2028/13/Pages/default.aspx</vt:lpwstr>
      </vt:variant>
      <vt:variant>
        <vt:lpwstr/>
      </vt:variant>
      <vt:variant>
        <vt:i4>196695</vt:i4>
      </vt:variant>
      <vt:variant>
        <vt:i4>483</vt:i4>
      </vt:variant>
      <vt:variant>
        <vt:i4>0</vt:i4>
      </vt:variant>
      <vt:variant>
        <vt:i4>5</vt:i4>
      </vt:variant>
      <vt:variant>
        <vt:lpwstr>https://www.itu.int/en/ITU-T/studygroups/2025-2028/11/Pages/default.aspx</vt:lpwstr>
      </vt:variant>
      <vt:variant>
        <vt:lpwstr/>
      </vt:variant>
      <vt:variant>
        <vt:i4>1703961</vt:i4>
      </vt:variant>
      <vt:variant>
        <vt:i4>480</vt:i4>
      </vt:variant>
      <vt:variant>
        <vt:i4>0</vt:i4>
      </vt:variant>
      <vt:variant>
        <vt:i4>5</vt:i4>
      </vt:variant>
      <vt:variant>
        <vt:lpwstr>https://unsceb.org/sites/default/files/2024-04/United Nations System White Paper on AI Governance.pdf</vt:lpwstr>
      </vt:variant>
      <vt:variant>
        <vt:lpwstr/>
      </vt:variant>
      <vt:variant>
        <vt:i4>2293880</vt:i4>
      </vt:variant>
      <vt:variant>
        <vt:i4>477</vt:i4>
      </vt:variant>
      <vt:variant>
        <vt:i4>0</vt:i4>
      </vt:variant>
      <vt:variant>
        <vt:i4>5</vt:i4>
      </vt:variant>
      <vt:variant>
        <vt:lpwstr>https://aiforgood.itu.int/about-ai-for-good/un-ai-actions/</vt:lpwstr>
      </vt:variant>
      <vt:variant>
        <vt:lpwstr/>
      </vt:variant>
      <vt:variant>
        <vt:i4>3014748</vt:i4>
      </vt:variant>
      <vt:variant>
        <vt:i4>474</vt:i4>
      </vt:variant>
      <vt:variant>
        <vt:i4>0</vt:i4>
      </vt:variant>
      <vt:variant>
        <vt:i4>5</vt:i4>
      </vt:variant>
      <vt:variant>
        <vt:lpwstr>https://s41721.pcdn.co/wp-content/uploads/2021/06/2401225_AI_Governance_Day_2024_Report-E.pdf</vt:lpwstr>
      </vt:variant>
      <vt:variant>
        <vt:lpwstr/>
      </vt:variant>
      <vt:variant>
        <vt:i4>1441813</vt:i4>
      </vt:variant>
      <vt:variant>
        <vt:i4>471</vt:i4>
      </vt:variant>
      <vt:variant>
        <vt:i4>0</vt:i4>
      </vt:variant>
      <vt:variant>
        <vt:i4>5</vt:i4>
      </vt:variant>
      <vt:variant>
        <vt:lpwstr>https://www.itu.int/en/ITU-T/extcoop/ai4resilience/Pages/default.aspx</vt:lpwstr>
      </vt:variant>
      <vt:variant>
        <vt:lpwstr/>
      </vt:variant>
      <vt:variant>
        <vt:i4>1114177</vt:i4>
      </vt:variant>
      <vt:variant>
        <vt:i4>468</vt:i4>
      </vt:variant>
      <vt:variant>
        <vt:i4>0</vt:i4>
      </vt:variant>
      <vt:variant>
        <vt:i4>5</vt:i4>
      </vt:variant>
      <vt:variant>
        <vt:lpwstr>https://www.itu.int/en/ITU-T/focusgroups/ainn/Pages/default.aspx</vt:lpwstr>
      </vt:variant>
      <vt:variant>
        <vt:lpwstr/>
      </vt:variant>
      <vt:variant>
        <vt:i4>7274511</vt:i4>
      </vt:variant>
      <vt:variant>
        <vt:i4>465</vt:i4>
      </vt:variant>
      <vt:variant>
        <vt:i4>0</vt:i4>
      </vt:variant>
      <vt:variant>
        <vt:i4>5</vt:i4>
      </vt:variant>
      <vt:variant>
        <vt:lpwstr>https://www.itu.int/dms_pub/itu-t/opb/res/T-RES-T.101-2024-PDF-E.pdf</vt:lpwstr>
      </vt:variant>
      <vt:variant>
        <vt:lpwstr/>
      </vt:variant>
      <vt:variant>
        <vt:i4>3080299</vt:i4>
      </vt:variant>
      <vt:variant>
        <vt:i4>462</vt:i4>
      </vt:variant>
      <vt:variant>
        <vt:i4>0</vt:i4>
      </vt:variant>
      <vt:variant>
        <vt:i4>5</vt:i4>
      </vt:variant>
      <vt:variant>
        <vt:lpwstr>https://aiforgood.itu.int/ai-skills-coalition/</vt:lpwstr>
      </vt:variant>
      <vt:variant>
        <vt:lpwstr/>
      </vt:variant>
      <vt:variant>
        <vt:i4>2752575</vt:i4>
      </vt:variant>
      <vt:variant>
        <vt:i4>459</vt:i4>
      </vt:variant>
      <vt:variant>
        <vt:i4>0</vt:i4>
      </vt:variant>
      <vt:variant>
        <vt:i4>5</vt:i4>
      </vt:variant>
      <vt:variant>
        <vt:lpwstr>https://aiforgood.itu.int/</vt:lpwstr>
      </vt:variant>
      <vt:variant>
        <vt:lpwstr/>
      </vt:variant>
      <vt:variant>
        <vt:i4>7798847</vt:i4>
      </vt:variant>
      <vt:variant>
        <vt:i4>456</vt:i4>
      </vt:variant>
      <vt:variant>
        <vt:i4>0</vt:i4>
      </vt:variant>
      <vt:variant>
        <vt:i4>5</vt:i4>
      </vt:variant>
      <vt:variant>
        <vt:lpwstr>https://www.itu.int/en/action/ai/Pages/default.aspx</vt:lpwstr>
      </vt:variant>
      <vt:variant>
        <vt:lpwstr/>
      </vt:variant>
      <vt:variant>
        <vt:i4>2818154</vt:i4>
      </vt:variant>
      <vt:variant>
        <vt:i4>452</vt:i4>
      </vt:variant>
      <vt:variant>
        <vt:i4>0</vt:i4>
      </vt:variant>
      <vt:variant>
        <vt:i4>5</vt:i4>
      </vt:variant>
      <vt:variant>
        <vt:lpwstr>https://www.itu.int/en/action/cybersecurity/Pages/default.aspx</vt:lpwstr>
      </vt:variant>
      <vt:variant>
        <vt:lpwstr/>
      </vt:variant>
      <vt:variant>
        <vt:i4>2818154</vt:i4>
      </vt:variant>
      <vt:variant>
        <vt:i4>450</vt:i4>
      </vt:variant>
      <vt:variant>
        <vt:i4>0</vt:i4>
      </vt:variant>
      <vt:variant>
        <vt:i4>5</vt:i4>
      </vt:variant>
      <vt:variant>
        <vt:lpwstr>https://www.itu.int/en/action/cybersecurity/Pages/default.aspx</vt:lpwstr>
      </vt:variant>
      <vt:variant>
        <vt:lpwstr/>
      </vt:variant>
      <vt:variant>
        <vt:i4>8323133</vt:i4>
      </vt:variant>
      <vt:variant>
        <vt:i4>447</vt:i4>
      </vt:variant>
      <vt:variant>
        <vt:i4>0</vt:i4>
      </vt:variant>
      <vt:variant>
        <vt:i4>5</vt:i4>
      </vt:variant>
      <vt:variant>
        <vt:lpwstr>https://www.itu.int/md/S25-CL-C-0018/en</vt:lpwstr>
      </vt:variant>
      <vt:variant>
        <vt:lpwstr/>
      </vt:variant>
      <vt:variant>
        <vt:i4>7667833</vt:i4>
      </vt:variant>
      <vt:variant>
        <vt:i4>444</vt:i4>
      </vt:variant>
      <vt:variant>
        <vt:i4>0</vt:i4>
      </vt:variant>
      <vt:variant>
        <vt:i4>5</vt:i4>
      </vt:variant>
      <vt:variant>
        <vt:lpwstr>https://www.itu.int/pub/T-RES-T.67-2024</vt:lpwstr>
      </vt:variant>
      <vt:variant>
        <vt:lpwstr/>
      </vt:variant>
      <vt:variant>
        <vt:i4>7340156</vt:i4>
      </vt:variant>
      <vt:variant>
        <vt:i4>441</vt:i4>
      </vt:variant>
      <vt:variant>
        <vt:i4>0</vt:i4>
      </vt:variant>
      <vt:variant>
        <vt:i4>5</vt:i4>
      </vt:variant>
      <vt:variant>
        <vt:lpwstr>https://www.itu.int/pub/T-RES-T.32-2024</vt:lpwstr>
      </vt:variant>
      <vt:variant>
        <vt:lpwstr/>
      </vt:variant>
      <vt:variant>
        <vt:i4>1507358</vt:i4>
      </vt:variant>
      <vt:variant>
        <vt:i4>438</vt:i4>
      </vt:variant>
      <vt:variant>
        <vt:i4>0</vt:i4>
      </vt:variant>
      <vt:variant>
        <vt:i4>5</vt:i4>
      </vt:variant>
      <vt:variant>
        <vt:lpwstr>https://www.itu.int/myworkspace/</vt:lpwstr>
      </vt:variant>
      <vt:variant>
        <vt:lpwstr>/Home</vt:lpwstr>
      </vt:variant>
      <vt:variant>
        <vt:i4>5963860</vt:i4>
      </vt:variant>
      <vt:variant>
        <vt:i4>435</vt:i4>
      </vt:variant>
      <vt:variant>
        <vt:i4>0</vt:i4>
      </vt:variant>
      <vt:variant>
        <vt:i4>5</vt:i4>
      </vt:variant>
      <vt:variant>
        <vt:lpwstr>https://www.itu.int/pub/T-RES-T.107-2024</vt:lpwstr>
      </vt:variant>
      <vt:variant>
        <vt:lpwstr/>
      </vt:variant>
      <vt:variant>
        <vt:i4>7798906</vt:i4>
      </vt:variant>
      <vt:variant>
        <vt:i4>432</vt:i4>
      </vt:variant>
      <vt:variant>
        <vt:i4>0</vt:i4>
      </vt:variant>
      <vt:variant>
        <vt:i4>5</vt:i4>
      </vt:variant>
      <vt:variant>
        <vt:lpwstr>https://www.itu.int/pub/T-RES-T.55-2024</vt:lpwstr>
      </vt:variant>
      <vt:variant>
        <vt:lpwstr/>
      </vt:variant>
      <vt:variant>
        <vt:i4>6684781</vt:i4>
      </vt:variant>
      <vt:variant>
        <vt:i4>429</vt:i4>
      </vt:variant>
      <vt:variant>
        <vt:i4>0</vt:i4>
      </vt:variant>
      <vt:variant>
        <vt:i4>5</vt:i4>
      </vt:variant>
      <vt:variant>
        <vt:lpwstr>https://www.itu.int/en/ITU-T/info/Pages/resources.aspx</vt:lpwstr>
      </vt:variant>
      <vt:variant>
        <vt:lpwstr/>
      </vt:variant>
      <vt:variant>
        <vt:i4>3407917</vt:i4>
      </vt:variant>
      <vt:variant>
        <vt:i4>426</vt:i4>
      </vt:variant>
      <vt:variant>
        <vt:i4>0</vt:i4>
      </vt:variant>
      <vt:variant>
        <vt:i4>5</vt:i4>
      </vt:variant>
      <vt:variant>
        <vt:lpwstr>https://www.itu.int/en/ITU-T/gap/Pages/default.aspx</vt:lpwstr>
      </vt:variant>
      <vt:variant>
        <vt:lpwstr/>
      </vt:variant>
      <vt:variant>
        <vt:i4>7733371</vt:i4>
      </vt:variant>
      <vt:variant>
        <vt:i4>423</vt:i4>
      </vt:variant>
      <vt:variant>
        <vt:i4>0</vt:i4>
      </vt:variant>
      <vt:variant>
        <vt:i4>5</vt:i4>
      </vt:variant>
      <vt:variant>
        <vt:lpwstr>https://www.itu.int/pub/T-RES-T.44-2024</vt:lpwstr>
      </vt:variant>
      <vt:variant>
        <vt:lpwstr/>
      </vt:variant>
      <vt:variant>
        <vt:i4>4259923</vt:i4>
      </vt:variant>
      <vt:variant>
        <vt:i4>420</vt:i4>
      </vt:variant>
      <vt:variant>
        <vt:i4>0</vt:i4>
      </vt:variant>
      <vt:variant>
        <vt:i4>5</vt:i4>
      </vt:variant>
      <vt:variant>
        <vt:lpwstr>https://www.itu.int/pub/R-REC</vt:lpwstr>
      </vt:variant>
      <vt:variant>
        <vt:lpwstr/>
      </vt:variant>
      <vt:variant>
        <vt:i4>4259923</vt:i4>
      </vt:variant>
      <vt:variant>
        <vt:i4>417</vt:i4>
      </vt:variant>
      <vt:variant>
        <vt:i4>0</vt:i4>
      </vt:variant>
      <vt:variant>
        <vt:i4>5</vt:i4>
      </vt:variant>
      <vt:variant>
        <vt:lpwstr>https://www.itu.int/pub/R-REC</vt:lpwstr>
      </vt:variant>
      <vt:variant>
        <vt:lpwstr/>
      </vt:variant>
      <vt:variant>
        <vt:i4>2162734</vt:i4>
      </vt:variant>
      <vt:variant>
        <vt:i4>414</vt:i4>
      </vt:variant>
      <vt:variant>
        <vt:i4>0</vt:i4>
      </vt:variant>
      <vt:variant>
        <vt:i4>5</vt:i4>
      </vt:variant>
      <vt:variant>
        <vt:lpwstr>https://www.itu.int/en/ITU-T/focusgroups/Pages/default.aspx</vt:lpwstr>
      </vt:variant>
      <vt:variant>
        <vt:lpwstr/>
      </vt:variant>
      <vt:variant>
        <vt:i4>2621476</vt:i4>
      </vt:variant>
      <vt:variant>
        <vt:i4>411</vt:i4>
      </vt:variant>
      <vt:variant>
        <vt:i4>0</vt:i4>
      </vt:variant>
      <vt:variant>
        <vt:i4>5</vt:i4>
      </vt:variant>
      <vt:variant>
        <vt:lpwstr>https://www.itu.int/en/ITU-T/studygroups/Pages/default.aspx</vt:lpwstr>
      </vt:variant>
      <vt:variant>
        <vt:lpwstr/>
      </vt:variant>
      <vt:variant>
        <vt:i4>4915271</vt:i4>
      </vt:variant>
      <vt:variant>
        <vt:i4>408</vt:i4>
      </vt:variant>
      <vt:variant>
        <vt:i4>0</vt:i4>
      </vt:variant>
      <vt:variant>
        <vt:i4>5</vt:i4>
      </vt:variant>
      <vt:variant>
        <vt:lpwstr>https://www.itu.int/en/ITU-T/publications/Pages/recs.aspx</vt:lpwstr>
      </vt:variant>
      <vt:variant>
        <vt:lpwstr/>
      </vt:variant>
      <vt:variant>
        <vt:i4>196719</vt:i4>
      </vt:variant>
      <vt:variant>
        <vt:i4>405</vt:i4>
      </vt:variant>
      <vt:variant>
        <vt:i4>0</vt:i4>
      </vt:variant>
      <vt:variant>
        <vt:i4>5</vt:i4>
      </vt:variant>
      <vt:variant>
        <vt:lpwstr>https://www.itu.int/itu-t/workprog/wp_search.aspx?isn_sp=9677&amp;isn_status=-1,2&amp;adf=2024-01-01&amp;adt=2024-12-31&amp;details=0&amp;field=acdefghijo</vt:lpwstr>
      </vt:variant>
      <vt:variant>
        <vt:lpwstr/>
      </vt:variant>
      <vt:variant>
        <vt:i4>196713</vt:i4>
      </vt:variant>
      <vt:variant>
        <vt:i4>402</vt:i4>
      </vt:variant>
      <vt:variant>
        <vt:i4>0</vt:i4>
      </vt:variant>
      <vt:variant>
        <vt:i4>5</vt:i4>
      </vt:variant>
      <vt:variant>
        <vt:lpwstr>https://www.itu.int/itu-t/workprog/wp_search.aspx?isn_sp=8265&amp;isn_status=-1,2&amp;adf=2024-01-01&amp;adt=2024-12-31&amp;details=0&amp;field=acdefghijo</vt:lpwstr>
      </vt:variant>
      <vt:variant>
        <vt:lpwstr/>
      </vt:variant>
      <vt:variant>
        <vt:i4>4259923</vt:i4>
      </vt:variant>
      <vt:variant>
        <vt:i4>399</vt:i4>
      </vt:variant>
      <vt:variant>
        <vt:i4>0</vt:i4>
      </vt:variant>
      <vt:variant>
        <vt:i4>5</vt:i4>
      </vt:variant>
      <vt:variant>
        <vt:lpwstr>https://www.itu.int/pub/R-REC</vt:lpwstr>
      </vt:variant>
      <vt:variant>
        <vt:lpwstr/>
      </vt:variant>
      <vt:variant>
        <vt:i4>4915271</vt:i4>
      </vt:variant>
      <vt:variant>
        <vt:i4>396</vt:i4>
      </vt:variant>
      <vt:variant>
        <vt:i4>0</vt:i4>
      </vt:variant>
      <vt:variant>
        <vt:i4>5</vt:i4>
      </vt:variant>
      <vt:variant>
        <vt:lpwstr>https://www.itu.int/en/ITU-T/publications/Pages/recs.aspx</vt:lpwstr>
      </vt:variant>
      <vt:variant>
        <vt:lpwstr/>
      </vt:variant>
      <vt:variant>
        <vt:i4>3604539</vt:i4>
      </vt:variant>
      <vt:variant>
        <vt:i4>393</vt:i4>
      </vt:variant>
      <vt:variant>
        <vt:i4>0</vt:i4>
      </vt:variant>
      <vt:variant>
        <vt:i4>5</vt:i4>
      </vt:variant>
      <vt:variant>
        <vt:lpwstr>https://www.itu.int/en/ITU-R/terrestrial/Pages/default.aspx</vt:lpwstr>
      </vt:variant>
      <vt:variant>
        <vt:lpwstr/>
      </vt:variant>
      <vt:variant>
        <vt:i4>983104</vt:i4>
      </vt:variant>
      <vt:variant>
        <vt:i4>390</vt:i4>
      </vt:variant>
      <vt:variant>
        <vt:i4>0</vt:i4>
      </vt:variant>
      <vt:variant>
        <vt:i4>5</vt:i4>
      </vt:variant>
      <vt:variant>
        <vt:lpwstr>https://www.itu.int/en/ITU-R/space/brific/Pages/default.aspx</vt:lpwstr>
      </vt:variant>
      <vt:variant>
        <vt:lpwstr/>
      </vt:variant>
      <vt:variant>
        <vt:i4>2424931</vt:i4>
      </vt:variant>
      <vt:variant>
        <vt:i4>387</vt:i4>
      </vt:variant>
      <vt:variant>
        <vt:i4>0</vt:i4>
      </vt:variant>
      <vt:variant>
        <vt:i4>5</vt:i4>
      </vt:variant>
      <vt:variant>
        <vt:lpwstr>https://www.itu.int/en/ITU-R/Pages/default.aspx</vt:lpwstr>
      </vt:variant>
      <vt:variant>
        <vt:lpwstr/>
      </vt:variant>
      <vt:variant>
        <vt:i4>2424931</vt:i4>
      </vt:variant>
      <vt:variant>
        <vt:i4>384</vt:i4>
      </vt:variant>
      <vt:variant>
        <vt:i4>0</vt:i4>
      </vt:variant>
      <vt:variant>
        <vt:i4>5</vt:i4>
      </vt:variant>
      <vt:variant>
        <vt:lpwstr>https://www.itu.int/en/ITU-R/Pages/default.aspx</vt:lpwstr>
      </vt:variant>
      <vt:variant>
        <vt:lpwstr/>
      </vt:variant>
      <vt:variant>
        <vt:i4>4128871</vt:i4>
      </vt:variant>
      <vt:variant>
        <vt:i4>378</vt:i4>
      </vt:variant>
      <vt:variant>
        <vt:i4>0</vt:i4>
      </vt:variant>
      <vt:variant>
        <vt:i4>5</vt:i4>
      </vt:variant>
      <vt:variant>
        <vt:lpwstr>https://www.itu.int/wrc-23/</vt:lpwstr>
      </vt:variant>
      <vt:variant>
        <vt:lpwstr/>
      </vt:variant>
      <vt:variant>
        <vt:i4>1966150</vt:i4>
      </vt:variant>
      <vt:variant>
        <vt:i4>375</vt:i4>
      </vt:variant>
      <vt:variant>
        <vt:i4>0</vt:i4>
      </vt:variant>
      <vt:variant>
        <vt:i4>5</vt:i4>
      </vt:variant>
      <vt:variant>
        <vt:lpwstr>https://www.itu.int/pub/R-REG-RR</vt:lpwstr>
      </vt:variant>
      <vt:variant>
        <vt:lpwstr/>
      </vt:variant>
      <vt:variant>
        <vt:i4>6553649</vt:i4>
      </vt:variant>
      <vt:variant>
        <vt:i4>372</vt:i4>
      </vt:variant>
      <vt:variant>
        <vt:i4>0</vt:i4>
      </vt:variant>
      <vt:variant>
        <vt:i4>5</vt:i4>
      </vt:variant>
      <vt:variant>
        <vt:lpwstr>https://www.itu.int/hub/publication/d-str-digital-04-2024/</vt:lpwstr>
      </vt:variant>
      <vt:variant>
        <vt:lpwstr/>
      </vt:variant>
      <vt:variant>
        <vt:i4>1703941</vt:i4>
      </vt:variant>
      <vt:variant>
        <vt:i4>369</vt:i4>
      </vt:variant>
      <vt:variant>
        <vt:i4>0</vt:i4>
      </vt:variant>
      <vt:variant>
        <vt:i4>5</vt:i4>
      </vt:variant>
      <vt:variant>
        <vt:lpwstr>https://globalewaste.org/</vt:lpwstr>
      </vt:variant>
      <vt:variant>
        <vt:lpwstr/>
      </vt:variant>
      <vt:variant>
        <vt:i4>4522074</vt:i4>
      </vt:variant>
      <vt:variant>
        <vt:i4>366</vt:i4>
      </vt:variant>
      <vt:variant>
        <vt:i4>0</vt:i4>
      </vt:variant>
      <vt:variant>
        <vt:i4>5</vt:i4>
      </vt:variant>
      <vt:variant>
        <vt:lpwstr>https://www.itu.int/itu-d/reports/statistics/2024/11/10/ff24-youth-internet-use/</vt:lpwstr>
      </vt:variant>
      <vt:variant>
        <vt:lpwstr>chart-1"</vt:lpwstr>
      </vt:variant>
      <vt:variant>
        <vt:i4>65543</vt:i4>
      </vt:variant>
      <vt:variant>
        <vt:i4>363</vt:i4>
      </vt:variant>
      <vt:variant>
        <vt:i4>0</vt:i4>
      </vt:variant>
      <vt:variant>
        <vt:i4>5</vt:i4>
      </vt:variant>
      <vt:variant>
        <vt:lpwstr>https://www.itu.int/itu-d/reports/statistics/2024/11/10/ff24-the-gender-digital-divide/</vt:lpwstr>
      </vt:variant>
      <vt:variant>
        <vt:lpwstr>chart-3</vt:lpwstr>
      </vt:variant>
      <vt:variant>
        <vt:i4>1900610</vt:i4>
      </vt:variant>
      <vt:variant>
        <vt:i4>360</vt:i4>
      </vt:variant>
      <vt:variant>
        <vt:i4>0</vt:i4>
      </vt:variant>
      <vt:variant>
        <vt:i4>5</vt:i4>
      </vt:variant>
      <vt:variant>
        <vt:lpwstr>https://www.itu.int/dms_pub/itu-d/opb/ind/d-ind-ict_mdd-2024-4-pdf-e.pdf</vt:lpwstr>
      </vt:variant>
      <vt:variant>
        <vt:lpwstr/>
      </vt:variant>
      <vt:variant>
        <vt:i4>524366</vt:i4>
      </vt:variant>
      <vt:variant>
        <vt:i4>357</vt:i4>
      </vt:variant>
      <vt:variant>
        <vt:i4>0</vt:i4>
      </vt:variant>
      <vt:variant>
        <vt:i4>5</vt:i4>
      </vt:variant>
      <vt:variant>
        <vt:lpwstr>https://www.itu.int/itu-d/reports/statistics/2024/11/10/ff24-internet-use-in-urban-and-rural-areas/</vt:lpwstr>
      </vt:variant>
      <vt:variant>
        <vt:lpwstr>chart-1</vt:lpwstr>
      </vt:variant>
      <vt:variant>
        <vt:i4>4325456</vt:i4>
      </vt:variant>
      <vt:variant>
        <vt:i4>354</vt:i4>
      </vt:variant>
      <vt:variant>
        <vt:i4>0</vt:i4>
      </vt:variant>
      <vt:variant>
        <vt:i4>5</vt:i4>
      </vt:variant>
      <vt:variant>
        <vt:lpwstr>https://sdg4-data.uis.unesco.org/</vt:lpwstr>
      </vt:variant>
      <vt:variant>
        <vt:lpwstr/>
      </vt:variant>
      <vt:variant>
        <vt:i4>3801134</vt:i4>
      </vt:variant>
      <vt:variant>
        <vt:i4>351</vt:i4>
      </vt:variant>
      <vt:variant>
        <vt:i4>0</vt:i4>
      </vt:variant>
      <vt:variant>
        <vt:i4>5</vt:i4>
      </vt:variant>
      <vt:variant>
        <vt:lpwstr>https://www.itu.int/itu-d/reports/statistics/2024/11/10/ff24-mobile-phone-ownership/</vt:lpwstr>
      </vt:variant>
      <vt:variant>
        <vt:lpwstr>chart-1</vt:lpwstr>
      </vt:variant>
      <vt:variant>
        <vt:i4>196701</vt:i4>
      </vt:variant>
      <vt:variant>
        <vt:i4>348</vt:i4>
      </vt:variant>
      <vt:variant>
        <vt:i4>0</vt:i4>
      </vt:variant>
      <vt:variant>
        <vt:i4>5</vt:i4>
      </vt:variant>
      <vt:variant>
        <vt:lpwstr>https://www.itu.int/itu-d/reports/statistics/2024/11/10/ff24-internet-use/</vt:lpwstr>
      </vt:variant>
      <vt:variant>
        <vt:lpwstr>chart-2</vt:lpwstr>
      </vt:variant>
      <vt:variant>
        <vt:i4>2949222</vt:i4>
      </vt:variant>
      <vt:variant>
        <vt:i4>345</vt:i4>
      </vt:variant>
      <vt:variant>
        <vt:i4>0</vt:i4>
      </vt:variant>
      <vt:variant>
        <vt:i4>5</vt:i4>
      </vt:variant>
      <vt:variant>
        <vt:lpwstr>https://www.itu.int/itu-d/reports/statistics/2024/11/10/ff24-affordability-of-ict-services/</vt:lpwstr>
      </vt:variant>
      <vt:variant>
        <vt:lpwstr/>
      </vt:variant>
      <vt:variant>
        <vt:i4>2949222</vt:i4>
      </vt:variant>
      <vt:variant>
        <vt:i4>342</vt:i4>
      </vt:variant>
      <vt:variant>
        <vt:i4>0</vt:i4>
      </vt:variant>
      <vt:variant>
        <vt:i4>5</vt:i4>
      </vt:variant>
      <vt:variant>
        <vt:lpwstr>https://www.itu.int/itu-d/reports/statistics/2024/11/10/ff24-affordability-of-ict-services/</vt:lpwstr>
      </vt:variant>
      <vt:variant>
        <vt:lpwstr/>
      </vt:variant>
      <vt:variant>
        <vt:i4>196701</vt:i4>
      </vt:variant>
      <vt:variant>
        <vt:i4>339</vt:i4>
      </vt:variant>
      <vt:variant>
        <vt:i4>0</vt:i4>
      </vt:variant>
      <vt:variant>
        <vt:i4>5</vt:i4>
      </vt:variant>
      <vt:variant>
        <vt:lpwstr>https://www.itu.int/itu-d/reports/statistics/2024/11/10/ff24-internet-use/</vt:lpwstr>
      </vt:variant>
      <vt:variant>
        <vt:lpwstr>chart-1</vt:lpwstr>
      </vt:variant>
      <vt:variant>
        <vt:i4>5898260</vt:i4>
      </vt:variant>
      <vt:variant>
        <vt:i4>336</vt:i4>
      </vt:variant>
      <vt:variant>
        <vt:i4>0</vt:i4>
      </vt:variant>
      <vt:variant>
        <vt:i4>5</vt:i4>
      </vt:variant>
      <vt:variant>
        <vt:lpwstr>https://www.itu.int/en/ITU-D/Statistics/Pages/facts/default.aspx</vt:lpwstr>
      </vt:variant>
      <vt:variant>
        <vt:lpwstr/>
      </vt:variant>
      <vt:variant>
        <vt:i4>4259911</vt:i4>
      </vt:variant>
      <vt:variant>
        <vt:i4>333</vt:i4>
      </vt:variant>
      <vt:variant>
        <vt:i4>0</vt:i4>
      </vt:variant>
      <vt:variant>
        <vt:i4>5</vt:i4>
      </vt:variant>
      <vt:variant>
        <vt:lpwstr>C:\Users\marinesc\AppData\Local\Microsoft\Windows\INetCache\Content.Outlook\DRPONH3M\Related events</vt:lpwstr>
      </vt:variant>
      <vt:variant>
        <vt:lpwstr/>
      </vt:variant>
      <vt:variant>
        <vt:i4>2555966</vt:i4>
      </vt:variant>
      <vt:variant>
        <vt:i4>330</vt:i4>
      </vt:variant>
      <vt:variant>
        <vt:i4>0</vt:i4>
      </vt:variant>
      <vt:variant>
        <vt:i4>5</vt:i4>
      </vt:variant>
      <vt:variant>
        <vt:lpwstr>https://www.itu.int/en/ITU-T/wtsa24/Documents/WTSA-24_GSS-24_Brochure.pdf</vt:lpwstr>
      </vt:variant>
      <vt:variant>
        <vt:lpwstr/>
      </vt:variant>
      <vt:variant>
        <vt:i4>786517</vt:i4>
      </vt:variant>
      <vt:variant>
        <vt:i4>327</vt:i4>
      </vt:variant>
      <vt:variant>
        <vt:i4>0</vt:i4>
      </vt:variant>
      <vt:variant>
        <vt:i4>5</vt:i4>
      </vt:variant>
      <vt:variant>
        <vt:lpwstr>https://www.itu.int/reports/itu-standardization-2024/</vt:lpwstr>
      </vt:variant>
      <vt:variant>
        <vt:lpwstr/>
      </vt:variant>
      <vt:variant>
        <vt:i4>131097</vt:i4>
      </vt:variant>
      <vt:variant>
        <vt:i4>324</vt:i4>
      </vt:variant>
      <vt:variant>
        <vt:i4>0</vt:i4>
      </vt:variant>
      <vt:variant>
        <vt:i4>5</vt:i4>
      </vt:variant>
      <vt:variant>
        <vt:lpwstr>https://www.itu.int/pub/T-REG-LIV.1-2024</vt:lpwstr>
      </vt:variant>
      <vt:variant>
        <vt:lpwstr/>
      </vt:variant>
      <vt:variant>
        <vt:i4>6881390</vt:i4>
      </vt:variant>
      <vt:variant>
        <vt:i4>321</vt:i4>
      </vt:variant>
      <vt:variant>
        <vt:i4>0</vt:i4>
      </vt:variant>
      <vt:variant>
        <vt:i4>5</vt:i4>
      </vt:variant>
      <vt:variant>
        <vt:lpwstr>https://www.itu.int/wtsa/2024/</vt:lpwstr>
      </vt:variant>
      <vt:variant>
        <vt:lpwstr/>
      </vt:variant>
      <vt:variant>
        <vt:i4>655402</vt:i4>
      </vt:variant>
      <vt:variant>
        <vt:i4>318</vt:i4>
      </vt:variant>
      <vt:variant>
        <vt:i4>0</vt:i4>
      </vt:variant>
      <vt:variant>
        <vt:i4>5</vt:i4>
      </vt:variant>
      <vt:variant>
        <vt:lpwstr>https://en.wikipedia.org/wiki/ITU-T_Study_Group_16</vt:lpwstr>
      </vt:variant>
      <vt:variant>
        <vt:lpwstr/>
      </vt:variant>
      <vt:variant>
        <vt:i4>917592</vt:i4>
      </vt:variant>
      <vt:variant>
        <vt:i4>315</vt:i4>
      </vt:variant>
      <vt:variant>
        <vt:i4>0</vt:i4>
      </vt:variant>
      <vt:variant>
        <vt:i4>5</vt:i4>
      </vt:variant>
      <vt:variant>
        <vt:lpwstr>https://www.itu.int/en/ITU-T/studygroups/2022-2024/09/Pages/default.aspx</vt:lpwstr>
      </vt:variant>
      <vt:variant>
        <vt:lpwstr/>
      </vt:variant>
      <vt:variant>
        <vt:i4>5701717</vt:i4>
      </vt:variant>
      <vt:variant>
        <vt:i4>312</vt:i4>
      </vt:variant>
      <vt:variant>
        <vt:i4>0</vt:i4>
      </vt:variant>
      <vt:variant>
        <vt:i4>5</vt:i4>
      </vt:variant>
      <vt:variant>
        <vt:lpwstr>https://gss.itu.int/</vt:lpwstr>
      </vt:variant>
      <vt:variant>
        <vt:lpwstr/>
      </vt:variant>
      <vt:variant>
        <vt:i4>6881390</vt:i4>
      </vt:variant>
      <vt:variant>
        <vt:i4>309</vt:i4>
      </vt:variant>
      <vt:variant>
        <vt:i4>0</vt:i4>
      </vt:variant>
      <vt:variant>
        <vt:i4>5</vt:i4>
      </vt:variant>
      <vt:variant>
        <vt:lpwstr>https://www.itu.int/wtsa/2024/</vt:lpwstr>
      </vt:variant>
      <vt:variant>
        <vt:lpwstr/>
      </vt:variant>
      <vt:variant>
        <vt:i4>6881383</vt:i4>
      </vt:variant>
      <vt:variant>
        <vt:i4>306</vt:i4>
      </vt:variant>
      <vt:variant>
        <vt:i4>0</vt:i4>
      </vt:variant>
      <vt:variant>
        <vt:i4>5</vt:i4>
      </vt:variant>
      <vt:variant>
        <vt:lpwstr>https://www.itu.int/en/council/Documents/basic-texts-2023/RES-071-E.pdf</vt:lpwstr>
      </vt:variant>
      <vt:variant>
        <vt:lpwstr/>
      </vt:variant>
      <vt:variant>
        <vt:i4>786517</vt:i4>
      </vt:variant>
      <vt:variant>
        <vt:i4>303</vt:i4>
      </vt:variant>
      <vt:variant>
        <vt:i4>0</vt:i4>
      </vt:variant>
      <vt:variant>
        <vt:i4>5</vt:i4>
      </vt:variant>
      <vt:variant>
        <vt:lpwstr>https://www.itu.int/reports/itu-standardization-2024/</vt:lpwstr>
      </vt:variant>
      <vt:variant>
        <vt:lpwstr/>
      </vt:variant>
      <vt:variant>
        <vt:i4>1769532</vt:i4>
      </vt:variant>
      <vt:variant>
        <vt:i4>296</vt:i4>
      </vt:variant>
      <vt:variant>
        <vt:i4>0</vt:i4>
      </vt:variant>
      <vt:variant>
        <vt:i4>5</vt:i4>
      </vt:variant>
      <vt:variant>
        <vt:lpwstr/>
      </vt:variant>
      <vt:variant>
        <vt:lpwstr>_Toc198569390</vt:lpwstr>
      </vt:variant>
      <vt:variant>
        <vt:i4>1703996</vt:i4>
      </vt:variant>
      <vt:variant>
        <vt:i4>290</vt:i4>
      </vt:variant>
      <vt:variant>
        <vt:i4>0</vt:i4>
      </vt:variant>
      <vt:variant>
        <vt:i4>5</vt:i4>
      </vt:variant>
      <vt:variant>
        <vt:lpwstr/>
      </vt:variant>
      <vt:variant>
        <vt:lpwstr>_Toc198569389</vt:lpwstr>
      </vt:variant>
      <vt:variant>
        <vt:i4>1703996</vt:i4>
      </vt:variant>
      <vt:variant>
        <vt:i4>284</vt:i4>
      </vt:variant>
      <vt:variant>
        <vt:i4>0</vt:i4>
      </vt:variant>
      <vt:variant>
        <vt:i4>5</vt:i4>
      </vt:variant>
      <vt:variant>
        <vt:lpwstr/>
      </vt:variant>
      <vt:variant>
        <vt:lpwstr>_Toc198569388</vt:lpwstr>
      </vt:variant>
      <vt:variant>
        <vt:i4>1703996</vt:i4>
      </vt:variant>
      <vt:variant>
        <vt:i4>278</vt:i4>
      </vt:variant>
      <vt:variant>
        <vt:i4>0</vt:i4>
      </vt:variant>
      <vt:variant>
        <vt:i4>5</vt:i4>
      </vt:variant>
      <vt:variant>
        <vt:lpwstr/>
      </vt:variant>
      <vt:variant>
        <vt:lpwstr>_Toc198569387</vt:lpwstr>
      </vt:variant>
      <vt:variant>
        <vt:i4>1703996</vt:i4>
      </vt:variant>
      <vt:variant>
        <vt:i4>272</vt:i4>
      </vt:variant>
      <vt:variant>
        <vt:i4>0</vt:i4>
      </vt:variant>
      <vt:variant>
        <vt:i4>5</vt:i4>
      </vt:variant>
      <vt:variant>
        <vt:lpwstr/>
      </vt:variant>
      <vt:variant>
        <vt:lpwstr>_Toc198569386</vt:lpwstr>
      </vt:variant>
      <vt:variant>
        <vt:i4>1703996</vt:i4>
      </vt:variant>
      <vt:variant>
        <vt:i4>266</vt:i4>
      </vt:variant>
      <vt:variant>
        <vt:i4>0</vt:i4>
      </vt:variant>
      <vt:variant>
        <vt:i4>5</vt:i4>
      </vt:variant>
      <vt:variant>
        <vt:lpwstr/>
      </vt:variant>
      <vt:variant>
        <vt:lpwstr>_Toc198569385</vt:lpwstr>
      </vt:variant>
      <vt:variant>
        <vt:i4>1703996</vt:i4>
      </vt:variant>
      <vt:variant>
        <vt:i4>260</vt:i4>
      </vt:variant>
      <vt:variant>
        <vt:i4>0</vt:i4>
      </vt:variant>
      <vt:variant>
        <vt:i4>5</vt:i4>
      </vt:variant>
      <vt:variant>
        <vt:lpwstr/>
      </vt:variant>
      <vt:variant>
        <vt:lpwstr>_Toc198569384</vt:lpwstr>
      </vt:variant>
      <vt:variant>
        <vt:i4>1703996</vt:i4>
      </vt:variant>
      <vt:variant>
        <vt:i4>254</vt:i4>
      </vt:variant>
      <vt:variant>
        <vt:i4>0</vt:i4>
      </vt:variant>
      <vt:variant>
        <vt:i4>5</vt:i4>
      </vt:variant>
      <vt:variant>
        <vt:lpwstr/>
      </vt:variant>
      <vt:variant>
        <vt:lpwstr>_Toc198569383</vt:lpwstr>
      </vt:variant>
      <vt:variant>
        <vt:i4>1703996</vt:i4>
      </vt:variant>
      <vt:variant>
        <vt:i4>248</vt:i4>
      </vt:variant>
      <vt:variant>
        <vt:i4>0</vt:i4>
      </vt:variant>
      <vt:variant>
        <vt:i4>5</vt:i4>
      </vt:variant>
      <vt:variant>
        <vt:lpwstr/>
      </vt:variant>
      <vt:variant>
        <vt:lpwstr>_Toc198569382</vt:lpwstr>
      </vt:variant>
      <vt:variant>
        <vt:i4>1703996</vt:i4>
      </vt:variant>
      <vt:variant>
        <vt:i4>242</vt:i4>
      </vt:variant>
      <vt:variant>
        <vt:i4>0</vt:i4>
      </vt:variant>
      <vt:variant>
        <vt:i4>5</vt:i4>
      </vt:variant>
      <vt:variant>
        <vt:lpwstr/>
      </vt:variant>
      <vt:variant>
        <vt:lpwstr>_Toc198569381</vt:lpwstr>
      </vt:variant>
      <vt:variant>
        <vt:i4>1703996</vt:i4>
      </vt:variant>
      <vt:variant>
        <vt:i4>236</vt:i4>
      </vt:variant>
      <vt:variant>
        <vt:i4>0</vt:i4>
      </vt:variant>
      <vt:variant>
        <vt:i4>5</vt:i4>
      </vt:variant>
      <vt:variant>
        <vt:lpwstr/>
      </vt:variant>
      <vt:variant>
        <vt:lpwstr>_Toc198569380</vt:lpwstr>
      </vt:variant>
      <vt:variant>
        <vt:i4>1376316</vt:i4>
      </vt:variant>
      <vt:variant>
        <vt:i4>230</vt:i4>
      </vt:variant>
      <vt:variant>
        <vt:i4>0</vt:i4>
      </vt:variant>
      <vt:variant>
        <vt:i4>5</vt:i4>
      </vt:variant>
      <vt:variant>
        <vt:lpwstr/>
      </vt:variant>
      <vt:variant>
        <vt:lpwstr>_Toc198569379</vt:lpwstr>
      </vt:variant>
      <vt:variant>
        <vt:i4>1376316</vt:i4>
      </vt:variant>
      <vt:variant>
        <vt:i4>224</vt:i4>
      </vt:variant>
      <vt:variant>
        <vt:i4>0</vt:i4>
      </vt:variant>
      <vt:variant>
        <vt:i4>5</vt:i4>
      </vt:variant>
      <vt:variant>
        <vt:lpwstr/>
      </vt:variant>
      <vt:variant>
        <vt:lpwstr>_Toc198569378</vt:lpwstr>
      </vt:variant>
      <vt:variant>
        <vt:i4>1376316</vt:i4>
      </vt:variant>
      <vt:variant>
        <vt:i4>218</vt:i4>
      </vt:variant>
      <vt:variant>
        <vt:i4>0</vt:i4>
      </vt:variant>
      <vt:variant>
        <vt:i4>5</vt:i4>
      </vt:variant>
      <vt:variant>
        <vt:lpwstr/>
      </vt:variant>
      <vt:variant>
        <vt:lpwstr>_Toc198569377</vt:lpwstr>
      </vt:variant>
      <vt:variant>
        <vt:i4>1376316</vt:i4>
      </vt:variant>
      <vt:variant>
        <vt:i4>212</vt:i4>
      </vt:variant>
      <vt:variant>
        <vt:i4>0</vt:i4>
      </vt:variant>
      <vt:variant>
        <vt:i4>5</vt:i4>
      </vt:variant>
      <vt:variant>
        <vt:lpwstr/>
      </vt:variant>
      <vt:variant>
        <vt:lpwstr>_Toc198569376</vt:lpwstr>
      </vt:variant>
      <vt:variant>
        <vt:i4>1376316</vt:i4>
      </vt:variant>
      <vt:variant>
        <vt:i4>206</vt:i4>
      </vt:variant>
      <vt:variant>
        <vt:i4>0</vt:i4>
      </vt:variant>
      <vt:variant>
        <vt:i4>5</vt:i4>
      </vt:variant>
      <vt:variant>
        <vt:lpwstr/>
      </vt:variant>
      <vt:variant>
        <vt:lpwstr>_Toc198569375</vt:lpwstr>
      </vt:variant>
      <vt:variant>
        <vt:i4>1376316</vt:i4>
      </vt:variant>
      <vt:variant>
        <vt:i4>200</vt:i4>
      </vt:variant>
      <vt:variant>
        <vt:i4>0</vt:i4>
      </vt:variant>
      <vt:variant>
        <vt:i4>5</vt:i4>
      </vt:variant>
      <vt:variant>
        <vt:lpwstr/>
      </vt:variant>
      <vt:variant>
        <vt:lpwstr>_Toc198569374</vt:lpwstr>
      </vt:variant>
      <vt:variant>
        <vt:i4>1376316</vt:i4>
      </vt:variant>
      <vt:variant>
        <vt:i4>194</vt:i4>
      </vt:variant>
      <vt:variant>
        <vt:i4>0</vt:i4>
      </vt:variant>
      <vt:variant>
        <vt:i4>5</vt:i4>
      </vt:variant>
      <vt:variant>
        <vt:lpwstr/>
      </vt:variant>
      <vt:variant>
        <vt:lpwstr>_Toc198569373</vt:lpwstr>
      </vt:variant>
      <vt:variant>
        <vt:i4>1376316</vt:i4>
      </vt:variant>
      <vt:variant>
        <vt:i4>188</vt:i4>
      </vt:variant>
      <vt:variant>
        <vt:i4>0</vt:i4>
      </vt:variant>
      <vt:variant>
        <vt:i4>5</vt:i4>
      </vt:variant>
      <vt:variant>
        <vt:lpwstr/>
      </vt:variant>
      <vt:variant>
        <vt:lpwstr>_Toc198569372</vt:lpwstr>
      </vt:variant>
      <vt:variant>
        <vt:i4>1376316</vt:i4>
      </vt:variant>
      <vt:variant>
        <vt:i4>182</vt:i4>
      </vt:variant>
      <vt:variant>
        <vt:i4>0</vt:i4>
      </vt:variant>
      <vt:variant>
        <vt:i4>5</vt:i4>
      </vt:variant>
      <vt:variant>
        <vt:lpwstr/>
      </vt:variant>
      <vt:variant>
        <vt:lpwstr>_Toc198569371</vt:lpwstr>
      </vt:variant>
      <vt:variant>
        <vt:i4>1376316</vt:i4>
      </vt:variant>
      <vt:variant>
        <vt:i4>176</vt:i4>
      </vt:variant>
      <vt:variant>
        <vt:i4>0</vt:i4>
      </vt:variant>
      <vt:variant>
        <vt:i4>5</vt:i4>
      </vt:variant>
      <vt:variant>
        <vt:lpwstr/>
      </vt:variant>
      <vt:variant>
        <vt:lpwstr>_Toc198569370</vt:lpwstr>
      </vt:variant>
      <vt:variant>
        <vt:i4>1310780</vt:i4>
      </vt:variant>
      <vt:variant>
        <vt:i4>170</vt:i4>
      </vt:variant>
      <vt:variant>
        <vt:i4>0</vt:i4>
      </vt:variant>
      <vt:variant>
        <vt:i4>5</vt:i4>
      </vt:variant>
      <vt:variant>
        <vt:lpwstr/>
      </vt:variant>
      <vt:variant>
        <vt:lpwstr>_Toc198569369</vt:lpwstr>
      </vt:variant>
      <vt:variant>
        <vt:i4>1310780</vt:i4>
      </vt:variant>
      <vt:variant>
        <vt:i4>164</vt:i4>
      </vt:variant>
      <vt:variant>
        <vt:i4>0</vt:i4>
      </vt:variant>
      <vt:variant>
        <vt:i4>5</vt:i4>
      </vt:variant>
      <vt:variant>
        <vt:lpwstr/>
      </vt:variant>
      <vt:variant>
        <vt:lpwstr>_Toc198569368</vt:lpwstr>
      </vt:variant>
      <vt:variant>
        <vt:i4>1310780</vt:i4>
      </vt:variant>
      <vt:variant>
        <vt:i4>158</vt:i4>
      </vt:variant>
      <vt:variant>
        <vt:i4>0</vt:i4>
      </vt:variant>
      <vt:variant>
        <vt:i4>5</vt:i4>
      </vt:variant>
      <vt:variant>
        <vt:lpwstr/>
      </vt:variant>
      <vt:variant>
        <vt:lpwstr>_Toc198569367</vt:lpwstr>
      </vt:variant>
      <vt:variant>
        <vt:i4>1310780</vt:i4>
      </vt:variant>
      <vt:variant>
        <vt:i4>152</vt:i4>
      </vt:variant>
      <vt:variant>
        <vt:i4>0</vt:i4>
      </vt:variant>
      <vt:variant>
        <vt:i4>5</vt:i4>
      </vt:variant>
      <vt:variant>
        <vt:lpwstr/>
      </vt:variant>
      <vt:variant>
        <vt:lpwstr>_Toc198569366</vt:lpwstr>
      </vt:variant>
      <vt:variant>
        <vt:i4>1310780</vt:i4>
      </vt:variant>
      <vt:variant>
        <vt:i4>146</vt:i4>
      </vt:variant>
      <vt:variant>
        <vt:i4>0</vt:i4>
      </vt:variant>
      <vt:variant>
        <vt:i4>5</vt:i4>
      </vt:variant>
      <vt:variant>
        <vt:lpwstr/>
      </vt:variant>
      <vt:variant>
        <vt:lpwstr>_Toc198569365</vt:lpwstr>
      </vt:variant>
      <vt:variant>
        <vt:i4>1310780</vt:i4>
      </vt:variant>
      <vt:variant>
        <vt:i4>140</vt:i4>
      </vt:variant>
      <vt:variant>
        <vt:i4>0</vt:i4>
      </vt:variant>
      <vt:variant>
        <vt:i4>5</vt:i4>
      </vt:variant>
      <vt:variant>
        <vt:lpwstr/>
      </vt:variant>
      <vt:variant>
        <vt:lpwstr>_Toc198569364</vt:lpwstr>
      </vt:variant>
      <vt:variant>
        <vt:i4>1310780</vt:i4>
      </vt:variant>
      <vt:variant>
        <vt:i4>134</vt:i4>
      </vt:variant>
      <vt:variant>
        <vt:i4>0</vt:i4>
      </vt:variant>
      <vt:variant>
        <vt:i4>5</vt:i4>
      </vt:variant>
      <vt:variant>
        <vt:lpwstr/>
      </vt:variant>
      <vt:variant>
        <vt:lpwstr>_Toc198569363</vt:lpwstr>
      </vt:variant>
      <vt:variant>
        <vt:i4>1310780</vt:i4>
      </vt:variant>
      <vt:variant>
        <vt:i4>128</vt:i4>
      </vt:variant>
      <vt:variant>
        <vt:i4>0</vt:i4>
      </vt:variant>
      <vt:variant>
        <vt:i4>5</vt:i4>
      </vt:variant>
      <vt:variant>
        <vt:lpwstr/>
      </vt:variant>
      <vt:variant>
        <vt:lpwstr>_Toc198569362</vt:lpwstr>
      </vt:variant>
      <vt:variant>
        <vt:i4>1310780</vt:i4>
      </vt:variant>
      <vt:variant>
        <vt:i4>122</vt:i4>
      </vt:variant>
      <vt:variant>
        <vt:i4>0</vt:i4>
      </vt:variant>
      <vt:variant>
        <vt:i4>5</vt:i4>
      </vt:variant>
      <vt:variant>
        <vt:lpwstr/>
      </vt:variant>
      <vt:variant>
        <vt:lpwstr>_Toc198569361</vt:lpwstr>
      </vt:variant>
      <vt:variant>
        <vt:i4>1310780</vt:i4>
      </vt:variant>
      <vt:variant>
        <vt:i4>116</vt:i4>
      </vt:variant>
      <vt:variant>
        <vt:i4>0</vt:i4>
      </vt:variant>
      <vt:variant>
        <vt:i4>5</vt:i4>
      </vt:variant>
      <vt:variant>
        <vt:lpwstr/>
      </vt:variant>
      <vt:variant>
        <vt:lpwstr>_Toc198569360</vt:lpwstr>
      </vt:variant>
      <vt:variant>
        <vt:i4>1507388</vt:i4>
      </vt:variant>
      <vt:variant>
        <vt:i4>110</vt:i4>
      </vt:variant>
      <vt:variant>
        <vt:i4>0</vt:i4>
      </vt:variant>
      <vt:variant>
        <vt:i4>5</vt:i4>
      </vt:variant>
      <vt:variant>
        <vt:lpwstr/>
      </vt:variant>
      <vt:variant>
        <vt:lpwstr>_Toc198569359</vt:lpwstr>
      </vt:variant>
      <vt:variant>
        <vt:i4>1507388</vt:i4>
      </vt:variant>
      <vt:variant>
        <vt:i4>104</vt:i4>
      </vt:variant>
      <vt:variant>
        <vt:i4>0</vt:i4>
      </vt:variant>
      <vt:variant>
        <vt:i4>5</vt:i4>
      </vt:variant>
      <vt:variant>
        <vt:lpwstr/>
      </vt:variant>
      <vt:variant>
        <vt:lpwstr>_Toc198569358</vt:lpwstr>
      </vt:variant>
      <vt:variant>
        <vt:i4>1507388</vt:i4>
      </vt:variant>
      <vt:variant>
        <vt:i4>98</vt:i4>
      </vt:variant>
      <vt:variant>
        <vt:i4>0</vt:i4>
      </vt:variant>
      <vt:variant>
        <vt:i4>5</vt:i4>
      </vt:variant>
      <vt:variant>
        <vt:lpwstr/>
      </vt:variant>
      <vt:variant>
        <vt:lpwstr>_Toc198569357</vt:lpwstr>
      </vt:variant>
      <vt:variant>
        <vt:i4>1507388</vt:i4>
      </vt:variant>
      <vt:variant>
        <vt:i4>92</vt:i4>
      </vt:variant>
      <vt:variant>
        <vt:i4>0</vt:i4>
      </vt:variant>
      <vt:variant>
        <vt:i4>5</vt:i4>
      </vt:variant>
      <vt:variant>
        <vt:lpwstr/>
      </vt:variant>
      <vt:variant>
        <vt:lpwstr>_Toc198569356</vt:lpwstr>
      </vt:variant>
      <vt:variant>
        <vt:i4>1507388</vt:i4>
      </vt:variant>
      <vt:variant>
        <vt:i4>86</vt:i4>
      </vt:variant>
      <vt:variant>
        <vt:i4>0</vt:i4>
      </vt:variant>
      <vt:variant>
        <vt:i4>5</vt:i4>
      </vt:variant>
      <vt:variant>
        <vt:lpwstr/>
      </vt:variant>
      <vt:variant>
        <vt:lpwstr>_Toc198569355</vt:lpwstr>
      </vt:variant>
      <vt:variant>
        <vt:i4>1507388</vt:i4>
      </vt:variant>
      <vt:variant>
        <vt:i4>80</vt:i4>
      </vt:variant>
      <vt:variant>
        <vt:i4>0</vt:i4>
      </vt:variant>
      <vt:variant>
        <vt:i4>5</vt:i4>
      </vt:variant>
      <vt:variant>
        <vt:lpwstr/>
      </vt:variant>
      <vt:variant>
        <vt:lpwstr>_Toc198569354</vt:lpwstr>
      </vt:variant>
      <vt:variant>
        <vt:i4>1507388</vt:i4>
      </vt:variant>
      <vt:variant>
        <vt:i4>74</vt:i4>
      </vt:variant>
      <vt:variant>
        <vt:i4>0</vt:i4>
      </vt:variant>
      <vt:variant>
        <vt:i4>5</vt:i4>
      </vt:variant>
      <vt:variant>
        <vt:lpwstr/>
      </vt:variant>
      <vt:variant>
        <vt:lpwstr>_Toc198569353</vt:lpwstr>
      </vt:variant>
      <vt:variant>
        <vt:i4>1507388</vt:i4>
      </vt:variant>
      <vt:variant>
        <vt:i4>68</vt:i4>
      </vt:variant>
      <vt:variant>
        <vt:i4>0</vt:i4>
      </vt:variant>
      <vt:variant>
        <vt:i4>5</vt:i4>
      </vt:variant>
      <vt:variant>
        <vt:lpwstr/>
      </vt:variant>
      <vt:variant>
        <vt:lpwstr>_Toc198569352</vt:lpwstr>
      </vt:variant>
      <vt:variant>
        <vt:i4>1507388</vt:i4>
      </vt:variant>
      <vt:variant>
        <vt:i4>62</vt:i4>
      </vt:variant>
      <vt:variant>
        <vt:i4>0</vt:i4>
      </vt:variant>
      <vt:variant>
        <vt:i4>5</vt:i4>
      </vt:variant>
      <vt:variant>
        <vt:lpwstr/>
      </vt:variant>
      <vt:variant>
        <vt:lpwstr>_Toc198569351</vt:lpwstr>
      </vt:variant>
      <vt:variant>
        <vt:i4>1507388</vt:i4>
      </vt:variant>
      <vt:variant>
        <vt:i4>56</vt:i4>
      </vt:variant>
      <vt:variant>
        <vt:i4>0</vt:i4>
      </vt:variant>
      <vt:variant>
        <vt:i4>5</vt:i4>
      </vt:variant>
      <vt:variant>
        <vt:lpwstr/>
      </vt:variant>
      <vt:variant>
        <vt:lpwstr>_Toc198569350</vt:lpwstr>
      </vt:variant>
      <vt:variant>
        <vt:i4>1441852</vt:i4>
      </vt:variant>
      <vt:variant>
        <vt:i4>50</vt:i4>
      </vt:variant>
      <vt:variant>
        <vt:i4>0</vt:i4>
      </vt:variant>
      <vt:variant>
        <vt:i4>5</vt:i4>
      </vt:variant>
      <vt:variant>
        <vt:lpwstr/>
      </vt:variant>
      <vt:variant>
        <vt:lpwstr>_Toc198569349</vt:lpwstr>
      </vt:variant>
      <vt:variant>
        <vt:i4>1441852</vt:i4>
      </vt:variant>
      <vt:variant>
        <vt:i4>44</vt:i4>
      </vt:variant>
      <vt:variant>
        <vt:i4>0</vt:i4>
      </vt:variant>
      <vt:variant>
        <vt:i4>5</vt:i4>
      </vt:variant>
      <vt:variant>
        <vt:lpwstr/>
      </vt:variant>
      <vt:variant>
        <vt:lpwstr>_Toc198569348</vt:lpwstr>
      </vt:variant>
      <vt:variant>
        <vt:i4>1441852</vt:i4>
      </vt:variant>
      <vt:variant>
        <vt:i4>38</vt:i4>
      </vt:variant>
      <vt:variant>
        <vt:i4>0</vt:i4>
      </vt:variant>
      <vt:variant>
        <vt:i4>5</vt:i4>
      </vt:variant>
      <vt:variant>
        <vt:lpwstr/>
      </vt:variant>
      <vt:variant>
        <vt:lpwstr>_Toc198569347</vt:lpwstr>
      </vt:variant>
      <vt:variant>
        <vt:i4>1441852</vt:i4>
      </vt:variant>
      <vt:variant>
        <vt:i4>32</vt:i4>
      </vt:variant>
      <vt:variant>
        <vt:i4>0</vt:i4>
      </vt:variant>
      <vt:variant>
        <vt:i4>5</vt:i4>
      </vt:variant>
      <vt:variant>
        <vt:lpwstr/>
      </vt:variant>
      <vt:variant>
        <vt:lpwstr>_Toc198569346</vt:lpwstr>
      </vt:variant>
      <vt:variant>
        <vt:i4>1441852</vt:i4>
      </vt:variant>
      <vt:variant>
        <vt:i4>26</vt:i4>
      </vt:variant>
      <vt:variant>
        <vt:i4>0</vt:i4>
      </vt:variant>
      <vt:variant>
        <vt:i4>5</vt:i4>
      </vt:variant>
      <vt:variant>
        <vt:lpwstr/>
      </vt:variant>
      <vt:variant>
        <vt:lpwstr>_Toc198569345</vt:lpwstr>
      </vt:variant>
      <vt:variant>
        <vt:i4>1441852</vt:i4>
      </vt:variant>
      <vt:variant>
        <vt:i4>20</vt:i4>
      </vt:variant>
      <vt:variant>
        <vt:i4>0</vt:i4>
      </vt:variant>
      <vt:variant>
        <vt:i4>5</vt:i4>
      </vt:variant>
      <vt:variant>
        <vt:lpwstr/>
      </vt:variant>
      <vt:variant>
        <vt:lpwstr>_Toc198569344</vt:lpwstr>
      </vt:variant>
      <vt:variant>
        <vt:i4>1441852</vt:i4>
      </vt:variant>
      <vt:variant>
        <vt:i4>14</vt:i4>
      </vt:variant>
      <vt:variant>
        <vt:i4>0</vt:i4>
      </vt:variant>
      <vt:variant>
        <vt:i4>5</vt:i4>
      </vt:variant>
      <vt:variant>
        <vt:lpwstr/>
      </vt:variant>
      <vt:variant>
        <vt:lpwstr>_Toc198569343</vt:lpwstr>
      </vt:variant>
      <vt:variant>
        <vt:i4>7471206</vt:i4>
      </vt:variant>
      <vt:variant>
        <vt:i4>9</vt:i4>
      </vt:variant>
      <vt:variant>
        <vt:i4>0</vt:i4>
      </vt:variant>
      <vt:variant>
        <vt:i4>5</vt:i4>
      </vt:variant>
      <vt:variant>
        <vt:lpwstr>https://www.itu.int/en/council/Documents/basic-texts-2023/Convention-E.pdf</vt:lpwstr>
      </vt:variant>
      <vt:variant>
        <vt:lpwstr/>
      </vt:variant>
      <vt:variant>
        <vt:i4>7209060</vt:i4>
      </vt:variant>
      <vt:variant>
        <vt:i4>6</vt:i4>
      </vt:variant>
      <vt:variant>
        <vt:i4>0</vt:i4>
      </vt:variant>
      <vt:variant>
        <vt:i4>5</vt:i4>
      </vt:variant>
      <vt:variant>
        <vt:lpwstr>https://www.itu.int/en/council/Documents/basic-texts-2023/RES-200-E.pdf</vt:lpwstr>
      </vt:variant>
      <vt:variant>
        <vt:lpwstr/>
      </vt:variant>
      <vt:variant>
        <vt:i4>7012454</vt:i4>
      </vt:variant>
      <vt:variant>
        <vt:i4>3</vt:i4>
      </vt:variant>
      <vt:variant>
        <vt:i4>0</vt:i4>
      </vt:variant>
      <vt:variant>
        <vt:i4>5</vt:i4>
      </vt:variant>
      <vt:variant>
        <vt:lpwstr>https://www.itu.int/en/council/Documents/basic-texts-2023/RES-151-E.pdf</vt:lpwstr>
      </vt:variant>
      <vt:variant>
        <vt:lpwstr/>
      </vt:variant>
      <vt:variant>
        <vt:i4>6881383</vt:i4>
      </vt:variant>
      <vt:variant>
        <vt:i4>0</vt:i4>
      </vt:variant>
      <vt:variant>
        <vt:i4>0</vt:i4>
      </vt:variant>
      <vt:variant>
        <vt:i4>5</vt:i4>
      </vt:variant>
      <vt:variant>
        <vt:lpwstr>https://www.itu.int/en/council/Documents/basic-texts-2023/RES-071-E.pdf</vt:lpwstr>
      </vt:variant>
      <vt:variant>
        <vt:lpwstr/>
      </vt:variant>
      <vt:variant>
        <vt:i4>196633</vt:i4>
      </vt:variant>
      <vt:variant>
        <vt:i4>3</vt:i4>
      </vt:variant>
      <vt:variant>
        <vt:i4>0</vt:i4>
      </vt:variant>
      <vt:variant>
        <vt:i4>5</vt:i4>
      </vt:variant>
      <vt:variant>
        <vt:lpwstr>https://council.itu.int/2025/en/</vt:lpwstr>
      </vt:variant>
      <vt:variant>
        <vt:lpwstr/>
      </vt:variant>
      <vt:variant>
        <vt:i4>5832800</vt:i4>
      </vt:variant>
      <vt:variant>
        <vt:i4>96</vt:i4>
      </vt:variant>
      <vt:variant>
        <vt:i4>0</vt:i4>
      </vt:variant>
      <vt:variant>
        <vt:i4>5</vt:i4>
      </vt:variant>
      <vt:variant>
        <vt:lpwstr>mailto:roxana.widmer-iliescu@itu.int</vt:lpwstr>
      </vt:variant>
      <vt:variant>
        <vt:lpwstr/>
      </vt:variant>
      <vt:variant>
        <vt:i4>3670098</vt:i4>
      </vt:variant>
      <vt:variant>
        <vt:i4>93</vt:i4>
      </vt:variant>
      <vt:variant>
        <vt:i4>0</vt:i4>
      </vt:variant>
      <vt:variant>
        <vt:i4>5</vt:i4>
      </vt:variant>
      <vt:variant>
        <vt:lpwstr>mailto:neil.macdonald@itu.int</vt:lpwstr>
      </vt:variant>
      <vt:variant>
        <vt:lpwstr/>
      </vt:variant>
      <vt:variant>
        <vt:i4>6160446</vt:i4>
      </vt:variant>
      <vt:variant>
        <vt:i4>90</vt:i4>
      </vt:variant>
      <vt:variant>
        <vt:i4>0</vt:i4>
      </vt:variant>
      <vt:variant>
        <vt:i4>5</vt:i4>
      </vt:variant>
      <vt:variant>
        <vt:lpwstr>mailto:jose.batanero@itu.int</vt:lpwstr>
      </vt:variant>
      <vt:variant>
        <vt:lpwstr/>
      </vt:variant>
      <vt:variant>
        <vt:i4>7864349</vt:i4>
      </vt:variant>
      <vt:variant>
        <vt:i4>87</vt:i4>
      </vt:variant>
      <vt:variant>
        <vt:i4>0</vt:i4>
      </vt:variant>
      <vt:variant>
        <vt:i4>5</vt:i4>
      </vt:variant>
      <vt:variant>
        <vt:lpwstr>mailto:reyna.ubeda@itu.int</vt:lpwstr>
      </vt:variant>
      <vt:variant>
        <vt:lpwstr/>
      </vt:variant>
      <vt:variant>
        <vt:i4>721005</vt:i4>
      </vt:variant>
      <vt:variant>
        <vt:i4>84</vt:i4>
      </vt:variant>
      <vt:variant>
        <vt:i4>0</vt:i4>
      </vt:variant>
      <vt:variant>
        <vt:i4>5</vt:i4>
      </vt:variant>
      <vt:variant>
        <vt:lpwstr>mailto:tomas.lamanauskas@itu.int</vt:lpwstr>
      </vt:variant>
      <vt:variant>
        <vt:lpwstr/>
      </vt:variant>
      <vt:variant>
        <vt:i4>721005</vt:i4>
      </vt:variant>
      <vt:variant>
        <vt:i4>81</vt:i4>
      </vt:variant>
      <vt:variant>
        <vt:i4>0</vt:i4>
      </vt:variant>
      <vt:variant>
        <vt:i4>5</vt:i4>
      </vt:variant>
      <vt:variant>
        <vt:lpwstr>mailto:tomas.lamanauskas@itu.int</vt:lpwstr>
      </vt:variant>
      <vt:variant>
        <vt:lpwstr/>
      </vt:variant>
      <vt:variant>
        <vt:i4>3670098</vt:i4>
      </vt:variant>
      <vt:variant>
        <vt:i4>78</vt:i4>
      </vt:variant>
      <vt:variant>
        <vt:i4>0</vt:i4>
      </vt:variant>
      <vt:variant>
        <vt:i4>5</vt:i4>
      </vt:variant>
      <vt:variant>
        <vt:lpwstr>mailto:neil.macdonald@itu.int</vt:lpwstr>
      </vt:variant>
      <vt:variant>
        <vt:lpwstr/>
      </vt:variant>
      <vt:variant>
        <vt:i4>3670098</vt:i4>
      </vt:variant>
      <vt:variant>
        <vt:i4>75</vt:i4>
      </vt:variant>
      <vt:variant>
        <vt:i4>0</vt:i4>
      </vt:variant>
      <vt:variant>
        <vt:i4>5</vt:i4>
      </vt:variant>
      <vt:variant>
        <vt:lpwstr>mailto:neil.macdonald@itu.int</vt:lpwstr>
      </vt:variant>
      <vt:variant>
        <vt:lpwstr/>
      </vt:variant>
      <vt:variant>
        <vt:i4>3670098</vt:i4>
      </vt:variant>
      <vt:variant>
        <vt:i4>72</vt:i4>
      </vt:variant>
      <vt:variant>
        <vt:i4>0</vt:i4>
      </vt:variant>
      <vt:variant>
        <vt:i4>5</vt:i4>
      </vt:variant>
      <vt:variant>
        <vt:lpwstr>mailto:neil.macdonald@itu.int</vt:lpwstr>
      </vt:variant>
      <vt:variant>
        <vt:lpwstr/>
      </vt:variant>
      <vt:variant>
        <vt:i4>3670098</vt:i4>
      </vt:variant>
      <vt:variant>
        <vt:i4>69</vt:i4>
      </vt:variant>
      <vt:variant>
        <vt:i4>0</vt:i4>
      </vt:variant>
      <vt:variant>
        <vt:i4>5</vt:i4>
      </vt:variant>
      <vt:variant>
        <vt:lpwstr>mailto:neil.macdonald@itu.int</vt:lpwstr>
      </vt:variant>
      <vt:variant>
        <vt:lpwstr/>
      </vt:variant>
      <vt:variant>
        <vt:i4>3670098</vt:i4>
      </vt:variant>
      <vt:variant>
        <vt:i4>66</vt:i4>
      </vt:variant>
      <vt:variant>
        <vt:i4>0</vt:i4>
      </vt:variant>
      <vt:variant>
        <vt:i4>5</vt:i4>
      </vt:variant>
      <vt:variant>
        <vt:lpwstr>mailto:neil.macdonald@itu.int</vt:lpwstr>
      </vt:variant>
      <vt:variant>
        <vt:lpwstr/>
      </vt:variant>
      <vt:variant>
        <vt:i4>3670098</vt:i4>
      </vt:variant>
      <vt:variant>
        <vt:i4>63</vt:i4>
      </vt:variant>
      <vt:variant>
        <vt:i4>0</vt:i4>
      </vt:variant>
      <vt:variant>
        <vt:i4>5</vt:i4>
      </vt:variant>
      <vt:variant>
        <vt:lpwstr>mailto:neil.macdonald@itu.int</vt:lpwstr>
      </vt:variant>
      <vt:variant>
        <vt:lpwstr/>
      </vt:variant>
      <vt:variant>
        <vt:i4>3670098</vt:i4>
      </vt:variant>
      <vt:variant>
        <vt:i4>60</vt:i4>
      </vt:variant>
      <vt:variant>
        <vt:i4>0</vt:i4>
      </vt:variant>
      <vt:variant>
        <vt:i4>5</vt:i4>
      </vt:variant>
      <vt:variant>
        <vt:lpwstr>mailto:neil.macdonald@itu.int</vt:lpwstr>
      </vt:variant>
      <vt:variant>
        <vt:lpwstr/>
      </vt:variant>
      <vt:variant>
        <vt:i4>3670098</vt:i4>
      </vt:variant>
      <vt:variant>
        <vt:i4>57</vt:i4>
      </vt:variant>
      <vt:variant>
        <vt:i4>0</vt:i4>
      </vt:variant>
      <vt:variant>
        <vt:i4>5</vt:i4>
      </vt:variant>
      <vt:variant>
        <vt:lpwstr>mailto:neil.macdonald@itu.int</vt:lpwstr>
      </vt:variant>
      <vt:variant>
        <vt:lpwstr/>
      </vt:variant>
      <vt:variant>
        <vt:i4>3670098</vt:i4>
      </vt:variant>
      <vt:variant>
        <vt:i4>54</vt:i4>
      </vt:variant>
      <vt:variant>
        <vt:i4>0</vt:i4>
      </vt:variant>
      <vt:variant>
        <vt:i4>5</vt:i4>
      </vt:variant>
      <vt:variant>
        <vt:lpwstr>mailto:neil.macdonald@itu.int</vt:lpwstr>
      </vt:variant>
      <vt:variant>
        <vt:lpwstr/>
      </vt:variant>
      <vt:variant>
        <vt:i4>3670098</vt:i4>
      </vt:variant>
      <vt:variant>
        <vt:i4>51</vt:i4>
      </vt:variant>
      <vt:variant>
        <vt:i4>0</vt:i4>
      </vt:variant>
      <vt:variant>
        <vt:i4>5</vt:i4>
      </vt:variant>
      <vt:variant>
        <vt:lpwstr>mailto:neil.macdonald@itu.int</vt:lpwstr>
      </vt:variant>
      <vt:variant>
        <vt:lpwstr/>
      </vt:variant>
      <vt:variant>
        <vt:i4>3670098</vt:i4>
      </vt:variant>
      <vt:variant>
        <vt:i4>48</vt:i4>
      </vt:variant>
      <vt:variant>
        <vt:i4>0</vt:i4>
      </vt:variant>
      <vt:variant>
        <vt:i4>5</vt:i4>
      </vt:variant>
      <vt:variant>
        <vt:lpwstr>mailto:neil.macdonald@itu.int</vt:lpwstr>
      </vt:variant>
      <vt:variant>
        <vt:lpwstr/>
      </vt:variant>
      <vt:variant>
        <vt:i4>3211330</vt:i4>
      </vt:variant>
      <vt:variant>
        <vt:i4>45</vt:i4>
      </vt:variant>
      <vt:variant>
        <vt:i4>0</vt:i4>
      </vt:variant>
      <vt:variant>
        <vt:i4>5</vt:i4>
      </vt:variant>
      <vt:variant>
        <vt:lpwstr>mailto:fernando.rivera@itu.int</vt:lpwstr>
      </vt:variant>
      <vt:variant>
        <vt:lpwstr/>
      </vt:variant>
      <vt:variant>
        <vt:i4>3670098</vt:i4>
      </vt:variant>
      <vt:variant>
        <vt:i4>42</vt:i4>
      </vt:variant>
      <vt:variant>
        <vt:i4>0</vt:i4>
      </vt:variant>
      <vt:variant>
        <vt:i4>5</vt:i4>
      </vt:variant>
      <vt:variant>
        <vt:lpwstr>mailto:neil.macdonald@itu.int</vt:lpwstr>
      </vt:variant>
      <vt:variant>
        <vt:lpwstr/>
      </vt:variant>
      <vt:variant>
        <vt:i4>3670098</vt:i4>
      </vt:variant>
      <vt:variant>
        <vt:i4>39</vt:i4>
      </vt:variant>
      <vt:variant>
        <vt:i4>0</vt:i4>
      </vt:variant>
      <vt:variant>
        <vt:i4>5</vt:i4>
      </vt:variant>
      <vt:variant>
        <vt:lpwstr>mailto:neil.macdonald@itu.int</vt:lpwstr>
      </vt:variant>
      <vt:variant>
        <vt:lpwstr/>
      </vt:variant>
      <vt:variant>
        <vt:i4>3670098</vt:i4>
      </vt:variant>
      <vt:variant>
        <vt:i4>36</vt:i4>
      </vt:variant>
      <vt:variant>
        <vt:i4>0</vt:i4>
      </vt:variant>
      <vt:variant>
        <vt:i4>5</vt:i4>
      </vt:variant>
      <vt:variant>
        <vt:lpwstr>mailto:neil.macdonald@itu.int</vt:lpwstr>
      </vt:variant>
      <vt:variant>
        <vt:lpwstr/>
      </vt:variant>
      <vt:variant>
        <vt:i4>3211330</vt:i4>
      </vt:variant>
      <vt:variant>
        <vt:i4>33</vt:i4>
      </vt:variant>
      <vt:variant>
        <vt:i4>0</vt:i4>
      </vt:variant>
      <vt:variant>
        <vt:i4>5</vt:i4>
      </vt:variant>
      <vt:variant>
        <vt:lpwstr>mailto:fernando.rivera@itu.int</vt:lpwstr>
      </vt:variant>
      <vt:variant>
        <vt:lpwstr/>
      </vt:variant>
      <vt:variant>
        <vt:i4>3670098</vt:i4>
      </vt:variant>
      <vt:variant>
        <vt:i4>30</vt:i4>
      </vt:variant>
      <vt:variant>
        <vt:i4>0</vt:i4>
      </vt:variant>
      <vt:variant>
        <vt:i4>5</vt:i4>
      </vt:variant>
      <vt:variant>
        <vt:lpwstr>mailto:neil.macdonald@itu.int</vt:lpwstr>
      </vt:variant>
      <vt:variant>
        <vt:lpwstr/>
      </vt:variant>
      <vt:variant>
        <vt:i4>3670098</vt:i4>
      </vt:variant>
      <vt:variant>
        <vt:i4>27</vt:i4>
      </vt:variant>
      <vt:variant>
        <vt:i4>0</vt:i4>
      </vt:variant>
      <vt:variant>
        <vt:i4>5</vt:i4>
      </vt:variant>
      <vt:variant>
        <vt:lpwstr>mailto:neil.macdonald@itu.int</vt:lpwstr>
      </vt:variant>
      <vt:variant>
        <vt:lpwstr/>
      </vt:variant>
      <vt:variant>
        <vt:i4>3670098</vt:i4>
      </vt:variant>
      <vt:variant>
        <vt:i4>24</vt:i4>
      </vt:variant>
      <vt:variant>
        <vt:i4>0</vt:i4>
      </vt:variant>
      <vt:variant>
        <vt:i4>5</vt:i4>
      </vt:variant>
      <vt:variant>
        <vt:lpwstr>mailto:neil.macdonald@itu.int</vt:lpwstr>
      </vt:variant>
      <vt:variant>
        <vt:lpwstr/>
      </vt:variant>
      <vt:variant>
        <vt:i4>3670098</vt:i4>
      </vt:variant>
      <vt:variant>
        <vt:i4>21</vt:i4>
      </vt:variant>
      <vt:variant>
        <vt:i4>0</vt:i4>
      </vt:variant>
      <vt:variant>
        <vt:i4>5</vt:i4>
      </vt:variant>
      <vt:variant>
        <vt:lpwstr>mailto:neil.macdonald@itu.int</vt:lpwstr>
      </vt:variant>
      <vt:variant>
        <vt:lpwstr/>
      </vt:variant>
      <vt:variant>
        <vt:i4>3670098</vt:i4>
      </vt:variant>
      <vt:variant>
        <vt:i4>18</vt:i4>
      </vt:variant>
      <vt:variant>
        <vt:i4>0</vt:i4>
      </vt:variant>
      <vt:variant>
        <vt:i4>5</vt:i4>
      </vt:variant>
      <vt:variant>
        <vt:lpwstr>mailto:neil.macdonald@itu.int</vt:lpwstr>
      </vt:variant>
      <vt:variant>
        <vt:lpwstr/>
      </vt:variant>
      <vt:variant>
        <vt:i4>721005</vt:i4>
      </vt:variant>
      <vt:variant>
        <vt:i4>15</vt:i4>
      </vt:variant>
      <vt:variant>
        <vt:i4>0</vt:i4>
      </vt:variant>
      <vt:variant>
        <vt:i4>5</vt:i4>
      </vt:variant>
      <vt:variant>
        <vt:lpwstr>mailto:tomas.lamanauskas@itu.int</vt:lpwstr>
      </vt:variant>
      <vt:variant>
        <vt:lpwstr/>
      </vt:variant>
      <vt:variant>
        <vt:i4>5177378</vt:i4>
      </vt:variant>
      <vt:variant>
        <vt:i4>12</vt:i4>
      </vt:variant>
      <vt:variant>
        <vt:i4>0</vt:i4>
      </vt:variant>
      <vt:variant>
        <vt:i4>5</vt:i4>
      </vt:variant>
      <vt:variant>
        <vt:lpwstr>mailto:nicole.harper@itu.int</vt:lpwstr>
      </vt:variant>
      <vt:variant>
        <vt:lpwstr/>
      </vt:variant>
      <vt:variant>
        <vt:i4>5177378</vt:i4>
      </vt:variant>
      <vt:variant>
        <vt:i4>9</vt:i4>
      </vt:variant>
      <vt:variant>
        <vt:i4>0</vt:i4>
      </vt:variant>
      <vt:variant>
        <vt:i4>5</vt:i4>
      </vt:variant>
      <vt:variant>
        <vt:lpwstr>mailto:nicole.harper@itu.int</vt:lpwstr>
      </vt:variant>
      <vt:variant>
        <vt:lpwstr/>
      </vt:variant>
      <vt:variant>
        <vt:i4>5177378</vt:i4>
      </vt:variant>
      <vt:variant>
        <vt:i4>6</vt:i4>
      </vt:variant>
      <vt:variant>
        <vt:i4>0</vt:i4>
      </vt:variant>
      <vt:variant>
        <vt:i4>5</vt:i4>
      </vt:variant>
      <vt:variant>
        <vt:lpwstr>mailto:nicole.harper@itu.int</vt:lpwstr>
      </vt:variant>
      <vt:variant>
        <vt:lpwstr/>
      </vt:variant>
      <vt:variant>
        <vt:i4>5177378</vt:i4>
      </vt:variant>
      <vt:variant>
        <vt:i4>3</vt:i4>
      </vt:variant>
      <vt:variant>
        <vt:i4>0</vt:i4>
      </vt:variant>
      <vt:variant>
        <vt:i4>5</vt:i4>
      </vt:variant>
      <vt:variant>
        <vt:lpwstr>mailto:nicole.harper@itu.int</vt:lpwstr>
      </vt:variant>
      <vt:variant>
        <vt:lpwstr/>
      </vt:variant>
      <vt:variant>
        <vt:i4>3211330</vt:i4>
      </vt:variant>
      <vt:variant>
        <vt:i4>0</vt:i4>
      </vt:variant>
      <vt:variant>
        <vt:i4>0</vt:i4>
      </vt:variant>
      <vt:variant>
        <vt:i4>5</vt:i4>
      </vt:variant>
      <vt:variant>
        <vt:lpwstr>mailto:fernando.rivera@itu.int</vt:lpwstr>
      </vt:variant>
      <vt:variant>
        <vt:lpwstr/>
      </vt:variant>
      <vt:variant>
        <vt:i4>6226001</vt:i4>
      </vt:variant>
      <vt:variant>
        <vt:i4>66</vt:i4>
      </vt:variant>
      <vt:variant>
        <vt:i4>0</vt:i4>
      </vt:variant>
      <vt:variant>
        <vt:i4>5</vt:i4>
      </vt:variant>
      <vt:variant>
        <vt:lpwstr>https://www.linkedin.com/pulse/harnessing-ai-sustainable-future-cop29-climate-bahme/</vt:lpwstr>
      </vt:variant>
      <vt:variant>
        <vt:lpwstr/>
      </vt:variant>
      <vt:variant>
        <vt:i4>983114</vt:i4>
      </vt:variant>
      <vt:variant>
        <vt:i4>63</vt:i4>
      </vt:variant>
      <vt:variant>
        <vt:i4>0</vt:i4>
      </vt:variant>
      <vt:variant>
        <vt:i4>5</vt:i4>
      </vt:variant>
      <vt:variant>
        <vt:lpwstr>https://www.itu.int/hub/2025/04/ai-standards-and-future-disaster-resilience/</vt:lpwstr>
      </vt:variant>
      <vt:variant>
        <vt:lpwstr/>
      </vt:variant>
      <vt:variant>
        <vt:i4>2621487</vt:i4>
      </vt:variant>
      <vt:variant>
        <vt:i4>60</vt:i4>
      </vt:variant>
      <vt:variant>
        <vt:i4>0</vt:i4>
      </vt:variant>
      <vt:variant>
        <vt:i4>5</vt:i4>
      </vt:variant>
      <vt:variant>
        <vt:lpwstr>https://www.itu.int/hub/2024/08/new-un-initiative-to-reduce-disaster-risk-with-ai/</vt:lpwstr>
      </vt:variant>
      <vt:variant>
        <vt:lpwstr/>
      </vt:variant>
      <vt:variant>
        <vt:i4>3735657</vt:i4>
      </vt:variant>
      <vt:variant>
        <vt:i4>57</vt:i4>
      </vt:variant>
      <vt:variant>
        <vt:i4>0</vt:i4>
      </vt:variant>
      <vt:variant>
        <vt:i4>5</vt:i4>
      </vt:variant>
      <vt:variant>
        <vt:lpwstr>https://www.itu.int/itu-d/sites/digital-impact-unlocked/digital-innovation-profile-co-creation-advances-innovation-in-albania/</vt:lpwstr>
      </vt:variant>
      <vt:variant>
        <vt:lpwstr/>
      </vt:variant>
      <vt:variant>
        <vt:i4>3473471</vt:i4>
      </vt:variant>
      <vt:variant>
        <vt:i4>54</vt:i4>
      </vt:variant>
      <vt:variant>
        <vt:i4>0</vt:i4>
      </vt:variant>
      <vt:variant>
        <vt:i4>5</vt:i4>
      </vt:variant>
      <vt:variant>
        <vt:lpwstr>https://www.itu.int/itu-d/sites/digital-impact-unlocked/enhancing-azerbaijans-ict-data-systems/</vt:lpwstr>
      </vt:variant>
      <vt:variant>
        <vt:lpwstr/>
      </vt:variant>
      <vt:variant>
        <vt:i4>8323108</vt:i4>
      </vt:variant>
      <vt:variant>
        <vt:i4>51</vt:i4>
      </vt:variant>
      <vt:variant>
        <vt:i4>0</vt:i4>
      </vt:variant>
      <vt:variant>
        <vt:i4>5</vt:i4>
      </vt:variant>
      <vt:variant>
        <vt:lpwstr>https://www.itu.int/itu-d/sites/digital-impact-unlocked/digital-training-empowers-vanilla-farmers-in-papua-new-guinea-to-find-new-markets/</vt:lpwstr>
      </vt:variant>
      <vt:variant>
        <vt:lpwstr/>
      </vt:variant>
      <vt:variant>
        <vt:i4>2228272</vt:i4>
      </vt:variant>
      <vt:variant>
        <vt:i4>48</vt:i4>
      </vt:variant>
      <vt:variant>
        <vt:i4>0</vt:i4>
      </vt:variant>
      <vt:variant>
        <vt:i4>5</vt:i4>
      </vt:variant>
      <vt:variant>
        <vt:lpwstr>https://www.itu.int/itu-d/sites/digital-impact-unlocked/bdt4impact-case-study-record-breaking-cyber-response-trainings/</vt:lpwstr>
      </vt:variant>
      <vt:variant>
        <vt:lpwstr/>
      </vt:variant>
      <vt:variant>
        <vt:i4>1245202</vt:i4>
      </vt:variant>
      <vt:variant>
        <vt:i4>45</vt:i4>
      </vt:variant>
      <vt:variant>
        <vt:i4>0</vt:i4>
      </vt:variant>
      <vt:variant>
        <vt:i4>5</vt:i4>
      </vt:variant>
      <vt:variant>
        <vt:lpwstr>https://www.itu.int/itu-d/sites/digital-impact-unlocked/crisis-response-itus-response-to-hurricane-beryl/</vt:lpwstr>
      </vt:variant>
      <vt:variant>
        <vt:lpwstr/>
      </vt:variant>
      <vt:variant>
        <vt:i4>786441</vt:i4>
      </vt:variant>
      <vt:variant>
        <vt:i4>42</vt:i4>
      </vt:variant>
      <vt:variant>
        <vt:i4>0</vt:i4>
      </vt:variant>
      <vt:variant>
        <vt:i4>5</vt:i4>
      </vt:variant>
      <vt:variant>
        <vt:lpwstr>https://www.itu.int/itu-d/sites/digital-impact-unlocked/a-new-national-e-waste-policy-in-malawi/</vt:lpwstr>
      </vt:variant>
      <vt:variant>
        <vt:lpwstr/>
      </vt:variant>
      <vt:variant>
        <vt:i4>8323178</vt:i4>
      </vt:variant>
      <vt:variant>
        <vt:i4>39</vt:i4>
      </vt:variant>
      <vt:variant>
        <vt:i4>0</vt:i4>
      </vt:variant>
      <vt:variant>
        <vt:i4>5</vt:i4>
      </vt:variant>
      <vt:variant>
        <vt:lpwstr>https://www.itu.int/hub/publication/r-reg-rr-2024/</vt:lpwstr>
      </vt:variant>
      <vt:variant>
        <vt:lpwstr/>
      </vt:variant>
      <vt:variant>
        <vt:i4>6225998</vt:i4>
      </vt:variant>
      <vt:variant>
        <vt:i4>36</vt:i4>
      </vt:variant>
      <vt:variant>
        <vt:i4>0</vt:i4>
      </vt:variant>
      <vt:variant>
        <vt:i4>5</vt:i4>
      </vt:variant>
      <vt:variant>
        <vt:lpwstr>https://www.itu.int/hub/2024/12/wrs-24-global-itu-seminar-outlines-latest-radio-spectrum-regulations/</vt:lpwstr>
      </vt:variant>
      <vt:variant>
        <vt:lpwstr/>
      </vt:variant>
      <vt:variant>
        <vt:i4>6029326</vt:i4>
      </vt:variant>
      <vt:variant>
        <vt:i4>33</vt:i4>
      </vt:variant>
      <vt:variant>
        <vt:i4>0</vt:i4>
      </vt:variant>
      <vt:variant>
        <vt:i4>5</vt:i4>
      </vt:variant>
      <vt:variant>
        <vt:lpwstr>https://www.itu.int/hub/2025/03/ai-skills-for-the-future-a-new-un-training-platform/</vt:lpwstr>
      </vt:variant>
      <vt:variant>
        <vt:lpwstr/>
      </vt:variant>
      <vt:variant>
        <vt:i4>2031710</vt:i4>
      </vt:variant>
      <vt:variant>
        <vt:i4>30</vt:i4>
      </vt:variant>
      <vt:variant>
        <vt:i4>0</vt:i4>
      </vt:variant>
      <vt:variant>
        <vt:i4>5</vt:i4>
      </vt:variant>
      <vt:variant>
        <vt:lpwstr>https://aiforgood.itu.int/young-ai-leaders-community/</vt:lpwstr>
      </vt:variant>
      <vt:variant>
        <vt:lpwstr/>
      </vt:variant>
      <vt:variant>
        <vt:i4>4587611</vt:i4>
      </vt:variant>
      <vt:variant>
        <vt:i4>27</vt:i4>
      </vt:variant>
      <vt:variant>
        <vt:i4>0</vt:i4>
      </vt:variant>
      <vt:variant>
        <vt:i4>5</vt:i4>
      </vt:variant>
      <vt:variant>
        <vt:lpwstr>https://s41721.pcdn.co/wp-content/uploads/2024/12/t-ai4g-ai4good-2024-9-pdf-e.pdf</vt:lpwstr>
      </vt:variant>
      <vt:variant>
        <vt:lpwstr/>
      </vt:variant>
      <vt:variant>
        <vt:i4>786456</vt:i4>
      </vt:variant>
      <vt:variant>
        <vt:i4>24</vt:i4>
      </vt:variant>
      <vt:variant>
        <vt:i4>0</vt:i4>
      </vt:variant>
      <vt:variant>
        <vt:i4>5</vt:i4>
      </vt:variant>
      <vt:variant>
        <vt:lpwstr>https://www.itu.int/en/mediacentre/Pages/PR-2024-05-31-AI-for-Good-Global-Summit.aspx</vt:lpwstr>
      </vt:variant>
      <vt:variant>
        <vt:lpwstr/>
      </vt:variant>
      <vt:variant>
        <vt:i4>65607</vt:i4>
      </vt:variant>
      <vt:variant>
        <vt:i4>21</vt:i4>
      </vt:variant>
      <vt:variant>
        <vt:i4>0</vt:i4>
      </vt:variant>
      <vt:variant>
        <vt:i4>5</vt:i4>
      </vt:variant>
      <vt:variant>
        <vt:lpwstr>https://aiforgood.itu.int/brain-machine-interface-press-conference-at-ai-for-good-global-summit-2024/</vt:lpwstr>
      </vt:variant>
      <vt:variant>
        <vt:lpwstr/>
      </vt:variant>
      <vt:variant>
        <vt:i4>65614</vt:i4>
      </vt:variant>
      <vt:variant>
        <vt:i4>18</vt:i4>
      </vt:variant>
      <vt:variant>
        <vt:i4>0</vt:i4>
      </vt:variant>
      <vt:variant>
        <vt:i4>5</vt:i4>
      </vt:variant>
      <vt:variant>
        <vt:lpwstr>https://www.itu.int/hub/2024/11/quantum-no-longer-20-years-away/</vt:lpwstr>
      </vt:variant>
      <vt:variant>
        <vt:lpwstr/>
      </vt:variant>
      <vt:variant>
        <vt:i4>3407934</vt:i4>
      </vt:variant>
      <vt:variant>
        <vt:i4>15</vt:i4>
      </vt:variant>
      <vt:variant>
        <vt:i4>0</vt:i4>
      </vt:variant>
      <vt:variant>
        <vt:i4>5</vt:i4>
      </vt:variant>
      <vt:variant>
        <vt:lpwstr>https://www.linkedin.com/pulse/shaping-future-telecommunications-itu-wtsa-24-hy9be/</vt:lpwstr>
      </vt:variant>
      <vt:variant>
        <vt:lpwstr/>
      </vt:variant>
      <vt:variant>
        <vt:i4>4915271</vt:i4>
      </vt:variant>
      <vt:variant>
        <vt:i4>12</vt:i4>
      </vt:variant>
      <vt:variant>
        <vt:i4>0</vt:i4>
      </vt:variant>
      <vt:variant>
        <vt:i4>5</vt:i4>
      </vt:variant>
      <vt:variant>
        <vt:lpwstr>https://www.itu.int/en/ITU-T/focusgroups/ai4h/Pages/default.aspx</vt:lpwstr>
      </vt:variant>
      <vt:variant>
        <vt:lpwstr/>
      </vt:variant>
      <vt:variant>
        <vt:i4>7667834</vt:i4>
      </vt:variant>
      <vt:variant>
        <vt:i4>9</vt:i4>
      </vt:variant>
      <vt:variant>
        <vt:i4>0</vt:i4>
      </vt:variant>
      <vt:variant>
        <vt:i4>5</vt:i4>
      </vt:variant>
      <vt:variant>
        <vt:lpwstr>https://aiforgood.itu.int/summit23/</vt:lpwstr>
      </vt:variant>
      <vt:variant>
        <vt:lpwstr/>
      </vt:variant>
      <vt:variant>
        <vt:i4>1441867</vt:i4>
      </vt:variant>
      <vt:variant>
        <vt:i4>6</vt:i4>
      </vt:variant>
      <vt:variant>
        <vt:i4>0</vt:i4>
      </vt:variant>
      <vt:variant>
        <vt:i4>5</vt:i4>
      </vt:variant>
      <vt:variant>
        <vt:lpwstr>https://www.itu.int/hub/2023/07/new-un-initiative-aims-to-step-up-ais-contribution-to-health/</vt:lpwstr>
      </vt:variant>
      <vt:variant>
        <vt:lpwstr/>
      </vt:variant>
      <vt:variant>
        <vt:i4>524378</vt:i4>
      </vt:variant>
      <vt:variant>
        <vt:i4>3</vt:i4>
      </vt:variant>
      <vt:variant>
        <vt:i4>0</vt:i4>
      </vt:variant>
      <vt:variant>
        <vt:i4>5</vt:i4>
      </vt:variant>
      <vt:variant>
        <vt:lpwstr>https://www.itu.int/osg/year-in-review-2024/</vt:lpwstr>
      </vt:variant>
      <vt:variant>
        <vt:lpwstr/>
      </vt:variant>
      <vt:variant>
        <vt:i4>2818171</vt:i4>
      </vt:variant>
      <vt:variant>
        <vt:i4>0</vt:i4>
      </vt:variant>
      <vt:variant>
        <vt:i4>0</vt:i4>
      </vt:variant>
      <vt:variant>
        <vt:i4>5</vt:i4>
      </vt:variant>
      <vt:variant>
        <vt:lpwstr>https://www.itu.int/osg/year-in-review-2024/boosting-connectivity/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on the implementation of the strategic plan and the activities of the Union, 2024</dc:title>
  <dc:subject>Council 2025</dc:subject>
  <dc:creator>GBS</dc:creator>
  <cp:keywords>C25; C2025; Council 2025; ITU160</cp:keywords>
  <dc:description/>
  <cp:lastModifiedBy>LRT</cp:lastModifiedBy>
  <cp:revision>8</cp:revision>
  <cp:lastPrinted>2000-07-21T13:30:00Z</cp:lastPrinted>
  <dcterms:created xsi:type="dcterms:W3CDTF">2025-05-21T10:04:00Z</dcterms:created>
  <dcterms:modified xsi:type="dcterms:W3CDTF">2025-06-02T09:33:00Z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0x01010096B2CC4DF5F10149B2E37F08EDC3AC3A</vt:lpwstr>
  </property>
  <property fmtid="{D5CDD505-2E9C-101B-9397-08002B2CF9AE}" pid="9" name="MediaServiceImageTags">
    <vt:lpwstr/>
  </property>
  <property fmtid="{D5CDD505-2E9C-101B-9397-08002B2CF9AE}" pid="10" name="GrammarlyDocumentId">
    <vt:lpwstr>b5ee8a27-f813-44fd-8bbf-ab220a64f6ea</vt:lpwstr>
  </property>
</Properties>
</file>