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02338D" w14:paraId="1C88D899" w14:textId="77777777" w:rsidTr="00C538FC">
        <w:trPr>
          <w:cantSplit/>
          <w:trHeight w:val="23"/>
        </w:trPr>
        <w:tc>
          <w:tcPr>
            <w:tcW w:w="3969" w:type="dxa"/>
            <w:vMerge w:val="restart"/>
            <w:tcMar>
              <w:left w:w="0" w:type="dxa"/>
            </w:tcMar>
          </w:tcPr>
          <w:p w14:paraId="6E8B0B8A" w14:textId="7FF01089" w:rsidR="00FE57F6" w:rsidRPr="0002338D" w:rsidRDefault="00201AF5" w:rsidP="00C538FC">
            <w:pPr>
              <w:tabs>
                <w:tab w:val="left" w:pos="851"/>
              </w:tabs>
              <w:spacing w:before="0" w:line="240" w:lineRule="atLeast"/>
              <w:rPr>
                <w:b/>
              </w:rPr>
            </w:pPr>
            <w:bookmarkStart w:id="0" w:name="_Hlk133421839"/>
            <w:r>
              <w:rPr>
                <w:b/>
              </w:rPr>
              <w:t>Punto del o</w:t>
            </w:r>
            <w:r w:rsidR="00BB6FD8" w:rsidRPr="0002338D">
              <w:rPr>
                <w:b/>
              </w:rPr>
              <w:t>rden del día</w:t>
            </w:r>
            <w:r w:rsidR="00FE57F6" w:rsidRPr="0002338D">
              <w:rPr>
                <w:b/>
              </w:rPr>
              <w:t xml:space="preserve">: </w:t>
            </w:r>
            <w:r>
              <w:rPr>
                <w:b/>
              </w:rPr>
              <w:t>PL 2</w:t>
            </w:r>
          </w:p>
        </w:tc>
        <w:tc>
          <w:tcPr>
            <w:tcW w:w="5245" w:type="dxa"/>
          </w:tcPr>
          <w:p w14:paraId="6746A730" w14:textId="3E33137D" w:rsidR="00FE57F6" w:rsidRPr="0002338D" w:rsidRDefault="00FE57F6" w:rsidP="00C538FC">
            <w:pPr>
              <w:tabs>
                <w:tab w:val="left" w:pos="851"/>
              </w:tabs>
              <w:spacing w:before="0" w:line="240" w:lineRule="atLeast"/>
              <w:jc w:val="right"/>
              <w:rPr>
                <w:b/>
              </w:rPr>
            </w:pPr>
            <w:r w:rsidRPr="0002338D">
              <w:rPr>
                <w:b/>
              </w:rPr>
              <w:t>Document</w:t>
            </w:r>
            <w:r w:rsidR="00F24B71" w:rsidRPr="0002338D">
              <w:rPr>
                <w:b/>
              </w:rPr>
              <w:t>o</w:t>
            </w:r>
            <w:r w:rsidRPr="0002338D">
              <w:rPr>
                <w:b/>
              </w:rPr>
              <w:t xml:space="preserve"> C2</w:t>
            </w:r>
            <w:r w:rsidR="00BB6FD8" w:rsidRPr="0002338D">
              <w:rPr>
                <w:b/>
              </w:rPr>
              <w:t>5</w:t>
            </w:r>
            <w:r w:rsidRPr="0002338D">
              <w:rPr>
                <w:b/>
              </w:rPr>
              <w:t>/</w:t>
            </w:r>
            <w:r w:rsidR="00EA257A" w:rsidRPr="0002338D">
              <w:rPr>
                <w:b/>
              </w:rPr>
              <w:t>32</w:t>
            </w:r>
            <w:r w:rsidRPr="0002338D">
              <w:rPr>
                <w:b/>
              </w:rPr>
              <w:t>-</w:t>
            </w:r>
            <w:r w:rsidR="00F24B71" w:rsidRPr="0002338D">
              <w:rPr>
                <w:b/>
              </w:rPr>
              <w:t>S</w:t>
            </w:r>
          </w:p>
        </w:tc>
      </w:tr>
      <w:tr w:rsidR="00FE57F6" w:rsidRPr="0002338D" w14:paraId="2A4CBFDB" w14:textId="77777777" w:rsidTr="00C538FC">
        <w:trPr>
          <w:cantSplit/>
        </w:trPr>
        <w:tc>
          <w:tcPr>
            <w:tcW w:w="3969" w:type="dxa"/>
            <w:vMerge/>
          </w:tcPr>
          <w:p w14:paraId="48EA183C" w14:textId="77777777" w:rsidR="00FE57F6" w:rsidRPr="0002338D" w:rsidRDefault="00FE57F6" w:rsidP="00C538FC">
            <w:pPr>
              <w:tabs>
                <w:tab w:val="left" w:pos="851"/>
              </w:tabs>
              <w:spacing w:line="240" w:lineRule="atLeast"/>
              <w:rPr>
                <w:b/>
              </w:rPr>
            </w:pPr>
          </w:p>
        </w:tc>
        <w:tc>
          <w:tcPr>
            <w:tcW w:w="5245" w:type="dxa"/>
          </w:tcPr>
          <w:p w14:paraId="57B0878B" w14:textId="77C2FFBE" w:rsidR="00FE57F6" w:rsidRPr="0002338D" w:rsidRDefault="00EA257A" w:rsidP="00C538FC">
            <w:pPr>
              <w:tabs>
                <w:tab w:val="left" w:pos="851"/>
              </w:tabs>
              <w:spacing w:before="0"/>
              <w:jc w:val="right"/>
              <w:rPr>
                <w:b/>
              </w:rPr>
            </w:pPr>
            <w:r w:rsidRPr="0002338D">
              <w:rPr>
                <w:b/>
              </w:rPr>
              <w:t>16 de mayo de 2025</w:t>
            </w:r>
          </w:p>
        </w:tc>
      </w:tr>
      <w:tr w:rsidR="00FE57F6" w:rsidRPr="0002338D" w14:paraId="03494BED" w14:textId="77777777" w:rsidTr="00C538FC">
        <w:trPr>
          <w:cantSplit/>
          <w:trHeight w:val="23"/>
        </w:trPr>
        <w:tc>
          <w:tcPr>
            <w:tcW w:w="3969" w:type="dxa"/>
            <w:vMerge/>
          </w:tcPr>
          <w:p w14:paraId="5D68FEA9" w14:textId="77777777" w:rsidR="00FE57F6" w:rsidRPr="0002338D" w:rsidRDefault="00FE57F6" w:rsidP="00C538FC">
            <w:pPr>
              <w:tabs>
                <w:tab w:val="left" w:pos="851"/>
              </w:tabs>
              <w:spacing w:line="240" w:lineRule="atLeast"/>
              <w:rPr>
                <w:b/>
              </w:rPr>
            </w:pPr>
          </w:p>
        </w:tc>
        <w:tc>
          <w:tcPr>
            <w:tcW w:w="5245" w:type="dxa"/>
          </w:tcPr>
          <w:p w14:paraId="1FFE8BE3" w14:textId="77777777" w:rsidR="00FE57F6" w:rsidRPr="0002338D" w:rsidRDefault="00F24B71" w:rsidP="00C538FC">
            <w:pPr>
              <w:tabs>
                <w:tab w:val="left" w:pos="851"/>
              </w:tabs>
              <w:spacing w:before="0" w:line="240" w:lineRule="atLeast"/>
              <w:jc w:val="right"/>
              <w:rPr>
                <w:b/>
                <w:bCs/>
              </w:rPr>
            </w:pPr>
            <w:r w:rsidRPr="0002338D">
              <w:rPr>
                <w:rFonts w:cstheme="minorHAnsi"/>
                <w:b/>
                <w:bCs/>
              </w:rPr>
              <w:t>Original: inglés</w:t>
            </w:r>
          </w:p>
        </w:tc>
      </w:tr>
      <w:tr w:rsidR="00FE57F6" w:rsidRPr="0002338D" w14:paraId="49A26616" w14:textId="77777777" w:rsidTr="00C538FC">
        <w:trPr>
          <w:cantSplit/>
          <w:trHeight w:val="23"/>
        </w:trPr>
        <w:tc>
          <w:tcPr>
            <w:tcW w:w="3969" w:type="dxa"/>
          </w:tcPr>
          <w:p w14:paraId="2DF26903" w14:textId="77777777" w:rsidR="00FE57F6" w:rsidRPr="0002338D" w:rsidRDefault="00FE57F6" w:rsidP="00C538FC">
            <w:pPr>
              <w:tabs>
                <w:tab w:val="left" w:pos="851"/>
              </w:tabs>
              <w:spacing w:line="240" w:lineRule="atLeast"/>
              <w:rPr>
                <w:b/>
              </w:rPr>
            </w:pPr>
          </w:p>
        </w:tc>
        <w:tc>
          <w:tcPr>
            <w:tcW w:w="5245" w:type="dxa"/>
          </w:tcPr>
          <w:p w14:paraId="47B36E7C" w14:textId="77777777" w:rsidR="00FE57F6" w:rsidRPr="0002338D" w:rsidRDefault="00FE57F6" w:rsidP="00C538FC">
            <w:pPr>
              <w:tabs>
                <w:tab w:val="left" w:pos="851"/>
              </w:tabs>
              <w:spacing w:before="0" w:line="240" w:lineRule="atLeast"/>
              <w:jc w:val="right"/>
              <w:rPr>
                <w:b/>
              </w:rPr>
            </w:pPr>
          </w:p>
        </w:tc>
      </w:tr>
      <w:tr w:rsidR="00FE57F6" w:rsidRPr="0002338D" w14:paraId="2394F85B" w14:textId="77777777" w:rsidTr="00C538FC">
        <w:trPr>
          <w:cantSplit/>
        </w:trPr>
        <w:tc>
          <w:tcPr>
            <w:tcW w:w="9214" w:type="dxa"/>
            <w:gridSpan w:val="2"/>
            <w:tcMar>
              <w:left w:w="0" w:type="dxa"/>
            </w:tcMar>
          </w:tcPr>
          <w:p w14:paraId="76332811" w14:textId="77777777" w:rsidR="00FE57F6" w:rsidRPr="0002338D" w:rsidRDefault="00157AC4" w:rsidP="00C538FC">
            <w:pPr>
              <w:pStyle w:val="Source"/>
              <w:jc w:val="left"/>
              <w:rPr>
                <w:sz w:val="34"/>
                <w:szCs w:val="34"/>
              </w:rPr>
            </w:pPr>
            <w:r w:rsidRPr="0002338D">
              <w:rPr>
                <w:rFonts w:cstheme="minorHAnsi"/>
                <w:sz w:val="34"/>
                <w:szCs w:val="34"/>
              </w:rPr>
              <w:t>Informe de la Secretaria General</w:t>
            </w:r>
          </w:p>
        </w:tc>
      </w:tr>
      <w:tr w:rsidR="00FE57F6" w:rsidRPr="0002338D" w14:paraId="547056CC" w14:textId="77777777" w:rsidTr="00C538FC">
        <w:trPr>
          <w:cantSplit/>
        </w:trPr>
        <w:tc>
          <w:tcPr>
            <w:tcW w:w="9214" w:type="dxa"/>
            <w:gridSpan w:val="2"/>
            <w:tcMar>
              <w:left w:w="0" w:type="dxa"/>
            </w:tcMar>
          </w:tcPr>
          <w:p w14:paraId="25088F5B" w14:textId="6BBE755F" w:rsidR="00FE57F6" w:rsidRPr="0002338D" w:rsidRDefault="003D236E" w:rsidP="00F92BED">
            <w:pPr>
              <w:pStyle w:val="Subtitle"/>
              <w:framePr w:hSpace="0" w:wrap="auto" w:vAnchor="margin" w:hAnchor="text" w:xAlign="left" w:yAlign="inline"/>
            </w:pPr>
            <w:r w:rsidRPr="0002338D">
              <w:t xml:space="preserve">Participación e iniciativas juveniles significativas de la </w:t>
            </w:r>
            <w:r w:rsidR="00EA257A" w:rsidRPr="0002338D">
              <w:t>UIT</w:t>
            </w:r>
          </w:p>
        </w:tc>
      </w:tr>
      <w:tr w:rsidR="00FE57F6" w:rsidRPr="0002338D" w14:paraId="4402AB45" w14:textId="77777777" w:rsidTr="00C538FC">
        <w:trPr>
          <w:cantSplit/>
        </w:trPr>
        <w:tc>
          <w:tcPr>
            <w:tcW w:w="9214" w:type="dxa"/>
            <w:gridSpan w:val="2"/>
            <w:tcBorders>
              <w:top w:val="single" w:sz="4" w:space="0" w:color="auto"/>
              <w:bottom w:val="single" w:sz="4" w:space="0" w:color="auto"/>
            </w:tcBorders>
            <w:tcMar>
              <w:left w:w="0" w:type="dxa"/>
            </w:tcMar>
          </w:tcPr>
          <w:p w14:paraId="74BEA78C" w14:textId="77777777" w:rsidR="00FE57F6" w:rsidRPr="0002338D" w:rsidRDefault="00F24B71" w:rsidP="00C538FC">
            <w:pPr>
              <w:spacing w:before="160"/>
              <w:rPr>
                <w:b/>
                <w:bCs/>
                <w:sz w:val="26"/>
                <w:szCs w:val="26"/>
              </w:rPr>
            </w:pPr>
            <w:r w:rsidRPr="0002338D">
              <w:rPr>
                <w:b/>
                <w:bCs/>
                <w:sz w:val="26"/>
                <w:szCs w:val="26"/>
              </w:rPr>
              <w:t>Finalidad</w:t>
            </w:r>
          </w:p>
          <w:p w14:paraId="512EA516" w14:textId="08E4B1DE" w:rsidR="00FE57F6" w:rsidRPr="0002338D" w:rsidRDefault="00EA257A" w:rsidP="00C538FC">
            <w:r w:rsidRPr="0002338D">
              <w:t>El objetivo de este documento es informar al Consejo de la UIT acerca de la participación significativa de los jóvenes en diferentes iniciativas y programas de la UIT.</w:t>
            </w:r>
          </w:p>
          <w:p w14:paraId="05802752" w14:textId="77777777" w:rsidR="00FE57F6" w:rsidRPr="0002338D" w:rsidRDefault="00F24B71" w:rsidP="00C538FC">
            <w:pPr>
              <w:spacing w:before="160"/>
              <w:rPr>
                <w:b/>
                <w:bCs/>
                <w:sz w:val="26"/>
                <w:szCs w:val="26"/>
              </w:rPr>
            </w:pPr>
            <w:r w:rsidRPr="0002338D">
              <w:rPr>
                <w:b/>
                <w:bCs/>
                <w:sz w:val="26"/>
                <w:szCs w:val="26"/>
              </w:rPr>
              <w:t xml:space="preserve">Acción solicitada </w:t>
            </w:r>
            <w:r w:rsidR="00677A97" w:rsidRPr="0002338D">
              <w:rPr>
                <w:b/>
                <w:bCs/>
                <w:sz w:val="26"/>
                <w:szCs w:val="26"/>
              </w:rPr>
              <w:t>al</w:t>
            </w:r>
            <w:r w:rsidRPr="0002338D">
              <w:rPr>
                <w:b/>
                <w:bCs/>
                <w:sz w:val="26"/>
                <w:szCs w:val="26"/>
              </w:rPr>
              <w:t xml:space="preserve"> Consejo</w:t>
            </w:r>
          </w:p>
          <w:p w14:paraId="20711E9A" w14:textId="4A206878" w:rsidR="00F92BED" w:rsidRPr="0002338D" w:rsidRDefault="00EA257A" w:rsidP="00F92BED">
            <w:pPr>
              <w:spacing w:before="160"/>
              <w:rPr>
                <w:szCs w:val="24"/>
              </w:rPr>
            </w:pPr>
            <w:r w:rsidRPr="0002338D">
              <w:rPr>
                <w:szCs w:val="24"/>
              </w:rPr>
              <w:t xml:space="preserve">Se invita al Consejo a </w:t>
            </w:r>
            <w:r w:rsidRPr="0002338D">
              <w:rPr>
                <w:b/>
                <w:bCs/>
                <w:szCs w:val="24"/>
              </w:rPr>
              <w:t>tomar nota</w:t>
            </w:r>
            <w:r w:rsidRPr="0002338D">
              <w:rPr>
                <w:szCs w:val="24"/>
              </w:rPr>
              <w:t xml:space="preserve"> de este Informe.</w:t>
            </w:r>
          </w:p>
          <w:p w14:paraId="2EAFBB0F" w14:textId="77777777" w:rsidR="00F92BED" w:rsidRPr="0002338D" w:rsidRDefault="00F92BED" w:rsidP="00F92BED">
            <w:pPr>
              <w:spacing w:before="160"/>
              <w:rPr>
                <w:b/>
                <w:bCs/>
                <w:sz w:val="26"/>
                <w:szCs w:val="26"/>
              </w:rPr>
            </w:pPr>
            <w:r w:rsidRPr="0002338D">
              <w:rPr>
                <w:b/>
                <w:bCs/>
                <w:sz w:val="26"/>
                <w:szCs w:val="26"/>
              </w:rPr>
              <w:t>Vínculo(s) pertinente(s) con el Plan Estratégico</w:t>
            </w:r>
          </w:p>
          <w:p w14:paraId="26A8025F" w14:textId="690B3749" w:rsidR="00F92BED" w:rsidRPr="0002338D" w:rsidRDefault="00EA257A" w:rsidP="00F92BED">
            <w:r w:rsidRPr="0002338D">
              <w:t>Excelencia en materia de recursos humanos e innovación institucional.</w:t>
            </w:r>
          </w:p>
          <w:p w14:paraId="166FBAC6" w14:textId="77777777" w:rsidR="00F92BED" w:rsidRPr="0002338D" w:rsidRDefault="00F92BED" w:rsidP="00F92BED">
            <w:pPr>
              <w:spacing w:before="160"/>
              <w:rPr>
                <w:b/>
                <w:bCs/>
                <w:sz w:val="26"/>
                <w:szCs w:val="26"/>
              </w:rPr>
            </w:pPr>
            <w:r w:rsidRPr="0002338D">
              <w:rPr>
                <w:b/>
                <w:bCs/>
                <w:sz w:val="26"/>
                <w:szCs w:val="26"/>
              </w:rPr>
              <w:t>Repercusiones financieras</w:t>
            </w:r>
          </w:p>
          <w:p w14:paraId="575D039D" w14:textId="3CD07151" w:rsidR="00F92BED" w:rsidRPr="0002338D" w:rsidRDefault="00EA257A" w:rsidP="00F92BED">
            <w:r w:rsidRPr="0002338D">
              <w:t>Con cargo al presupuesto asignado para 2024-2025. Se invita a los Miembros de la UIT a apoyar financieramente los programas e iniciativas juveniles de la UIT mediante contribuciones voluntarias.</w:t>
            </w:r>
          </w:p>
          <w:p w14:paraId="26607507" w14:textId="77777777" w:rsidR="00FE57F6" w:rsidRPr="0002338D" w:rsidRDefault="00FE57F6" w:rsidP="00C538FC">
            <w:pPr>
              <w:spacing w:before="160"/>
              <w:rPr>
                <w:caps/>
                <w:sz w:val="22"/>
              </w:rPr>
            </w:pPr>
            <w:r w:rsidRPr="0002338D">
              <w:rPr>
                <w:sz w:val="22"/>
              </w:rPr>
              <w:t>__________________</w:t>
            </w:r>
          </w:p>
          <w:p w14:paraId="5D7662F6" w14:textId="51F3AB75" w:rsidR="00FE57F6" w:rsidRPr="0002338D" w:rsidRDefault="00F24B71" w:rsidP="00C538FC">
            <w:pPr>
              <w:spacing w:before="160"/>
              <w:rPr>
                <w:b/>
                <w:bCs/>
                <w:sz w:val="26"/>
                <w:szCs w:val="26"/>
              </w:rPr>
            </w:pPr>
            <w:r w:rsidRPr="0002338D">
              <w:rPr>
                <w:b/>
                <w:bCs/>
                <w:sz w:val="26"/>
                <w:szCs w:val="26"/>
              </w:rPr>
              <w:t>Referencia</w:t>
            </w:r>
            <w:r w:rsidR="00F92BED" w:rsidRPr="0002338D">
              <w:rPr>
                <w:b/>
                <w:bCs/>
                <w:sz w:val="26"/>
                <w:szCs w:val="26"/>
              </w:rPr>
              <w:t>s</w:t>
            </w:r>
          </w:p>
          <w:p w14:paraId="21BF53E8" w14:textId="33B6121B" w:rsidR="00FE57F6" w:rsidRPr="003D236E" w:rsidRDefault="005D5E7C" w:rsidP="00C538FC">
            <w:pPr>
              <w:spacing w:after="160"/>
              <w:rPr>
                <w:i/>
                <w:iCs/>
                <w:sz w:val="22"/>
                <w:szCs w:val="22"/>
              </w:rPr>
            </w:pPr>
            <w:hyperlink r:id="rId6" w:history="1">
              <w:r w:rsidRPr="003D236E">
                <w:rPr>
                  <w:rStyle w:val="Hyperlink"/>
                  <w:i/>
                  <w:iCs/>
                  <w:sz w:val="22"/>
                  <w:szCs w:val="22"/>
                </w:rPr>
                <w:t>Resolución 198 (Rev. Bucarest, 2022)</w:t>
              </w:r>
            </w:hyperlink>
            <w:r w:rsidR="00EA257A" w:rsidRPr="003D236E">
              <w:rPr>
                <w:i/>
                <w:iCs/>
                <w:sz w:val="22"/>
                <w:szCs w:val="22"/>
              </w:rPr>
              <w:t xml:space="preserve"> de la Conferencia de Plenipotenciarios; Documento </w:t>
            </w:r>
            <w:hyperlink r:id="rId7" w:history="1">
              <w:r w:rsidR="00EA257A" w:rsidRPr="003D236E">
                <w:rPr>
                  <w:rStyle w:val="Hyperlink"/>
                  <w:i/>
                  <w:iCs/>
                  <w:sz w:val="22"/>
                  <w:szCs w:val="22"/>
                </w:rPr>
                <w:t>C24/31</w:t>
              </w:r>
            </w:hyperlink>
            <w:r w:rsidR="00EA257A" w:rsidRPr="003D236E">
              <w:rPr>
                <w:i/>
                <w:iCs/>
                <w:sz w:val="22"/>
                <w:szCs w:val="22"/>
              </w:rPr>
              <w:t xml:space="preserve"> del Consejo</w:t>
            </w:r>
          </w:p>
        </w:tc>
      </w:tr>
      <w:bookmarkEnd w:id="0"/>
    </w:tbl>
    <w:p w14:paraId="3571548D" w14:textId="77777777" w:rsidR="00093EEB" w:rsidRPr="0002338D" w:rsidRDefault="00093EEB"/>
    <w:p w14:paraId="7CA3AF37" w14:textId="77777777" w:rsidR="003D236E" w:rsidRDefault="001559F5" w:rsidP="003D236E">
      <w:r w:rsidRPr="0002338D">
        <w:br w:type="page"/>
      </w:r>
    </w:p>
    <w:p w14:paraId="28A77BB0" w14:textId="11C2E3A3" w:rsidR="00EA257A" w:rsidRPr="0002338D" w:rsidRDefault="00EA257A" w:rsidP="001B64B2">
      <w:pPr>
        <w:pStyle w:val="Heading1"/>
      </w:pPr>
      <w:r w:rsidRPr="0002338D">
        <w:lastRenderedPageBreak/>
        <w:t>1</w:t>
      </w:r>
      <w:r w:rsidRPr="0002338D">
        <w:tab/>
        <w:t>Antecedentes</w:t>
      </w:r>
      <w:bookmarkStart w:id="1" w:name="_Hlk136977297"/>
    </w:p>
    <w:p w14:paraId="3C40C809" w14:textId="77777777" w:rsidR="00EA257A" w:rsidRPr="0002338D" w:rsidRDefault="00EA257A" w:rsidP="001B64B2">
      <w:pPr>
        <w:jc w:val="both"/>
      </w:pPr>
      <w:r w:rsidRPr="0002338D">
        <w:t>En la Resolución 198 (Rev. Bucarest, 2022) de la Conferencia de Plenipotenciarios, relativa al empoderamiento de la juventud a través de las tecnologías de telecomunicación/información y comunicación, se encarga a la Secretaria General que siga garantizando la incorporación de la perspectiva de la juventud en los programas de trabajo, los enfoques de gestión y las actividades de desarrollo de recursos humanos de la UIT, y que presente un informe escrito anual al Consejo de la UIT sobre los progresos realizados.</w:t>
      </w:r>
      <w:bookmarkEnd w:id="1"/>
    </w:p>
    <w:p w14:paraId="1C46C47C" w14:textId="77777777" w:rsidR="00EA257A" w:rsidRPr="0002338D" w:rsidRDefault="00EA257A" w:rsidP="001B64B2">
      <w:pPr>
        <w:pStyle w:val="Heading1"/>
      </w:pPr>
      <w:r w:rsidRPr="0002338D">
        <w:t>2</w:t>
      </w:r>
      <w:r w:rsidRPr="0002338D">
        <w:tab/>
        <w:t xml:space="preserve">Informe sobre </w:t>
      </w:r>
      <w:r w:rsidRPr="001B64B2">
        <w:t>la</w:t>
      </w:r>
      <w:r w:rsidRPr="0002338D">
        <w:t xml:space="preserve"> evolución de la aplicación de la Resolución 198 </w:t>
      </w:r>
      <w:r w:rsidRPr="0002338D">
        <w:br/>
        <w:t>(Rev. Bucarest, 2022)</w:t>
      </w:r>
    </w:p>
    <w:p w14:paraId="61EC79E6" w14:textId="6AE1781D" w:rsidR="00EA257A" w:rsidRPr="0002338D" w:rsidRDefault="00EA257A" w:rsidP="001B64B2">
      <w:pPr>
        <w:pStyle w:val="Headingb"/>
        <w:rPr>
          <w:rFonts w:eastAsia="Calibri"/>
        </w:rPr>
      </w:pPr>
      <w:r w:rsidRPr="0002338D">
        <w:t>A</w:t>
      </w:r>
      <w:r w:rsidRPr="0002338D">
        <w:tab/>
        <w:t>Fomentar la autonomía y el progreso de los jóvenes en la UIT</w:t>
      </w:r>
    </w:p>
    <w:p w14:paraId="480D56E1" w14:textId="4E5260A0" w:rsidR="00EA257A" w:rsidRPr="0002338D" w:rsidRDefault="00EA257A" w:rsidP="001B64B2">
      <w:pPr>
        <w:jc w:val="both"/>
        <w:rPr>
          <w:rFonts w:eastAsia="Calibri" w:cs="Calibri"/>
        </w:rPr>
      </w:pPr>
      <w:r w:rsidRPr="0002338D">
        <w:rPr>
          <w:b/>
          <w:bCs/>
        </w:rPr>
        <w:t>Visión general del personal de la UIT del grupo de jóvenes de 35 años (&lt;=35) y menores de 30 años (&lt;=30)</w:t>
      </w:r>
      <w:r w:rsidRPr="0002338D">
        <w:t>: Con una ligera mejora respecto a 2024, en abril de 2025 el 12,6% del personal de la UIT con contratos permanentes/continuos/de duración determinada/de corta duración tiene menos de 35 años (≤35) y el 4,3% del personal de la UIT con contratos permanentes/continuos/de duración determinada/de corta duración tiene menos de 30</w:t>
      </w:r>
      <w:r w:rsidR="005D5E7C" w:rsidRPr="0002338D">
        <w:t> </w:t>
      </w:r>
      <w:r w:rsidRPr="0002338D">
        <w:t>(≤30). Esta información incluye los puestos de nivel inferior del programa JPO y refleja un avance importante.</w:t>
      </w:r>
    </w:p>
    <w:p w14:paraId="42CAC5E9" w14:textId="77777777" w:rsidR="00EA257A" w:rsidRPr="0002338D" w:rsidRDefault="00EA257A" w:rsidP="001B64B2">
      <w:pPr>
        <w:jc w:val="both"/>
        <w:rPr>
          <w:rFonts w:eastAsia="Calibri" w:cs="Calibri"/>
          <w:szCs w:val="24"/>
        </w:rPr>
      </w:pPr>
      <w:r w:rsidRPr="0002338D">
        <w:rPr>
          <w:b/>
          <w:bCs/>
        </w:rPr>
        <w:t>Empoderamiento del personal de la UIT</w:t>
      </w:r>
      <w:r w:rsidRPr="0002338D">
        <w:t xml:space="preserve"> a través del Grupo Especial de la Juventud. En 2024, el Grupo Especial de la Juventud reforzó su función asesora y contribuyó a las revisiones de, por ejemplo, las órdenes de servicio, y estableció además una red interna de jóvenes para involucrar a jóvenes profesionales de toda la Unión. También defendió la inclusión de los jóvenes en las actividades de la UIT, con la consiguiente mejora de su visibilidad, y abogó por el diálogo intergeneracional. Entre los principales resultados cabe citar la labor de planificación de la movilidad y la sucesión, la colaboración con la Oficina de Transformación/el programa de Agentes del Cambio de la UIT y dos productos específicos, a saber, las contribuciones al plan de sucesión de la UIT y el papel de los jóvenes en la configuración del futuro de la UIT, y la integración de jóvenes profesionales en los cuadros de personal de las principales conferencias de la UIT para mejorar las oportunidades de desarrollo profesional.</w:t>
      </w:r>
    </w:p>
    <w:p w14:paraId="7817631E" w14:textId="77777777" w:rsidR="00EA257A" w:rsidRPr="0002338D" w:rsidRDefault="00EA257A" w:rsidP="001B64B2">
      <w:pPr>
        <w:jc w:val="both"/>
        <w:rPr>
          <w:rFonts w:asciiTheme="minorHAnsi" w:hAnsiTheme="minorHAnsi" w:cstheme="minorBidi"/>
          <w:szCs w:val="24"/>
        </w:rPr>
      </w:pPr>
      <w:r w:rsidRPr="0002338D">
        <w:rPr>
          <w:b/>
          <w:bCs/>
        </w:rPr>
        <w:t>Funcionarios subalternos del cuadro orgánico (JPO)</w:t>
      </w:r>
      <w:r w:rsidRPr="0002338D">
        <w:t>: El programa JPO está dedicado a los puestos de nivel inferior. Se contrata a un JPO de grado P2, donde se requieren 3 años de experiencia laboral. En febrero de 2025, la UIT contaba con 7 JPO. Los JPO son financiados íntegramente por un Estado Miembro durante los 2 años de misión en la Sede de la UIT o en una oficina en el terreno de la UIT. La Secretaría de la UIT desea dar las gracias a las Administraciones de Alemania, Australia, China, España, los Estados Unidos, Francia, Japón y el Reino Unidos por su apoyo al programa JPO. Este programa beneficia a todos los Sectores de la UIT y a la Secretaría General.</w:t>
      </w:r>
    </w:p>
    <w:p w14:paraId="3442702F" w14:textId="77777777" w:rsidR="00EA257A" w:rsidRPr="0002338D" w:rsidRDefault="00EA257A" w:rsidP="001B64B2">
      <w:pPr>
        <w:jc w:val="both"/>
        <w:rPr>
          <w:rFonts w:asciiTheme="minorHAnsi" w:hAnsiTheme="minorHAnsi" w:cstheme="minorBidi"/>
          <w:spacing w:val="-2"/>
        </w:rPr>
      </w:pPr>
      <w:r w:rsidRPr="0002338D">
        <w:rPr>
          <w:b/>
          <w:bCs/>
        </w:rPr>
        <w:t xml:space="preserve">Programa de Jóvenes Profesionales de la UIT: </w:t>
      </w:r>
      <w:r w:rsidRPr="0002338D">
        <w:t>Tras el lanzamiento del primer Programa de Jóvenes Profesionales (YPP) de la UIT, se recibieron y examinaron más de 3 500 candidaturas. Se asignaron seis puestos P1, financiados por el fondo YPP de la UIT, a la Secretaría General, la Oficina de Desarrollo de las Telecomunicaciones (BDT), la Oficina de Radiocomunicaciones (BR) y la Oficina de Normalización de las Telecomunicaciones (TSB). La Secretaría de la UIT agradece a las Administraciones de Japón y San Vicente y las Granadinas su apoyo al fondo YPP de la UIT.</w:t>
      </w:r>
    </w:p>
    <w:p w14:paraId="73D67F55" w14:textId="77777777" w:rsidR="00EA257A" w:rsidRPr="0002338D" w:rsidRDefault="00EA257A" w:rsidP="001B64B2">
      <w:pPr>
        <w:jc w:val="both"/>
        <w:rPr>
          <w:rFonts w:asciiTheme="minorHAnsi" w:hAnsiTheme="minorHAnsi" w:cstheme="minorBidi"/>
          <w:szCs w:val="24"/>
        </w:rPr>
      </w:pPr>
      <w:r w:rsidRPr="0002338D">
        <w:rPr>
          <w:b/>
          <w:bCs/>
        </w:rPr>
        <w:lastRenderedPageBreak/>
        <w:t>Programa de pasantías:</w:t>
      </w:r>
      <w:r w:rsidRPr="0002338D">
        <w:t xml:space="preserve"> En 2023, la UIT acogió a 142 pasantes de 44 países. La UIT desea dar las gracias a Alemania (Programa Carlo Schmid) y China (Consejo de Becas de China) por sus programas de pasantías patrocinados.</w:t>
      </w:r>
    </w:p>
    <w:p w14:paraId="06DFCBEE" w14:textId="47F0EE8D" w:rsidR="00EA257A" w:rsidRPr="0002338D" w:rsidRDefault="00EA257A" w:rsidP="001B64B2">
      <w:pPr>
        <w:pStyle w:val="Headingb"/>
        <w:jc w:val="both"/>
        <w:rPr>
          <w:rFonts w:eastAsia="Calibri"/>
        </w:rPr>
      </w:pPr>
      <w:r w:rsidRPr="0002338D">
        <w:t>B</w:t>
      </w:r>
      <w:r w:rsidRPr="0002338D">
        <w:tab/>
        <w:t>Promoción y participación significativa de los jóvenes</w:t>
      </w:r>
    </w:p>
    <w:p w14:paraId="529F1A3D" w14:textId="1D3CFE35" w:rsidR="00EA257A" w:rsidRPr="0002338D" w:rsidRDefault="00EA257A" w:rsidP="001B64B2">
      <w:pPr>
        <w:keepNext/>
        <w:keepLines/>
        <w:jc w:val="both"/>
        <w:rPr>
          <w:rFonts w:eastAsia="Calibri" w:cs="Calibri"/>
          <w:szCs w:val="24"/>
        </w:rPr>
      </w:pPr>
      <w:r w:rsidRPr="0002338D">
        <w:t xml:space="preserve">En 2024, los miembros de la </w:t>
      </w:r>
      <w:r w:rsidRPr="0002338D">
        <w:rPr>
          <w:b/>
          <w:bCs/>
        </w:rPr>
        <w:t>Junta de Jóvenes Asesores (YAB) de la Secretaria General de la</w:t>
      </w:r>
      <w:r w:rsidR="00867564" w:rsidRPr="0002338D">
        <w:rPr>
          <w:b/>
          <w:bCs/>
        </w:rPr>
        <w:t> </w:t>
      </w:r>
      <w:r w:rsidRPr="0002338D">
        <w:rPr>
          <w:b/>
          <w:bCs/>
        </w:rPr>
        <w:t>UIT</w:t>
      </w:r>
      <w:r w:rsidRPr="0002338D">
        <w:t xml:space="preserve"> participaron activamente en las iniciativas mundiales en materia de conectividad e inclusión digital. YAB realizó consultas con las redes de jóvenes, por ejemplo, con una encuesta del Día Internacional de la Juventud, para recopilar información sobre tecnologías emergentes y soluciones digitales. En 2024, la YAB presentó cinco informes con recomendaciones orientadas a la juventud sobre temas como la IA, el espacio, los cables submarinos y la acción climática. Se celebraron dos reuniones con la Secretaria General para examinar las estrategias de participación de los jóvenes y las tendencias de desarrollo digital, centrándose en la sostenibilidad y la infraestructura.</w:t>
      </w:r>
    </w:p>
    <w:p w14:paraId="3CBE7984" w14:textId="00FC7304" w:rsidR="00EA257A" w:rsidRPr="0002338D" w:rsidRDefault="00EA257A" w:rsidP="001B64B2">
      <w:pPr>
        <w:jc w:val="both"/>
        <w:rPr>
          <w:rFonts w:eastAsia="Calibri" w:cs="Calibri"/>
          <w:szCs w:val="24"/>
        </w:rPr>
      </w:pPr>
      <w:r w:rsidRPr="0002338D">
        <w:t xml:space="preserve">Como impulso a la inclusión de los jóvenes en el desarrollo digital, la BDT dotó de medios a </w:t>
      </w:r>
      <w:r w:rsidRPr="0002338D">
        <w:rPr>
          <w:b/>
          <w:bCs/>
        </w:rPr>
        <w:t xml:space="preserve">184 nuevos Enviados de la Juventud de Generation Connect (GCYE) </w:t>
      </w:r>
      <w:r w:rsidRPr="0002338D">
        <w:t xml:space="preserve">de 64 países y aumentó su visibilidad mediante la creación de plataformas globales como la </w:t>
      </w:r>
      <w:r w:rsidRPr="0002338D">
        <w:rPr>
          <w:b/>
          <w:bCs/>
        </w:rPr>
        <w:t xml:space="preserve">Cumbre Mundial de la Juventud de 2025 (GYS-25) </w:t>
      </w:r>
      <w:r w:rsidRPr="0002338D">
        <w:t xml:space="preserve">de la UIT. Los GCYE desempeñaron un papel activo en las actividades y la toma de decisiones dirigidas por la UIT, transformándose en agentes del cambio digital decisivos mediante mentorías personalizadas y aprendizaje autogestionado. Los GCYE participaron activamente en las </w:t>
      </w:r>
      <w:r w:rsidRPr="0002338D">
        <w:rPr>
          <w:b/>
          <w:bCs/>
        </w:rPr>
        <w:t xml:space="preserve">consultas </w:t>
      </w:r>
      <w:r w:rsidRPr="0002338D">
        <w:t>previas a la GYS-25, asegurando que las prioridades de los jóvenes se integraran en el evento.</w:t>
      </w:r>
    </w:p>
    <w:p w14:paraId="7248913F" w14:textId="77777777" w:rsidR="00EA257A" w:rsidRPr="0002338D" w:rsidRDefault="00EA257A" w:rsidP="001B64B2">
      <w:pPr>
        <w:jc w:val="both"/>
        <w:rPr>
          <w:rFonts w:eastAsia="Calibri" w:cs="Calibri"/>
          <w:szCs w:val="24"/>
        </w:rPr>
      </w:pPr>
      <w:r w:rsidRPr="0002338D">
        <w:t xml:space="preserve">La </w:t>
      </w:r>
      <w:r w:rsidRPr="0002338D">
        <w:rPr>
          <w:b/>
          <w:bCs/>
        </w:rPr>
        <w:t>GYS-25</w:t>
      </w:r>
      <w:r w:rsidRPr="0002338D">
        <w:t>, celebrada en Varadero (Cuba), reunió a más de 400 participantes de 31 países de las seis regiones de la UIT con el tema "Amplificar las voces de los jóvenes para crear un mundo digital más inclusivo e interconectado". A lo largo de tres días y 12 sesiones dinámicas, los jóvenes dieron a conocer iniciativas, entablaron un diálogo intergeneracional, intercambiaron prácticas idóneas, crearon redes y cocrearon soluciones para la inclusión digital, la conectividad, la seguridad en línea, la IA ética y el futuro del trabajo. Entre los principales resultados cabe mencionar la mayor importancia de los jóvenes en la formulación de políticas sobre TIC, el fortalecimiento de las competencias digitales en aras de una participación significativa en la economía digital, el fortalecimiento del papel de la UIT en la educación y el empleo digitales impulsados por los jóvenes y la promoción de la innovación y el emprendimiento en favor del desarrollo sostenible.</w:t>
      </w:r>
    </w:p>
    <w:p w14:paraId="64F904FC" w14:textId="77777777" w:rsidR="00EA257A" w:rsidRPr="0002338D" w:rsidRDefault="00EA257A" w:rsidP="001B64B2">
      <w:pPr>
        <w:jc w:val="both"/>
        <w:rPr>
          <w:rFonts w:eastAsia="Calibri" w:cs="Calibri"/>
          <w:szCs w:val="24"/>
        </w:rPr>
      </w:pPr>
      <w:r w:rsidRPr="0002338D">
        <w:t xml:space="preserve">Entre las principales actividades realizadas en 2024 </w:t>
      </w:r>
      <w:r w:rsidRPr="0002338D">
        <w:rPr>
          <w:b/>
          <w:bCs/>
        </w:rPr>
        <w:t xml:space="preserve">por región </w:t>
      </w:r>
      <w:r w:rsidRPr="0002338D">
        <w:t>durante el periodo del informe figuran las siguientes:</w:t>
      </w:r>
    </w:p>
    <w:p w14:paraId="4041355A" w14:textId="77777777" w:rsidR="00EA257A" w:rsidRPr="0002338D" w:rsidRDefault="00EA257A" w:rsidP="001B64B2">
      <w:pPr>
        <w:pStyle w:val="enumlev1"/>
        <w:rPr>
          <w:rFonts w:eastAsia="Calibri" w:cs="Calibri"/>
          <w:b/>
        </w:rPr>
      </w:pPr>
      <w:r w:rsidRPr="0002338D">
        <w:rPr>
          <w:rFonts w:ascii="Symbol" w:eastAsia="Calibri" w:hAnsi="Symbol" w:cs="Calibri"/>
        </w:rPr>
        <w:t></w:t>
      </w:r>
      <w:r w:rsidRPr="0002338D">
        <w:tab/>
        <w:t xml:space="preserve">En la </w:t>
      </w:r>
      <w:r w:rsidRPr="0002338D">
        <w:rPr>
          <w:b/>
          <w:bCs/>
        </w:rPr>
        <w:t>Región de África</w:t>
      </w:r>
      <w:r w:rsidRPr="0002338D">
        <w:t>, una ceremonia de mentoría conectó a los alumnos GCYE con los nuevos enviados y la juventud generó recomendaciones de políticas basadas en investigaciones y consultas regionales.</w:t>
      </w:r>
    </w:p>
    <w:p w14:paraId="20A89690" w14:textId="77777777" w:rsidR="00EA257A" w:rsidRPr="0002338D" w:rsidRDefault="00EA257A" w:rsidP="001B64B2">
      <w:pPr>
        <w:pStyle w:val="enumlev1"/>
        <w:rPr>
          <w:rFonts w:eastAsia="Calibri" w:cs="Calibri"/>
          <w:szCs w:val="24"/>
        </w:rPr>
      </w:pPr>
      <w:r w:rsidRPr="0002338D">
        <w:rPr>
          <w:rFonts w:ascii="Symbol" w:eastAsia="Calibri" w:hAnsi="Symbol" w:cs="Calibri"/>
          <w:szCs w:val="24"/>
        </w:rPr>
        <w:t></w:t>
      </w:r>
      <w:r w:rsidRPr="0002338D">
        <w:tab/>
        <w:t xml:space="preserve">En la </w:t>
      </w:r>
      <w:r w:rsidRPr="0002338D">
        <w:rPr>
          <w:b/>
          <w:bCs/>
        </w:rPr>
        <w:t>Región de las Américas</w:t>
      </w:r>
      <w:r w:rsidRPr="0002338D">
        <w:t xml:space="preserve">, se destacó la participación de los jóvenes durante el seminario subregional "Prioridades para la juventud en el mundo digital: empleo y educación", celebrado en Chile en mayo de 2024. En el contexto del Día Mundial de las Telecomunicaciones y la Sociedad de la Información (DMTSI), los representantes de Argentina, Paraguay, Uruguay y Chile unieron fuerzas con líderes de la industria de las telecomunicaciones (Entel, WOM y Claro) para explorar el tema de este año, "Innovación digital para el desarrollo sostenible". Los Enviados de la Juventud </w:t>
      </w:r>
      <w:r w:rsidRPr="0002338D">
        <w:lastRenderedPageBreak/>
        <w:t>contribuyeron a los debates sobre las estrategias digitales nacionales, reforzando su papel en la configuración de un futuro digital inclusivo.</w:t>
      </w:r>
    </w:p>
    <w:p w14:paraId="7EA4D61E" w14:textId="77777777" w:rsidR="00EA257A" w:rsidRPr="0002338D" w:rsidRDefault="00EA257A" w:rsidP="001B64B2">
      <w:pPr>
        <w:pStyle w:val="enumlev1"/>
        <w:rPr>
          <w:rFonts w:eastAsia="Calibri" w:cs="Calibri"/>
          <w:szCs w:val="24"/>
        </w:rPr>
      </w:pPr>
      <w:r w:rsidRPr="0002338D">
        <w:rPr>
          <w:rFonts w:ascii="Symbol" w:eastAsia="Calibri" w:hAnsi="Symbol" w:cs="Calibri"/>
          <w:szCs w:val="24"/>
        </w:rPr>
        <w:t></w:t>
      </w:r>
      <w:r w:rsidRPr="0002338D">
        <w:tab/>
        <w:t xml:space="preserve">En la </w:t>
      </w:r>
      <w:r w:rsidRPr="0002338D">
        <w:rPr>
          <w:b/>
          <w:bCs/>
        </w:rPr>
        <w:t>Región Árabe</w:t>
      </w:r>
      <w:r w:rsidRPr="0002338D">
        <w:t xml:space="preserve">, la Oficina Regional para los Estados Árabes organizó el Evento del Paso de la Antorcha de la región de los Estados Árabes, celebrado en línea el 1 de julio de 2024. El evento, que contó con la participación de 20 Enviados de la Juventud árabes, subrayó la importancia de la participación de los jóvenes en la innovación digital. Entre los temas clave figuraron las mentorías, la </w:t>
      </w:r>
      <w:proofErr w:type="gramStart"/>
      <w:r w:rsidRPr="0002338D">
        <w:t>participación activa</w:t>
      </w:r>
      <w:proofErr w:type="gramEnd"/>
      <w:r w:rsidRPr="0002338D">
        <w:t xml:space="preserve"> en eventos de la UIT y el impulso de las asociaciones.</w:t>
      </w:r>
    </w:p>
    <w:p w14:paraId="14B74BDD" w14:textId="77777777" w:rsidR="00EA257A" w:rsidRPr="0002338D" w:rsidRDefault="00EA257A" w:rsidP="001B64B2">
      <w:pPr>
        <w:pStyle w:val="enumlev1"/>
        <w:rPr>
          <w:rFonts w:eastAsia="Calibri" w:cs="Calibri"/>
          <w:szCs w:val="24"/>
        </w:rPr>
      </w:pPr>
      <w:r w:rsidRPr="0002338D">
        <w:rPr>
          <w:rFonts w:ascii="Symbol" w:eastAsia="Calibri" w:hAnsi="Symbol" w:cs="Calibri"/>
          <w:szCs w:val="24"/>
        </w:rPr>
        <w:t></w:t>
      </w:r>
      <w:r w:rsidRPr="0002338D">
        <w:tab/>
        <w:t xml:space="preserve">En </w:t>
      </w:r>
      <w:r w:rsidRPr="0002338D">
        <w:rPr>
          <w:b/>
          <w:bCs/>
        </w:rPr>
        <w:t>Asia-Pacífico</w:t>
      </w:r>
      <w:r w:rsidRPr="0002338D">
        <w:t>, una de las medidas específicas fue la contratación de 21 nuevos Enviados de la Juventud de siete países. Gracias a la incorporación regional, las sesiones de formación adaptadas y la participación activa en foros como la AMNT-24 en India, el Foro Mundial de Innovación en Malta y el Seminario UIT-MIIT en China, los jóvenes participantes adquirieron competencias útiles y se beneficiaron de plataformas valiosas para contribuir de manera significativa a los diálogos digitales mundiales. La ceremonia de "Paso de la Antorcha", celebrada el 11 de julio, fue un momento vibrante de intercambio intergeneracional, que unió a 41 Enviados de la Juventud para celebrar los logros y reforzar la continuidad del liderazgo. En asociación con Huawei, diez Enviados de la Juventud también se unieron al programa "Semillas para el Futuro 2024" en China, donde recibieron información práctica sobre tecnologías avanzadas, como la IA, la 5G y las tecnologías verdes.</w:t>
      </w:r>
    </w:p>
    <w:p w14:paraId="56E626A4" w14:textId="77777777" w:rsidR="00EA257A" w:rsidRPr="0002338D" w:rsidRDefault="00EA257A" w:rsidP="001B64B2">
      <w:pPr>
        <w:pStyle w:val="enumlev1"/>
        <w:rPr>
          <w:rFonts w:eastAsia="Calibri" w:cs="Calibri"/>
          <w:szCs w:val="24"/>
        </w:rPr>
      </w:pPr>
      <w:r w:rsidRPr="0002338D">
        <w:rPr>
          <w:rFonts w:ascii="Symbol" w:eastAsia="Calibri" w:hAnsi="Symbol" w:cs="Calibri"/>
          <w:szCs w:val="24"/>
        </w:rPr>
        <w:t></w:t>
      </w:r>
      <w:r w:rsidRPr="0002338D">
        <w:tab/>
        <w:t xml:space="preserve">En la </w:t>
      </w:r>
      <w:r w:rsidRPr="0002338D">
        <w:rPr>
          <w:b/>
          <w:bCs/>
        </w:rPr>
        <w:t>Región de Europa</w:t>
      </w:r>
      <w:r w:rsidRPr="0002338D">
        <w:t>, el Día de las Niñas en las TIC de 2024, el cual incluyó numerosas celebraciones virtuales dedicadas al "Liderazgo", inspiró a niñas de toda la región a emprender carreras en ciencia, tecnología, ingeniería y matemáticas (CTIM), poniéndolas en contacto con modelos de conducta y herramientas prácticas para el éxito. El evento, diseñado en consulta con los jóvenes, dio voz al Grupo de Jóvenes de Europa de Generation Connect y puso de manifiesto la contribución de las mujeres jóvenes a la transformación digital, sin obviar los obstáculos a los que éstas siguen enfrentándose. En la sesión plenaria de la Comisión para la Política de la UIT (Com-ITU) de la Conferencia Europea de Administraciones de Correos y Telecomunicaciones (CEPT), se realizaron las presentaciones de los Enviados de la Juventud recién nombrados ante los representantes europeos, lo que estimuló el reconocimiento y el diálogo. En Albania, los Enviados de la Juventud contribuyeron a la Estrategia de Agricultura Digital a través del proyecto DART, incorporando las perspectivas de los jóvenes en las políticas nacionales.</w:t>
      </w:r>
    </w:p>
    <w:p w14:paraId="566534BF" w14:textId="77777777" w:rsidR="00EA257A" w:rsidRPr="0002338D" w:rsidRDefault="00EA257A" w:rsidP="001B64B2">
      <w:pPr>
        <w:jc w:val="both"/>
      </w:pPr>
      <w:r w:rsidRPr="0002338D">
        <w:t xml:space="preserve">En marzo de 2024, se seleccionó el primer grupo del </w:t>
      </w:r>
      <w:r w:rsidRPr="0002338D">
        <w:rPr>
          <w:b/>
          <w:bCs/>
        </w:rPr>
        <w:t>Programa de Jóvenes Líderes Generation Connect</w:t>
      </w:r>
      <w:r w:rsidRPr="0002338D">
        <w:t xml:space="preserve"> (GCYLP) entre más de 5 000 solicitudes. En junio, treinta becarios asistieron a un programa de desarrollo de una semana de duración en Ginebra y Zúrich, donde recibieron formación en liderazgo, innovación y gestión de proyectos. Cada becario recibió una beca de 5 000 USD para ejecutar proyectos de desarrollo digital en sus comunidades, con el apoyo de mentorías mensuales y sesiones informativas durante todo un año. En 2024, la secretaría del GCYLP promovió la participación activa de los becarios como ponentes en diferentes eventos mundiales, por ejemplo, el Foro de Competencias Digitales de la UIT en Bahrein, el Foro Mundial de Innovación de la UIT en Malta, la reunión de la Comisión de Estudio 1 del UIT-D, la COP29 en Azerbaiyán y la Conferencia Mundial de Internet en China. Estas interacciones permitieron a los becarios ampliar sus redes y obtener financiación adicional (750 000 USD en total, de cinco becarios) para la sostenibilidad del proyecto. Actualmente se están realizando </w:t>
      </w:r>
      <w:r w:rsidRPr="0002338D">
        <w:lastRenderedPageBreak/>
        <w:t>las evaluaciones de los proyectos de desarrollo digital dirigidos por jóvenes, y las iniciativas con mejor desempeño pueden optar a una subvención adicional de 5 000 USD. En marzo de 2025, el Director de la BDT dio inicio al proceso de presentación de candidaturas para el segundo grupo de becarios del GCYLP durante el Mobile World Congress (MWC) organizado en Barcelona (España).</w:t>
      </w:r>
    </w:p>
    <w:p w14:paraId="03A5750F" w14:textId="77777777" w:rsidR="00EA257A" w:rsidRPr="0002338D" w:rsidRDefault="00EA257A" w:rsidP="001B64B2">
      <w:pPr>
        <w:jc w:val="both"/>
        <w:rPr>
          <w:rFonts w:eastAsia="Calibri" w:cs="Calibri"/>
          <w:szCs w:val="24"/>
        </w:rPr>
      </w:pPr>
      <w:r w:rsidRPr="0002338D">
        <w:t xml:space="preserve">La Oficina de Normalización de la UIT (TSB) ha estado promoviendo la participación efectiva de los jóvenes en la IA. </w:t>
      </w:r>
      <w:hyperlink r:id="rId8" w:history="1">
        <w:r w:rsidRPr="0002338D">
          <w:rPr>
            <w:rStyle w:val="Hyperlink"/>
          </w:rPr>
          <w:t>AI/ML Challenge de la UIT</w:t>
        </w:r>
      </w:hyperlink>
      <w:r w:rsidRPr="0002338D">
        <w:rPr>
          <w:b/>
          <w:bCs/>
        </w:rPr>
        <w:t xml:space="preserve"> </w:t>
      </w:r>
      <w:r w:rsidRPr="0002338D">
        <w:t>es una plataforma de colaboración emblemática que ofrece a estudiantes, investigadores y desarrolladores la posibilidad de diseñar modelos de IA para casos de uso del mundo real, incluida la IA geoespacial y las redes de comunicaciones. En 2024, este concurso planteó 13 enunciados de problemas y atrajo a 4 196 participantes que generaron más de 30 000 presentaciones en apoyo a la labor de normalización de la UIT.</w:t>
      </w:r>
    </w:p>
    <w:p w14:paraId="7D88629D" w14:textId="77777777" w:rsidR="00EA257A" w:rsidRPr="0002338D" w:rsidRDefault="00EA257A" w:rsidP="001B64B2">
      <w:pPr>
        <w:jc w:val="both"/>
        <w:rPr>
          <w:rFonts w:eastAsia="Calibri" w:cs="Calibri"/>
          <w:spacing w:val="-2"/>
        </w:rPr>
      </w:pPr>
      <w:hyperlink r:id="rId9" w:history="1">
        <w:r w:rsidRPr="0002338D">
          <w:rPr>
            <w:rStyle w:val="Hyperlink"/>
          </w:rPr>
          <w:t>Robotics for Good Youth Challenge</w:t>
        </w:r>
      </w:hyperlink>
      <w:r w:rsidRPr="0002338D">
        <w:rPr>
          <w:b/>
          <w:bCs/>
        </w:rPr>
        <w:t xml:space="preserve"> </w:t>
      </w:r>
      <w:r w:rsidRPr="0002338D">
        <w:t>es un campeonato mundial de robótica educativa en el que estudiantes con edades comprendidas entre los 10 y los 18 años desarrollan soluciones de respuesta a catástrofes basadas en la robótica. En la edición de 2024-2025 participaron más de 7 000 jóvenes de 20 países, el 35% de ellos procedentes de países menos adelantados. La gran final se celebrará durante la Cumbre Mundial AI for Good de 2025.</w:t>
      </w:r>
    </w:p>
    <w:p w14:paraId="743C1AA4" w14:textId="5FA26CF5" w:rsidR="00EA257A" w:rsidRPr="0002338D" w:rsidRDefault="00EA257A" w:rsidP="001B64B2">
      <w:pPr>
        <w:jc w:val="both"/>
        <w:rPr>
          <w:rFonts w:eastAsia="Calibri" w:cs="Calibri"/>
          <w:szCs w:val="24"/>
        </w:rPr>
      </w:pPr>
      <w:r w:rsidRPr="0002338D">
        <w:t>La Zona Juvenil AI for Good de la Cumbre Mundial AI for Good 2024 acogió talleres y sesiones de carácter práctico sobre la IA y la robótica. A lo largo de dos días, se celebraron nueve talleres organizados por 11 socios que sirvieron de punto de encuentro para educadores, estudiantes y profesionales y a los que asistieron 300 participantes, incluidos niños y profesionales. La Zona Juvenil ofreció experiencias de aprendizaje interactivas y colaborativas sobre diferentes temas, desde robots de tecnología educativa (EdTech) por IA hasta robótica en caso de catástrofe y vehículos autónomos. Los talleres organizados por la Escuela Politécnica Federal de Lausana (EPFL) ofrecieron experiencias prácticas con IA, visión artificial y aprendizaje automático, para lo cual mostraron cómo los coches inteligentes detectan y analizan su entorno.</w:t>
      </w:r>
    </w:p>
    <w:p w14:paraId="40D6FE4A" w14:textId="77777777" w:rsidR="00EA257A" w:rsidRPr="0002338D" w:rsidRDefault="00EA257A" w:rsidP="001B64B2">
      <w:pPr>
        <w:jc w:val="both"/>
        <w:rPr>
          <w:rFonts w:eastAsia="Calibri" w:cs="Calibri"/>
          <w:szCs w:val="24"/>
        </w:rPr>
      </w:pPr>
      <w:r w:rsidRPr="0002338D">
        <w:t xml:space="preserve">La AMNT-24 acogió la presentación de la plataforma </w:t>
      </w:r>
      <w:hyperlink r:id="rId10">
        <w:r w:rsidRPr="0002338D">
          <w:rPr>
            <w:rStyle w:val="Hyperlink"/>
            <w:rFonts w:eastAsia="Calibri"/>
          </w:rPr>
          <w:t>Young AI Leaders Community</w:t>
        </w:r>
      </w:hyperlink>
      <w:r w:rsidRPr="0002338D">
        <w:t>. Esta comunidad de jóvenes de entre 18 y 30 años, que ahora cuenta ahora con más de 350 miembros en 89 centros de 46 países, da poder a los agentes comunitarios de cambio de la IA y fomenta la colaboración y el aprendizaje entre iguales.</w:t>
      </w:r>
    </w:p>
    <w:p w14:paraId="12E62857" w14:textId="77777777" w:rsidR="00EA257A" w:rsidRPr="0002338D" w:rsidRDefault="00EA257A" w:rsidP="001B64B2">
      <w:pPr>
        <w:jc w:val="both"/>
        <w:rPr>
          <w:rFonts w:eastAsia="Calibri" w:cs="Calibri"/>
          <w:szCs w:val="24"/>
        </w:rPr>
      </w:pPr>
      <w:r w:rsidRPr="0002338D">
        <w:t xml:space="preserve">La edición especial de </w:t>
      </w:r>
      <w:r w:rsidRPr="0002338D">
        <w:rPr>
          <w:b/>
          <w:bCs/>
        </w:rPr>
        <w:t xml:space="preserve">AI for Good Innovation Factory </w:t>
      </w:r>
      <w:r w:rsidRPr="0002338D">
        <w:t>de "</w:t>
      </w:r>
      <w:hyperlink r:id="rId11" w:history="1">
        <w:r w:rsidRPr="0002338D">
          <w:rPr>
            <w:rStyle w:val="Hyperlink"/>
          </w:rPr>
          <w:t>Presentación de jóvenes innovadores que revolucionan los sistemas agroalimentarios en el Sur Global</w:t>
        </w:r>
      </w:hyperlink>
      <w:r w:rsidRPr="0002338D">
        <w:t>" se convocó en asociación con el Foro Mundial de la Alimentación (FMA) para destacar a las nuevas empresas de IA dirigidas por jóvenes que se ocupan de los desafíos agrícolas del Sur Global, proporcionando visibilidad global y acceso a los inversores.</w:t>
      </w:r>
    </w:p>
    <w:p w14:paraId="22A641B6" w14:textId="77777777" w:rsidR="00EA257A" w:rsidRPr="0002338D" w:rsidRDefault="00EA257A" w:rsidP="001B64B2">
      <w:pPr>
        <w:jc w:val="both"/>
        <w:rPr>
          <w:rFonts w:eastAsia="Calibri" w:cs="Calibri"/>
          <w:szCs w:val="24"/>
        </w:rPr>
      </w:pPr>
      <w:r w:rsidRPr="0002338D">
        <w:t xml:space="preserve">La </w:t>
      </w:r>
      <w:hyperlink r:id="rId12" w:history="1">
        <w:r w:rsidRPr="0002338D">
          <w:rPr>
            <w:rStyle w:val="Hyperlink"/>
          </w:rPr>
          <w:t>AMNT-24</w:t>
        </w:r>
      </w:hyperlink>
      <w:r w:rsidRPr="0002338D">
        <w:t xml:space="preserve"> se centró en la participación de los jóvenes: para atraer a participantes jóvenes, incluyó iniciativas específicas en el programa del evento paralelo. Entre las principales actividades cabe citar:</w:t>
      </w:r>
    </w:p>
    <w:p w14:paraId="5F33AE1E" w14:textId="77777777" w:rsidR="00EA257A" w:rsidRPr="0002338D" w:rsidRDefault="00EA257A" w:rsidP="001B64B2">
      <w:pPr>
        <w:pStyle w:val="enumlev1"/>
        <w:rPr>
          <w:rFonts w:eastAsia="Calibri" w:cs="Calibri"/>
          <w:szCs w:val="24"/>
        </w:rPr>
      </w:pPr>
      <w:r w:rsidRPr="0002338D">
        <w:rPr>
          <w:rFonts w:ascii="Symbol" w:eastAsia="Calibri" w:hAnsi="Symbol" w:cs="Calibri"/>
          <w:szCs w:val="24"/>
        </w:rPr>
        <w:t></w:t>
      </w:r>
      <w:r w:rsidRPr="0002338D">
        <w:tab/>
      </w:r>
      <w:hyperlink r:id="rId13" w:anchor=":~:text=The%20Robotics%20for%20Good%20Youth%20Challenge%20is%20an%20UN%2Dbased,Sustainable%20Development%20Goals%20(SDGs).">
        <w:r w:rsidRPr="0002338D">
          <w:rPr>
            <w:rStyle w:val="Hyperlink"/>
            <w:rFonts w:eastAsia="Calibri"/>
          </w:rPr>
          <w:t>Robotics for Youth Challenge India</w:t>
        </w:r>
      </w:hyperlink>
      <w:r w:rsidRPr="0002338D">
        <w:t xml:space="preserve">, el evento nacional del Robotics for Good Youth Challenge en India, reunió a 250 estudiantes de 51 equipos de todo el país para mostrar sus soluciones robóticas de respuesta en casos de catástrofe. Los equipos ganadores participarán en la </w:t>
      </w:r>
      <w:r w:rsidRPr="001B64B2">
        <w:t>Gran</w:t>
      </w:r>
      <w:r w:rsidRPr="0002338D">
        <w:t xml:space="preserve"> Final de la Cumbre Mundial AI for Good 2025 en Ginebra. El evento, organizado por la UIT en asociación con el Centro de Innovación Tecnológica </w:t>
      </w:r>
      <w:r w:rsidRPr="0002338D">
        <w:lastRenderedPageBreak/>
        <w:t>(IHFC) de IIT Delhi y en colaboración con el Centro para el Desarrollo de la Telemática (CDOT), se celebró el jueves 17 de octubre en Nueva Delhi (India).</w:t>
      </w:r>
    </w:p>
    <w:p w14:paraId="5CABAE48" w14:textId="77777777" w:rsidR="00EA257A" w:rsidRPr="0002338D" w:rsidRDefault="00EA257A" w:rsidP="001B64B2">
      <w:pPr>
        <w:pStyle w:val="enumlev1"/>
        <w:rPr>
          <w:rFonts w:eastAsia="Calibri" w:cs="Calibri"/>
          <w:szCs w:val="24"/>
        </w:rPr>
      </w:pPr>
      <w:r w:rsidRPr="0002338D">
        <w:rPr>
          <w:rFonts w:ascii="Symbol" w:eastAsia="Calibri" w:hAnsi="Symbol" w:cs="Calibri"/>
          <w:szCs w:val="24"/>
        </w:rPr>
        <w:t></w:t>
      </w:r>
      <w:r w:rsidRPr="0002338D">
        <w:tab/>
        <w:t xml:space="preserve">El </w:t>
      </w:r>
      <w:hyperlink r:id="rId14" w:history="1">
        <w:r w:rsidRPr="0002338D">
          <w:rPr>
            <w:rStyle w:val="Hyperlink"/>
          </w:rPr>
          <w:t>hackatón AI Bharat 5G/6G Sandbox de dos días de duración</w:t>
        </w:r>
      </w:hyperlink>
      <w:r w:rsidRPr="0002338D">
        <w:t xml:space="preserve"> congregó a estudiantes y jóvenes expertos de todo el mundo.</w:t>
      </w:r>
    </w:p>
    <w:p w14:paraId="4149E3E3" w14:textId="77777777" w:rsidR="00EA257A" w:rsidRPr="0002338D" w:rsidRDefault="00EA257A" w:rsidP="001B64B2">
      <w:pPr>
        <w:pStyle w:val="enumlev1"/>
        <w:rPr>
          <w:rFonts w:eastAsia="Calibri" w:cs="Calibri"/>
          <w:szCs w:val="24"/>
        </w:rPr>
      </w:pPr>
      <w:r w:rsidRPr="0002338D">
        <w:rPr>
          <w:rFonts w:ascii="Symbol" w:eastAsia="Calibri" w:hAnsi="Symbol" w:cs="Calibri"/>
          <w:szCs w:val="24"/>
        </w:rPr>
        <w:t></w:t>
      </w:r>
      <w:r w:rsidRPr="0002338D">
        <w:tab/>
        <w:t xml:space="preserve">Una sesión especial sobre la participación juvenil en la formulación de normas durante el </w:t>
      </w:r>
      <w:hyperlink r:id="rId15" w:history="1">
        <w:r w:rsidRPr="0002338D">
          <w:rPr>
            <w:rStyle w:val="Hyperlink"/>
            <w:i/>
            <w:iCs/>
          </w:rPr>
          <w:t>Caleidoscopio de la UIT 2024 (Innovación y transformación digital para un mundo sostenible</w:t>
        </w:r>
      </w:hyperlink>
      <w:r w:rsidRPr="0002338D">
        <w:rPr>
          <w:i/>
          <w:iCs/>
        </w:rPr>
        <w:t>),</w:t>
      </w:r>
      <w:r w:rsidRPr="0002338D">
        <w:t xml:space="preserve"> celebrada del 21 al 23 de octubre de 2024 en Nueva Delhi (India), congregó a una amplia gama de participantes de universidades, empresas e instituciones de investigación que interactuaron con estudiantes de 18 años o más.</w:t>
      </w:r>
    </w:p>
    <w:p w14:paraId="4AB84C3D" w14:textId="3346BF14" w:rsidR="00EA257A" w:rsidRPr="0002338D" w:rsidRDefault="00EA257A" w:rsidP="001B64B2">
      <w:pPr>
        <w:pStyle w:val="enumlev1"/>
        <w:rPr>
          <w:rFonts w:eastAsia="Calibri" w:cs="Calibri"/>
          <w:szCs w:val="24"/>
        </w:rPr>
      </w:pPr>
      <w:r w:rsidRPr="0002338D">
        <w:rPr>
          <w:rFonts w:ascii="Symbol" w:eastAsia="Calibri" w:hAnsi="Symbol" w:cs="Calibri"/>
          <w:szCs w:val="24"/>
        </w:rPr>
        <w:t></w:t>
      </w:r>
      <w:r w:rsidRPr="0002338D">
        <w:tab/>
        <w:t xml:space="preserve">Los Estados Miembros aprobaron la adopción de una nueva Resolución centrada en la juventud, la </w:t>
      </w:r>
      <w:hyperlink r:id="rId16" w:history="1">
        <w:r w:rsidR="0002338D">
          <w:rPr>
            <w:rStyle w:val="Hyperlink"/>
          </w:rPr>
          <w:t>Resolución 107</w:t>
        </w:r>
      </w:hyperlink>
      <w:r w:rsidR="0002338D" w:rsidRPr="0002338D">
        <w:t xml:space="preserve"> de la AMNT-24</w:t>
      </w:r>
      <w:r w:rsidRPr="0002338D">
        <w:t>, "Mejora de la participación de la próxima generación de expertos en las actividades de normalización del Sector de Normalización de las Telecomunicaciones de la UIT".</w:t>
      </w:r>
    </w:p>
    <w:p w14:paraId="1B5192A9" w14:textId="77777777" w:rsidR="00EA257A" w:rsidRPr="0002338D" w:rsidRDefault="00EA257A" w:rsidP="001B64B2">
      <w:pPr>
        <w:pStyle w:val="enumlev1"/>
        <w:rPr>
          <w:rFonts w:eastAsia="Calibri" w:cs="Calibri"/>
          <w:szCs w:val="24"/>
        </w:rPr>
      </w:pPr>
      <w:r w:rsidRPr="0002338D">
        <w:rPr>
          <w:rFonts w:ascii="Symbol" w:eastAsia="Calibri" w:hAnsi="Symbol" w:cs="Calibri"/>
          <w:szCs w:val="24"/>
        </w:rPr>
        <w:t></w:t>
      </w:r>
      <w:r w:rsidRPr="0002338D">
        <w:tab/>
        <w:t xml:space="preserve">Lanzado en mayo de 2025 para celebrar el Año Internacional de la Ciencia y la Tecnología Cuánticas, el hackatón </w:t>
      </w:r>
      <w:hyperlink r:id="rId17" w:history="1">
        <w:r w:rsidRPr="0002338D">
          <w:rPr>
            <w:rStyle w:val="Hyperlink"/>
          </w:rPr>
          <w:t>Future Leaders in Quantum</w:t>
        </w:r>
      </w:hyperlink>
      <w:r w:rsidRPr="0002338D">
        <w:t xml:space="preserve"> (FLIQ) es una plataforma para atraer a los jóvenes a las tecnologías cuánticas.</w:t>
      </w:r>
    </w:p>
    <w:p w14:paraId="23741059" w14:textId="77777777" w:rsidR="00EA257A" w:rsidRPr="0002338D" w:rsidRDefault="00EA257A" w:rsidP="001B64B2">
      <w:pPr>
        <w:jc w:val="both"/>
        <w:rPr>
          <w:szCs w:val="24"/>
        </w:rPr>
      </w:pPr>
      <w:r w:rsidRPr="0002338D">
        <w:t>La participación de los jóvenes en las actividades sobre el metaverso, la Internet de las cosas (IoT) y las ciudades y comunidades inteligentes y sostenibles (CCI+S) incluye:</w:t>
      </w:r>
    </w:p>
    <w:p w14:paraId="36A3ED97" w14:textId="77777777" w:rsidR="00EA257A" w:rsidRPr="0002338D" w:rsidRDefault="00EA257A" w:rsidP="001B64B2">
      <w:pPr>
        <w:pStyle w:val="enumlev1"/>
        <w:rPr>
          <w:rFonts w:eastAsia="Calibri" w:cs="Calibri"/>
          <w:szCs w:val="24"/>
        </w:rPr>
      </w:pPr>
      <w:r w:rsidRPr="0002338D">
        <w:rPr>
          <w:rFonts w:ascii="Symbol" w:eastAsia="Calibri" w:hAnsi="Symbol" w:cs="Calibri"/>
          <w:szCs w:val="24"/>
        </w:rPr>
        <w:t></w:t>
      </w:r>
      <w:r w:rsidRPr="0002338D">
        <w:tab/>
        <w:t>Reconocimiento a los estudiantes y profesores ganadores del concurso Global Connect IoT durante la sesión plenaria de clausura de la Comisión de Estudio 20 (Ginebra, 15-24 de enero de 2025)</w:t>
      </w:r>
    </w:p>
    <w:p w14:paraId="49DE89BB" w14:textId="77777777" w:rsidR="00EA257A" w:rsidRPr="0002338D" w:rsidRDefault="00EA257A" w:rsidP="001B64B2">
      <w:pPr>
        <w:pStyle w:val="enumlev1"/>
        <w:rPr>
          <w:rFonts w:eastAsia="Calibri" w:cs="Calibri"/>
          <w:szCs w:val="24"/>
        </w:rPr>
      </w:pPr>
      <w:r w:rsidRPr="0002338D">
        <w:rPr>
          <w:rFonts w:ascii="Symbol" w:eastAsia="Calibri" w:hAnsi="Symbol" w:cs="Calibri"/>
          <w:szCs w:val="24"/>
        </w:rPr>
        <w:t></w:t>
      </w:r>
      <w:r w:rsidRPr="0002338D">
        <w:tab/>
        <w:t xml:space="preserve">Lanzamiento del concurso </w:t>
      </w:r>
      <w:hyperlink r:id="rId18" w:history="1">
        <w:r w:rsidRPr="0002338D">
          <w:rPr>
            <w:rStyle w:val="Hyperlink"/>
          </w:rPr>
          <w:t>Citiverse Challenge de las Naciones Unidas</w:t>
        </w:r>
      </w:hyperlink>
      <w:r w:rsidRPr="0002338D">
        <w:t xml:space="preserve"> en febrero de 2025, una plataforma diseñada para fomentar la participación y la innovación de los jóvenes. Invita a estudiantes y empresas emergentes a reimaginar el futuro a través del urbaverso y la infraestructura pública digital.</w:t>
      </w:r>
    </w:p>
    <w:p w14:paraId="79569688" w14:textId="77777777" w:rsidR="00EA257A" w:rsidRPr="0002338D" w:rsidRDefault="00EA257A" w:rsidP="001B64B2">
      <w:pPr>
        <w:pStyle w:val="enumlev1"/>
        <w:rPr>
          <w:rFonts w:eastAsia="Calibri" w:cs="Calibri"/>
          <w:b/>
          <w:bCs/>
          <w:szCs w:val="24"/>
        </w:rPr>
      </w:pPr>
      <w:r w:rsidRPr="0002338D">
        <w:rPr>
          <w:rFonts w:ascii="Symbol" w:eastAsia="Calibri" w:hAnsi="Symbol" w:cs="Calibri"/>
          <w:bCs/>
          <w:szCs w:val="24"/>
        </w:rPr>
        <w:t></w:t>
      </w:r>
      <w:r w:rsidRPr="0002338D">
        <w:tab/>
        <w:t xml:space="preserve">Durante el </w:t>
      </w:r>
      <w:hyperlink r:id="rId19" w:history="1">
        <w:r w:rsidRPr="0002338D">
          <w:rPr>
            <w:rStyle w:val="Hyperlink"/>
          </w:rPr>
          <w:t>segundo Día de los Mundos Virtuales de las Naciones Unidas de 2025 (Turín [Italia], 11-12 de junio de 2025) sobre empoderamiento de los jóvenes líderes en favor de un futuro global</w:t>
        </w:r>
      </w:hyperlink>
      <w:r w:rsidRPr="0002338D">
        <w:t>, jóvenes innovadores presentaron soluciones de mundos virtuales, IA y gemelos digitales que pueden ayudar a implementar el Pacto para el Futuro y el Pacto Digital Global.</w:t>
      </w:r>
    </w:p>
    <w:p w14:paraId="09D9EA2D" w14:textId="780D868E" w:rsidR="00EA257A" w:rsidRPr="0002338D" w:rsidRDefault="00EA257A" w:rsidP="001B64B2">
      <w:pPr>
        <w:pStyle w:val="enumlev1"/>
        <w:rPr>
          <w:rFonts w:eastAsia="Calibri" w:cs="Calibri"/>
          <w:szCs w:val="24"/>
        </w:rPr>
      </w:pPr>
      <w:r w:rsidRPr="0002338D">
        <w:rPr>
          <w:rFonts w:ascii="Symbol" w:eastAsia="Calibri" w:hAnsi="Symbol" w:cs="Calibri"/>
          <w:szCs w:val="24"/>
        </w:rPr>
        <w:t></w:t>
      </w:r>
      <w:r w:rsidRPr="0002338D">
        <w:tab/>
        <w:t xml:space="preserve">Los </w:t>
      </w:r>
      <w:hyperlink r:id="rId20" w:history="1">
        <w:r w:rsidRPr="0002338D">
          <w:rPr>
            <w:rStyle w:val="Hyperlink"/>
          </w:rPr>
          <w:t>Grupos Temáticos de la iniciativa Unidos por las ciudades inteligentes y sostenibles (U4SSC)</w:t>
        </w:r>
      </w:hyperlink>
      <w:r w:rsidRPr="0002338D">
        <w:t xml:space="preserve"> están abiertos a todas las partes interesadas comprometidas con la creación de futuros urbanos más inteligentes y sostenibles. La U4SSC acoge con agrado la participación de estudiantes de diversos ámbitos, especialmente de aquellos interesados en la IA en las ciudades, las plataformas urbanas y el desarrollo de las ciudades inteligentes.</w:t>
      </w:r>
    </w:p>
    <w:p w14:paraId="07F9831D" w14:textId="39F0005B" w:rsidR="00EA257A" w:rsidRPr="0002338D" w:rsidRDefault="00EA257A" w:rsidP="001B64B2">
      <w:pPr>
        <w:jc w:val="both"/>
        <w:rPr>
          <w:rFonts w:eastAsia="Calibri" w:cs="Calibri"/>
        </w:rPr>
      </w:pPr>
      <w:r w:rsidRPr="0002338D">
        <w:t>La BR, comprometida con el apoyo a los jóvenes, ha reforzado sus acuerdos con instituciones académicas y ha ampliado la participación de los jóvenes en el Departamento aumentando las oportunidades de pasantías tanto para estudiantes como para jóvenes profesionales.</w:t>
      </w:r>
    </w:p>
    <w:p w14:paraId="0A279CF2" w14:textId="474A65D2" w:rsidR="00EA257A" w:rsidRPr="0002338D" w:rsidRDefault="00EA257A" w:rsidP="001B64B2">
      <w:pPr>
        <w:jc w:val="both"/>
        <w:rPr>
          <w:szCs w:val="24"/>
        </w:rPr>
      </w:pPr>
      <w:r w:rsidRPr="0002338D">
        <w:t>La Secretaría de la UIT se esfuerza en todo momento por estrechar las relaciones con las instituciones académicas en términos de apoyo a la investigación y participación de los estudiantes, especialmente las instituciones académicas de la UIT.</w:t>
      </w:r>
    </w:p>
    <w:p w14:paraId="2CBCA63D" w14:textId="0B117237" w:rsidR="00EA257A" w:rsidRPr="0002338D" w:rsidRDefault="00EA257A" w:rsidP="001B64B2">
      <w:pPr>
        <w:jc w:val="both"/>
        <w:rPr>
          <w:szCs w:val="24"/>
        </w:rPr>
      </w:pPr>
      <w:r w:rsidRPr="0002338D">
        <w:lastRenderedPageBreak/>
        <w:t>La UIT participó activamente en el Foro de la Juventud del Consejo Económico y Social (ECOSOC), celebrado en Nueva York del 15 al 17 de abril, como coorganizadora de dos eventos paralelos sobre IA y participación significativa de los jóvenes.</w:t>
      </w:r>
    </w:p>
    <w:p w14:paraId="57C580EF" w14:textId="475041EA" w:rsidR="001559F5" w:rsidRDefault="00EA257A" w:rsidP="001B64B2">
      <w:pPr>
        <w:jc w:val="both"/>
      </w:pPr>
      <w:r w:rsidRPr="0002338D">
        <w:t>La UIT creó una Oficina de Género y Juventud (GYO) que depende de la Secretaria General. Ya está en funcionamiento, dirigida por un Asesor Superior de Género y Juventud nombrado en febrero. En mayo de 2025 se contrató a un Oficial Adjunto de Programas para la Juventud.</w:t>
      </w:r>
    </w:p>
    <w:p w14:paraId="51047903" w14:textId="77777777" w:rsidR="00F43E9F" w:rsidRPr="0002338D" w:rsidRDefault="00F43E9F" w:rsidP="001B64B2">
      <w:pPr>
        <w:jc w:val="both"/>
      </w:pPr>
    </w:p>
    <w:p w14:paraId="0EED7B98" w14:textId="77777777" w:rsidR="00EA257A" w:rsidRPr="0002338D" w:rsidRDefault="00EA257A">
      <w:pPr>
        <w:jc w:val="center"/>
      </w:pPr>
      <w:r w:rsidRPr="0002338D">
        <w:t>______________</w:t>
      </w:r>
    </w:p>
    <w:sectPr w:rsidR="00EA257A" w:rsidRPr="0002338D" w:rsidSect="00C538FC">
      <w:footerReference w:type="default" r:id="rId21"/>
      <w:headerReference w:type="first" r:id="rId22"/>
      <w:footerReference w:type="first" r:id="rId2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DA18" w14:textId="77777777" w:rsidR="00FC5BD1" w:rsidRDefault="00FC5BD1">
      <w:r>
        <w:separator/>
      </w:r>
    </w:p>
  </w:endnote>
  <w:endnote w:type="continuationSeparator" w:id="0">
    <w:p w14:paraId="0A3548D1" w14:textId="77777777" w:rsidR="00FC5BD1" w:rsidRDefault="00FC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4571440A" w14:textId="77777777" w:rsidTr="00E31DCE">
      <w:trPr>
        <w:jc w:val="center"/>
      </w:trPr>
      <w:tc>
        <w:tcPr>
          <w:tcW w:w="1803" w:type="dxa"/>
          <w:vAlign w:val="center"/>
        </w:tcPr>
        <w:p w14:paraId="1181F7DD" w14:textId="13B690F4" w:rsidR="003273A4" w:rsidRDefault="002946E2" w:rsidP="003273A4">
          <w:pPr>
            <w:pStyle w:val="Header"/>
            <w:jc w:val="left"/>
            <w:rPr>
              <w:noProof/>
            </w:rPr>
          </w:pPr>
          <w:r>
            <w:rPr>
              <w:noProof/>
            </w:rPr>
            <w:t xml:space="preserve">gDoc </w:t>
          </w:r>
          <w:r w:rsidR="00867564">
            <w:rPr>
              <w:noProof/>
            </w:rPr>
            <w:t>2501232</w:t>
          </w:r>
        </w:p>
      </w:tc>
      <w:tc>
        <w:tcPr>
          <w:tcW w:w="8261" w:type="dxa"/>
        </w:tcPr>
        <w:p w14:paraId="420E9B86" w14:textId="4B8DBD0A"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867564">
            <w:rPr>
              <w:bCs/>
            </w:rPr>
            <w:t>32</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54BFDBD"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5C334354" w14:textId="77777777" w:rsidTr="00E31DCE">
      <w:trPr>
        <w:jc w:val="center"/>
      </w:trPr>
      <w:tc>
        <w:tcPr>
          <w:tcW w:w="1803" w:type="dxa"/>
          <w:vAlign w:val="center"/>
        </w:tcPr>
        <w:p w14:paraId="729AA859"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32395309" w14:textId="0448A60C"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867564">
            <w:rPr>
              <w:bCs/>
            </w:rPr>
            <w:t>32</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5AADD29"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BF5A" w14:textId="77777777" w:rsidR="00FC5BD1" w:rsidRDefault="00FC5BD1">
      <w:r>
        <w:t>____________________</w:t>
      </w:r>
    </w:p>
  </w:footnote>
  <w:footnote w:type="continuationSeparator" w:id="0">
    <w:p w14:paraId="6F2DBCFF" w14:textId="77777777" w:rsidR="00FC5BD1" w:rsidRDefault="00FC5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008931DE" w14:textId="77777777" w:rsidTr="00666D09">
      <w:trPr>
        <w:trHeight w:val="1104"/>
        <w:jc w:val="center"/>
      </w:trPr>
      <w:tc>
        <w:tcPr>
          <w:tcW w:w="5998" w:type="dxa"/>
          <w:vAlign w:val="center"/>
        </w:tcPr>
        <w:p w14:paraId="390198D7"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22026362" wp14:editId="50AB7D71">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0D513C76" w14:textId="77777777" w:rsidR="00666D09" w:rsidRDefault="00666D09" w:rsidP="001559F5">
          <w:pPr>
            <w:pStyle w:val="Header"/>
            <w:jc w:val="right"/>
            <w:rPr>
              <w:rFonts w:ascii="Arial" w:hAnsi="Arial" w:cs="Arial"/>
              <w:b/>
              <w:bCs/>
              <w:color w:val="009CD6"/>
              <w:szCs w:val="18"/>
            </w:rPr>
          </w:pPr>
        </w:p>
      </w:tc>
    </w:tr>
  </w:tbl>
  <w:p w14:paraId="2A4AD190"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DF845E5" wp14:editId="189E46F9">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7588D"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D1"/>
    <w:rsid w:val="000007D1"/>
    <w:rsid w:val="0002338D"/>
    <w:rsid w:val="0006007D"/>
    <w:rsid w:val="00093EEB"/>
    <w:rsid w:val="000B0D00"/>
    <w:rsid w:val="000B7C15"/>
    <w:rsid w:val="000D1D0F"/>
    <w:rsid w:val="000E3F07"/>
    <w:rsid w:val="000F5290"/>
    <w:rsid w:val="0010165C"/>
    <w:rsid w:val="00146BFB"/>
    <w:rsid w:val="001559F5"/>
    <w:rsid w:val="00157AC4"/>
    <w:rsid w:val="0016169C"/>
    <w:rsid w:val="001B64B2"/>
    <w:rsid w:val="001B6E2B"/>
    <w:rsid w:val="001F14A2"/>
    <w:rsid w:val="00201AF5"/>
    <w:rsid w:val="002801AA"/>
    <w:rsid w:val="002946E2"/>
    <w:rsid w:val="002C3F32"/>
    <w:rsid w:val="002C4676"/>
    <w:rsid w:val="002C70B0"/>
    <w:rsid w:val="002F3CC4"/>
    <w:rsid w:val="003032E2"/>
    <w:rsid w:val="0031300A"/>
    <w:rsid w:val="003273A4"/>
    <w:rsid w:val="0034796E"/>
    <w:rsid w:val="003D0345"/>
    <w:rsid w:val="003D236E"/>
    <w:rsid w:val="00473962"/>
    <w:rsid w:val="004B5D49"/>
    <w:rsid w:val="004D3A3C"/>
    <w:rsid w:val="00513630"/>
    <w:rsid w:val="00560125"/>
    <w:rsid w:val="00585553"/>
    <w:rsid w:val="005B34D9"/>
    <w:rsid w:val="005D0CCF"/>
    <w:rsid w:val="005D5E7C"/>
    <w:rsid w:val="005F3BCB"/>
    <w:rsid w:val="005F410F"/>
    <w:rsid w:val="0060149A"/>
    <w:rsid w:val="00601924"/>
    <w:rsid w:val="006447EA"/>
    <w:rsid w:val="0064481D"/>
    <w:rsid w:val="0064731F"/>
    <w:rsid w:val="00664572"/>
    <w:rsid w:val="00666D09"/>
    <w:rsid w:val="006710F6"/>
    <w:rsid w:val="00677A97"/>
    <w:rsid w:val="006C1B56"/>
    <w:rsid w:val="006D4761"/>
    <w:rsid w:val="00726872"/>
    <w:rsid w:val="00760F1C"/>
    <w:rsid w:val="007657F0"/>
    <w:rsid w:val="0077110E"/>
    <w:rsid w:val="0077252D"/>
    <w:rsid w:val="007955DA"/>
    <w:rsid w:val="007A2FDE"/>
    <w:rsid w:val="007E5DD3"/>
    <w:rsid w:val="007F350B"/>
    <w:rsid w:val="00820BE4"/>
    <w:rsid w:val="008451E8"/>
    <w:rsid w:val="00867564"/>
    <w:rsid w:val="008F6ABC"/>
    <w:rsid w:val="00913B9C"/>
    <w:rsid w:val="00927F93"/>
    <w:rsid w:val="00956E77"/>
    <w:rsid w:val="009A338E"/>
    <w:rsid w:val="009F4811"/>
    <w:rsid w:val="00A94438"/>
    <w:rsid w:val="00AA390C"/>
    <w:rsid w:val="00B0200A"/>
    <w:rsid w:val="00B060DF"/>
    <w:rsid w:val="00B47518"/>
    <w:rsid w:val="00B574DB"/>
    <w:rsid w:val="00B826C2"/>
    <w:rsid w:val="00B8298E"/>
    <w:rsid w:val="00BB6FD8"/>
    <w:rsid w:val="00BD0723"/>
    <w:rsid w:val="00BD2518"/>
    <w:rsid w:val="00BF1D1C"/>
    <w:rsid w:val="00C20C59"/>
    <w:rsid w:val="00C2727F"/>
    <w:rsid w:val="00C538FC"/>
    <w:rsid w:val="00C55B1F"/>
    <w:rsid w:val="00CC01C2"/>
    <w:rsid w:val="00CF1A67"/>
    <w:rsid w:val="00D076CC"/>
    <w:rsid w:val="00D2750E"/>
    <w:rsid w:val="00D375E0"/>
    <w:rsid w:val="00D50A36"/>
    <w:rsid w:val="00D62446"/>
    <w:rsid w:val="00DA4EA2"/>
    <w:rsid w:val="00DC3D3E"/>
    <w:rsid w:val="00DE2C90"/>
    <w:rsid w:val="00DE3B24"/>
    <w:rsid w:val="00E06947"/>
    <w:rsid w:val="00E11319"/>
    <w:rsid w:val="00E21444"/>
    <w:rsid w:val="00E25355"/>
    <w:rsid w:val="00E34072"/>
    <w:rsid w:val="00E3592D"/>
    <w:rsid w:val="00E50D76"/>
    <w:rsid w:val="00E8018B"/>
    <w:rsid w:val="00E92DE8"/>
    <w:rsid w:val="00EA257A"/>
    <w:rsid w:val="00EB1212"/>
    <w:rsid w:val="00ED65AB"/>
    <w:rsid w:val="00F12850"/>
    <w:rsid w:val="00F24B71"/>
    <w:rsid w:val="00F33BF4"/>
    <w:rsid w:val="00F43E9F"/>
    <w:rsid w:val="00F7105E"/>
    <w:rsid w:val="00F75F57"/>
    <w:rsid w:val="00F82FEE"/>
    <w:rsid w:val="00F92BED"/>
    <w:rsid w:val="00FC5BD1"/>
    <w:rsid w:val="00FC636C"/>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3FB31"/>
  <w15:docId w15:val="{7B8DBF53-CD22-43BB-92F8-6C459912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1B64B2"/>
    <w:pPr>
      <w:keepNext/>
      <w:keepLines/>
      <w:spacing w:before="240"/>
      <w:ind w:left="567" w:hanging="567"/>
      <w:outlineLvl w:val="0"/>
    </w:pPr>
    <w:rPr>
      <w:b/>
      <w:bCs/>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qFormat/>
    <w:rsid w:val="001B64B2"/>
    <w:pPr>
      <w:spacing w:before="80"/>
      <w:ind w:left="567" w:hanging="567"/>
      <w:jc w:val="both"/>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3D236E"/>
    <w:rPr>
      <w:color w:val="0070C0"/>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iforgood.itu.int/about-us/aiml-in-5g-challenge/" TargetMode="External"/><Relationship Id="rId13" Type="http://schemas.openxmlformats.org/officeDocument/2006/relationships/hyperlink" Target="https://aiforgood.itu.int/event/robotics-for-good-youth-challenge-india/" TargetMode="External"/><Relationship Id="rId18" Type="http://schemas.openxmlformats.org/officeDocument/2006/relationships/hyperlink" Target="https://www.itu.int/metaverse/virtual-worlds/1st-un-citiverse-challenge/"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itu.int/md/S24-CL-C-0031/es" TargetMode="External"/><Relationship Id="rId12" Type="http://schemas.openxmlformats.org/officeDocument/2006/relationships/hyperlink" Target="https://www.itu.int/wtsa/2024/" TargetMode="External"/><Relationship Id="rId17" Type="http://schemas.openxmlformats.org/officeDocument/2006/relationships/hyperlink" Target="https://aiforgood.itu.int/the-future-leaders-in-quantum-hackatho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itu.int/dms_pub/itu-t/opb/res/T-RES-T.107-2024-PDF-S.pdf" TargetMode="External"/><Relationship Id="rId20" Type="http://schemas.openxmlformats.org/officeDocument/2006/relationships/hyperlink" Target="https://u4ssc.itu.int/thematic-groups/" TargetMode="External"/><Relationship Id="rId1" Type="http://schemas.openxmlformats.org/officeDocument/2006/relationships/styles" Target="styles.xml"/><Relationship Id="rId6" Type="http://schemas.openxmlformats.org/officeDocument/2006/relationships/hyperlink" Target="https://www.itu.int/en/council/Documents/basic-texts-2023/RES-198-S.pdf" TargetMode="External"/><Relationship Id="rId11" Type="http://schemas.openxmlformats.org/officeDocument/2006/relationships/hyperlink" Target="https://aiforgood.itu.int/event/meet-young-innovators-revolutionizing-agrifood-systems-in-the-global-south/"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itu.int/en/ITU-T/academia/kaleidoscope/2024/Pages/default.aspx" TargetMode="External"/><Relationship Id="rId23" Type="http://schemas.openxmlformats.org/officeDocument/2006/relationships/footer" Target="footer2.xml"/><Relationship Id="rId10" Type="http://schemas.openxmlformats.org/officeDocument/2006/relationships/hyperlink" Target="https://aiforgood.itu.int/young-ai-leaders-community/" TargetMode="External"/><Relationship Id="rId19" Type="http://schemas.openxmlformats.org/officeDocument/2006/relationships/hyperlink" Target="https://www.itu.int/un-virtual-worlds-day/2025/" TargetMode="External"/><Relationship Id="rId4" Type="http://schemas.openxmlformats.org/officeDocument/2006/relationships/footnotes" Target="footnotes.xml"/><Relationship Id="rId9" Type="http://schemas.openxmlformats.org/officeDocument/2006/relationships/hyperlink" Target="https://aiforgood.itu.int/robotics-for-good-youth-challenge/" TargetMode="External"/><Relationship Id="rId14" Type="http://schemas.openxmlformats.org/officeDocument/2006/relationships/hyperlink" Target="https://challenge.aiforgood.itu.int/match/matchitem/95"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0</TotalTime>
  <Pages>7</Pages>
  <Words>3036</Words>
  <Characters>17337</Characters>
  <Application>Microsoft Office Word</Application>
  <DocSecurity>0</DocSecurity>
  <Lines>275</Lines>
  <Paragraphs>73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20300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Participación e iniciativas juveniles significativas de la UIT</dc:title>
  <dc:subject>Consejo 2025 de la UIT</dc:subject>
  <cp:keywords>C2025, C25, Council-25</cp:keywords>
  <dc:description/>
  <cp:lastPrinted>2006-03-24T09:51:00Z</cp:lastPrinted>
  <dcterms:created xsi:type="dcterms:W3CDTF">2025-05-29T13:50:00Z</dcterms:created>
  <dcterms:modified xsi:type="dcterms:W3CDTF">2025-05-29T13:50:00Z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