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461CE" w14:paraId="3E1C2769" w14:textId="77777777" w:rsidTr="7E9B54B0">
        <w:trPr>
          <w:cantSplit/>
          <w:trHeight w:val="23"/>
        </w:trPr>
        <w:tc>
          <w:tcPr>
            <w:tcW w:w="3969" w:type="dxa"/>
            <w:vMerge w:val="restart"/>
            <w:tcMar>
              <w:left w:w="0" w:type="dxa"/>
            </w:tcMar>
          </w:tcPr>
          <w:p w14:paraId="7147B863" w14:textId="417A55CB" w:rsidR="00AD3606" w:rsidRPr="006461CE"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6461CE">
              <w:rPr>
                <w:b/>
              </w:rPr>
              <w:t xml:space="preserve">Agenda item: </w:t>
            </w:r>
            <w:r w:rsidR="000C4750" w:rsidRPr="006461CE">
              <w:rPr>
                <w:b/>
              </w:rPr>
              <w:t>PL 2</w:t>
            </w:r>
          </w:p>
        </w:tc>
        <w:tc>
          <w:tcPr>
            <w:tcW w:w="5245" w:type="dxa"/>
          </w:tcPr>
          <w:p w14:paraId="6779937E" w14:textId="4D4CC50C" w:rsidR="00AD3606" w:rsidRPr="006461CE" w:rsidRDefault="00AD3606" w:rsidP="00472BAD">
            <w:pPr>
              <w:tabs>
                <w:tab w:val="left" w:pos="851"/>
              </w:tabs>
              <w:spacing w:before="0" w:line="240" w:lineRule="atLeast"/>
              <w:jc w:val="right"/>
              <w:rPr>
                <w:b/>
              </w:rPr>
            </w:pPr>
            <w:r w:rsidRPr="006461CE">
              <w:rPr>
                <w:b/>
              </w:rPr>
              <w:t>Document C2</w:t>
            </w:r>
            <w:r w:rsidR="00BF1FDE" w:rsidRPr="006461CE">
              <w:rPr>
                <w:b/>
              </w:rPr>
              <w:t>5</w:t>
            </w:r>
            <w:r w:rsidRPr="006461CE">
              <w:rPr>
                <w:b/>
              </w:rPr>
              <w:t>/</w:t>
            </w:r>
            <w:r w:rsidR="000C4750" w:rsidRPr="006461CE">
              <w:rPr>
                <w:b/>
              </w:rPr>
              <w:t>3</w:t>
            </w:r>
            <w:r w:rsidR="00B30621" w:rsidRPr="006461CE">
              <w:rPr>
                <w:b/>
              </w:rPr>
              <w:t>2</w:t>
            </w:r>
            <w:r w:rsidRPr="006461CE">
              <w:rPr>
                <w:b/>
              </w:rPr>
              <w:t>-E</w:t>
            </w:r>
          </w:p>
        </w:tc>
      </w:tr>
      <w:tr w:rsidR="00AD3606" w:rsidRPr="006461CE" w14:paraId="3E3F9DA5" w14:textId="77777777" w:rsidTr="7E9B54B0">
        <w:trPr>
          <w:cantSplit/>
        </w:trPr>
        <w:tc>
          <w:tcPr>
            <w:tcW w:w="3969" w:type="dxa"/>
            <w:vMerge/>
          </w:tcPr>
          <w:p w14:paraId="5920AA6E" w14:textId="77777777" w:rsidR="00AD3606" w:rsidRPr="006461CE"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2D6645B1" w:rsidR="00AD3606" w:rsidRPr="006461CE" w:rsidRDefault="00F8661C" w:rsidP="00AD3606">
            <w:pPr>
              <w:tabs>
                <w:tab w:val="left" w:pos="851"/>
              </w:tabs>
              <w:spacing w:before="0"/>
              <w:jc w:val="right"/>
              <w:rPr>
                <w:b/>
              </w:rPr>
            </w:pPr>
            <w:r>
              <w:rPr>
                <w:b/>
              </w:rPr>
              <w:t>16 May</w:t>
            </w:r>
            <w:r w:rsidR="000C4750" w:rsidRPr="006461CE">
              <w:rPr>
                <w:b/>
              </w:rPr>
              <w:t xml:space="preserve"> 2025</w:t>
            </w:r>
          </w:p>
        </w:tc>
      </w:tr>
      <w:tr w:rsidR="00AD3606" w:rsidRPr="006461CE" w14:paraId="75730376" w14:textId="77777777" w:rsidTr="7E9B54B0">
        <w:trPr>
          <w:cantSplit/>
          <w:trHeight w:val="23"/>
        </w:trPr>
        <w:tc>
          <w:tcPr>
            <w:tcW w:w="3969" w:type="dxa"/>
            <w:vMerge/>
          </w:tcPr>
          <w:p w14:paraId="298F937E" w14:textId="77777777" w:rsidR="00AD3606" w:rsidRPr="006461CE"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6461CE" w:rsidRDefault="00AD3606" w:rsidP="00AD3606">
            <w:pPr>
              <w:tabs>
                <w:tab w:val="left" w:pos="851"/>
              </w:tabs>
              <w:spacing w:before="0" w:line="240" w:lineRule="atLeast"/>
              <w:jc w:val="right"/>
              <w:rPr>
                <w:b/>
              </w:rPr>
            </w:pPr>
            <w:r w:rsidRPr="006461CE">
              <w:rPr>
                <w:b/>
              </w:rPr>
              <w:t>Original: English</w:t>
            </w:r>
          </w:p>
        </w:tc>
      </w:tr>
      <w:tr w:rsidR="00472BAD" w:rsidRPr="006461CE" w14:paraId="14DA91C4" w14:textId="77777777" w:rsidTr="7E9B54B0">
        <w:trPr>
          <w:cantSplit/>
          <w:trHeight w:val="23"/>
        </w:trPr>
        <w:tc>
          <w:tcPr>
            <w:tcW w:w="3969" w:type="dxa"/>
          </w:tcPr>
          <w:p w14:paraId="5858B25D" w14:textId="77777777" w:rsidR="00472BAD" w:rsidRPr="006461CE" w:rsidRDefault="00472BAD" w:rsidP="00AD3606">
            <w:pPr>
              <w:tabs>
                <w:tab w:val="left" w:pos="851"/>
              </w:tabs>
              <w:spacing w:line="240" w:lineRule="atLeast"/>
              <w:rPr>
                <w:b/>
              </w:rPr>
            </w:pPr>
          </w:p>
        </w:tc>
        <w:tc>
          <w:tcPr>
            <w:tcW w:w="5245" w:type="dxa"/>
          </w:tcPr>
          <w:p w14:paraId="5DBF7439" w14:textId="77777777" w:rsidR="00472BAD" w:rsidRPr="006461CE" w:rsidRDefault="00472BAD" w:rsidP="00AD3606">
            <w:pPr>
              <w:tabs>
                <w:tab w:val="left" w:pos="851"/>
              </w:tabs>
              <w:spacing w:before="0" w:line="240" w:lineRule="atLeast"/>
              <w:jc w:val="right"/>
              <w:rPr>
                <w:b/>
              </w:rPr>
            </w:pPr>
          </w:p>
        </w:tc>
      </w:tr>
      <w:tr w:rsidR="00AD3606" w:rsidRPr="006461CE" w14:paraId="2481FF59" w14:textId="77777777" w:rsidTr="7E9B54B0">
        <w:trPr>
          <w:cantSplit/>
        </w:trPr>
        <w:tc>
          <w:tcPr>
            <w:tcW w:w="9214" w:type="dxa"/>
            <w:gridSpan w:val="2"/>
            <w:tcMar>
              <w:left w:w="0" w:type="dxa"/>
            </w:tcMar>
          </w:tcPr>
          <w:p w14:paraId="2016C4A0" w14:textId="77777777" w:rsidR="00AD3606" w:rsidRPr="006461CE" w:rsidRDefault="00AD3606" w:rsidP="000F7289">
            <w:pPr>
              <w:pStyle w:val="Source"/>
              <w:framePr w:hSpace="0" w:wrap="auto" w:vAnchor="margin" w:hAnchor="text" w:xAlign="left" w:yAlign="inline"/>
            </w:pPr>
            <w:bookmarkStart w:id="8" w:name="dsource" w:colFirst="0" w:colLast="0"/>
            <w:bookmarkEnd w:id="7"/>
            <w:r w:rsidRPr="006461CE">
              <w:t>Report by the Secretary-General</w:t>
            </w:r>
          </w:p>
        </w:tc>
      </w:tr>
      <w:tr w:rsidR="00AD3606" w:rsidRPr="006461CE" w14:paraId="3A759762" w14:textId="77777777" w:rsidTr="7E9B54B0">
        <w:trPr>
          <w:cantSplit/>
        </w:trPr>
        <w:tc>
          <w:tcPr>
            <w:tcW w:w="9214" w:type="dxa"/>
            <w:gridSpan w:val="2"/>
            <w:tcMar>
              <w:left w:w="0" w:type="dxa"/>
            </w:tcMar>
          </w:tcPr>
          <w:p w14:paraId="2A2DCF47" w14:textId="3A1A3E40" w:rsidR="00AD3606" w:rsidRPr="006461CE" w:rsidRDefault="00B86F5D" w:rsidP="000F7289">
            <w:pPr>
              <w:pStyle w:val="Subtitle"/>
              <w:framePr w:hSpace="0" w:wrap="auto" w:xAlign="left" w:yAlign="inline"/>
            </w:pPr>
            <w:bookmarkStart w:id="9" w:name="dtitle1" w:colFirst="0" w:colLast="0"/>
            <w:bookmarkEnd w:id="8"/>
            <w:r w:rsidRPr="006461CE">
              <w:t>MEANINGFUL YOUTH ENGAGEMENT AND INITIATIVES IN ITU</w:t>
            </w:r>
          </w:p>
        </w:tc>
      </w:tr>
      <w:tr w:rsidR="00AD3606" w:rsidRPr="006461CE" w14:paraId="72B25568" w14:textId="77777777" w:rsidTr="7E9B54B0">
        <w:trPr>
          <w:cantSplit/>
        </w:trPr>
        <w:tc>
          <w:tcPr>
            <w:tcW w:w="9214" w:type="dxa"/>
            <w:gridSpan w:val="2"/>
            <w:tcBorders>
              <w:top w:val="single" w:sz="4" w:space="0" w:color="auto"/>
              <w:bottom w:val="single" w:sz="4" w:space="0" w:color="auto"/>
            </w:tcBorders>
            <w:tcMar>
              <w:left w:w="0" w:type="dxa"/>
            </w:tcMar>
          </w:tcPr>
          <w:p w14:paraId="4C3D541B" w14:textId="1024FD2F" w:rsidR="00AD3606" w:rsidRPr="006461CE" w:rsidRDefault="00F16BAB" w:rsidP="00F16BAB">
            <w:pPr>
              <w:spacing w:before="160"/>
              <w:rPr>
                <w:b/>
                <w:bCs/>
                <w:sz w:val="26"/>
                <w:szCs w:val="26"/>
              </w:rPr>
            </w:pPr>
            <w:r w:rsidRPr="006461CE">
              <w:rPr>
                <w:b/>
                <w:bCs/>
                <w:sz w:val="26"/>
                <w:szCs w:val="26"/>
              </w:rPr>
              <w:t>Purpose</w:t>
            </w:r>
          </w:p>
          <w:p w14:paraId="67D070EA" w14:textId="316C0D8A" w:rsidR="00AD3606" w:rsidRPr="006461CE" w:rsidRDefault="000C4750" w:rsidP="00A36613">
            <w:pPr>
              <w:jc w:val="both"/>
            </w:pPr>
            <w:r w:rsidRPr="006461CE">
              <w:t>The objective of this document is to inform the ITU Council about meaningful youth engagement in ITU, across several initiatives and programmes.</w:t>
            </w:r>
          </w:p>
          <w:p w14:paraId="4288AA6F" w14:textId="77777777" w:rsidR="00AD3606" w:rsidRPr="006461CE" w:rsidRDefault="00AD3606" w:rsidP="00A36613">
            <w:pPr>
              <w:spacing w:before="160"/>
              <w:jc w:val="both"/>
              <w:rPr>
                <w:b/>
                <w:bCs/>
                <w:sz w:val="26"/>
                <w:szCs w:val="26"/>
              </w:rPr>
            </w:pPr>
            <w:r w:rsidRPr="006461CE">
              <w:rPr>
                <w:b/>
                <w:bCs/>
                <w:sz w:val="26"/>
                <w:szCs w:val="26"/>
              </w:rPr>
              <w:t>Action required</w:t>
            </w:r>
            <w:r w:rsidR="00F16BAB" w:rsidRPr="006461CE">
              <w:rPr>
                <w:b/>
                <w:bCs/>
                <w:sz w:val="26"/>
                <w:szCs w:val="26"/>
              </w:rPr>
              <w:t xml:space="preserve"> by the Council</w:t>
            </w:r>
          </w:p>
          <w:p w14:paraId="0FFF2D9B" w14:textId="6D2DA2EA" w:rsidR="00722551" w:rsidRPr="006461CE" w:rsidRDefault="000C4750" w:rsidP="00A36613">
            <w:pPr>
              <w:jc w:val="both"/>
            </w:pPr>
            <w:r w:rsidRPr="006461CE">
              <w:t xml:space="preserve">The Council is invited to </w:t>
            </w:r>
            <w:r w:rsidRPr="006461CE">
              <w:rPr>
                <w:b/>
                <w:bCs/>
              </w:rPr>
              <w:t>take note</w:t>
            </w:r>
            <w:r w:rsidRPr="006461CE">
              <w:t xml:space="preserve"> of the report.</w:t>
            </w:r>
          </w:p>
          <w:p w14:paraId="4B855F83" w14:textId="7E0F2BB7" w:rsidR="00722551" w:rsidRPr="006461CE" w:rsidRDefault="00722551" w:rsidP="00A36613">
            <w:pPr>
              <w:spacing w:before="160"/>
              <w:jc w:val="both"/>
              <w:rPr>
                <w:b/>
                <w:bCs/>
                <w:sz w:val="26"/>
                <w:szCs w:val="26"/>
              </w:rPr>
            </w:pPr>
            <w:r w:rsidRPr="006461CE">
              <w:rPr>
                <w:b/>
                <w:bCs/>
                <w:sz w:val="26"/>
                <w:szCs w:val="26"/>
              </w:rPr>
              <w:t>Relevant link</w:t>
            </w:r>
            <w:r w:rsidR="004B25A1" w:rsidRPr="006461CE">
              <w:rPr>
                <w:b/>
                <w:bCs/>
                <w:sz w:val="26"/>
                <w:szCs w:val="26"/>
              </w:rPr>
              <w:t>(s)</w:t>
            </w:r>
            <w:r w:rsidRPr="006461CE">
              <w:rPr>
                <w:b/>
                <w:bCs/>
                <w:sz w:val="26"/>
                <w:szCs w:val="26"/>
              </w:rPr>
              <w:t xml:space="preserve"> with the Strategic Plan</w:t>
            </w:r>
          </w:p>
          <w:p w14:paraId="56ADF403" w14:textId="3BB65714" w:rsidR="00722551" w:rsidRPr="006461CE" w:rsidRDefault="00677437" w:rsidP="00A36613">
            <w:pPr>
              <w:jc w:val="both"/>
            </w:pPr>
            <w:r w:rsidRPr="006461CE">
              <w:t xml:space="preserve">Excellence </w:t>
            </w:r>
            <w:r w:rsidR="000C4750" w:rsidRPr="006461CE">
              <w:t>in human resources and organizational innovation.</w:t>
            </w:r>
          </w:p>
          <w:p w14:paraId="6A77059B" w14:textId="270D1307" w:rsidR="00722551" w:rsidRPr="006461CE" w:rsidRDefault="4611F62C" w:rsidP="00A36613">
            <w:pPr>
              <w:spacing w:before="160"/>
              <w:jc w:val="both"/>
              <w:rPr>
                <w:b/>
                <w:bCs/>
                <w:sz w:val="26"/>
                <w:szCs w:val="26"/>
              </w:rPr>
            </w:pPr>
            <w:r w:rsidRPr="006461CE">
              <w:rPr>
                <w:b/>
                <w:bCs/>
                <w:sz w:val="26"/>
                <w:szCs w:val="26"/>
              </w:rPr>
              <w:t>Financial implications</w:t>
            </w:r>
          </w:p>
          <w:p w14:paraId="4E76743A" w14:textId="5733BBA0" w:rsidR="2115D75B" w:rsidRPr="006461CE" w:rsidRDefault="406DE304" w:rsidP="1F6C6EC9">
            <w:pPr>
              <w:spacing w:before="160" w:line="259" w:lineRule="auto"/>
              <w:jc w:val="both"/>
            </w:pPr>
            <w:r>
              <w:t xml:space="preserve">Within the allocated budget 2024-2025. </w:t>
            </w:r>
            <w:r w:rsidR="2115D75B">
              <w:t xml:space="preserve">ITU </w:t>
            </w:r>
            <w:r w:rsidR="78D510FC">
              <w:t>M</w:t>
            </w:r>
            <w:r w:rsidR="2115D75B">
              <w:t>embers are invited to financially support ITU youth program</w:t>
            </w:r>
            <w:r w:rsidR="00A36613">
              <w:t>me</w:t>
            </w:r>
            <w:r w:rsidR="2115D75B">
              <w:t>s and initiatives</w:t>
            </w:r>
            <w:r w:rsidR="689478C7">
              <w:t xml:space="preserve"> through voluntary contributions</w:t>
            </w:r>
            <w:r w:rsidR="2115D75B">
              <w:t>.</w:t>
            </w:r>
          </w:p>
          <w:p w14:paraId="08939791" w14:textId="77777777" w:rsidR="00C0458D" w:rsidRPr="006461CE" w:rsidRDefault="00C0458D">
            <w:r w:rsidRPr="006461CE">
              <w:t>_______________</w:t>
            </w:r>
          </w:p>
          <w:p w14:paraId="212A584A" w14:textId="77777777" w:rsidR="00AD3606" w:rsidRPr="006461CE" w:rsidRDefault="00AD3606" w:rsidP="00F16BAB">
            <w:pPr>
              <w:spacing w:before="160"/>
              <w:rPr>
                <w:b/>
                <w:bCs/>
                <w:sz w:val="26"/>
                <w:szCs w:val="26"/>
              </w:rPr>
            </w:pPr>
            <w:r w:rsidRPr="006461CE">
              <w:rPr>
                <w:b/>
                <w:bCs/>
                <w:sz w:val="26"/>
                <w:szCs w:val="26"/>
              </w:rPr>
              <w:t>References</w:t>
            </w:r>
          </w:p>
          <w:p w14:paraId="7089D4B7" w14:textId="3E0E943F" w:rsidR="00AD3606" w:rsidRPr="006461CE" w:rsidRDefault="000C4750" w:rsidP="00F16BAB">
            <w:pPr>
              <w:spacing w:after="160"/>
              <w:rPr>
                <w:i/>
                <w:iCs/>
                <w:sz w:val="22"/>
                <w:szCs w:val="22"/>
              </w:rPr>
            </w:pPr>
            <w:hyperlink r:id="rId11" w:history="1">
              <w:r w:rsidRPr="006461CE">
                <w:rPr>
                  <w:rStyle w:val="Hyperlink"/>
                  <w:rFonts w:eastAsia="Calibri" w:cs="Calibri"/>
                  <w:i/>
                  <w:iCs/>
                  <w:sz w:val="22"/>
                  <w:szCs w:val="22"/>
                </w:rPr>
                <w:t>Resolution 198</w:t>
              </w:r>
            </w:hyperlink>
            <w:r w:rsidRPr="006461CE">
              <w:rPr>
                <w:rFonts w:eastAsia="Calibri" w:cs="Calibri"/>
                <w:i/>
                <w:iCs/>
                <w:sz w:val="22"/>
                <w:szCs w:val="22"/>
              </w:rPr>
              <w:t xml:space="preserve"> (Rev. Bucharest, 2022) of the Plenipotentiary Conference</w:t>
            </w:r>
            <w:r w:rsidR="00677437" w:rsidRPr="006461CE">
              <w:rPr>
                <w:rFonts w:eastAsia="Calibri" w:cs="Calibri"/>
                <w:i/>
                <w:iCs/>
                <w:sz w:val="22"/>
                <w:szCs w:val="22"/>
              </w:rPr>
              <w:t>; Council Document</w:t>
            </w:r>
            <w:r w:rsidR="00EF4472" w:rsidRPr="006461CE">
              <w:rPr>
                <w:rFonts w:eastAsia="Calibri" w:cs="Calibri"/>
                <w:i/>
                <w:iCs/>
                <w:sz w:val="22"/>
                <w:szCs w:val="22"/>
              </w:rPr>
              <w:t xml:space="preserve"> </w:t>
            </w:r>
            <w:hyperlink r:id="rId12" w:history="1">
              <w:r w:rsidR="00EF4472" w:rsidRPr="006461CE">
                <w:rPr>
                  <w:rStyle w:val="Hyperlink"/>
                  <w:rFonts w:eastAsia="Calibri" w:cs="Calibri"/>
                  <w:i/>
                  <w:iCs/>
                  <w:sz w:val="22"/>
                  <w:szCs w:val="22"/>
                </w:rPr>
                <w:t>C24/</w:t>
              </w:r>
              <w:r w:rsidR="00424DBD" w:rsidRPr="006461CE">
                <w:rPr>
                  <w:rStyle w:val="Hyperlink"/>
                  <w:rFonts w:eastAsia="Calibri" w:cs="Calibri"/>
                  <w:i/>
                  <w:iCs/>
                  <w:sz w:val="22"/>
                  <w:szCs w:val="22"/>
                </w:rPr>
                <w:t>31</w:t>
              </w:r>
            </w:hyperlink>
          </w:p>
        </w:tc>
      </w:tr>
    </w:tbl>
    <w:p w14:paraId="3E836A65" w14:textId="77777777" w:rsidR="00E227F3" w:rsidRPr="006461C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2958905" w14:textId="77777777" w:rsidR="0090147A" w:rsidRPr="006461C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6461CE">
        <w:br w:type="page"/>
      </w:r>
    </w:p>
    <w:bookmarkEnd w:id="5"/>
    <w:bookmarkEnd w:id="10"/>
    <w:p w14:paraId="55511435" w14:textId="77777777" w:rsidR="00245D06" w:rsidRPr="006461CE" w:rsidRDefault="00245D06" w:rsidP="000C4750">
      <w:pPr>
        <w:tabs>
          <w:tab w:val="clear" w:pos="567"/>
          <w:tab w:val="clear" w:pos="1134"/>
          <w:tab w:val="clear" w:pos="1701"/>
          <w:tab w:val="clear" w:pos="2268"/>
          <w:tab w:val="clear" w:pos="2835"/>
        </w:tabs>
        <w:overflowPunct/>
        <w:autoSpaceDE/>
        <w:adjustRightInd/>
        <w:spacing w:after="120"/>
        <w:jc w:val="both"/>
        <w:rPr>
          <w:rFonts w:asciiTheme="minorHAnsi" w:hAnsiTheme="minorHAnsi" w:cstheme="minorHAnsi"/>
          <w:b/>
          <w:bCs/>
          <w:szCs w:val="24"/>
        </w:rPr>
        <w:sectPr w:rsidR="00245D06" w:rsidRPr="006461CE" w:rsidSect="00AD3606">
          <w:headerReference w:type="default" r:id="rId13"/>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pPr>
    </w:p>
    <w:p w14:paraId="68CA5844" w14:textId="5D376F9C" w:rsidR="000C4750" w:rsidRPr="006461CE" w:rsidRDefault="000C4750" w:rsidP="006461CE">
      <w:pPr>
        <w:pStyle w:val="Heading1"/>
      </w:pPr>
      <w:r w:rsidRPr="006461CE">
        <w:lastRenderedPageBreak/>
        <w:t>1</w:t>
      </w:r>
      <w:r w:rsidRPr="006461CE">
        <w:tab/>
        <w:t>Background</w:t>
      </w:r>
      <w:bookmarkStart w:id="12" w:name="_Hlk136977297"/>
    </w:p>
    <w:p w14:paraId="35A925AF" w14:textId="77777777" w:rsidR="000C4750" w:rsidRPr="006461CE" w:rsidRDefault="000C4750" w:rsidP="006461CE">
      <w:pPr>
        <w:jc w:val="both"/>
      </w:pPr>
      <w:r w:rsidRPr="006461CE">
        <w:rPr>
          <w:rFonts w:eastAsia="Calibri"/>
        </w:rPr>
        <w:t xml:space="preserve">Resolution 198 (Rev. Bucharest, 2022) of the Plenipotentiary Conference, on empowerment of youth through telecommunication/information and communication technology, </w:t>
      </w:r>
      <w:r w:rsidRPr="006461CE">
        <w:t xml:space="preserve">instructs </w:t>
      </w:r>
      <w:bookmarkEnd w:id="12"/>
      <w:r w:rsidRPr="006461CE">
        <w:t>the Secretary-General to continue to ensure that the youth perspective is incorporated in the work programmes, management approaches, and human resources development activities of ITU, and to submit an annual written report to the ITU Council on progress made.</w:t>
      </w:r>
    </w:p>
    <w:p w14:paraId="621D29BB" w14:textId="2BA6E4DD" w:rsidR="000C4750" w:rsidRPr="006461CE" w:rsidRDefault="000C4750" w:rsidP="00F8661C">
      <w:pPr>
        <w:pStyle w:val="Heading1"/>
        <w:spacing w:before="480"/>
      </w:pPr>
      <w:r w:rsidRPr="006461CE">
        <w:rPr>
          <w:rFonts w:eastAsia="Calibri"/>
        </w:rPr>
        <w:t>2</w:t>
      </w:r>
      <w:r w:rsidRPr="006461CE">
        <w:rPr>
          <w:rFonts w:eastAsia="Calibri" w:cstheme="minorHAnsi"/>
          <w:bCs/>
        </w:rPr>
        <w:tab/>
      </w:r>
      <w:r w:rsidRPr="006461CE">
        <w:rPr>
          <w:rFonts w:eastAsia="Calibri"/>
        </w:rPr>
        <w:t xml:space="preserve">Progress report on the implementation of Resolution 198 </w:t>
      </w:r>
      <w:r w:rsidR="006461CE">
        <w:rPr>
          <w:rFonts w:eastAsia="Calibri"/>
        </w:rPr>
        <w:br/>
      </w:r>
      <w:r w:rsidRPr="006461CE">
        <w:rPr>
          <w:rFonts w:eastAsia="Calibri"/>
        </w:rPr>
        <w:t>(Rev. Bucharest, 2022)</w:t>
      </w:r>
    </w:p>
    <w:p w14:paraId="13D6CF6A" w14:textId="7FD26F1D" w:rsidR="000C4750" w:rsidRPr="006461CE" w:rsidRDefault="000C4750" w:rsidP="00F8661C">
      <w:pPr>
        <w:pStyle w:val="Headingb"/>
        <w:spacing w:before="240"/>
        <w:rPr>
          <w:rFonts w:eastAsia="Calibri"/>
        </w:rPr>
      </w:pPr>
      <w:r w:rsidRPr="006461CE">
        <w:rPr>
          <w:rFonts w:eastAsia="Calibri"/>
        </w:rPr>
        <w:t>A.</w:t>
      </w:r>
      <w:r w:rsidR="00245D06" w:rsidRPr="006461CE">
        <w:rPr>
          <w:rFonts w:eastAsia="Calibri"/>
        </w:rPr>
        <w:tab/>
      </w:r>
      <w:r w:rsidRPr="006461CE">
        <w:rPr>
          <w:rFonts w:eastAsia="Calibri"/>
        </w:rPr>
        <w:t xml:space="preserve">Fostering Youth Empowerment and Advancement </w:t>
      </w:r>
      <w:r w:rsidRPr="006461CE">
        <w:rPr>
          <w:rFonts w:eastAsia="Calibri"/>
          <w:bCs/>
        </w:rPr>
        <w:t>in</w:t>
      </w:r>
      <w:r w:rsidRPr="006461CE">
        <w:rPr>
          <w:rFonts w:eastAsia="Calibri"/>
        </w:rPr>
        <w:t xml:space="preserve"> ITU</w:t>
      </w:r>
    </w:p>
    <w:p w14:paraId="32DFDF3D" w14:textId="6884A8C6" w:rsidR="000C4750" w:rsidRPr="006461CE" w:rsidRDefault="000C4750" w:rsidP="006461CE">
      <w:pPr>
        <w:jc w:val="both"/>
        <w:rPr>
          <w:rFonts w:eastAsia="Calibri" w:cs="Calibri"/>
          <w:highlight w:val="yellow"/>
        </w:rPr>
      </w:pPr>
      <w:r w:rsidRPr="0EC3EA6E">
        <w:rPr>
          <w:rFonts w:asciiTheme="minorHAnsi" w:eastAsia="Calibri" w:hAnsiTheme="minorHAnsi" w:cstheme="minorBidi"/>
          <w:b/>
        </w:rPr>
        <w:t>Overview of ITU staff of youth group 35 (</w:t>
      </w:r>
      <w:r w:rsidR="002B1602" w:rsidRPr="0EC3EA6E">
        <w:rPr>
          <w:rFonts w:asciiTheme="minorHAnsi" w:eastAsia="Calibri" w:hAnsiTheme="minorHAnsi" w:cstheme="minorBidi"/>
          <w:b/>
        </w:rPr>
        <w:t>≤ </w:t>
      </w:r>
      <w:r w:rsidRPr="0EC3EA6E">
        <w:rPr>
          <w:rFonts w:asciiTheme="minorHAnsi" w:eastAsia="Calibri" w:hAnsiTheme="minorHAnsi" w:cstheme="minorBidi"/>
          <w:b/>
        </w:rPr>
        <w:t>35) and under 30 (</w:t>
      </w:r>
      <w:r w:rsidR="002B1602" w:rsidRPr="0EC3EA6E">
        <w:rPr>
          <w:rFonts w:asciiTheme="minorHAnsi" w:eastAsia="Calibri" w:hAnsiTheme="minorHAnsi" w:cstheme="minorBidi"/>
          <w:b/>
        </w:rPr>
        <w:t>≤ </w:t>
      </w:r>
      <w:r w:rsidRPr="0EC3EA6E">
        <w:rPr>
          <w:rFonts w:asciiTheme="minorHAnsi" w:eastAsia="Calibri" w:hAnsiTheme="minorHAnsi" w:cstheme="minorBidi"/>
          <w:b/>
        </w:rPr>
        <w:t xml:space="preserve">30): </w:t>
      </w:r>
      <w:r w:rsidRPr="0EC3EA6E">
        <w:rPr>
          <w:rFonts w:asciiTheme="minorHAnsi" w:eastAsia="Calibri" w:hAnsiTheme="minorHAnsi" w:cstheme="minorBidi"/>
        </w:rPr>
        <w:t>With a slight improvement from 2024, a</w:t>
      </w:r>
      <w:r w:rsidRPr="0EC3EA6E">
        <w:rPr>
          <w:rFonts w:eastAsia="Calibri" w:cs="Arial"/>
        </w:rPr>
        <w:t>s of April 2025, 12.6</w:t>
      </w:r>
      <w:r w:rsidR="002B1602" w:rsidRPr="0EC3EA6E">
        <w:rPr>
          <w:rFonts w:eastAsia="Calibri" w:cs="Arial"/>
        </w:rPr>
        <w:t xml:space="preserve"> per cent</w:t>
      </w:r>
      <w:r w:rsidRPr="0EC3EA6E">
        <w:rPr>
          <w:rFonts w:eastAsia="Calibri" w:cs="Arial"/>
        </w:rPr>
        <w:t xml:space="preserve"> of ITU Staff with </w:t>
      </w:r>
      <w:r w:rsidR="002B1602" w:rsidRPr="0EC3EA6E">
        <w:rPr>
          <w:rFonts w:eastAsia="Calibri" w:cs="Arial"/>
        </w:rPr>
        <w:t xml:space="preserve">permanent/continuing/fixed </w:t>
      </w:r>
      <w:r w:rsidRPr="0EC3EA6E">
        <w:rPr>
          <w:rFonts w:eastAsia="Calibri" w:cs="Arial"/>
        </w:rPr>
        <w:t>term/</w:t>
      </w:r>
      <w:r w:rsidR="002B1602" w:rsidRPr="0EC3EA6E">
        <w:rPr>
          <w:rFonts w:eastAsia="Calibri" w:cs="Arial"/>
        </w:rPr>
        <w:t>s</w:t>
      </w:r>
      <w:r w:rsidRPr="0EC3EA6E">
        <w:rPr>
          <w:rFonts w:eastAsia="Calibri" w:cs="Arial"/>
        </w:rPr>
        <w:t>hort-term contract holders is under the age of 35 (</w:t>
      </w:r>
      <w:r w:rsidR="002B1602" w:rsidRPr="0EC3EA6E">
        <w:rPr>
          <w:rFonts w:eastAsia="Calibri" w:cs="Calibri"/>
        </w:rPr>
        <w:t>≤</w:t>
      </w:r>
      <w:r w:rsidRPr="0EC3EA6E">
        <w:rPr>
          <w:rFonts w:eastAsia="Calibri" w:cs="Arial"/>
        </w:rPr>
        <w:t>35) and 4.3</w:t>
      </w:r>
      <w:r w:rsidR="00EA7F10" w:rsidRPr="0EC3EA6E">
        <w:rPr>
          <w:rFonts w:eastAsia="Calibri" w:cs="Arial"/>
        </w:rPr>
        <w:t xml:space="preserve"> per cent</w:t>
      </w:r>
      <w:r w:rsidRPr="0EC3EA6E">
        <w:rPr>
          <w:rFonts w:eastAsia="Calibri" w:cs="Arial"/>
        </w:rPr>
        <w:t xml:space="preserve"> of ITU staff with Permanent/Continuing/Fixed term/Short term contract holders is under the age of 30 (</w:t>
      </w:r>
      <w:r w:rsidR="002B1602" w:rsidRPr="0EC3EA6E">
        <w:rPr>
          <w:rFonts w:eastAsia="Calibri" w:cs="Calibri"/>
        </w:rPr>
        <w:t>≤</w:t>
      </w:r>
      <w:r w:rsidRPr="0EC3EA6E">
        <w:rPr>
          <w:rFonts w:eastAsia="Calibri" w:cs="Arial"/>
        </w:rPr>
        <w:t xml:space="preserve">30). This information includes the </w:t>
      </w:r>
      <w:r w:rsidR="002B1602" w:rsidRPr="0EC3EA6E">
        <w:rPr>
          <w:rFonts w:eastAsia="Calibri" w:cs="Arial"/>
        </w:rPr>
        <w:t>junior-level</w:t>
      </w:r>
      <w:r w:rsidRPr="0EC3EA6E">
        <w:rPr>
          <w:rFonts w:eastAsia="Calibri" w:cs="Arial"/>
        </w:rPr>
        <w:t xml:space="preserve"> positions in the JPO program</w:t>
      </w:r>
      <w:r w:rsidR="00872DFE" w:rsidRPr="0EC3EA6E">
        <w:rPr>
          <w:rFonts w:eastAsia="Calibri" w:cs="Arial"/>
        </w:rPr>
        <w:t>me</w:t>
      </w:r>
      <w:r w:rsidR="00516F97">
        <w:rPr>
          <w:rFonts w:eastAsia="Calibri" w:cs="Arial"/>
        </w:rPr>
        <w:t xml:space="preserve"> and reflects a</w:t>
      </w:r>
      <w:r w:rsidR="00F80DA1">
        <w:rPr>
          <w:rFonts w:eastAsia="Calibri" w:cs="Arial"/>
        </w:rPr>
        <w:t xml:space="preserve"> mayor improvement</w:t>
      </w:r>
      <w:r>
        <w:rPr>
          <w:rFonts w:eastAsia="Calibri" w:cs="Arial"/>
        </w:rPr>
        <w:t>.</w:t>
      </w:r>
    </w:p>
    <w:p w14:paraId="5183F6CF" w14:textId="77777777" w:rsidR="000C4750" w:rsidRPr="006461CE" w:rsidRDefault="000C4750" w:rsidP="006461CE">
      <w:pPr>
        <w:jc w:val="both"/>
        <w:rPr>
          <w:rFonts w:eastAsia="Calibri" w:cs="Calibri"/>
          <w:szCs w:val="24"/>
          <w:highlight w:val="yellow"/>
        </w:rPr>
      </w:pPr>
      <w:r w:rsidRPr="006461CE">
        <w:rPr>
          <w:rFonts w:asciiTheme="minorHAnsi" w:eastAsia="Calibri" w:hAnsiTheme="minorHAnsi" w:cstheme="minorBidi"/>
          <w:b/>
          <w:bCs/>
          <w:szCs w:val="24"/>
        </w:rPr>
        <w:t>Empowerment of ITU staff</w:t>
      </w:r>
      <w:r w:rsidRPr="006461CE">
        <w:rPr>
          <w:rFonts w:asciiTheme="minorHAnsi" w:eastAsia="Calibri" w:hAnsiTheme="minorHAnsi" w:cstheme="minorBidi"/>
          <w:szCs w:val="24"/>
        </w:rPr>
        <w:t xml:space="preserve"> through the Youth Task Force. In 2024, the Youth Task Force strengthened its advisory role, contributing to reviews such as Service Orders, and established an Internal Youth Network to engage young professionals across the organization. It also advocated for youth inclusion in ITU activities, enhancing its visibility and advocated for </w:t>
      </w:r>
      <w:r w:rsidRPr="006461CE">
        <w:t>intergenerational</w:t>
      </w:r>
      <w:r w:rsidRPr="006461CE">
        <w:rPr>
          <w:rFonts w:asciiTheme="minorHAnsi" w:eastAsia="Calibri" w:hAnsiTheme="minorHAnsi" w:cstheme="minorBidi"/>
          <w:szCs w:val="24"/>
        </w:rPr>
        <w:t xml:space="preserve"> dialogue. Key outcomes included work on mobility and succession planning, collaboration with the ITU Transformation Office/Change makers programme, and two deliverables: contributions to ITU’s succession plan and young staff’s role in shaping ITU’s future, and the integration of young professionals into staffing tables at major ITU conferences to enhance career development opportunities.</w:t>
      </w:r>
    </w:p>
    <w:p w14:paraId="4EA04042" w14:textId="77777777" w:rsidR="000C4750" w:rsidRPr="006461CE" w:rsidRDefault="000C4750" w:rsidP="006461CE">
      <w:pPr>
        <w:jc w:val="both"/>
        <w:rPr>
          <w:rFonts w:asciiTheme="minorHAnsi" w:hAnsiTheme="minorHAnsi" w:cstheme="minorBidi"/>
          <w:szCs w:val="24"/>
        </w:rPr>
      </w:pPr>
      <w:r w:rsidRPr="006461CE">
        <w:rPr>
          <w:rFonts w:asciiTheme="minorHAnsi" w:eastAsia="Calibri" w:hAnsiTheme="minorHAnsi" w:cstheme="minorBidi"/>
          <w:b/>
          <w:bCs/>
          <w:szCs w:val="24"/>
        </w:rPr>
        <w:t>Junior professional officers (JPOs)</w:t>
      </w:r>
      <w:r w:rsidRPr="006461CE">
        <w:rPr>
          <w:szCs w:val="24"/>
        </w:rPr>
        <w:t xml:space="preserve">: The JPO programme is dedicated to junior level positions. A JPO is recruited at P2 grade, where 3 years of work experience is required. In February 2025, ITU had 7 JPOs. JPOs are fully funded by a Member State for 2 years of assignment in ITU </w:t>
      </w:r>
      <w:r w:rsidRPr="006461CE">
        <w:t>Headquarters</w:t>
      </w:r>
      <w:r w:rsidRPr="006461CE">
        <w:rPr>
          <w:szCs w:val="24"/>
        </w:rPr>
        <w:t xml:space="preserve"> (HQ) or in an ITU field office. </w:t>
      </w:r>
      <w:r w:rsidRPr="006461CE">
        <w:rPr>
          <w:rFonts w:asciiTheme="minorHAnsi" w:hAnsiTheme="minorHAnsi" w:cstheme="minorBidi"/>
          <w:szCs w:val="24"/>
        </w:rPr>
        <w:t>The ITU secretariat would like to thank the Administrations of Australia, China, France, Germany, Japan, Spain, the United Kingdom, and the United States of America for their support for the JPO programme. This programme benefits all ITU Sectors and the General Secretariat.</w:t>
      </w:r>
    </w:p>
    <w:p w14:paraId="6704E00B" w14:textId="259561AF" w:rsidR="000C4750" w:rsidRPr="0012745D" w:rsidRDefault="7A508C0D" w:rsidP="7E9B54B0">
      <w:pPr>
        <w:jc w:val="both"/>
        <w:rPr>
          <w:rFonts w:asciiTheme="minorHAnsi" w:hAnsiTheme="minorHAnsi" w:cstheme="minorBidi"/>
          <w:spacing w:val="-2"/>
        </w:rPr>
      </w:pPr>
      <w:r w:rsidRPr="7E9B54B0">
        <w:rPr>
          <w:rFonts w:asciiTheme="minorHAnsi" w:hAnsiTheme="minorHAnsi" w:cstheme="minorBidi"/>
          <w:b/>
          <w:bCs/>
          <w:spacing w:val="-2"/>
        </w:rPr>
        <w:t>ITU Young Professional Program</w:t>
      </w:r>
      <w:r w:rsidR="005E4CF2" w:rsidRPr="7E9B54B0">
        <w:rPr>
          <w:rFonts w:asciiTheme="minorHAnsi" w:hAnsiTheme="minorHAnsi" w:cstheme="minorBidi"/>
          <w:b/>
          <w:bCs/>
          <w:spacing w:val="-2"/>
        </w:rPr>
        <w:t>me</w:t>
      </w:r>
      <w:r w:rsidRPr="7E9B54B0">
        <w:rPr>
          <w:rFonts w:asciiTheme="minorHAnsi" w:hAnsiTheme="minorHAnsi" w:cstheme="minorBidi"/>
          <w:b/>
          <w:bCs/>
          <w:spacing w:val="-2"/>
        </w:rPr>
        <w:t>:</w:t>
      </w:r>
      <w:r w:rsidRPr="7E9B54B0">
        <w:rPr>
          <w:rFonts w:asciiTheme="minorHAnsi" w:hAnsiTheme="minorHAnsi" w:cstheme="minorBidi"/>
          <w:spacing w:val="-2"/>
        </w:rPr>
        <w:t xml:space="preserve"> Following the launch of the first ITU Young Professional Program</w:t>
      </w:r>
      <w:r w:rsidR="005E4CF2" w:rsidRPr="7E9B54B0">
        <w:rPr>
          <w:rFonts w:asciiTheme="minorHAnsi" w:hAnsiTheme="minorHAnsi" w:cstheme="minorBidi"/>
          <w:spacing w:val="-2"/>
        </w:rPr>
        <w:t>me</w:t>
      </w:r>
      <w:r w:rsidR="008F010F">
        <w:rPr>
          <w:rFonts w:asciiTheme="minorHAnsi" w:hAnsiTheme="minorHAnsi" w:cstheme="minorBidi"/>
          <w:spacing w:val="-2"/>
        </w:rPr>
        <w:t xml:space="preserve"> (ITU-YPP)</w:t>
      </w:r>
      <w:r w:rsidRPr="7E9B54B0">
        <w:rPr>
          <w:rFonts w:asciiTheme="minorHAnsi" w:hAnsiTheme="minorHAnsi" w:cstheme="minorBidi"/>
          <w:spacing w:val="-2"/>
        </w:rPr>
        <w:t>, more than 3</w:t>
      </w:r>
      <w:r w:rsidR="00EA7F10" w:rsidRPr="7E9B54B0">
        <w:rPr>
          <w:rFonts w:asciiTheme="minorHAnsi" w:hAnsiTheme="minorHAnsi" w:cstheme="minorBidi"/>
          <w:spacing w:val="-2"/>
        </w:rPr>
        <w:t> </w:t>
      </w:r>
      <w:r w:rsidRPr="7E9B54B0">
        <w:rPr>
          <w:rFonts w:asciiTheme="minorHAnsi" w:hAnsiTheme="minorHAnsi" w:cstheme="minorBidi"/>
          <w:spacing w:val="-2"/>
        </w:rPr>
        <w:t>500 applications were received and reviewed. Six P1 positions</w:t>
      </w:r>
      <w:r w:rsidR="002C2E55">
        <w:rPr>
          <w:rFonts w:asciiTheme="minorHAnsi" w:hAnsiTheme="minorHAnsi" w:cstheme="minorBidi"/>
          <w:spacing w:val="-2"/>
        </w:rPr>
        <w:t xml:space="preserve">, financed by </w:t>
      </w:r>
      <w:r w:rsidR="00E16860">
        <w:rPr>
          <w:rFonts w:asciiTheme="minorHAnsi" w:hAnsiTheme="minorHAnsi" w:cstheme="minorBidi"/>
          <w:spacing w:val="-2"/>
        </w:rPr>
        <w:t>the ITU</w:t>
      </w:r>
      <w:r w:rsidR="001629B1">
        <w:rPr>
          <w:rFonts w:asciiTheme="minorHAnsi" w:hAnsiTheme="minorHAnsi" w:cstheme="minorBidi"/>
          <w:spacing w:val="-2"/>
        </w:rPr>
        <w:t>-YPP fund</w:t>
      </w:r>
      <w:r w:rsidR="00402AA6">
        <w:rPr>
          <w:rFonts w:asciiTheme="minorHAnsi" w:hAnsiTheme="minorHAnsi" w:cstheme="minorBidi"/>
          <w:spacing w:val="-2"/>
        </w:rPr>
        <w:t>,</w:t>
      </w:r>
      <w:r w:rsidRPr="7E9B54B0">
        <w:rPr>
          <w:rFonts w:asciiTheme="minorHAnsi" w:hAnsiTheme="minorHAnsi" w:cstheme="minorBidi"/>
          <w:spacing w:val="-2"/>
        </w:rPr>
        <w:t xml:space="preserve"> were placed in the General Secretariat, BDT, BR</w:t>
      </w:r>
      <w:r w:rsidR="00E47F4C">
        <w:rPr>
          <w:rFonts w:asciiTheme="minorHAnsi" w:hAnsiTheme="minorHAnsi" w:cstheme="minorBidi"/>
          <w:spacing w:val="-2"/>
        </w:rPr>
        <w:t>,</w:t>
      </w:r>
      <w:r w:rsidRPr="7E9B54B0">
        <w:rPr>
          <w:rFonts w:asciiTheme="minorHAnsi" w:hAnsiTheme="minorHAnsi" w:cstheme="minorBidi"/>
          <w:spacing w:val="-2"/>
        </w:rPr>
        <w:t xml:space="preserve"> and TSB.</w:t>
      </w:r>
      <w:r w:rsidR="4D371617" w:rsidRPr="7E9B54B0">
        <w:rPr>
          <w:rFonts w:asciiTheme="minorHAnsi" w:hAnsiTheme="minorHAnsi" w:cstheme="minorBidi"/>
          <w:spacing w:val="-2"/>
        </w:rPr>
        <w:t xml:space="preserve"> The ITU </w:t>
      </w:r>
      <w:r w:rsidR="00E47F4C">
        <w:rPr>
          <w:rFonts w:asciiTheme="minorHAnsi" w:hAnsiTheme="minorHAnsi" w:cstheme="minorBidi"/>
          <w:spacing w:val="-2"/>
        </w:rPr>
        <w:t>s</w:t>
      </w:r>
      <w:r w:rsidR="4D371617" w:rsidRPr="7E9B54B0">
        <w:rPr>
          <w:rFonts w:asciiTheme="minorHAnsi" w:hAnsiTheme="minorHAnsi" w:cstheme="minorBidi"/>
          <w:spacing w:val="-2"/>
        </w:rPr>
        <w:t xml:space="preserve">ecretariat would like to thank the Administrations of Japan and Saint Vincent and the Grenadines for their support </w:t>
      </w:r>
      <w:r w:rsidR="009474EA">
        <w:rPr>
          <w:rFonts w:asciiTheme="minorHAnsi" w:hAnsiTheme="minorHAnsi" w:cstheme="minorBidi"/>
          <w:spacing w:val="-2"/>
        </w:rPr>
        <w:t>to the</w:t>
      </w:r>
      <w:r w:rsidR="009474EA" w:rsidRPr="7E9B54B0">
        <w:rPr>
          <w:rFonts w:asciiTheme="minorHAnsi" w:hAnsiTheme="minorHAnsi" w:cstheme="minorBidi"/>
          <w:spacing w:val="-2"/>
        </w:rPr>
        <w:t xml:space="preserve"> </w:t>
      </w:r>
      <w:r w:rsidR="4D371617" w:rsidRPr="7E9B54B0">
        <w:rPr>
          <w:rFonts w:asciiTheme="minorHAnsi" w:hAnsiTheme="minorHAnsi" w:cstheme="minorBidi"/>
          <w:spacing w:val="-2"/>
        </w:rPr>
        <w:t>ITU-YPP</w:t>
      </w:r>
      <w:r w:rsidR="009474EA">
        <w:rPr>
          <w:rFonts w:asciiTheme="minorHAnsi" w:hAnsiTheme="minorHAnsi" w:cstheme="minorBidi"/>
          <w:spacing w:val="-2"/>
        </w:rPr>
        <w:t xml:space="preserve"> fund</w:t>
      </w:r>
      <w:r w:rsidR="4D371617" w:rsidRPr="7E9B54B0">
        <w:rPr>
          <w:rFonts w:asciiTheme="minorHAnsi" w:hAnsiTheme="minorHAnsi" w:cstheme="minorBidi"/>
          <w:spacing w:val="-2"/>
        </w:rPr>
        <w:t>.</w:t>
      </w:r>
    </w:p>
    <w:p w14:paraId="20FEA507" w14:textId="77777777" w:rsidR="000C4750" w:rsidRPr="006461CE" w:rsidRDefault="000C4750" w:rsidP="006461CE">
      <w:pPr>
        <w:jc w:val="both"/>
        <w:rPr>
          <w:rFonts w:asciiTheme="minorHAnsi" w:hAnsiTheme="minorHAnsi" w:cstheme="minorBidi"/>
          <w:szCs w:val="24"/>
        </w:rPr>
      </w:pPr>
      <w:r w:rsidRPr="006461CE">
        <w:rPr>
          <w:rFonts w:asciiTheme="minorHAnsi" w:hAnsiTheme="minorHAnsi" w:cstheme="minorBidi"/>
          <w:b/>
          <w:bCs/>
          <w:szCs w:val="24"/>
        </w:rPr>
        <w:t>Internship programme:</w:t>
      </w:r>
      <w:r w:rsidRPr="006461CE">
        <w:rPr>
          <w:rFonts w:asciiTheme="minorHAnsi" w:hAnsiTheme="minorHAnsi" w:cstheme="minorBidi"/>
          <w:szCs w:val="24"/>
        </w:rPr>
        <w:t xml:space="preserve"> In 2023, ITU welcomed 142 interns from 44 different countries. ITU would like to thank Germany (Carlo Schmid Programme) and China (China Scholarship Council) for their sponsored internship programmes.</w:t>
      </w:r>
    </w:p>
    <w:p w14:paraId="640DB583" w14:textId="670FA69F" w:rsidR="000C4750" w:rsidRPr="006461CE" w:rsidRDefault="000C4750" w:rsidP="00F8661C">
      <w:pPr>
        <w:pStyle w:val="Headingb"/>
        <w:rPr>
          <w:rFonts w:eastAsia="Calibri"/>
        </w:rPr>
      </w:pPr>
      <w:r w:rsidRPr="006461CE">
        <w:rPr>
          <w:rFonts w:eastAsia="Calibri"/>
        </w:rPr>
        <w:lastRenderedPageBreak/>
        <w:t>B.</w:t>
      </w:r>
      <w:r w:rsidR="006461CE" w:rsidRPr="006461CE">
        <w:rPr>
          <w:rFonts w:eastAsia="Calibri"/>
        </w:rPr>
        <w:tab/>
      </w:r>
      <w:r w:rsidRPr="006461CE">
        <w:rPr>
          <w:rFonts w:eastAsia="Calibri"/>
        </w:rPr>
        <w:t xml:space="preserve">Advocacy and </w:t>
      </w:r>
      <w:r w:rsidRPr="006461CE">
        <w:rPr>
          <w:rFonts w:eastAsia="Calibri"/>
          <w:bCs/>
        </w:rPr>
        <w:t>meaningful youth</w:t>
      </w:r>
      <w:r w:rsidRPr="006461CE">
        <w:rPr>
          <w:rFonts w:eastAsia="Calibri"/>
        </w:rPr>
        <w:t xml:space="preserve"> engagement</w:t>
      </w:r>
    </w:p>
    <w:p w14:paraId="7CF956BA" w14:textId="7AF7C685" w:rsidR="000C4750" w:rsidRPr="006461CE" w:rsidRDefault="000C4750" w:rsidP="00F8661C">
      <w:pPr>
        <w:keepNext/>
        <w:keepLines/>
        <w:jc w:val="both"/>
        <w:rPr>
          <w:rFonts w:eastAsia="Calibri" w:cs="Calibri"/>
          <w:szCs w:val="24"/>
        </w:rPr>
      </w:pPr>
      <w:r w:rsidRPr="006461CE">
        <w:rPr>
          <w:rFonts w:eastAsia="Calibri" w:cs="Calibri"/>
          <w:szCs w:val="24"/>
        </w:rPr>
        <w:t>In 2024, members of the</w:t>
      </w:r>
      <w:r w:rsidRPr="006461CE">
        <w:rPr>
          <w:rFonts w:eastAsia="Calibri" w:cs="Calibri"/>
          <w:b/>
          <w:bCs/>
          <w:szCs w:val="24"/>
        </w:rPr>
        <w:t xml:space="preserve"> ITU Secretary-General’s Youth Advisory Board (YAB)</w:t>
      </w:r>
      <w:r w:rsidRPr="006461CE">
        <w:rPr>
          <w:rFonts w:eastAsia="Calibri" w:cs="Calibri"/>
          <w:szCs w:val="24"/>
        </w:rPr>
        <w:t xml:space="preserve"> </w:t>
      </w:r>
      <w:r w:rsidRPr="006461CE">
        <w:rPr>
          <w:szCs w:val="24"/>
        </w:rPr>
        <w:t xml:space="preserve">actively </w:t>
      </w:r>
      <w:r w:rsidRPr="006461CE">
        <w:t>contributed</w:t>
      </w:r>
      <w:r w:rsidRPr="006461CE">
        <w:rPr>
          <w:szCs w:val="24"/>
        </w:rPr>
        <w:t xml:space="preserve"> to global efforts on connectivity and digital inclusion. YAB consulted youth networks</w:t>
      </w:r>
      <w:r w:rsidR="002B1602">
        <w:rPr>
          <w:szCs w:val="24"/>
        </w:rPr>
        <w:t xml:space="preserve"> </w:t>
      </w:r>
      <w:r w:rsidRPr="006461CE">
        <w:rPr>
          <w:szCs w:val="24"/>
        </w:rPr>
        <w:t>—such as through an International Youth Day survey—</w:t>
      </w:r>
      <w:r w:rsidR="002B1602">
        <w:rPr>
          <w:szCs w:val="24"/>
        </w:rPr>
        <w:t xml:space="preserve"> </w:t>
      </w:r>
      <w:r w:rsidRPr="006461CE">
        <w:rPr>
          <w:szCs w:val="24"/>
        </w:rPr>
        <w:t>to gather insights on emerging technologies and digital solutions. In 2024, YAB submitted five reports with youth-focused recommendations on topics including AI, space, submarine cables, and climate action. Two meetings with the Secretary-General were held to discuss youth engagement strategies and trends in digital development, with a focus on sustainability and infrastructure.</w:t>
      </w:r>
    </w:p>
    <w:p w14:paraId="04810C3E" w14:textId="77777777" w:rsidR="000C4750" w:rsidRPr="006461CE" w:rsidRDefault="000C4750" w:rsidP="006461CE">
      <w:pPr>
        <w:jc w:val="both"/>
        <w:rPr>
          <w:rFonts w:eastAsia="Calibri" w:cs="Calibri"/>
          <w:szCs w:val="24"/>
        </w:rPr>
      </w:pPr>
      <w:r w:rsidRPr="006461CE">
        <w:rPr>
          <w:rFonts w:eastAsia="Calibri" w:cs="Calibri"/>
          <w:szCs w:val="24"/>
        </w:rPr>
        <w:t xml:space="preserve">The BDT advanced youth inclusion in digital development by empowering </w:t>
      </w:r>
      <w:r w:rsidRPr="006461CE">
        <w:rPr>
          <w:rFonts w:eastAsia="Calibri" w:cs="Calibri"/>
          <w:b/>
          <w:bCs/>
          <w:szCs w:val="24"/>
        </w:rPr>
        <w:t>184 new Generation Connect Youth Envoys (GCYE)</w:t>
      </w:r>
      <w:r w:rsidRPr="006461CE">
        <w:rPr>
          <w:rFonts w:eastAsia="Calibri" w:cs="Calibri"/>
          <w:szCs w:val="24"/>
        </w:rPr>
        <w:t xml:space="preserve"> from 64 countries, amplifying their voices through global platforms such as the </w:t>
      </w:r>
      <w:r w:rsidRPr="006461CE">
        <w:rPr>
          <w:rFonts w:eastAsia="Calibri" w:cs="Calibri"/>
          <w:b/>
          <w:bCs/>
          <w:szCs w:val="24"/>
        </w:rPr>
        <w:t>ITU Global Youth Summit 2025 (GYS-25)</w:t>
      </w:r>
      <w:r w:rsidRPr="006461CE">
        <w:rPr>
          <w:rFonts w:eastAsia="Calibri" w:cs="Calibri"/>
          <w:szCs w:val="24"/>
        </w:rPr>
        <w:t xml:space="preserve">. GCYEs played active </w:t>
      </w:r>
      <w:r w:rsidRPr="006461CE">
        <w:rPr>
          <w:rFonts w:eastAsia="Calibri" w:cs="Calibri"/>
          <w:spacing w:val="-2"/>
          <w:szCs w:val="24"/>
        </w:rPr>
        <w:t>roles in ITU-led activities and decision-making, transforming into impactful digital changemakers</w:t>
      </w:r>
      <w:r w:rsidRPr="006461CE">
        <w:rPr>
          <w:rFonts w:eastAsia="Calibri" w:cs="Calibri"/>
          <w:szCs w:val="24"/>
        </w:rPr>
        <w:t xml:space="preserve"> through tailored mentorship and self-paced learning. </w:t>
      </w:r>
      <w:r w:rsidRPr="006461CE">
        <w:rPr>
          <w:szCs w:val="24"/>
        </w:rPr>
        <w:t xml:space="preserve">GCYEs were actively engaged in </w:t>
      </w:r>
      <w:r w:rsidRPr="006461CE">
        <w:rPr>
          <w:b/>
          <w:bCs/>
          <w:szCs w:val="24"/>
        </w:rPr>
        <w:t>consultations</w:t>
      </w:r>
      <w:r w:rsidRPr="006461CE">
        <w:rPr>
          <w:szCs w:val="24"/>
        </w:rPr>
        <w:t xml:space="preserve"> ahead of GYS-25, ensuring youth priorities were integrated into the event.</w:t>
      </w:r>
      <w:r w:rsidRPr="006461CE">
        <w:rPr>
          <w:rFonts w:eastAsia="Calibri" w:cs="Calibri"/>
          <w:szCs w:val="24"/>
        </w:rPr>
        <w:t xml:space="preserve"> </w:t>
      </w:r>
    </w:p>
    <w:p w14:paraId="65BF64F0" w14:textId="77777777" w:rsidR="000C4750" w:rsidRPr="006461CE" w:rsidRDefault="000C4750" w:rsidP="006461CE">
      <w:pPr>
        <w:jc w:val="both"/>
        <w:rPr>
          <w:rFonts w:eastAsia="Calibri" w:cs="Calibri"/>
          <w:szCs w:val="24"/>
        </w:rPr>
      </w:pPr>
      <w:r w:rsidRPr="006461CE">
        <w:rPr>
          <w:rFonts w:eastAsia="Calibri" w:cs="Calibri"/>
          <w:szCs w:val="24"/>
        </w:rPr>
        <w:t xml:space="preserve">The </w:t>
      </w:r>
      <w:r w:rsidRPr="006461CE">
        <w:rPr>
          <w:rFonts w:eastAsia="Calibri" w:cs="Calibri"/>
          <w:b/>
          <w:bCs/>
          <w:szCs w:val="24"/>
        </w:rPr>
        <w:t xml:space="preserve">Global Youth Summit 2025 (GYS-25), </w:t>
      </w:r>
      <w:r w:rsidRPr="006461CE">
        <w:rPr>
          <w:rFonts w:eastAsia="Calibri" w:cs="Calibri"/>
          <w:szCs w:val="24"/>
        </w:rPr>
        <w:t xml:space="preserve">held in Varadero, Cuba, brought together over 400 participants from 31 countries from all six ITU regions, under the theme “Youth voices amplified for </w:t>
      </w:r>
      <w:r w:rsidRPr="006461CE">
        <w:t>the</w:t>
      </w:r>
      <w:r w:rsidRPr="006461CE">
        <w:rPr>
          <w:rFonts w:eastAsia="Calibri" w:cs="Calibri"/>
          <w:szCs w:val="24"/>
        </w:rPr>
        <w:t xml:space="preserve"> creation of a more inclusive and interconnected digital world.” </w:t>
      </w:r>
      <w:r w:rsidRPr="006461CE">
        <w:rPr>
          <w:szCs w:val="24"/>
        </w:rPr>
        <w:t>Over three days and 12 dynamic sessions, youth shared initiatives, engaged in intergenerational dialogue, exchanged best practices, built networks, and co-created solutions on digital inclusion, connectivity, online safety, ethical AI, and the future of work. Key outcomes included elevating youth voices in ICT policymaking, strengthening digital skills for meaningful participation in the digital economy, reinforcing ITU’s role in youth-driven digital education and employment, and promoting innovation and entrepreneurship for sustainable development.</w:t>
      </w:r>
    </w:p>
    <w:p w14:paraId="7A9030C9" w14:textId="77777777" w:rsidR="000C4750" w:rsidRPr="006461CE" w:rsidRDefault="000C4750" w:rsidP="006461CE">
      <w:pPr>
        <w:jc w:val="both"/>
        <w:rPr>
          <w:rFonts w:eastAsia="Calibri" w:cs="Calibri"/>
          <w:szCs w:val="24"/>
        </w:rPr>
      </w:pPr>
      <w:r w:rsidRPr="006461CE">
        <w:rPr>
          <w:rFonts w:eastAsia="Calibri" w:cs="Calibri"/>
          <w:szCs w:val="24"/>
        </w:rPr>
        <w:t xml:space="preserve">Key activities </w:t>
      </w:r>
      <w:r w:rsidRPr="006461CE">
        <w:t>undertaken</w:t>
      </w:r>
      <w:r w:rsidRPr="006461CE">
        <w:rPr>
          <w:rFonts w:eastAsia="Calibri" w:cs="Calibri"/>
          <w:szCs w:val="24"/>
        </w:rPr>
        <w:t xml:space="preserve"> in 2024 </w:t>
      </w:r>
      <w:r w:rsidRPr="006461CE">
        <w:rPr>
          <w:rFonts w:eastAsia="Calibri" w:cs="Calibri"/>
          <w:b/>
          <w:bCs/>
          <w:szCs w:val="24"/>
        </w:rPr>
        <w:t>by region</w:t>
      </w:r>
      <w:r w:rsidRPr="006461CE">
        <w:rPr>
          <w:rFonts w:eastAsia="Calibri" w:cs="Calibri"/>
          <w:szCs w:val="24"/>
        </w:rPr>
        <w:t xml:space="preserve"> during the reporting period </w:t>
      </w:r>
      <w:r w:rsidRPr="006461CE">
        <w:t>include</w:t>
      </w:r>
      <w:r w:rsidRPr="006461CE">
        <w:rPr>
          <w:rFonts w:eastAsia="Calibri" w:cs="Calibri"/>
          <w:szCs w:val="24"/>
        </w:rPr>
        <w:t>:</w:t>
      </w:r>
    </w:p>
    <w:p w14:paraId="08AC9AEA" w14:textId="1F175B60" w:rsidR="000C4750" w:rsidRPr="006461CE" w:rsidRDefault="00677437" w:rsidP="006461CE">
      <w:pPr>
        <w:pStyle w:val="enumlev1"/>
        <w:jc w:val="both"/>
        <w:rPr>
          <w:rFonts w:eastAsia="Calibri" w:cs="Calibri"/>
          <w:b/>
        </w:rPr>
      </w:pPr>
      <w:r w:rsidRPr="006461CE">
        <w:rPr>
          <w:rFonts w:ascii="Symbol" w:eastAsia="Calibri" w:hAnsi="Symbol" w:cs="Calibri"/>
        </w:rPr>
        <w:t></w:t>
      </w:r>
      <w:r w:rsidRPr="006461CE">
        <w:rPr>
          <w:rFonts w:ascii="Symbol" w:eastAsia="Calibri" w:hAnsi="Symbol" w:cs="Calibri"/>
        </w:rPr>
        <w:tab/>
      </w:r>
      <w:r w:rsidR="000C4750" w:rsidRPr="006461CE">
        <w:rPr>
          <w:rFonts w:eastAsia="Calibri" w:cs="Calibri"/>
          <w:spacing w:val="-2"/>
        </w:rPr>
        <w:t>In the</w:t>
      </w:r>
      <w:r w:rsidR="000C4750" w:rsidRPr="006461CE">
        <w:rPr>
          <w:rFonts w:eastAsia="Calibri" w:cs="Calibri"/>
          <w:b/>
          <w:bCs/>
          <w:spacing w:val="-2"/>
        </w:rPr>
        <w:t xml:space="preserve"> </w:t>
      </w:r>
      <w:r w:rsidR="000C4750" w:rsidRPr="006461CE">
        <w:rPr>
          <w:rFonts w:eastAsia="Calibri" w:cs="Calibri"/>
          <w:b/>
          <w:spacing w:val="-2"/>
        </w:rPr>
        <w:t>Africa</w:t>
      </w:r>
      <w:r w:rsidR="000C4750" w:rsidRPr="006461CE">
        <w:rPr>
          <w:rFonts w:eastAsia="Calibri" w:cs="Calibri"/>
          <w:b/>
          <w:bCs/>
          <w:spacing w:val="-2"/>
        </w:rPr>
        <w:t xml:space="preserve"> </w:t>
      </w:r>
      <w:r w:rsidR="00AA16B6" w:rsidRPr="006461CE">
        <w:rPr>
          <w:rFonts w:eastAsia="Calibri" w:cs="Calibri"/>
          <w:b/>
          <w:bCs/>
          <w:spacing w:val="-2"/>
        </w:rPr>
        <w:t>Region</w:t>
      </w:r>
      <w:r w:rsidR="000C4750" w:rsidRPr="006461CE">
        <w:rPr>
          <w:rFonts w:eastAsia="Calibri" w:cs="Calibri"/>
          <w:spacing w:val="-2"/>
        </w:rPr>
        <w:t>, a</w:t>
      </w:r>
      <w:r w:rsidR="000C4750" w:rsidRPr="006461CE">
        <w:rPr>
          <w:spacing w:val="-2"/>
        </w:rPr>
        <w:t xml:space="preserve"> mentorship ceremony linked GCYE alumni with the new envoys and</w:t>
      </w:r>
      <w:r w:rsidR="000C4750" w:rsidRPr="006461CE">
        <w:t xml:space="preserve"> youth generated policy recommendations through regional consultations and research.</w:t>
      </w:r>
    </w:p>
    <w:p w14:paraId="60BFBB47" w14:textId="5148260F"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In the </w:t>
      </w:r>
      <w:r w:rsidR="000C4750" w:rsidRPr="006461CE">
        <w:rPr>
          <w:rFonts w:eastAsia="Calibri" w:cs="Calibri"/>
          <w:b/>
          <w:bCs/>
          <w:szCs w:val="24"/>
        </w:rPr>
        <w:t xml:space="preserve">Americas </w:t>
      </w:r>
      <w:r w:rsidR="00AA16B6" w:rsidRPr="006461CE">
        <w:rPr>
          <w:rFonts w:eastAsia="Calibri" w:cs="Calibri"/>
          <w:b/>
          <w:bCs/>
          <w:szCs w:val="24"/>
        </w:rPr>
        <w:t>Region</w:t>
      </w:r>
      <w:r w:rsidR="000C4750" w:rsidRPr="006461CE">
        <w:rPr>
          <w:rFonts w:eastAsia="Calibri" w:cs="Calibri"/>
          <w:szCs w:val="24"/>
        </w:rPr>
        <w:t>, youth engagement was spotlighted during the Sub-regional Seminar “Priorities for Youth in the Digital World: Jobs and Education”, held in Chile in May 2024. In the context of WTISD, representatives from Argentina, Paraguay, Uruguay, and Chile joined forces with telecom industry leaders</w:t>
      </w:r>
      <w:r w:rsidR="002B1602">
        <w:rPr>
          <w:rFonts w:eastAsia="Calibri" w:cs="Calibri"/>
          <w:szCs w:val="24"/>
        </w:rPr>
        <w:t xml:space="preserve"> </w:t>
      </w:r>
      <w:r w:rsidR="000C4750" w:rsidRPr="006461CE">
        <w:rPr>
          <w:rFonts w:eastAsia="Calibri" w:cs="Calibri"/>
          <w:szCs w:val="24"/>
        </w:rPr>
        <w:t>—Entel, WOM, and Claro—</w:t>
      </w:r>
      <w:r w:rsidR="002B1602">
        <w:rPr>
          <w:rFonts w:eastAsia="Calibri" w:cs="Calibri"/>
          <w:szCs w:val="24"/>
        </w:rPr>
        <w:t xml:space="preserve"> </w:t>
      </w:r>
      <w:r w:rsidR="000C4750" w:rsidRPr="006461CE">
        <w:rPr>
          <w:rFonts w:eastAsia="Calibri" w:cs="Calibri"/>
          <w:szCs w:val="24"/>
        </w:rPr>
        <w:t>to explore this year’s theme, “Digital Innovation for Sustainable Development.” Youth Envoys contributed to discussions on national digital strategies, reinforcing their role in shaping an inclusive digital future.</w:t>
      </w:r>
    </w:p>
    <w:p w14:paraId="36807C71" w14:textId="7475C63C"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In the </w:t>
      </w:r>
      <w:r w:rsidR="000C4750" w:rsidRPr="006461CE">
        <w:rPr>
          <w:rFonts w:eastAsia="Calibri" w:cs="Calibri"/>
          <w:b/>
          <w:szCs w:val="24"/>
        </w:rPr>
        <w:t xml:space="preserve">Arab </w:t>
      </w:r>
      <w:r w:rsidR="00AA16B6" w:rsidRPr="006461CE">
        <w:rPr>
          <w:rFonts w:eastAsia="Calibri" w:cs="Calibri"/>
          <w:b/>
          <w:szCs w:val="24"/>
        </w:rPr>
        <w:t>Region</w:t>
      </w:r>
      <w:r w:rsidR="000C4750" w:rsidRPr="006461CE">
        <w:rPr>
          <w:rFonts w:eastAsia="Calibri" w:cs="Calibri"/>
          <w:b/>
          <w:szCs w:val="24"/>
        </w:rPr>
        <w:t xml:space="preserve">, </w:t>
      </w:r>
      <w:r w:rsidR="000C4750" w:rsidRPr="006461CE">
        <w:rPr>
          <w:rFonts w:eastAsia="Calibri" w:cs="Calibri"/>
          <w:szCs w:val="24"/>
        </w:rPr>
        <w:t xml:space="preserve">the Arab Regional office organized the Arab Region Passing the Torch Event, held online on 1 July 2024. With 20 Arab youth envoys participating, the event underscored the importance of youth involvement in digital innovation. </w:t>
      </w:r>
      <w:r w:rsidR="000C4750" w:rsidRPr="006461CE">
        <w:rPr>
          <w:szCs w:val="24"/>
        </w:rPr>
        <w:t>Key themes included mentorship, active participation in ITU events, and driving partnerships.</w:t>
      </w:r>
    </w:p>
    <w:p w14:paraId="7A32D93B" w14:textId="5E910995"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In the </w:t>
      </w:r>
      <w:r w:rsidR="000C4750" w:rsidRPr="006461CE">
        <w:rPr>
          <w:rFonts w:eastAsia="Calibri" w:cs="Calibri"/>
          <w:b/>
          <w:szCs w:val="24"/>
        </w:rPr>
        <w:t>Asia-Pacific</w:t>
      </w:r>
      <w:r w:rsidR="000C4750" w:rsidRPr="006461CE">
        <w:rPr>
          <w:rFonts w:eastAsia="Calibri" w:cs="Calibri"/>
          <w:szCs w:val="24"/>
        </w:rPr>
        <w:t>, targeted efforts included the recruitment of 21 new Youth Envoys from seven countries. Through regional onboarding, tailored training sessions, and active participation in forums such as WTSA-24 in India, the Global Innovation Forum in Malta, and the ITU-MIIT Seminar in China</w:t>
      </w:r>
      <w:r w:rsidR="002B1602">
        <w:rPr>
          <w:rFonts w:eastAsia="Calibri" w:cs="Calibri"/>
          <w:szCs w:val="24"/>
        </w:rPr>
        <w:t xml:space="preserve"> </w:t>
      </w:r>
      <w:r w:rsidR="000C4750" w:rsidRPr="006461CE">
        <w:rPr>
          <w:rFonts w:eastAsia="Calibri" w:cs="Calibri"/>
          <w:szCs w:val="24"/>
        </w:rPr>
        <w:t xml:space="preserve">—youth </w:t>
      </w:r>
      <w:r w:rsidR="000C4750" w:rsidRPr="006461CE">
        <w:t>participants</w:t>
      </w:r>
      <w:r w:rsidR="000C4750" w:rsidRPr="006461CE">
        <w:rPr>
          <w:rFonts w:eastAsia="Calibri" w:cs="Calibri"/>
          <w:szCs w:val="24"/>
        </w:rPr>
        <w:t xml:space="preserve"> gained valuable skills and platforms to contribute meaningfully to global digital dialogues. The “Passing the Torch” ceremony, held on July 11, was a vibrant moment of intergenerational exchange, uniting</w:t>
      </w:r>
      <w:r w:rsidR="002B1602">
        <w:rPr>
          <w:rFonts w:eastAsia="Calibri" w:cs="Calibri"/>
          <w:szCs w:val="24"/>
        </w:rPr>
        <w:t> </w:t>
      </w:r>
      <w:r w:rsidR="000C4750" w:rsidRPr="006461CE">
        <w:rPr>
          <w:rFonts w:eastAsia="Calibri" w:cs="Calibri"/>
          <w:szCs w:val="24"/>
        </w:rPr>
        <w:t xml:space="preserve">41 Youth Envoys to celebrate achievements and reinforce leadership continuity. </w:t>
      </w:r>
      <w:r w:rsidR="000C4750" w:rsidRPr="006461CE">
        <w:rPr>
          <w:rFonts w:eastAsia="Calibri" w:cs="Calibri"/>
          <w:szCs w:val="24"/>
        </w:rPr>
        <w:lastRenderedPageBreak/>
        <w:t>In partnership with Huawei, 10 Youth Envoys also joined the "Seeds for the Future 2024" programme in China, where they received hands-on exposure to advanced technologies including AI, 5G, and green tech.</w:t>
      </w:r>
    </w:p>
    <w:p w14:paraId="0BC4B901" w14:textId="1BAABD85"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In the </w:t>
      </w:r>
      <w:r w:rsidR="000C4750" w:rsidRPr="006461CE">
        <w:rPr>
          <w:rFonts w:eastAsia="Calibri" w:cs="Calibri"/>
          <w:b/>
          <w:szCs w:val="24"/>
        </w:rPr>
        <w:t>Europe Region</w:t>
      </w:r>
      <w:r w:rsidR="000C4750" w:rsidRPr="006461CE">
        <w:rPr>
          <w:rFonts w:eastAsia="Calibri" w:cs="Calibri"/>
          <w:szCs w:val="24"/>
        </w:rPr>
        <w:t>, the Girls in ICT Day Europe 2024 event, held virtually under the theme “Leadership,” inspired girls across the region to pursue STEM careers by connecting them with role models and practical tools for success. Developed in consultation with youth, the event amplified the voices of the Generation Connect Europe Youth Group and showcased how young women are shaping digital transformation, while addressing the barriers they continue to face. At the Com-ITU plenary of CEPT, new appointed Youth Envoys were introduced to European representatives, fostering recognition and dialogue. In Albania, Youth Envoys contributed to the Digital Agriculture Strategy through the DART project, embedding youth perspectives in national policy.</w:t>
      </w:r>
    </w:p>
    <w:p w14:paraId="14FA058D" w14:textId="1B7C31E3" w:rsidR="000C4750" w:rsidRPr="006461CE" w:rsidRDefault="000C4750" w:rsidP="006461CE">
      <w:pPr>
        <w:jc w:val="both"/>
      </w:pPr>
      <w:r w:rsidRPr="006461CE">
        <w:rPr>
          <w:rFonts w:asciiTheme="minorHAnsi" w:eastAsia="Calibri" w:hAnsiTheme="minorHAnsi" w:cstheme="minorBidi"/>
        </w:rPr>
        <w:t xml:space="preserve">In March 2024, the first cohort of </w:t>
      </w:r>
      <w:r w:rsidRPr="006461CE">
        <w:rPr>
          <w:rFonts w:asciiTheme="minorHAnsi" w:eastAsia="Calibri" w:hAnsiTheme="minorHAnsi" w:cstheme="minorBidi"/>
          <w:b/>
          <w:bCs/>
        </w:rPr>
        <w:t>Generation Connect Youth Leadership Program</w:t>
      </w:r>
      <w:r w:rsidR="005E4CF2" w:rsidRPr="006461CE">
        <w:rPr>
          <w:rFonts w:asciiTheme="minorHAnsi" w:eastAsia="Calibri" w:hAnsiTheme="minorHAnsi" w:cstheme="minorBidi"/>
          <w:b/>
          <w:bCs/>
        </w:rPr>
        <w:t>me</w:t>
      </w:r>
      <w:r w:rsidRPr="006461CE">
        <w:rPr>
          <w:rFonts w:asciiTheme="minorHAnsi" w:eastAsia="Calibri" w:hAnsiTheme="minorHAnsi" w:cstheme="minorBidi"/>
        </w:rPr>
        <w:t xml:space="preserve"> (GCYLP) </w:t>
      </w:r>
      <w:r w:rsidRPr="006461CE">
        <w:t>was selected from over 5</w:t>
      </w:r>
      <w:r w:rsidR="002B1602">
        <w:t> </w:t>
      </w:r>
      <w:r w:rsidRPr="006461CE">
        <w:t>000 applicants. In June, thirty fellows attended a week-long Development Programme in Geneva and Zurich, receiving training in leadership, innovation, and project management. Each fellow was awarded a USD 5</w:t>
      </w:r>
      <w:r w:rsidR="002B1602">
        <w:t> </w:t>
      </w:r>
      <w:r w:rsidRPr="006461CE">
        <w:t xml:space="preserve">000 grant to implement digital development projects in their communities, supported by yearlong monthly mentoring and reporting sessions. </w:t>
      </w:r>
      <w:r w:rsidRPr="006461CE">
        <w:rPr>
          <w:rFonts w:asciiTheme="minorHAnsi" w:eastAsia="Calibri" w:hAnsiTheme="minorHAnsi" w:cstheme="minorBidi"/>
        </w:rPr>
        <w:t xml:space="preserve">In 2024, the GCYLP Secretariat facilitated the active participation as speakers of fellows in various global events such as the ITU Digital Skills Forum in Bahrain, ITU Global Innovation Forum in Malta, the ITU-D Study Groups 1 meeting, COP29 in Azerbaijan and the World Internet Conference </w:t>
      </w:r>
      <w:r w:rsidR="00292251" w:rsidRPr="006461CE">
        <w:rPr>
          <w:rFonts w:asciiTheme="minorHAnsi" w:eastAsia="Calibri" w:hAnsiTheme="minorHAnsi" w:cstheme="minorBidi"/>
        </w:rPr>
        <w:t>(</w:t>
      </w:r>
      <w:r w:rsidRPr="006461CE">
        <w:rPr>
          <w:rFonts w:asciiTheme="minorHAnsi" w:eastAsia="Calibri" w:hAnsiTheme="minorHAnsi" w:cstheme="minorBidi"/>
        </w:rPr>
        <w:t>WIC</w:t>
      </w:r>
      <w:r w:rsidR="00292251" w:rsidRPr="006461CE">
        <w:rPr>
          <w:rFonts w:asciiTheme="minorHAnsi" w:eastAsia="Calibri" w:hAnsiTheme="minorHAnsi" w:cstheme="minorBidi"/>
        </w:rPr>
        <w:t>)</w:t>
      </w:r>
      <w:r w:rsidRPr="006461CE">
        <w:rPr>
          <w:rFonts w:asciiTheme="minorHAnsi" w:eastAsia="Calibri" w:hAnsiTheme="minorHAnsi" w:cstheme="minorBidi"/>
        </w:rPr>
        <w:t xml:space="preserve"> in China. </w:t>
      </w:r>
      <w:r w:rsidRPr="006461CE">
        <w:t>These engagements enabled fellows to expand networks and secure additional funding</w:t>
      </w:r>
      <w:r w:rsidR="002B1602">
        <w:t xml:space="preserve"> </w:t>
      </w:r>
      <w:r w:rsidRPr="006461CE">
        <w:t>—totalling USD 750</w:t>
      </w:r>
      <w:r w:rsidR="00EA7F10">
        <w:t> </w:t>
      </w:r>
      <w:r w:rsidRPr="006461CE">
        <w:t>000 across five fellows—</w:t>
      </w:r>
      <w:r w:rsidR="002B1602">
        <w:t xml:space="preserve"> </w:t>
      </w:r>
      <w:r w:rsidRPr="006461CE">
        <w:t>for project sustainability.</w:t>
      </w:r>
      <w:r w:rsidRPr="006461CE">
        <w:rPr>
          <w:rFonts w:asciiTheme="minorHAnsi" w:eastAsia="Calibri" w:hAnsiTheme="minorHAnsi" w:cstheme="minorBidi"/>
        </w:rPr>
        <w:t xml:space="preserve"> The youth-led digital development </w:t>
      </w:r>
      <w:r w:rsidR="00EA7F10" w:rsidRPr="006461CE">
        <w:rPr>
          <w:rFonts w:asciiTheme="minorHAnsi" w:eastAsia="Calibri" w:hAnsiTheme="minorHAnsi" w:cstheme="minorBidi"/>
        </w:rPr>
        <w:t>projects'</w:t>
      </w:r>
      <w:r w:rsidRPr="006461CE">
        <w:rPr>
          <w:rFonts w:asciiTheme="minorHAnsi" w:eastAsia="Calibri" w:hAnsiTheme="minorHAnsi" w:cstheme="minorBidi"/>
        </w:rPr>
        <w:t xml:space="preserve"> evaluations are underway, with top-performing initiatives </w:t>
      </w:r>
      <w:r w:rsidRPr="006461CE">
        <w:t>eligible for an additional USD 5</w:t>
      </w:r>
      <w:r w:rsidR="00EA7F10">
        <w:t> </w:t>
      </w:r>
      <w:r w:rsidRPr="006461CE">
        <w:t>000 scale-up grant. In</w:t>
      </w:r>
      <w:r w:rsidRPr="006461CE">
        <w:rPr>
          <w:rFonts w:asciiTheme="minorHAnsi" w:eastAsia="Calibri" w:hAnsiTheme="minorHAnsi" w:cstheme="minorBidi"/>
        </w:rPr>
        <w:t xml:space="preserve"> March 2025, the BDT Director launched applications for the second cohort of GCYLP fellows at the Mobile World Congress </w:t>
      </w:r>
      <w:r w:rsidR="002D7E19" w:rsidRPr="006461CE">
        <w:rPr>
          <w:rFonts w:asciiTheme="minorHAnsi" w:eastAsia="Calibri" w:hAnsiTheme="minorHAnsi" w:cstheme="minorBidi"/>
        </w:rPr>
        <w:t>(</w:t>
      </w:r>
      <w:r w:rsidRPr="006461CE">
        <w:rPr>
          <w:rFonts w:asciiTheme="minorHAnsi" w:eastAsia="Calibri" w:hAnsiTheme="minorHAnsi" w:cstheme="minorBidi"/>
        </w:rPr>
        <w:t>MWC</w:t>
      </w:r>
      <w:r w:rsidR="002D7E19" w:rsidRPr="006461CE">
        <w:rPr>
          <w:rFonts w:asciiTheme="minorHAnsi" w:eastAsia="Calibri" w:hAnsiTheme="minorHAnsi" w:cstheme="minorBidi"/>
        </w:rPr>
        <w:t>)</w:t>
      </w:r>
      <w:r w:rsidRPr="006461CE">
        <w:rPr>
          <w:rFonts w:asciiTheme="minorHAnsi" w:eastAsia="Calibri" w:hAnsiTheme="minorHAnsi" w:cstheme="minorBidi"/>
        </w:rPr>
        <w:t xml:space="preserve"> in Barcelona, Spain.</w:t>
      </w:r>
    </w:p>
    <w:p w14:paraId="56B3AFD0" w14:textId="48970E70" w:rsidR="000C4750" w:rsidRPr="006461CE" w:rsidRDefault="000C4750" w:rsidP="006461CE">
      <w:pPr>
        <w:jc w:val="both"/>
        <w:rPr>
          <w:rFonts w:eastAsia="Calibri" w:cs="Calibri"/>
          <w:szCs w:val="24"/>
        </w:rPr>
      </w:pPr>
      <w:r w:rsidRPr="006461CE">
        <w:rPr>
          <w:rFonts w:eastAsia="Calibri" w:cs="Calibri"/>
          <w:szCs w:val="24"/>
        </w:rPr>
        <w:t xml:space="preserve">ITU Standardization </w:t>
      </w:r>
      <w:r w:rsidR="005E4CF2" w:rsidRPr="006461CE">
        <w:rPr>
          <w:rFonts w:eastAsia="Calibri" w:cs="Calibri"/>
          <w:szCs w:val="24"/>
        </w:rPr>
        <w:t>B</w:t>
      </w:r>
      <w:r w:rsidRPr="006461CE">
        <w:rPr>
          <w:rFonts w:eastAsia="Calibri" w:cs="Calibri"/>
          <w:szCs w:val="24"/>
        </w:rPr>
        <w:t xml:space="preserve">ureau (TSB) has been championing meaningful youth engagement on AI. The </w:t>
      </w:r>
      <w:hyperlink r:id="rId17" w:history="1">
        <w:r w:rsidRPr="00AA16B6">
          <w:rPr>
            <w:rStyle w:val="Hyperlink"/>
            <w:rFonts w:eastAsia="Calibri" w:cs="Calibri"/>
            <w:b/>
            <w:bCs/>
            <w:szCs w:val="24"/>
          </w:rPr>
          <w:t>ITU AI/ML Challenge</w:t>
        </w:r>
      </w:hyperlink>
      <w:r w:rsidRPr="006461CE">
        <w:rPr>
          <w:rFonts w:eastAsia="Calibri" w:cs="Calibri"/>
          <w:szCs w:val="24"/>
        </w:rPr>
        <w:t xml:space="preserve"> is a flagship collaborative platform that enables students, researchers, and developers to design AI models for real-world use cases</w:t>
      </w:r>
      <w:r w:rsidR="00EA7F10">
        <w:rPr>
          <w:rFonts w:eastAsia="Calibri" w:cs="Calibri"/>
          <w:szCs w:val="24"/>
        </w:rPr>
        <w:t xml:space="preserve"> </w:t>
      </w:r>
      <w:r w:rsidRPr="006461CE">
        <w:rPr>
          <w:rFonts w:eastAsia="Calibri" w:cs="Calibri"/>
          <w:szCs w:val="24"/>
        </w:rPr>
        <w:t xml:space="preserve">—including </w:t>
      </w:r>
      <w:r w:rsidRPr="006461CE">
        <w:t>geospatial</w:t>
      </w:r>
      <w:r w:rsidRPr="006461CE">
        <w:rPr>
          <w:rFonts w:eastAsia="Calibri" w:cs="Calibri"/>
          <w:szCs w:val="24"/>
        </w:rPr>
        <w:t xml:space="preserve"> AI and communication networks. In 2024, the challenge featured 13 problem statements and attracted 4</w:t>
      </w:r>
      <w:r w:rsidR="00EA7F10">
        <w:rPr>
          <w:rFonts w:eastAsia="Calibri" w:cs="Calibri"/>
          <w:szCs w:val="24"/>
        </w:rPr>
        <w:t> </w:t>
      </w:r>
      <w:r w:rsidRPr="006461CE">
        <w:rPr>
          <w:rFonts w:eastAsia="Calibri" w:cs="Calibri"/>
          <w:szCs w:val="24"/>
        </w:rPr>
        <w:t>196 participants, resulting in over 30</w:t>
      </w:r>
      <w:r w:rsidR="00EA7F10">
        <w:rPr>
          <w:rFonts w:eastAsia="Calibri" w:cs="Calibri"/>
          <w:szCs w:val="24"/>
        </w:rPr>
        <w:t> </w:t>
      </w:r>
      <w:r w:rsidRPr="006461CE">
        <w:rPr>
          <w:rFonts w:eastAsia="Calibri" w:cs="Calibri"/>
          <w:szCs w:val="24"/>
        </w:rPr>
        <w:t>000 submissions that supported ITU's standardization work.</w:t>
      </w:r>
    </w:p>
    <w:p w14:paraId="466CA43D" w14:textId="78518425" w:rsidR="000C4750" w:rsidRPr="0012745D" w:rsidRDefault="000C4750" w:rsidP="7E9B54B0">
      <w:pPr>
        <w:jc w:val="both"/>
        <w:rPr>
          <w:rFonts w:eastAsia="Calibri" w:cs="Calibri"/>
          <w:spacing w:val="-2"/>
        </w:rPr>
      </w:pPr>
      <w:r w:rsidRPr="7E9B54B0">
        <w:rPr>
          <w:rFonts w:eastAsia="Calibri" w:cs="Calibri"/>
          <w:spacing w:val="-2"/>
        </w:rPr>
        <w:t xml:space="preserve">The </w:t>
      </w:r>
      <w:hyperlink r:id="rId18" w:history="1">
        <w:r w:rsidRPr="7E9B54B0">
          <w:rPr>
            <w:rFonts w:eastAsia="Calibri" w:cs="Calibri"/>
            <w:b/>
            <w:bCs/>
            <w:color w:val="0563C1"/>
            <w:spacing w:val="-2"/>
            <w:u w:val="single"/>
          </w:rPr>
          <w:t>Robotics for Good Youth Challenge</w:t>
        </w:r>
        <w:r w:rsidRPr="7E9B54B0">
          <w:rPr>
            <w:rFonts w:eastAsia="Calibri" w:cs="Calibri"/>
            <w:color w:val="0563C1"/>
            <w:spacing w:val="-2"/>
          </w:rPr>
          <w:t xml:space="preserve"> </w:t>
        </w:r>
      </w:hyperlink>
      <w:r w:rsidRPr="7E9B54B0">
        <w:rPr>
          <w:rFonts w:eastAsia="Calibri" w:cs="Calibri"/>
          <w:spacing w:val="-2"/>
        </w:rPr>
        <w:t>is a global educational robotics championship engaging students aged 10</w:t>
      </w:r>
      <w:r w:rsidR="00EA7F10" w:rsidRPr="0012745D">
        <w:rPr>
          <w:rFonts w:eastAsia="Calibri" w:cs="Calibri"/>
          <w:spacing w:val="-2"/>
          <w:szCs w:val="24"/>
        </w:rPr>
        <w:noBreakHyphen/>
      </w:r>
      <w:r w:rsidRPr="7E9B54B0">
        <w:rPr>
          <w:rFonts w:eastAsia="Calibri" w:cs="Calibri"/>
          <w:spacing w:val="-2"/>
        </w:rPr>
        <w:t>18 to develop robotics-based disaster response solutions. The 2024</w:t>
      </w:r>
      <w:r w:rsidR="0073530C">
        <w:rPr>
          <w:rFonts w:eastAsia="Calibri" w:cs="Calibri"/>
          <w:spacing w:val="-2"/>
        </w:rPr>
        <w:t>-</w:t>
      </w:r>
      <w:r w:rsidRPr="7E9B54B0">
        <w:rPr>
          <w:rFonts w:eastAsia="Calibri" w:cs="Calibri"/>
          <w:spacing w:val="-2"/>
        </w:rPr>
        <w:t>2025 edition involves 7</w:t>
      </w:r>
      <w:r w:rsidR="00EA7F10" w:rsidRPr="7E9B54B0">
        <w:rPr>
          <w:rFonts w:eastAsia="Calibri" w:cs="Calibri"/>
          <w:spacing w:val="-2"/>
        </w:rPr>
        <w:t> </w:t>
      </w:r>
      <w:r w:rsidRPr="7E9B54B0">
        <w:rPr>
          <w:rFonts w:eastAsia="Calibri" w:cs="Calibri"/>
          <w:spacing w:val="-2"/>
        </w:rPr>
        <w:t>000+ participants from 20 countries, 35</w:t>
      </w:r>
      <w:r w:rsidR="00EA7F10" w:rsidRPr="7E9B54B0">
        <w:rPr>
          <w:rFonts w:eastAsia="Calibri" w:cs="Arial"/>
          <w:spacing w:val="-2"/>
        </w:rPr>
        <w:t xml:space="preserve"> per cent</w:t>
      </w:r>
      <w:r w:rsidRPr="7E9B54B0">
        <w:rPr>
          <w:rFonts w:eastAsia="Calibri" w:cs="Calibri"/>
          <w:spacing w:val="-2"/>
        </w:rPr>
        <w:t xml:space="preserve"> of whom are from Least Developed Countries. The Grand Finale will be held at the AI for Good Global Summit 2025.</w:t>
      </w:r>
    </w:p>
    <w:p w14:paraId="50E5A4A8" w14:textId="6ADB1924" w:rsidR="000C4750" w:rsidRPr="006461CE" w:rsidRDefault="000C4750" w:rsidP="006461CE">
      <w:pPr>
        <w:jc w:val="both"/>
        <w:rPr>
          <w:rFonts w:eastAsia="Calibri" w:cs="Calibri"/>
          <w:szCs w:val="24"/>
        </w:rPr>
      </w:pPr>
      <w:r w:rsidRPr="006461CE">
        <w:rPr>
          <w:rFonts w:eastAsia="Calibri" w:cs="Calibri"/>
          <w:szCs w:val="24"/>
        </w:rPr>
        <w:t xml:space="preserve">The AI for Good Youth Zone at the AI for Good Global Summit 2024 hosted practical workshops and hands-on sessions focused on AI and robotics. Bringing together educators, students, and </w:t>
      </w:r>
      <w:r w:rsidRPr="006461CE">
        <w:t>professionals</w:t>
      </w:r>
      <w:r w:rsidRPr="006461CE">
        <w:rPr>
          <w:rFonts w:eastAsia="Calibri" w:cs="Calibri"/>
          <w:szCs w:val="24"/>
        </w:rPr>
        <w:t>, nine workshops were facilitated by 11 partners over two days</w:t>
      </w:r>
      <w:r w:rsidR="0073530C">
        <w:rPr>
          <w:rFonts w:eastAsia="Calibri" w:cs="Calibri"/>
          <w:szCs w:val="24"/>
        </w:rPr>
        <w:t>,</w:t>
      </w:r>
      <w:r w:rsidRPr="006461CE">
        <w:rPr>
          <w:rFonts w:eastAsia="Calibri" w:cs="Calibri"/>
          <w:szCs w:val="24"/>
        </w:rPr>
        <w:t xml:space="preserve"> attracting 300 participants, including kids and professionals. The Youth Zone provided interactive and collaborative learning experiences, covering topics from AI EdTech robots to disaster robotics and autonomous vehicles. Workshops by EPFL provided hands-on experience with AI, computer vision, and machine learning, demonstrating how smart cars detect and analy</w:t>
      </w:r>
      <w:r w:rsidR="005E4CF2" w:rsidRPr="006461CE">
        <w:rPr>
          <w:rFonts w:eastAsia="Calibri" w:cs="Calibri"/>
          <w:szCs w:val="24"/>
        </w:rPr>
        <w:t>s</w:t>
      </w:r>
      <w:r w:rsidRPr="006461CE">
        <w:rPr>
          <w:rFonts w:eastAsia="Calibri" w:cs="Calibri"/>
          <w:szCs w:val="24"/>
        </w:rPr>
        <w:t xml:space="preserve">e their environment. </w:t>
      </w:r>
    </w:p>
    <w:p w14:paraId="14EA9B79" w14:textId="23055945" w:rsidR="000C4750" w:rsidRPr="006461CE" w:rsidRDefault="000C4750" w:rsidP="006461CE">
      <w:pPr>
        <w:jc w:val="both"/>
        <w:rPr>
          <w:rFonts w:eastAsia="Calibri" w:cs="Calibri"/>
          <w:szCs w:val="24"/>
        </w:rPr>
      </w:pPr>
      <w:r w:rsidRPr="006461CE">
        <w:rPr>
          <w:rFonts w:eastAsia="Calibri" w:cs="Calibri"/>
          <w:szCs w:val="24"/>
        </w:rPr>
        <w:lastRenderedPageBreak/>
        <w:t xml:space="preserve">The </w:t>
      </w:r>
      <w:hyperlink r:id="rId19">
        <w:r w:rsidRPr="006461CE">
          <w:rPr>
            <w:rFonts w:eastAsia="Calibri" w:cs="Calibri"/>
            <w:color w:val="0563C1"/>
            <w:szCs w:val="24"/>
            <w:u w:val="single"/>
          </w:rPr>
          <w:t>Young AI Leaders Community</w:t>
        </w:r>
      </w:hyperlink>
      <w:r w:rsidRPr="006461CE">
        <w:rPr>
          <w:rFonts w:eastAsia="Calibri" w:cs="Calibri"/>
          <w:szCs w:val="24"/>
        </w:rPr>
        <w:t xml:space="preserve"> platform was launched at WTSA-24. This community of youth aged 18</w:t>
      </w:r>
      <w:r w:rsidR="005E4CF2" w:rsidRPr="006461CE">
        <w:rPr>
          <w:rFonts w:eastAsia="Calibri" w:cs="Calibri"/>
          <w:szCs w:val="24"/>
        </w:rPr>
        <w:t>-</w:t>
      </w:r>
      <w:r w:rsidRPr="006461CE">
        <w:rPr>
          <w:rFonts w:eastAsia="Calibri" w:cs="Calibri"/>
          <w:szCs w:val="24"/>
        </w:rPr>
        <w:t xml:space="preserve">30 now includes 350+ members across 89 hubs in 46 countries, empowering </w:t>
      </w:r>
      <w:r w:rsidRPr="006461CE">
        <w:t>grassroots</w:t>
      </w:r>
      <w:r w:rsidRPr="006461CE">
        <w:rPr>
          <w:rFonts w:eastAsia="Calibri" w:cs="Calibri"/>
          <w:szCs w:val="24"/>
        </w:rPr>
        <w:t xml:space="preserve"> AI changemakers and supporting peer collaboration and learning.</w:t>
      </w:r>
    </w:p>
    <w:p w14:paraId="075B2DA7" w14:textId="009D74F1" w:rsidR="000C4750" w:rsidRPr="006461CE" w:rsidRDefault="000C4750" w:rsidP="006461CE">
      <w:pPr>
        <w:jc w:val="both"/>
        <w:rPr>
          <w:rFonts w:eastAsia="Calibri" w:cs="Calibri"/>
          <w:szCs w:val="24"/>
        </w:rPr>
      </w:pPr>
      <w:r w:rsidRPr="006461CE">
        <w:rPr>
          <w:rFonts w:eastAsia="Calibri" w:cs="Calibri"/>
          <w:szCs w:val="24"/>
        </w:rPr>
        <w:t xml:space="preserve">The </w:t>
      </w:r>
      <w:r w:rsidRPr="006461CE">
        <w:rPr>
          <w:rFonts w:eastAsia="Calibri" w:cs="Calibri"/>
          <w:b/>
          <w:bCs/>
          <w:szCs w:val="24"/>
        </w:rPr>
        <w:t>AI for Good Innovation Factory</w:t>
      </w:r>
      <w:r w:rsidRPr="006461CE">
        <w:rPr>
          <w:rFonts w:eastAsia="Calibri" w:cs="Calibri"/>
          <w:szCs w:val="24"/>
        </w:rPr>
        <w:t xml:space="preserve"> special edition on “</w:t>
      </w:r>
      <w:hyperlink r:id="rId20" w:history="1">
        <w:r w:rsidRPr="006461CE">
          <w:rPr>
            <w:rFonts w:eastAsia="Calibri" w:cs="Calibri"/>
            <w:color w:val="0563C1"/>
            <w:szCs w:val="24"/>
            <w:u w:val="single"/>
          </w:rPr>
          <w:t>Meet Young Innovators Revolutionizing Agrifood Systems in the Global South</w:t>
        </w:r>
      </w:hyperlink>
      <w:r w:rsidRPr="00EA7F10">
        <w:rPr>
          <w:rFonts w:eastAsia="Calibri" w:cs="Calibri"/>
          <w:szCs w:val="24"/>
        </w:rPr>
        <w:t>”</w:t>
      </w:r>
      <w:r w:rsidRPr="006461CE">
        <w:rPr>
          <w:rFonts w:eastAsia="Calibri" w:cs="Calibri"/>
          <w:szCs w:val="24"/>
        </w:rPr>
        <w:t xml:space="preserve"> was convened in partnership with the World Food Forum (WFF) to spotlight entrepreneurial and youth-led AI startups addressing </w:t>
      </w:r>
      <w:r w:rsidRPr="006461CE">
        <w:t>agricultural</w:t>
      </w:r>
      <w:r w:rsidRPr="006461CE">
        <w:rPr>
          <w:rFonts w:eastAsia="Calibri" w:cs="Calibri"/>
          <w:szCs w:val="24"/>
        </w:rPr>
        <w:t xml:space="preserve"> challenges in the Global South, providing global visibility and investor access.</w:t>
      </w:r>
    </w:p>
    <w:p w14:paraId="4FF31817" w14:textId="6CF0BEF8" w:rsidR="000C4750" w:rsidRPr="006461CE" w:rsidRDefault="000C4750" w:rsidP="006461CE">
      <w:pPr>
        <w:jc w:val="both"/>
        <w:rPr>
          <w:rFonts w:eastAsia="Calibri" w:cs="Calibri"/>
          <w:szCs w:val="24"/>
        </w:rPr>
      </w:pPr>
      <w:r w:rsidRPr="006461CE">
        <w:rPr>
          <w:rFonts w:eastAsia="Calibri" w:cs="Calibri"/>
          <w:szCs w:val="24"/>
        </w:rPr>
        <w:t xml:space="preserve">Youth engagement </w:t>
      </w:r>
      <w:r w:rsidRPr="006461CE">
        <w:t>was</w:t>
      </w:r>
      <w:r w:rsidRPr="006461CE">
        <w:rPr>
          <w:rFonts w:eastAsia="Calibri" w:cs="Calibri"/>
          <w:szCs w:val="24"/>
        </w:rPr>
        <w:t xml:space="preserve"> a focus at </w:t>
      </w:r>
      <w:hyperlink r:id="rId21" w:history="1">
        <w:r w:rsidRPr="006461CE">
          <w:rPr>
            <w:rFonts w:eastAsia="Calibri" w:cs="Calibri"/>
            <w:color w:val="0563C1"/>
            <w:szCs w:val="24"/>
            <w:u w:val="single"/>
          </w:rPr>
          <w:t>WT</w:t>
        </w:r>
        <w:r w:rsidRPr="006461CE">
          <w:rPr>
            <w:rFonts w:eastAsia="Calibri" w:cs="Calibri"/>
            <w:color w:val="0563C1"/>
            <w:szCs w:val="24"/>
            <w:u w:val="single"/>
          </w:rPr>
          <w:t>S</w:t>
        </w:r>
        <w:r w:rsidRPr="006461CE">
          <w:rPr>
            <w:rFonts w:eastAsia="Calibri" w:cs="Calibri"/>
            <w:color w:val="0563C1"/>
            <w:szCs w:val="24"/>
            <w:u w:val="single"/>
          </w:rPr>
          <w:t>A-24</w:t>
        </w:r>
      </w:hyperlink>
      <w:r w:rsidR="0073530C">
        <w:rPr>
          <w:rFonts w:eastAsia="Calibri" w:cs="Calibri"/>
          <w:szCs w:val="24"/>
        </w:rPr>
        <w:t xml:space="preserve">, </w:t>
      </w:r>
      <w:r w:rsidRPr="006461CE">
        <w:rPr>
          <w:rFonts w:eastAsia="Calibri" w:cs="Calibri"/>
          <w:szCs w:val="24"/>
        </w:rPr>
        <w:t xml:space="preserve">with targeted initiatives introduced to the side-event </w:t>
      </w:r>
      <w:r w:rsidRPr="006461CE">
        <w:t>programme</w:t>
      </w:r>
      <w:r w:rsidRPr="006461CE">
        <w:rPr>
          <w:rFonts w:eastAsia="Calibri" w:cs="Calibri"/>
          <w:szCs w:val="24"/>
        </w:rPr>
        <w:t xml:space="preserve"> to attract young participants. Key activities included:</w:t>
      </w:r>
    </w:p>
    <w:p w14:paraId="3BEFFB94" w14:textId="266752F3"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hyperlink r:id="rId22" w:anchor=":~:text=The%20Robotics%20for%20Good%20Youth%20Challenge%20is%20an%20UN%2Dbased,Sustainable%20Development%20Goals%20(SDGs).">
        <w:r w:rsidR="000C4750" w:rsidRPr="006461CE">
          <w:rPr>
            <w:rFonts w:eastAsia="Calibri" w:cs="Calibri"/>
            <w:color w:val="0563C1"/>
            <w:szCs w:val="24"/>
            <w:u w:val="single"/>
          </w:rPr>
          <w:t>Robotics for Youth Challenge India</w:t>
        </w:r>
      </w:hyperlink>
      <w:r w:rsidR="000C4750" w:rsidRPr="006461CE">
        <w:rPr>
          <w:rFonts w:eastAsia="Calibri" w:cs="Calibri"/>
          <w:szCs w:val="24"/>
        </w:rPr>
        <w:t xml:space="preserve"> is the National Event of the Robotics for Good Youth Challenge in India, which brought together 250 students from 51 teams across India to showcase their robotics solutions in disaster response. The winning teams will participate </w:t>
      </w:r>
      <w:r w:rsidR="0073530C">
        <w:rPr>
          <w:rFonts w:eastAsia="Calibri" w:cs="Calibri"/>
          <w:szCs w:val="24"/>
        </w:rPr>
        <w:t>in</w:t>
      </w:r>
      <w:r w:rsidR="000C4750" w:rsidRPr="006461CE">
        <w:rPr>
          <w:rFonts w:eastAsia="Calibri" w:cs="Calibri"/>
          <w:szCs w:val="24"/>
        </w:rPr>
        <w:t xml:space="preserve"> the Grand Finale in Geneva at the AI for Good Global Summit 2025. The event was organized on Thursday</w:t>
      </w:r>
      <w:r w:rsidR="00D1477C">
        <w:rPr>
          <w:rFonts w:eastAsia="Calibri" w:cs="Calibri"/>
          <w:szCs w:val="24"/>
        </w:rPr>
        <w:t>,</w:t>
      </w:r>
      <w:r w:rsidR="000C4750" w:rsidRPr="006461CE">
        <w:rPr>
          <w:rFonts w:eastAsia="Calibri" w:cs="Calibri"/>
          <w:szCs w:val="24"/>
        </w:rPr>
        <w:t xml:space="preserve"> 17 October in New Delhi, India, by the ITU in partnership with IIT Delhi </w:t>
      </w:r>
      <w:r w:rsidR="00EA7F10">
        <w:rPr>
          <w:rFonts w:eastAsia="Calibri" w:cs="Calibri"/>
          <w:szCs w:val="24"/>
        </w:rPr>
        <w:t xml:space="preserve">– </w:t>
      </w:r>
      <w:r w:rsidR="000C4750" w:rsidRPr="006461CE">
        <w:rPr>
          <w:rFonts w:eastAsia="Calibri" w:cs="Calibri"/>
          <w:szCs w:val="24"/>
        </w:rPr>
        <w:t>IHFC and in collaboration with CDOT.</w:t>
      </w:r>
    </w:p>
    <w:p w14:paraId="009332B6" w14:textId="10BC362A"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The </w:t>
      </w:r>
      <w:hyperlink r:id="rId23" w:history="1">
        <w:r w:rsidR="00335369">
          <w:rPr>
            <w:rFonts w:eastAsia="Calibri" w:cs="Calibri"/>
            <w:color w:val="0563C1"/>
            <w:szCs w:val="24"/>
            <w:u w:val="single"/>
          </w:rPr>
          <w:t>two-day AI Bharat 5G/6G Sandbox Hackathon</w:t>
        </w:r>
      </w:hyperlink>
      <w:r w:rsidR="000C4750" w:rsidRPr="006461CE">
        <w:rPr>
          <w:rFonts w:eastAsia="Calibri" w:cs="Calibri"/>
          <w:szCs w:val="24"/>
        </w:rPr>
        <w:t xml:space="preserve"> brought together students and young </w:t>
      </w:r>
      <w:r w:rsidR="000C4750" w:rsidRPr="006461CE">
        <w:t>experts</w:t>
      </w:r>
      <w:r w:rsidR="000C4750" w:rsidRPr="006461CE">
        <w:rPr>
          <w:rFonts w:eastAsia="Calibri" w:cs="Calibri"/>
          <w:szCs w:val="24"/>
        </w:rPr>
        <w:t xml:space="preserve"> worldwide.</w:t>
      </w:r>
    </w:p>
    <w:p w14:paraId="2A0D30B5" w14:textId="51CFE1A7"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A special session on youth participation in standards development during the </w:t>
      </w:r>
      <w:hyperlink r:id="rId24" w:history="1">
        <w:r w:rsidR="000C4750" w:rsidRPr="006461CE">
          <w:rPr>
            <w:rFonts w:eastAsia="Calibri" w:cs="Calibri"/>
            <w:i/>
            <w:iCs/>
            <w:color w:val="0563C1"/>
            <w:szCs w:val="24"/>
            <w:u w:val="single"/>
          </w:rPr>
          <w:t>ITU Kaleidoscope 2024: Innovation and digital transformation for a sustainable world</w:t>
        </w:r>
      </w:hyperlink>
      <w:r w:rsidR="000C4750" w:rsidRPr="006461CE">
        <w:rPr>
          <w:rFonts w:eastAsia="Calibri" w:cs="Calibri"/>
          <w:szCs w:val="24"/>
        </w:rPr>
        <w:t xml:space="preserve">, held from 21 to 23 October 2024 in New Delhi, India, </w:t>
      </w:r>
      <w:r w:rsidR="000C4750" w:rsidRPr="006461CE">
        <w:rPr>
          <w:szCs w:val="24"/>
        </w:rPr>
        <w:t xml:space="preserve">brought together a wide range of </w:t>
      </w:r>
      <w:r w:rsidR="000C4750" w:rsidRPr="006461CE">
        <w:t>participants</w:t>
      </w:r>
      <w:r w:rsidR="000C4750" w:rsidRPr="006461CE">
        <w:rPr>
          <w:szCs w:val="24"/>
        </w:rPr>
        <w:t xml:space="preserve"> from universities, industry and research institutions brining, engaging students aged 18 and above.</w:t>
      </w:r>
    </w:p>
    <w:p w14:paraId="57125942" w14:textId="43A95287"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Member States approved the adoption of a new youth-focused Resolution </w:t>
      </w:r>
      <w:hyperlink r:id="rId25" w:history="1">
        <w:r w:rsidR="000C4750" w:rsidRPr="006461CE">
          <w:rPr>
            <w:rFonts w:eastAsia="Calibri" w:cs="Calibri"/>
            <w:color w:val="0563C1"/>
            <w:szCs w:val="24"/>
            <w:u w:val="single"/>
          </w:rPr>
          <w:t>WTSA-24 Resolution 107</w:t>
        </w:r>
      </w:hyperlink>
      <w:r w:rsidR="000C4750" w:rsidRPr="006461CE">
        <w:rPr>
          <w:rFonts w:eastAsia="Calibri" w:cs="Calibri"/>
          <w:szCs w:val="24"/>
        </w:rPr>
        <w:t xml:space="preserve"> ‘’Enhancing the engagement of the next-generation experts in the </w:t>
      </w:r>
      <w:r w:rsidR="000C4750" w:rsidRPr="006461CE">
        <w:t>standardization</w:t>
      </w:r>
      <w:r w:rsidR="000C4750" w:rsidRPr="006461CE">
        <w:rPr>
          <w:rFonts w:eastAsia="Calibri" w:cs="Calibri"/>
          <w:szCs w:val="24"/>
        </w:rPr>
        <w:t xml:space="preserve"> activities of the ITU Standardization sector”.</w:t>
      </w:r>
    </w:p>
    <w:p w14:paraId="75F72595" w14:textId="6AB97DA5"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Launched in May 2025 in celebration of the International Year of Quantum, </w:t>
      </w:r>
      <w:hyperlink r:id="rId26" w:history="1">
        <w:r w:rsidR="000C4750" w:rsidRPr="006461CE">
          <w:rPr>
            <w:rFonts w:eastAsia="Calibri" w:cs="Calibri"/>
            <w:color w:val="0563C1"/>
            <w:szCs w:val="24"/>
            <w:u w:val="single"/>
          </w:rPr>
          <w:t>the Future Leaders in Quantum</w:t>
        </w:r>
      </w:hyperlink>
      <w:r w:rsidR="000C4750" w:rsidRPr="006461CE">
        <w:rPr>
          <w:rFonts w:eastAsia="Calibri" w:cs="Calibri"/>
          <w:szCs w:val="24"/>
        </w:rPr>
        <w:t xml:space="preserve"> (FLIQ) hackathon </w:t>
      </w:r>
      <w:r w:rsidR="0073530C">
        <w:rPr>
          <w:rFonts w:eastAsia="Calibri" w:cs="Calibri"/>
          <w:szCs w:val="24"/>
        </w:rPr>
        <w:t>serves</w:t>
      </w:r>
      <w:r w:rsidR="000C4750" w:rsidRPr="006461CE">
        <w:rPr>
          <w:rFonts w:eastAsia="Calibri" w:cs="Calibri"/>
          <w:szCs w:val="24"/>
        </w:rPr>
        <w:t xml:space="preserve"> as a platform to engage youth in quantum </w:t>
      </w:r>
      <w:r w:rsidR="000C4750" w:rsidRPr="006461CE">
        <w:t>technologies</w:t>
      </w:r>
      <w:r w:rsidR="000C4750" w:rsidRPr="006461CE">
        <w:rPr>
          <w:rFonts w:eastAsia="Calibri" w:cs="Calibri"/>
          <w:szCs w:val="24"/>
        </w:rPr>
        <w:t>.</w:t>
      </w:r>
    </w:p>
    <w:p w14:paraId="2569BD2A" w14:textId="1177524E" w:rsidR="000C4750" w:rsidRPr="006461CE" w:rsidRDefault="000C4750" w:rsidP="006461CE">
      <w:pPr>
        <w:jc w:val="both"/>
        <w:rPr>
          <w:szCs w:val="24"/>
        </w:rPr>
      </w:pPr>
      <w:r w:rsidRPr="006461CE">
        <w:t>Youth</w:t>
      </w:r>
      <w:r w:rsidRPr="006461CE">
        <w:rPr>
          <w:rFonts w:eastAsia="Calibri" w:cs="Calibri"/>
          <w:szCs w:val="24"/>
        </w:rPr>
        <w:t xml:space="preserve"> engagement in Metaverse, IoT</w:t>
      </w:r>
      <w:r w:rsidR="00437778" w:rsidRPr="006461CE">
        <w:rPr>
          <w:rFonts w:eastAsia="Calibri" w:cs="Calibri"/>
          <w:szCs w:val="24"/>
        </w:rPr>
        <w:t>,</w:t>
      </w:r>
      <w:r w:rsidRPr="006461CE">
        <w:rPr>
          <w:rFonts w:eastAsia="Calibri" w:cs="Calibri"/>
          <w:szCs w:val="24"/>
        </w:rPr>
        <w:t xml:space="preserve"> and </w:t>
      </w:r>
      <w:r w:rsidRPr="006461CE">
        <w:rPr>
          <w:szCs w:val="24"/>
        </w:rPr>
        <w:t xml:space="preserve">SSC&amp;C activities </w:t>
      </w:r>
      <w:r w:rsidR="0073530C">
        <w:rPr>
          <w:szCs w:val="24"/>
        </w:rPr>
        <w:t>includes</w:t>
      </w:r>
      <w:r w:rsidRPr="006461CE">
        <w:rPr>
          <w:szCs w:val="24"/>
        </w:rPr>
        <w:t>:</w:t>
      </w:r>
    </w:p>
    <w:p w14:paraId="648ACDCC" w14:textId="299D4065"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t>Recognition</w:t>
      </w:r>
      <w:r w:rsidR="000C4750" w:rsidRPr="006461CE">
        <w:rPr>
          <w:szCs w:val="24"/>
        </w:rPr>
        <w:t xml:space="preserve"> of student and faculty winners of the Global Connect IoT competition during the SG20 Closing Plenary (Geneva, 15-24 January 2025)</w:t>
      </w:r>
      <w:r w:rsidR="0073530C">
        <w:rPr>
          <w:szCs w:val="24"/>
        </w:rPr>
        <w:t>.</w:t>
      </w:r>
    </w:p>
    <w:p w14:paraId="3C05E746" w14:textId="5A63B6C5" w:rsidR="000C4750" w:rsidRPr="006461CE" w:rsidRDefault="00677437" w:rsidP="00677437">
      <w:pPr>
        <w:tabs>
          <w:tab w:val="clear" w:pos="567"/>
          <w:tab w:val="clear" w:pos="1134"/>
          <w:tab w:val="clear" w:pos="1701"/>
          <w:tab w:val="clear" w:pos="2268"/>
          <w:tab w:val="clear" w:pos="2835"/>
        </w:tabs>
        <w:spacing w:before="60" w:after="60"/>
        <w:ind w:left="567" w:hanging="567"/>
        <w:jc w:val="both"/>
        <w:textAlignment w:val="auto"/>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szCs w:val="24"/>
        </w:rPr>
        <w:t xml:space="preserve">Launch of the </w:t>
      </w:r>
      <w:hyperlink r:id="rId27" w:history="1">
        <w:r w:rsidR="000C4750" w:rsidRPr="006461CE">
          <w:rPr>
            <w:color w:val="0563C1"/>
            <w:szCs w:val="24"/>
            <w:u w:val="single"/>
          </w:rPr>
          <w:t>UN Citiverse Challenge</w:t>
        </w:r>
      </w:hyperlink>
      <w:r w:rsidR="000C4750" w:rsidRPr="006461CE">
        <w:rPr>
          <w:szCs w:val="24"/>
        </w:rPr>
        <w:t xml:space="preserve"> in February 2025: a platform designed to foster youth involvement and innovation. It invites students and startups to reimagine the future through the citiverse and digital public infrastructure.</w:t>
      </w:r>
    </w:p>
    <w:p w14:paraId="49862BF1" w14:textId="6600B8A3" w:rsidR="000C4750" w:rsidRPr="006461CE" w:rsidRDefault="00677437" w:rsidP="006461CE">
      <w:pPr>
        <w:pStyle w:val="enumlev1"/>
        <w:jc w:val="both"/>
        <w:rPr>
          <w:rFonts w:eastAsia="Calibri" w:cs="Calibri"/>
          <w:b/>
          <w:bCs/>
          <w:szCs w:val="24"/>
        </w:rPr>
      </w:pPr>
      <w:r w:rsidRPr="006461CE">
        <w:rPr>
          <w:rFonts w:ascii="Symbol" w:eastAsia="Calibri" w:hAnsi="Symbol" w:cs="Calibri"/>
          <w:bCs/>
          <w:szCs w:val="24"/>
        </w:rPr>
        <w:t></w:t>
      </w:r>
      <w:r w:rsidRPr="006461CE">
        <w:rPr>
          <w:rFonts w:ascii="Symbol" w:eastAsia="Calibri" w:hAnsi="Symbol" w:cs="Calibri"/>
          <w:bCs/>
          <w:szCs w:val="24"/>
        </w:rPr>
        <w:tab/>
      </w:r>
      <w:r w:rsidR="000C4750" w:rsidRPr="006461CE">
        <w:rPr>
          <w:rFonts w:eastAsia="Calibri" w:cs="Calibri"/>
          <w:szCs w:val="24"/>
        </w:rPr>
        <w:t xml:space="preserve">At the </w:t>
      </w:r>
      <w:hyperlink r:id="rId28" w:history="1">
        <w:r w:rsidR="000C4750" w:rsidRPr="006461CE">
          <w:rPr>
            <w:rFonts w:eastAsia="Calibri" w:cs="Calibri"/>
            <w:color w:val="0563C1"/>
            <w:szCs w:val="24"/>
            <w:u w:val="single"/>
          </w:rPr>
          <w:t>2</w:t>
        </w:r>
        <w:r w:rsidR="000C4750" w:rsidRPr="006461CE">
          <w:rPr>
            <w:rFonts w:eastAsia="Calibri" w:cs="Calibri"/>
            <w:color w:val="0563C1"/>
            <w:szCs w:val="24"/>
            <w:u w:val="single"/>
            <w:vertAlign w:val="superscript"/>
          </w:rPr>
          <w:t>nd</w:t>
        </w:r>
        <w:r w:rsidR="000C4750" w:rsidRPr="006461CE">
          <w:rPr>
            <w:rFonts w:eastAsia="Calibri" w:cs="Calibri"/>
            <w:color w:val="0563C1"/>
            <w:szCs w:val="24"/>
            <w:u w:val="single"/>
          </w:rPr>
          <w:t xml:space="preserve"> UN Virtual Worlds Day 2025 (Turin, Italy, 11-12 June 2025): Empowering Young Leaders for a Global Future</w:t>
        </w:r>
      </w:hyperlink>
      <w:r w:rsidR="0073530C" w:rsidRPr="0073530C">
        <w:rPr>
          <w:rFonts w:eastAsia="Calibri" w:cs="Calibri"/>
          <w:szCs w:val="24"/>
        </w:rPr>
        <w:t>,</w:t>
      </w:r>
      <w:r w:rsidR="0073530C">
        <w:rPr>
          <w:rFonts w:eastAsia="Calibri" w:cs="Calibri"/>
          <w:b/>
          <w:bCs/>
          <w:szCs w:val="24"/>
        </w:rPr>
        <w:t xml:space="preserve"> </w:t>
      </w:r>
      <w:r w:rsidR="000C4750" w:rsidRPr="006461CE">
        <w:rPr>
          <w:rFonts w:eastAsia="Calibri" w:cs="Calibri"/>
          <w:szCs w:val="24"/>
        </w:rPr>
        <w:t>youth innovators showcased virtual worlds, AI, and digital twin solutions that can help to implement the Pact for the Future and the Global Digital Compact.</w:t>
      </w:r>
    </w:p>
    <w:p w14:paraId="3B508947" w14:textId="798BA4CD" w:rsidR="000C4750" w:rsidRPr="006461CE" w:rsidRDefault="00677437" w:rsidP="006461CE">
      <w:pPr>
        <w:pStyle w:val="enumlev1"/>
        <w:jc w:val="both"/>
        <w:rPr>
          <w:rFonts w:eastAsia="Calibri" w:cs="Calibri"/>
          <w:szCs w:val="24"/>
        </w:rPr>
      </w:pPr>
      <w:r w:rsidRPr="006461CE">
        <w:rPr>
          <w:rFonts w:ascii="Symbol" w:eastAsia="Calibri" w:hAnsi="Symbol" w:cs="Calibri"/>
          <w:szCs w:val="24"/>
        </w:rPr>
        <w:t></w:t>
      </w:r>
      <w:r w:rsidRPr="006461CE">
        <w:rPr>
          <w:rFonts w:ascii="Symbol" w:eastAsia="Calibri" w:hAnsi="Symbol" w:cs="Calibri"/>
          <w:szCs w:val="24"/>
        </w:rPr>
        <w:tab/>
      </w:r>
      <w:r w:rsidR="000C4750" w:rsidRPr="006461CE">
        <w:rPr>
          <w:rFonts w:eastAsia="Calibri" w:cs="Calibri"/>
          <w:szCs w:val="24"/>
        </w:rPr>
        <w:t xml:space="preserve">The </w:t>
      </w:r>
      <w:hyperlink r:id="rId29" w:history="1">
        <w:r w:rsidR="000C4750" w:rsidRPr="006461CE">
          <w:rPr>
            <w:rFonts w:eastAsia="Calibri" w:cs="Calibri"/>
            <w:color w:val="0563C1"/>
            <w:szCs w:val="24"/>
            <w:u w:val="single"/>
          </w:rPr>
          <w:t>United for Smart Sustainable Cities (U4SSC) Thematic Groups</w:t>
        </w:r>
      </w:hyperlink>
      <w:r w:rsidR="000C4750" w:rsidRPr="006461CE">
        <w:rPr>
          <w:rFonts w:eastAsia="Calibri" w:cs="Calibri"/>
          <w:szCs w:val="24"/>
        </w:rPr>
        <w:t xml:space="preserve"> are open to all </w:t>
      </w:r>
      <w:r w:rsidR="000C4750" w:rsidRPr="006461CE">
        <w:t>stakeholders</w:t>
      </w:r>
      <w:r w:rsidR="000C4750" w:rsidRPr="006461CE">
        <w:rPr>
          <w:rFonts w:eastAsia="Calibri" w:cs="Calibri"/>
          <w:szCs w:val="24"/>
        </w:rPr>
        <w:t xml:space="preserve"> committed to shaping smarter, more sustainable urban futures. U4SSC welcomes the participation of students from diverse fields, including those with an interest in AI in cities, city platforms, and smart city development. </w:t>
      </w:r>
    </w:p>
    <w:p w14:paraId="1BAF42A2" w14:textId="1F3E830F" w:rsidR="000C4750" w:rsidRPr="006461CE" w:rsidRDefault="000C4750" w:rsidP="006461CE">
      <w:pPr>
        <w:jc w:val="both"/>
        <w:rPr>
          <w:rFonts w:eastAsia="Calibri" w:cs="Calibri"/>
        </w:rPr>
      </w:pPr>
      <w:r w:rsidRPr="006461CE">
        <w:rPr>
          <w:rFonts w:eastAsia="Calibri" w:cs="Calibri"/>
        </w:rPr>
        <w:lastRenderedPageBreak/>
        <w:t xml:space="preserve">The </w:t>
      </w:r>
      <w:r w:rsidRPr="006461CE">
        <w:t xml:space="preserve">Radiocommunication Bureau (BR), committed to supporting youth, has strengthened its agreements with academic institutions and expanded youth involvement within the department by increasing internship opportunities for both students and young professionals. </w:t>
      </w:r>
    </w:p>
    <w:p w14:paraId="2D9C1286" w14:textId="102B2B1C" w:rsidR="000C4750" w:rsidRPr="006461CE" w:rsidRDefault="000C4750" w:rsidP="006461CE">
      <w:pPr>
        <w:jc w:val="both"/>
        <w:rPr>
          <w:szCs w:val="24"/>
        </w:rPr>
      </w:pPr>
      <w:r w:rsidRPr="006461CE">
        <w:rPr>
          <w:szCs w:val="24"/>
        </w:rPr>
        <w:t xml:space="preserve">The ITU </w:t>
      </w:r>
      <w:r w:rsidR="00BC2270" w:rsidRPr="006461CE">
        <w:rPr>
          <w:szCs w:val="24"/>
        </w:rPr>
        <w:t>s</w:t>
      </w:r>
      <w:r w:rsidRPr="006461CE">
        <w:rPr>
          <w:szCs w:val="24"/>
        </w:rPr>
        <w:t xml:space="preserve">ecretariat is working continuously to strengthen relations with academic institutions in terms of research support and student engagement, especially ITU Academia. </w:t>
      </w:r>
    </w:p>
    <w:p w14:paraId="577F7811" w14:textId="30895795" w:rsidR="000C4750" w:rsidRPr="006461CE" w:rsidRDefault="000C4750" w:rsidP="006461CE">
      <w:pPr>
        <w:jc w:val="both"/>
        <w:rPr>
          <w:szCs w:val="24"/>
        </w:rPr>
      </w:pPr>
      <w:r w:rsidRPr="006461CE">
        <w:rPr>
          <w:szCs w:val="24"/>
        </w:rPr>
        <w:t>ITU actively participated in the ECOSOC Youth Forum in New York</w:t>
      </w:r>
      <w:r w:rsidR="0012745D">
        <w:rPr>
          <w:szCs w:val="24"/>
        </w:rPr>
        <w:t xml:space="preserve"> from 15 to 17 April,</w:t>
      </w:r>
      <w:r w:rsidRPr="006461CE">
        <w:rPr>
          <w:szCs w:val="24"/>
        </w:rPr>
        <w:t xml:space="preserve"> through the co-organization of two side events on AI and meaningful youth engagement.</w:t>
      </w:r>
    </w:p>
    <w:p w14:paraId="502E18C3" w14:textId="55B825E9" w:rsidR="000C4750" w:rsidRDefault="000C4750" w:rsidP="43BDDAA7">
      <w:pPr>
        <w:jc w:val="both"/>
        <w:rPr>
          <w:rFonts w:eastAsia="Calibri" w:cs="Calibri"/>
        </w:rPr>
      </w:pPr>
      <w:r w:rsidRPr="43BDDAA7">
        <w:rPr>
          <w:rFonts w:eastAsia="Calibri" w:cs="Calibri"/>
        </w:rPr>
        <w:t xml:space="preserve">ITU established a Gender &amp; Youth Office (GYO) reporting to the Secretary-General. It is now </w:t>
      </w:r>
      <w:r>
        <w:t>operational</w:t>
      </w:r>
      <w:r w:rsidRPr="43BDDAA7">
        <w:rPr>
          <w:rFonts w:eastAsia="Calibri" w:cs="Calibri"/>
        </w:rPr>
        <w:t xml:space="preserve"> and led by a Senior Gender and Youth Advisor, appointed in February. </w:t>
      </w:r>
      <w:r w:rsidR="0073530C">
        <w:rPr>
          <w:rFonts w:eastAsia="Calibri" w:cs="Calibri"/>
        </w:rPr>
        <w:t>An</w:t>
      </w:r>
      <w:r w:rsidRPr="43BDDAA7">
        <w:rPr>
          <w:rFonts w:eastAsia="Calibri" w:cs="Calibri"/>
        </w:rPr>
        <w:t xml:space="preserve"> Associate Youth Programme Officer was hired in May 2025.</w:t>
      </w:r>
    </w:p>
    <w:p w14:paraId="129E0F30" w14:textId="77777777" w:rsidR="00EA7F10" w:rsidRPr="006461CE" w:rsidRDefault="00EA7F10" w:rsidP="006461CE">
      <w:pPr>
        <w:jc w:val="both"/>
        <w:rPr>
          <w:rFonts w:eastAsia="Calibri" w:cs="Calibri"/>
          <w:szCs w:val="24"/>
        </w:rPr>
      </w:pPr>
    </w:p>
    <w:p w14:paraId="35C6D0A5" w14:textId="77777777" w:rsidR="007A3FCD" w:rsidRPr="006461CE" w:rsidRDefault="007A3FCD" w:rsidP="007A3FCD">
      <w:pPr>
        <w:jc w:val="center"/>
      </w:pPr>
      <w:r w:rsidRPr="006461CE">
        <w:t>______________</w:t>
      </w:r>
    </w:p>
    <w:sectPr w:rsidR="007A3FCD" w:rsidRPr="006461CE" w:rsidSect="00245D06">
      <w:headerReference w:type="default" r:id="rId30"/>
      <w:footerReference w:type="default" r:id="rId31"/>
      <w:headerReference w:type="first" r:id="rId32"/>
      <w:footerReference w:type="first" r:id="rId33"/>
      <w:pgSz w:w="11907" w:h="16834"/>
      <w:pgMar w:top="1247"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989E" w14:textId="77777777" w:rsidR="00BE0F6E" w:rsidRDefault="00BE0F6E">
      <w:r>
        <w:separator/>
      </w:r>
    </w:p>
  </w:endnote>
  <w:endnote w:type="continuationSeparator" w:id="0">
    <w:p w14:paraId="026105F4" w14:textId="77777777" w:rsidR="00BE0F6E" w:rsidRDefault="00BE0F6E">
      <w:r>
        <w:continuationSeparator/>
      </w:r>
    </w:p>
  </w:endnote>
  <w:endnote w:type="continuationNotice" w:id="1">
    <w:p w14:paraId="07AD5D67" w14:textId="77777777" w:rsidR="00BE0F6E" w:rsidRDefault="00BE0F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40C1424C"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0C4750">
            <w:rPr>
              <w:bCs/>
            </w:rPr>
            <w:t>31</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55590997"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0C4750">
            <w:rPr>
              <w:bCs/>
            </w:rPr>
            <w:t>3</w:t>
          </w:r>
          <w:r w:rsidR="00B30621">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45D06" w:rsidRPr="00784011" w14:paraId="33C2F258" w14:textId="77777777">
      <w:trPr>
        <w:jc w:val="center"/>
      </w:trPr>
      <w:tc>
        <w:tcPr>
          <w:tcW w:w="1803" w:type="dxa"/>
          <w:vAlign w:val="center"/>
        </w:tcPr>
        <w:p w14:paraId="27B032AA" w14:textId="77777777" w:rsidR="00245D06" w:rsidRDefault="00245D06" w:rsidP="00EE49E8">
          <w:pPr>
            <w:pStyle w:val="Header"/>
            <w:jc w:val="left"/>
            <w:rPr>
              <w:noProof/>
            </w:rPr>
          </w:pPr>
          <w:r>
            <w:rPr>
              <w:noProof/>
            </w:rPr>
            <w:t>gDoc #</w:t>
          </w:r>
        </w:p>
      </w:tc>
      <w:tc>
        <w:tcPr>
          <w:tcW w:w="8261" w:type="dxa"/>
        </w:tcPr>
        <w:p w14:paraId="2D9477C1" w14:textId="77777777" w:rsidR="00245D06" w:rsidRPr="00E06FD5" w:rsidRDefault="00245D06"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31</w:t>
          </w:r>
          <w:r w:rsidRPr="00623AE3">
            <w:rPr>
              <w:bCs/>
            </w:rPr>
            <w:t>-E</w:t>
          </w:r>
          <w:r>
            <w:rPr>
              <w:bCs/>
            </w:rPr>
            <w:tab/>
          </w:r>
          <w:r>
            <w:fldChar w:fldCharType="begin"/>
          </w:r>
          <w:r>
            <w:instrText>PAGE</w:instrText>
          </w:r>
          <w:r>
            <w:fldChar w:fldCharType="separate"/>
          </w:r>
          <w:r>
            <w:t>1</w:t>
          </w:r>
          <w:r>
            <w:rPr>
              <w:noProof/>
            </w:rPr>
            <w:fldChar w:fldCharType="end"/>
          </w:r>
        </w:p>
      </w:tc>
    </w:tr>
  </w:tbl>
  <w:p w14:paraId="58D7DB88" w14:textId="77777777" w:rsidR="00245D06" w:rsidRPr="00DB1936" w:rsidRDefault="00245D06"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45D06" w:rsidRPr="00784011" w14:paraId="5D30EA8A" w14:textId="77777777">
      <w:trPr>
        <w:jc w:val="center"/>
      </w:trPr>
      <w:tc>
        <w:tcPr>
          <w:tcW w:w="1803" w:type="dxa"/>
          <w:vAlign w:val="center"/>
        </w:tcPr>
        <w:p w14:paraId="46E06BD8" w14:textId="77777777" w:rsidR="00245D06" w:rsidRDefault="00245D06" w:rsidP="00245D06">
          <w:pPr>
            <w:pStyle w:val="Header"/>
            <w:jc w:val="left"/>
            <w:rPr>
              <w:noProof/>
            </w:rPr>
          </w:pPr>
          <w:r>
            <w:rPr>
              <w:noProof/>
            </w:rPr>
            <w:t>gDoc #</w:t>
          </w:r>
        </w:p>
      </w:tc>
      <w:tc>
        <w:tcPr>
          <w:tcW w:w="8261" w:type="dxa"/>
        </w:tcPr>
        <w:p w14:paraId="2A9625B2" w14:textId="3323A546" w:rsidR="00245D06" w:rsidRPr="00E06FD5" w:rsidRDefault="00245D06" w:rsidP="00245D06">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3</w:t>
          </w:r>
          <w:r w:rsidR="00B30621">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30C81CAF" w14:textId="77777777" w:rsidR="00245D06" w:rsidRPr="00623AE3" w:rsidRDefault="00245D06"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7C41" w14:textId="77777777" w:rsidR="00BE0F6E" w:rsidRDefault="00BE0F6E">
      <w:r>
        <w:t>____________________</w:t>
      </w:r>
    </w:p>
  </w:footnote>
  <w:footnote w:type="continuationSeparator" w:id="0">
    <w:p w14:paraId="729FB6A3" w14:textId="77777777" w:rsidR="00BE0F6E" w:rsidRDefault="00BE0F6E">
      <w:r>
        <w:continuationSeparator/>
      </w:r>
    </w:p>
  </w:footnote>
  <w:footnote w:type="continuationNotice" w:id="1">
    <w:p w14:paraId="375708D3" w14:textId="77777777" w:rsidR="00BE0F6E" w:rsidRDefault="00BE0F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146925F" w14:paraId="26541EC4" w14:textId="77777777" w:rsidTr="3146925F">
      <w:trPr>
        <w:trHeight w:val="300"/>
      </w:trPr>
      <w:tc>
        <w:tcPr>
          <w:tcW w:w="3020" w:type="dxa"/>
        </w:tcPr>
        <w:p w14:paraId="45714FB8" w14:textId="1AE5A1F4" w:rsidR="3146925F" w:rsidRDefault="3146925F" w:rsidP="3146925F">
          <w:pPr>
            <w:pStyle w:val="Header"/>
            <w:ind w:left="-115"/>
            <w:jc w:val="left"/>
          </w:pPr>
        </w:p>
      </w:tc>
      <w:tc>
        <w:tcPr>
          <w:tcW w:w="3020" w:type="dxa"/>
        </w:tcPr>
        <w:p w14:paraId="512B3549" w14:textId="1748C652" w:rsidR="3146925F" w:rsidRDefault="3146925F" w:rsidP="3146925F">
          <w:pPr>
            <w:pStyle w:val="Header"/>
          </w:pPr>
        </w:p>
      </w:tc>
      <w:tc>
        <w:tcPr>
          <w:tcW w:w="3020" w:type="dxa"/>
        </w:tcPr>
        <w:p w14:paraId="3BC02BA2" w14:textId="03978289" w:rsidR="3146925F" w:rsidRDefault="3146925F" w:rsidP="3146925F">
          <w:pPr>
            <w:pStyle w:val="Header"/>
            <w:ind w:right="-115"/>
            <w:jc w:val="right"/>
          </w:pPr>
        </w:p>
      </w:tc>
    </w:tr>
  </w:tbl>
  <w:p w14:paraId="21159D4A" w14:textId="28B96120" w:rsidR="3146925F" w:rsidRDefault="3146925F" w:rsidP="31469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A0FAD"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ED90" w14:textId="77777777" w:rsidR="00245D06" w:rsidRDefault="00245D06" w:rsidP="31469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C5EF" w14:textId="6C0DC7C5" w:rsidR="00245D06" w:rsidRDefault="0024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E0ECB"/>
    <w:multiLevelType w:val="hybridMultilevel"/>
    <w:tmpl w:val="4C1AE0DC"/>
    <w:lvl w:ilvl="0" w:tplc="EBC692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B1C47"/>
    <w:multiLevelType w:val="hybridMultilevel"/>
    <w:tmpl w:val="1C32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329216319">
    <w:abstractNumId w:val="2"/>
  </w:num>
  <w:num w:numId="3" w16cid:durableId="110561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3F2B"/>
    <w:rsid w:val="000210D4"/>
    <w:rsid w:val="0003418B"/>
    <w:rsid w:val="00036E85"/>
    <w:rsid w:val="0006007D"/>
    <w:rsid w:val="00063016"/>
    <w:rsid w:val="000654C1"/>
    <w:rsid w:val="00066795"/>
    <w:rsid w:val="000745AB"/>
    <w:rsid w:val="00076AF6"/>
    <w:rsid w:val="00085CF2"/>
    <w:rsid w:val="000A0566"/>
    <w:rsid w:val="000A3EC9"/>
    <w:rsid w:val="000B1705"/>
    <w:rsid w:val="000C1241"/>
    <w:rsid w:val="000C4750"/>
    <w:rsid w:val="000D75B2"/>
    <w:rsid w:val="000F5DDB"/>
    <w:rsid w:val="000F7289"/>
    <w:rsid w:val="001121F5"/>
    <w:rsid w:val="0012745D"/>
    <w:rsid w:val="001400DC"/>
    <w:rsid w:val="00140CE1"/>
    <w:rsid w:val="00161FEE"/>
    <w:rsid w:val="001629B1"/>
    <w:rsid w:val="0017539C"/>
    <w:rsid w:val="00175AC2"/>
    <w:rsid w:val="0017609F"/>
    <w:rsid w:val="001A3154"/>
    <w:rsid w:val="001A7D1D"/>
    <w:rsid w:val="001B51DD"/>
    <w:rsid w:val="001C628E"/>
    <w:rsid w:val="001E0F7B"/>
    <w:rsid w:val="001F5569"/>
    <w:rsid w:val="002119FD"/>
    <w:rsid w:val="002130E0"/>
    <w:rsid w:val="00221F46"/>
    <w:rsid w:val="0022754A"/>
    <w:rsid w:val="00237BEF"/>
    <w:rsid w:val="00245D06"/>
    <w:rsid w:val="002626A7"/>
    <w:rsid w:val="00264425"/>
    <w:rsid w:val="00265875"/>
    <w:rsid w:val="0027303B"/>
    <w:rsid w:val="0028109B"/>
    <w:rsid w:val="00292251"/>
    <w:rsid w:val="002A2188"/>
    <w:rsid w:val="002B1602"/>
    <w:rsid w:val="002B1F58"/>
    <w:rsid w:val="002C1C7A"/>
    <w:rsid w:val="002C2E55"/>
    <w:rsid w:val="002C54E2"/>
    <w:rsid w:val="002C6672"/>
    <w:rsid w:val="002D7B81"/>
    <w:rsid w:val="002D7E19"/>
    <w:rsid w:val="0030160F"/>
    <w:rsid w:val="0031632E"/>
    <w:rsid w:val="00320223"/>
    <w:rsid w:val="00322D0D"/>
    <w:rsid w:val="00335369"/>
    <w:rsid w:val="00361465"/>
    <w:rsid w:val="00380FF1"/>
    <w:rsid w:val="003877F5"/>
    <w:rsid w:val="003936D3"/>
    <w:rsid w:val="003942D4"/>
    <w:rsid w:val="003958A8"/>
    <w:rsid w:val="003B000A"/>
    <w:rsid w:val="003B108A"/>
    <w:rsid w:val="003B29C2"/>
    <w:rsid w:val="003C2533"/>
    <w:rsid w:val="003D5A7F"/>
    <w:rsid w:val="00402AA6"/>
    <w:rsid w:val="00403FF3"/>
    <w:rsid w:val="0040435A"/>
    <w:rsid w:val="00416A24"/>
    <w:rsid w:val="00424DBD"/>
    <w:rsid w:val="00427BFF"/>
    <w:rsid w:val="00431D9E"/>
    <w:rsid w:val="00433CE8"/>
    <w:rsid w:val="00434A5C"/>
    <w:rsid w:val="00437778"/>
    <w:rsid w:val="00453079"/>
    <w:rsid w:val="004544D9"/>
    <w:rsid w:val="00472BAD"/>
    <w:rsid w:val="004811F8"/>
    <w:rsid w:val="00484009"/>
    <w:rsid w:val="0048446B"/>
    <w:rsid w:val="00485EE0"/>
    <w:rsid w:val="00490E72"/>
    <w:rsid w:val="00491157"/>
    <w:rsid w:val="00491BA9"/>
    <w:rsid w:val="004921C8"/>
    <w:rsid w:val="00495B0B"/>
    <w:rsid w:val="004961AD"/>
    <w:rsid w:val="004A1B8B"/>
    <w:rsid w:val="004A62B4"/>
    <w:rsid w:val="004B25A1"/>
    <w:rsid w:val="004D1851"/>
    <w:rsid w:val="004D2E04"/>
    <w:rsid w:val="004D599D"/>
    <w:rsid w:val="004E2EA5"/>
    <w:rsid w:val="004E32A6"/>
    <w:rsid w:val="004E3AEB"/>
    <w:rsid w:val="0050223C"/>
    <w:rsid w:val="00503CCB"/>
    <w:rsid w:val="00516F97"/>
    <w:rsid w:val="0052323A"/>
    <w:rsid w:val="005243FF"/>
    <w:rsid w:val="00527DC7"/>
    <w:rsid w:val="00564FBC"/>
    <w:rsid w:val="00573BE4"/>
    <w:rsid w:val="005800BC"/>
    <w:rsid w:val="00582442"/>
    <w:rsid w:val="00591811"/>
    <w:rsid w:val="005A2377"/>
    <w:rsid w:val="005C3648"/>
    <w:rsid w:val="005C4334"/>
    <w:rsid w:val="005E4CF2"/>
    <w:rsid w:val="005F3269"/>
    <w:rsid w:val="0061593E"/>
    <w:rsid w:val="00621BB1"/>
    <w:rsid w:val="00623AE3"/>
    <w:rsid w:val="00623E37"/>
    <w:rsid w:val="00630C4D"/>
    <w:rsid w:val="00644EC6"/>
    <w:rsid w:val="006461CE"/>
    <w:rsid w:val="0064737F"/>
    <w:rsid w:val="006535F1"/>
    <w:rsid w:val="0065557D"/>
    <w:rsid w:val="00660D50"/>
    <w:rsid w:val="00662984"/>
    <w:rsid w:val="006716BB"/>
    <w:rsid w:val="006750B7"/>
    <w:rsid w:val="00677437"/>
    <w:rsid w:val="0068630D"/>
    <w:rsid w:val="006A0155"/>
    <w:rsid w:val="006B1859"/>
    <w:rsid w:val="006B6680"/>
    <w:rsid w:val="006B6DCC"/>
    <w:rsid w:val="006B77F1"/>
    <w:rsid w:val="006C5ECF"/>
    <w:rsid w:val="006D3140"/>
    <w:rsid w:val="006F045A"/>
    <w:rsid w:val="006F7A76"/>
    <w:rsid w:val="00702DEF"/>
    <w:rsid w:val="00706861"/>
    <w:rsid w:val="00722551"/>
    <w:rsid w:val="00734DEC"/>
    <w:rsid w:val="0073530C"/>
    <w:rsid w:val="0075051B"/>
    <w:rsid w:val="007517C7"/>
    <w:rsid w:val="00765CC6"/>
    <w:rsid w:val="0077110E"/>
    <w:rsid w:val="0077365A"/>
    <w:rsid w:val="00793188"/>
    <w:rsid w:val="00794D34"/>
    <w:rsid w:val="007A3FCD"/>
    <w:rsid w:val="007B0BF6"/>
    <w:rsid w:val="007B19CF"/>
    <w:rsid w:val="007D01AF"/>
    <w:rsid w:val="00813E5E"/>
    <w:rsid w:val="008219CB"/>
    <w:rsid w:val="0083581B"/>
    <w:rsid w:val="00843AFC"/>
    <w:rsid w:val="00863874"/>
    <w:rsid w:val="00864AFF"/>
    <w:rsid w:val="00865925"/>
    <w:rsid w:val="00872DFE"/>
    <w:rsid w:val="00895010"/>
    <w:rsid w:val="008B4A6A"/>
    <w:rsid w:val="008C7E27"/>
    <w:rsid w:val="008F010F"/>
    <w:rsid w:val="008F6501"/>
    <w:rsid w:val="008F7448"/>
    <w:rsid w:val="0090147A"/>
    <w:rsid w:val="009173EF"/>
    <w:rsid w:val="00932906"/>
    <w:rsid w:val="009474EA"/>
    <w:rsid w:val="0095471A"/>
    <w:rsid w:val="00961B0B"/>
    <w:rsid w:val="00962D33"/>
    <w:rsid w:val="009B38C3"/>
    <w:rsid w:val="009B695B"/>
    <w:rsid w:val="009D12C5"/>
    <w:rsid w:val="009D234C"/>
    <w:rsid w:val="009E17BD"/>
    <w:rsid w:val="009E485A"/>
    <w:rsid w:val="009E4D6D"/>
    <w:rsid w:val="009F29AC"/>
    <w:rsid w:val="00A04CEC"/>
    <w:rsid w:val="00A23C23"/>
    <w:rsid w:val="00A27F92"/>
    <w:rsid w:val="00A32257"/>
    <w:rsid w:val="00A33051"/>
    <w:rsid w:val="00A36613"/>
    <w:rsid w:val="00A36D20"/>
    <w:rsid w:val="00A514A4"/>
    <w:rsid w:val="00A51601"/>
    <w:rsid w:val="00A55622"/>
    <w:rsid w:val="00A6664E"/>
    <w:rsid w:val="00A83502"/>
    <w:rsid w:val="00A94BAB"/>
    <w:rsid w:val="00AA16B6"/>
    <w:rsid w:val="00AA225A"/>
    <w:rsid w:val="00AD15B3"/>
    <w:rsid w:val="00AD2639"/>
    <w:rsid w:val="00AD3606"/>
    <w:rsid w:val="00AD4A3D"/>
    <w:rsid w:val="00AD677D"/>
    <w:rsid w:val="00AF6E49"/>
    <w:rsid w:val="00B04A67"/>
    <w:rsid w:val="00B0583C"/>
    <w:rsid w:val="00B30621"/>
    <w:rsid w:val="00B40A81"/>
    <w:rsid w:val="00B44910"/>
    <w:rsid w:val="00B61DC3"/>
    <w:rsid w:val="00B658FD"/>
    <w:rsid w:val="00B72267"/>
    <w:rsid w:val="00B7550D"/>
    <w:rsid w:val="00B76EB6"/>
    <w:rsid w:val="00B7737B"/>
    <w:rsid w:val="00B824C8"/>
    <w:rsid w:val="00B84B9D"/>
    <w:rsid w:val="00B86F5D"/>
    <w:rsid w:val="00B9131F"/>
    <w:rsid w:val="00BB0646"/>
    <w:rsid w:val="00BC2270"/>
    <w:rsid w:val="00BC251A"/>
    <w:rsid w:val="00BD032B"/>
    <w:rsid w:val="00BE01C6"/>
    <w:rsid w:val="00BE0F6E"/>
    <w:rsid w:val="00BE2640"/>
    <w:rsid w:val="00BF1FDE"/>
    <w:rsid w:val="00BF3BC8"/>
    <w:rsid w:val="00BF7201"/>
    <w:rsid w:val="00C01189"/>
    <w:rsid w:val="00C0458D"/>
    <w:rsid w:val="00C13117"/>
    <w:rsid w:val="00C374DE"/>
    <w:rsid w:val="00C418D9"/>
    <w:rsid w:val="00C42565"/>
    <w:rsid w:val="00C43561"/>
    <w:rsid w:val="00C47AD4"/>
    <w:rsid w:val="00C52D81"/>
    <w:rsid w:val="00C55198"/>
    <w:rsid w:val="00C6520B"/>
    <w:rsid w:val="00C65A67"/>
    <w:rsid w:val="00C7244B"/>
    <w:rsid w:val="00CA6393"/>
    <w:rsid w:val="00CA7995"/>
    <w:rsid w:val="00CB18FF"/>
    <w:rsid w:val="00CB19F0"/>
    <w:rsid w:val="00CD0C08"/>
    <w:rsid w:val="00CE03FB"/>
    <w:rsid w:val="00CE433C"/>
    <w:rsid w:val="00CF0161"/>
    <w:rsid w:val="00CF33F3"/>
    <w:rsid w:val="00CF4A2B"/>
    <w:rsid w:val="00CF572F"/>
    <w:rsid w:val="00D024CA"/>
    <w:rsid w:val="00D06183"/>
    <w:rsid w:val="00D1477C"/>
    <w:rsid w:val="00D22C42"/>
    <w:rsid w:val="00D35606"/>
    <w:rsid w:val="00D65041"/>
    <w:rsid w:val="00DA2F78"/>
    <w:rsid w:val="00DA58C0"/>
    <w:rsid w:val="00DB1936"/>
    <w:rsid w:val="00DB384B"/>
    <w:rsid w:val="00DB422F"/>
    <w:rsid w:val="00DD11ED"/>
    <w:rsid w:val="00DD4E31"/>
    <w:rsid w:val="00DE2EE7"/>
    <w:rsid w:val="00DF0189"/>
    <w:rsid w:val="00DF26C9"/>
    <w:rsid w:val="00E06FD5"/>
    <w:rsid w:val="00E074C1"/>
    <w:rsid w:val="00E10E80"/>
    <w:rsid w:val="00E124F0"/>
    <w:rsid w:val="00E16860"/>
    <w:rsid w:val="00E227F3"/>
    <w:rsid w:val="00E24348"/>
    <w:rsid w:val="00E308AA"/>
    <w:rsid w:val="00E47F4C"/>
    <w:rsid w:val="00E545C6"/>
    <w:rsid w:val="00E60F04"/>
    <w:rsid w:val="00E65B24"/>
    <w:rsid w:val="00E74BC2"/>
    <w:rsid w:val="00E854E4"/>
    <w:rsid w:val="00E86DBF"/>
    <w:rsid w:val="00E969AF"/>
    <w:rsid w:val="00EA7F10"/>
    <w:rsid w:val="00EB0D6F"/>
    <w:rsid w:val="00EB2232"/>
    <w:rsid w:val="00EC5337"/>
    <w:rsid w:val="00ED4AE6"/>
    <w:rsid w:val="00EE49E8"/>
    <w:rsid w:val="00EF4472"/>
    <w:rsid w:val="00F16BAB"/>
    <w:rsid w:val="00F2150A"/>
    <w:rsid w:val="00F231D8"/>
    <w:rsid w:val="00F41209"/>
    <w:rsid w:val="00F44C00"/>
    <w:rsid w:val="00F45D2C"/>
    <w:rsid w:val="00F46C5F"/>
    <w:rsid w:val="00F62341"/>
    <w:rsid w:val="00F632C0"/>
    <w:rsid w:val="00F641E1"/>
    <w:rsid w:val="00F80DA1"/>
    <w:rsid w:val="00F8661C"/>
    <w:rsid w:val="00F94A63"/>
    <w:rsid w:val="00FA1C28"/>
    <w:rsid w:val="00FB1279"/>
    <w:rsid w:val="00FB6B76"/>
    <w:rsid w:val="00FB7596"/>
    <w:rsid w:val="00FC5DBD"/>
    <w:rsid w:val="00FD4853"/>
    <w:rsid w:val="00FE4077"/>
    <w:rsid w:val="00FE500D"/>
    <w:rsid w:val="00FE77D2"/>
    <w:rsid w:val="00FF26C9"/>
    <w:rsid w:val="00FF39B1"/>
    <w:rsid w:val="055C0262"/>
    <w:rsid w:val="0686A5A2"/>
    <w:rsid w:val="0D9EB20E"/>
    <w:rsid w:val="0EC3EA6E"/>
    <w:rsid w:val="0F777D8F"/>
    <w:rsid w:val="0FABFD99"/>
    <w:rsid w:val="11E8D168"/>
    <w:rsid w:val="17D16D5C"/>
    <w:rsid w:val="189D4A95"/>
    <w:rsid w:val="1F6C6EC9"/>
    <w:rsid w:val="2115D75B"/>
    <w:rsid w:val="21931131"/>
    <w:rsid w:val="29E83D3D"/>
    <w:rsid w:val="310FA5B1"/>
    <w:rsid w:val="3146925F"/>
    <w:rsid w:val="406DE304"/>
    <w:rsid w:val="42612094"/>
    <w:rsid w:val="43BDDAA7"/>
    <w:rsid w:val="4611F62C"/>
    <w:rsid w:val="4D371617"/>
    <w:rsid w:val="6317FE5C"/>
    <w:rsid w:val="670822E1"/>
    <w:rsid w:val="689478C7"/>
    <w:rsid w:val="74E1B933"/>
    <w:rsid w:val="78D510FC"/>
    <w:rsid w:val="7A508C0D"/>
    <w:rsid w:val="7E9B54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46743CCC-10DF-4A39-9C17-E5713B73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EF4472"/>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AD2639"/>
    <w:rPr>
      <w:b/>
      <w:bCs/>
    </w:rPr>
  </w:style>
  <w:style w:type="character" w:customStyle="1" w:styleId="CommentSubjectChar">
    <w:name w:val="Comment Subject Char"/>
    <w:basedOn w:val="CommentTextChar"/>
    <w:link w:val="CommentSubject"/>
    <w:semiHidden/>
    <w:rsid w:val="00AD2639"/>
    <w:rPr>
      <w:rFonts w:ascii="Calibri" w:hAnsi="Calibri"/>
      <w:b/>
      <w:bCs/>
      <w:lang w:val="en-GB" w:eastAsia="en-US"/>
    </w:rPr>
  </w:style>
  <w:style w:type="character" w:styleId="Mention">
    <w:name w:val="Mention"/>
    <w:basedOn w:val="DefaultParagraphFont"/>
    <w:uiPriority w:val="99"/>
    <w:unhideWhenUsed/>
    <w:rsid w:val="00621B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iforgood.itu.int/robotics-for-good-youth-challenge/" TargetMode="External"/><Relationship Id="rId26" Type="http://schemas.openxmlformats.org/officeDocument/2006/relationships/hyperlink" Target="https://aiforgood.itu.int/the-future-leaders-in-quantum-hackathon/" TargetMode="External"/><Relationship Id="rId3" Type="http://schemas.openxmlformats.org/officeDocument/2006/relationships/customXml" Target="../customXml/item3.xml"/><Relationship Id="rId21" Type="http://schemas.openxmlformats.org/officeDocument/2006/relationships/hyperlink" Target="https://www.itu.int/wtsa/202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4-CL-C-0031/en" TargetMode="External"/><Relationship Id="rId17" Type="http://schemas.openxmlformats.org/officeDocument/2006/relationships/hyperlink" Target="https://aiforgood.itu.int/about-us/aiml-in-5g-challenge/" TargetMode="External"/><Relationship Id="rId25" Type="http://schemas.openxmlformats.org/officeDocument/2006/relationships/hyperlink" Target="https://www.itu.int/dms_pub/itu-t/opb/res/T-RES-T.107-2024-PDF-E.pd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iforgood.itu.int/event/meet-young-innovators-revolutionizing-agrifood-systems-in-the-global-south/" TargetMode="External"/><Relationship Id="rId29" Type="http://schemas.openxmlformats.org/officeDocument/2006/relationships/hyperlink" Target="https://u4ssc.itu.int/thematic-grou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98-E.pdf" TargetMode="External"/><Relationship Id="rId24" Type="http://schemas.openxmlformats.org/officeDocument/2006/relationships/hyperlink" Target="https://www.itu.int/en/ITU-T/academia/kaleidoscope/2024/Pages/default.aspx"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challenge.aiforgood.itu.int/match/matchitem/95" TargetMode="External"/><Relationship Id="rId28" Type="http://schemas.openxmlformats.org/officeDocument/2006/relationships/hyperlink" Target="https://www.itu.int/un-virtual-worlds-day/2025/" TargetMode="External"/><Relationship Id="rId10" Type="http://schemas.openxmlformats.org/officeDocument/2006/relationships/endnotes" Target="endnotes.xml"/><Relationship Id="rId19" Type="http://schemas.openxmlformats.org/officeDocument/2006/relationships/hyperlink" Target="https://aiforgood.itu.int/young-ai-leaders-communit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iforgood.itu.int/event/robotics-for-good-youth-challenge-india/" TargetMode="External"/><Relationship Id="rId27" Type="http://schemas.openxmlformats.org/officeDocument/2006/relationships/hyperlink" Target="https://www.itu.int/metaverse/virtual-worlds/1st-un-citiverse-challenge/" TargetMode="Externa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30E-966B-452B-B54B-C49110BF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2F2AC-2255-4DBF-9278-6619577B4509}">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a1cf676c-2816-4389-ad5d-0f2e7c7e67c4"/>
    <ds:schemaRef ds:uri="http://schemas.microsoft.com/office/2006/metadata/properties"/>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PE_Council25.dotx</Template>
  <TotalTime>11</TotalTime>
  <Pages>6</Pages>
  <Words>2221</Words>
  <Characters>14370</Characters>
  <Application>Microsoft Office Word</Application>
  <DocSecurity>0</DocSecurity>
  <Lines>231</Lines>
  <Paragraphs>73</Paragraphs>
  <ScaleCrop>false</ScaleCrop>
  <HeadingPairs>
    <vt:vector size="2" baseType="variant">
      <vt:variant>
        <vt:lpstr>Title</vt:lpstr>
      </vt:variant>
      <vt:variant>
        <vt:i4>1</vt:i4>
      </vt:variant>
    </vt:vector>
  </HeadingPairs>
  <TitlesOfParts>
    <vt:vector size="1" baseType="lpstr">
      <vt:lpstr>Meaningful youth engagement and initiatives in ITU</vt:lpstr>
    </vt:vector>
  </TitlesOfParts>
  <Manager>General Secretariat</Manager>
  <Company>International Telecommunication Union (ITU)</Company>
  <LinksUpToDate>false</LinksUpToDate>
  <CharactersWithSpaces>16518</CharactersWithSpaces>
  <SharedDoc>false</SharedDoc>
  <HLinks>
    <vt:vector size="108" baseType="variant">
      <vt:variant>
        <vt:i4>2490468</vt:i4>
      </vt:variant>
      <vt:variant>
        <vt:i4>42</vt:i4>
      </vt:variant>
      <vt:variant>
        <vt:i4>0</vt:i4>
      </vt:variant>
      <vt:variant>
        <vt:i4>5</vt:i4>
      </vt:variant>
      <vt:variant>
        <vt:lpwstr>https://u4ssc.itu.int/thematic-groups/</vt:lpwstr>
      </vt:variant>
      <vt:variant>
        <vt:lpwstr/>
      </vt:variant>
      <vt:variant>
        <vt:i4>2555941</vt:i4>
      </vt:variant>
      <vt:variant>
        <vt:i4>39</vt:i4>
      </vt:variant>
      <vt:variant>
        <vt:i4>0</vt:i4>
      </vt:variant>
      <vt:variant>
        <vt:i4>5</vt:i4>
      </vt:variant>
      <vt:variant>
        <vt:lpwstr>https://www.itu.int/un-virtual-worlds-day/2025/</vt:lpwstr>
      </vt:variant>
      <vt:variant>
        <vt:lpwstr/>
      </vt:variant>
      <vt:variant>
        <vt:i4>4194377</vt:i4>
      </vt:variant>
      <vt:variant>
        <vt:i4>36</vt:i4>
      </vt:variant>
      <vt:variant>
        <vt:i4>0</vt:i4>
      </vt:variant>
      <vt:variant>
        <vt:i4>5</vt:i4>
      </vt:variant>
      <vt:variant>
        <vt:lpwstr>https://www.itu.int/metaverse/virtual-worlds/1st-un-citiverse-challenge/</vt:lpwstr>
      </vt:variant>
      <vt:variant>
        <vt:lpwstr/>
      </vt:variant>
      <vt:variant>
        <vt:i4>2621494</vt:i4>
      </vt:variant>
      <vt:variant>
        <vt:i4>33</vt:i4>
      </vt:variant>
      <vt:variant>
        <vt:i4>0</vt:i4>
      </vt:variant>
      <vt:variant>
        <vt:i4>5</vt:i4>
      </vt:variant>
      <vt:variant>
        <vt:lpwstr>https://aiforgood.itu.int/the-future-leaders-in-quantum-hackathon/</vt:lpwstr>
      </vt:variant>
      <vt:variant>
        <vt:lpwstr/>
      </vt:variant>
      <vt:variant>
        <vt:i4>7274505</vt:i4>
      </vt:variant>
      <vt:variant>
        <vt:i4>30</vt:i4>
      </vt:variant>
      <vt:variant>
        <vt:i4>0</vt:i4>
      </vt:variant>
      <vt:variant>
        <vt:i4>5</vt:i4>
      </vt:variant>
      <vt:variant>
        <vt:lpwstr>https://www.itu.int/dms_pub/itu-t/opb/res/T-RES-T.107-2024-PDF-E.pdf</vt:lpwstr>
      </vt:variant>
      <vt:variant>
        <vt:lpwstr/>
      </vt:variant>
      <vt:variant>
        <vt:i4>2490425</vt:i4>
      </vt:variant>
      <vt:variant>
        <vt:i4>27</vt:i4>
      </vt:variant>
      <vt:variant>
        <vt:i4>0</vt:i4>
      </vt:variant>
      <vt:variant>
        <vt:i4>5</vt:i4>
      </vt:variant>
      <vt:variant>
        <vt:lpwstr>https://www.itu.int/en/ITU-T/academia/kaleidoscope/2024/Pages/default.aspx</vt:lpwstr>
      </vt:variant>
      <vt:variant>
        <vt:lpwstr/>
      </vt:variant>
      <vt:variant>
        <vt:i4>3866746</vt:i4>
      </vt:variant>
      <vt:variant>
        <vt:i4>24</vt:i4>
      </vt:variant>
      <vt:variant>
        <vt:i4>0</vt:i4>
      </vt:variant>
      <vt:variant>
        <vt:i4>5</vt:i4>
      </vt:variant>
      <vt:variant>
        <vt:lpwstr>https://challenge.aiforgood.itu.int/match/matchitem/95</vt:lpwstr>
      </vt:variant>
      <vt:variant>
        <vt:lpwstr/>
      </vt:variant>
      <vt:variant>
        <vt:i4>6422585</vt:i4>
      </vt:variant>
      <vt:variant>
        <vt:i4>21</vt:i4>
      </vt:variant>
      <vt:variant>
        <vt:i4>0</vt:i4>
      </vt:variant>
      <vt:variant>
        <vt:i4>5</vt:i4>
      </vt:variant>
      <vt:variant>
        <vt:lpwstr>https://aiforgood.itu.int/event/robotics-for-good-youth-challenge-india/</vt:lpwstr>
      </vt:variant>
      <vt:variant>
        <vt:lpwstr>:~:text=The%20Robotics%20for%20Good%20Youth%20Challenge%20is%20an%20UN%2Dbased,Sustainable%20Development%20Goals%20(SDGs).</vt:lpwstr>
      </vt:variant>
      <vt:variant>
        <vt:i4>6881390</vt:i4>
      </vt:variant>
      <vt:variant>
        <vt:i4>18</vt:i4>
      </vt:variant>
      <vt:variant>
        <vt:i4>0</vt:i4>
      </vt:variant>
      <vt:variant>
        <vt:i4>5</vt:i4>
      </vt:variant>
      <vt:variant>
        <vt:lpwstr>https://www.itu.int/wtsa/2024/</vt:lpwstr>
      </vt:variant>
      <vt:variant>
        <vt:lpwstr/>
      </vt:variant>
      <vt:variant>
        <vt:i4>6422640</vt:i4>
      </vt:variant>
      <vt:variant>
        <vt:i4>15</vt:i4>
      </vt:variant>
      <vt:variant>
        <vt:i4>0</vt:i4>
      </vt:variant>
      <vt:variant>
        <vt:i4>5</vt:i4>
      </vt:variant>
      <vt:variant>
        <vt:lpwstr>https://aiforgood.itu.int/event/meet-young-innovators-revolutionizing-agrifood-systems-in-the-global-south/</vt:lpwstr>
      </vt:variant>
      <vt:variant>
        <vt:lpwstr/>
      </vt:variant>
      <vt:variant>
        <vt:i4>2031710</vt:i4>
      </vt:variant>
      <vt:variant>
        <vt:i4>12</vt:i4>
      </vt:variant>
      <vt:variant>
        <vt:i4>0</vt:i4>
      </vt:variant>
      <vt:variant>
        <vt:i4>5</vt:i4>
      </vt:variant>
      <vt:variant>
        <vt:lpwstr>https://aiforgood.itu.int/young-ai-leaders-community/</vt:lpwstr>
      </vt:variant>
      <vt:variant>
        <vt:lpwstr/>
      </vt:variant>
      <vt:variant>
        <vt:i4>1966173</vt:i4>
      </vt:variant>
      <vt:variant>
        <vt:i4>9</vt:i4>
      </vt:variant>
      <vt:variant>
        <vt:i4>0</vt:i4>
      </vt:variant>
      <vt:variant>
        <vt:i4>5</vt:i4>
      </vt:variant>
      <vt:variant>
        <vt:lpwstr>https://aiforgood.itu.int/robotics-for-good-youth-challenge/</vt:lpwstr>
      </vt:variant>
      <vt:variant>
        <vt:lpwstr/>
      </vt:variant>
      <vt:variant>
        <vt:i4>1900636</vt:i4>
      </vt:variant>
      <vt:variant>
        <vt:i4>6</vt:i4>
      </vt:variant>
      <vt:variant>
        <vt:i4>0</vt:i4>
      </vt:variant>
      <vt:variant>
        <vt:i4>5</vt:i4>
      </vt:variant>
      <vt:variant>
        <vt:lpwstr>https://aiforgood.itu.int/about-us/aiml-in-5g-challenge/</vt:lpwstr>
      </vt:variant>
      <vt:variant>
        <vt:lpwstr/>
      </vt:variant>
      <vt:variant>
        <vt:i4>7798847</vt:i4>
      </vt:variant>
      <vt:variant>
        <vt:i4>3</vt:i4>
      </vt:variant>
      <vt:variant>
        <vt:i4>0</vt:i4>
      </vt:variant>
      <vt:variant>
        <vt:i4>5</vt:i4>
      </vt:variant>
      <vt:variant>
        <vt:lpwstr>https://www.itu.int/md/S24-CL-C-0031/en</vt:lpwstr>
      </vt:variant>
      <vt:variant>
        <vt:lpwstr/>
      </vt:variant>
      <vt:variant>
        <vt:i4>6750319</vt:i4>
      </vt:variant>
      <vt:variant>
        <vt:i4>0</vt:i4>
      </vt:variant>
      <vt:variant>
        <vt:i4>0</vt:i4>
      </vt:variant>
      <vt:variant>
        <vt:i4>5</vt:i4>
      </vt:variant>
      <vt:variant>
        <vt:lpwstr>https://www.itu.int/en/council/Documents/basic-texts-2023/RES-198-E.pdf</vt:lpwstr>
      </vt:variant>
      <vt:variant>
        <vt:lpwstr/>
      </vt:variant>
      <vt:variant>
        <vt:i4>196633</vt:i4>
      </vt:variant>
      <vt:variant>
        <vt:i4>3</vt:i4>
      </vt:variant>
      <vt:variant>
        <vt:i4>0</vt:i4>
      </vt:variant>
      <vt:variant>
        <vt:i4>5</vt:i4>
      </vt:variant>
      <vt:variant>
        <vt:lpwstr>https://council.itu.int/2025/en/</vt:lpwstr>
      </vt:variant>
      <vt:variant>
        <vt:lpwstr/>
      </vt:variant>
      <vt:variant>
        <vt:i4>3211335</vt:i4>
      </vt:variant>
      <vt:variant>
        <vt:i4>3</vt:i4>
      </vt:variant>
      <vt:variant>
        <vt:i4>0</vt:i4>
      </vt:variant>
      <vt:variant>
        <vt:i4>5</vt:i4>
      </vt:variant>
      <vt:variant>
        <vt:lpwstr>mailto:alassane.ba@itu.int</vt:lpwstr>
      </vt:variant>
      <vt:variant>
        <vt:lpwstr/>
      </vt:variant>
      <vt:variant>
        <vt:i4>3670092</vt:i4>
      </vt:variant>
      <vt:variant>
        <vt:i4>0</vt:i4>
      </vt:variant>
      <vt:variant>
        <vt:i4>0</vt:i4>
      </vt:variant>
      <vt:variant>
        <vt:i4>5</vt:i4>
      </vt:variant>
      <vt:variant>
        <vt:lpwstr>mailto:sylvia.poll@itu.int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Meaningful youth engagement and initiatives in ITU</dc:title>
  <dc:subject>ITU Council 2025</dc:subject>
  <cp:keywords>C25; C2025; Council 2025; ITU160</cp:keywords>
  <dc:description/>
  <cp:lastPrinted>2000-07-19T07:30:00Z</cp:lastPrinted>
  <dcterms:created xsi:type="dcterms:W3CDTF">2025-05-22T10:49:00Z</dcterms:created>
  <dcterms:modified xsi:type="dcterms:W3CDTF">2025-05-22T10:52:00Z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