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B6FD8" w14:paraId="095E39C6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353872A" w14:textId="7F1B9141" w:rsidR="00FE57F6" w:rsidRPr="00BB6FD8" w:rsidRDefault="008A16E3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8A16E3">
              <w:rPr>
                <w:b/>
              </w:rPr>
              <w:t>Punto del orden del día: PL-2</w:t>
            </w:r>
          </w:p>
        </w:tc>
        <w:tc>
          <w:tcPr>
            <w:tcW w:w="5245" w:type="dxa"/>
          </w:tcPr>
          <w:p w14:paraId="76753424" w14:textId="43A98CDF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6FD8">
              <w:rPr>
                <w:b/>
              </w:rPr>
              <w:t>Document</w:t>
            </w:r>
            <w:r w:rsidR="00F24B71" w:rsidRPr="00BB6FD8">
              <w:rPr>
                <w:b/>
              </w:rPr>
              <w:t>o</w:t>
            </w:r>
            <w:r w:rsidRPr="00BB6FD8">
              <w:rPr>
                <w:b/>
              </w:rPr>
              <w:t xml:space="preserve"> C2</w:t>
            </w:r>
            <w:r w:rsidR="00BB6FD8" w:rsidRPr="00BB6FD8">
              <w:rPr>
                <w:b/>
              </w:rPr>
              <w:t>5</w:t>
            </w:r>
            <w:r w:rsidRPr="00BB6FD8">
              <w:rPr>
                <w:b/>
              </w:rPr>
              <w:t>/</w:t>
            </w:r>
            <w:r w:rsidR="008A16E3">
              <w:rPr>
                <w:b/>
              </w:rPr>
              <w:t>31</w:t>
            </w:r>
            <w:r w:rsidRPr="00BB6FD8">
              <w:rPr>
                <w:b/>
              </w:rPr>
              <w:t>-</w:t>
            </w:r>
            <w:r w:rsidR="00F24B71" w:rsidRPr="00BB6FD8">
              <w:rPr>
                <w:b/>
              </w:rPr>
              <w:t>S</w:t>
            </w:r>
          </w:p>
        </w:tc>
      </w:tr>
      <w:tr w:rsidR="00FE57F6" w:rsidRPr="00666D09" w14:paraId="49E8102F" w14:textId="77777777" w:rsidTr="00C538FC">
        <w:trPr>
          <w:cantSplit/>
        </w:trPr>
        <w:tc>
          <w:tcPr>
            <w:tcW w:w="3969" w:type="dxa"/>
            <w:vMerge/>
          </w:tcPr>
          <w:p w14:paraId="7EDB1B98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6BE9F0A" w14:textId="494A57A9" w:rsidR="00FE57F6" w:rsidRPr="00666D09" w:rsidRDefault="007717EF" w:rsidP="00C538FC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  <w:lang w:val="es-ES"/>
              </w:rPr>
              <w:t>17 de abril de 2025</w:t>
            </w:r>
          </w:p>
        </w:tc>
      </w:tr>
      <w:tr w:rsidR="00FE57F6" w:rsidRPr="00BB6FD8" w14:paraId="24CBF0B6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66C1B4D6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304366CF" w14:textId="77777777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BB6FD8" w14:paraId="583206BB" w14:textId="77777777" w:rsidTr="00C538FC">
        <w:trPr>
          <w:cantSplit/>
          <w:trHeight w:val="23"/>
        </w:trPr>
        <w:tc>
          <w:tcPr>
            <w:tcW w:w="3969" w:type="dxa"/>
          </w:tcPr>
          <w:p w14:paraId="3EDE43F8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FE2505E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329B6D8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2391305" w14:textId="1B2B8898" w:rsidR="00FE57F6" w:rsidRPr="00A22CDB" w:rsidRDefault="008A16E3" w:rsidP="00A22CDB">
            <w:pPr>
              <w:pStyle w:val="Source"/>
              <w:framePr w:hSpace="0" w:wrap="auto" w:vAnchor="margin" w:hAnchor="text" w:xAlign="left" w:yAlign="inline"/>
            </w:pPr>
            <w:r w:rsidRPr="00A22CDB">
              <w:t xml:space="preserve">Informe del Presidente del Grupo de Trabajo del Consejo </w:t>
            </w:r>
            <w:r w:rsidR="006D68AD" w:rsidRPr="00A22CDB">
              <w:br/>
            </w:r>
            <w:r w:rsidRPr="00A22CDB">
              <w:t>sobre los Planes Estratégico y Financiero para 2028-2031</w:t>
            </w:r>
          </w:p>
        </w:tc>
      </w:tr>
      <w:tr w:rsidR="00FE57F6" w:rsidRPr="00BB6FD8" w14:paraId="4D1D1EA9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FC67FAF" w14:textId="485B9B3C" w:rsidR="00FE57F6" w:rsidRPr="00F92BED" w:rsidRDefault="00A22CDB" w:rsidP="00A22CDB">
            <w:pPr>
              <w:pStyle w:val="Subtitle"/>
              <w:framePr w:hSpace="0" w:wrap="auto" w:vAnchor="margin" w:hAnchor="text" w:xAlign="left" w:yAlign="inline"/>
            </w:pPr>
            <w:bookmarkStart w:id="1" w:name="_Hlk194308878"/>
            <w:r w:rsidRPr="008A16E3">
              <w:t xml:space="preserve">INFORME </w:t>
            </w:r>
            <w:bookmarkEnd w:id="1"/>
            <w:r w:rsidRPr="008A16E3">
              <w:t>SOBRE LA MARCHA DE LOS TRABAJOS DEL GRUPO DE TRABAJO DEL CONSEJO SOBRE LOS PLANES ESTRATÉGICO Y FINANCIERO PARA 2028-2031 (GTC-PEF)</w:t>
            </w:r>
          </w:p>
        </w:tc>
      </w:tr>
      <w:tr w:rsidR="00FE57F6" w:rsidRPr="00BB6FD8" w14:paraId="276C1B0F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2E1B2C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Finalidad</w:t>
            </w:r>
          </w:p>
          <w:p w14:paraId="10D568C3" w14:textId="47E11559" w:rsidR="00FE57F6" w:rsidRPr="00BB6FD8" w:rsidRDefault="008A16E3" w:rsidP="00C538FC">
            <w:r w:rsidRPr="008A16E3">
              <w:t>En el presente informe se describen los avances logrados por el Grupo de Trabajo del Consejo sobre los Planes Estratégico y Financiero para 2028-2031 (GTC-PEF) desde su creación por el Consejo en 2024.</w:t>
            </w:r>
          </w:p>
          <w:p w14:paraId="6620CB64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BB6FD8">
              <w:rPr>
                <w:b/>
                <w:bCs/>
                <w:sz w:val="26"/>
                <w:szCs w:val="26"/>
              </w:rPr>
              <w:t>al</w:t>
            </w:r>
            <w:r w:rsidRPr="00BB6FD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1327B145" w14:textId="788D2616" w:rsidR="00F92BED" w:rsidRPr="00F92BED" w:rsidRDefault="008A16E3" w:rsidP="008A16E3">
            <w:pPr>
              <w:rPr>
                <w:lang w:val="es-ES"/>
              </w:rPr>
            </w:pPr>
            <w:r w:rsidRPr="008A16E3">
              <w:t>Se invita al Consejo a</w:t>
            </w:r>
            <w:r w:rsidRPr="008A16E3">
              <w:rPr>
                <w:b/>
                <w:bCs/>
              </w:rPr>
              <w:t xml:space="preserve"> tomar nota </w:t>
            </w:r>
            <w:r w:rsidRPr="008A16E3">
              <w:t>del presente informe.</w:t>
            </w:r>
          </w:p>
          <w:p w14:paraId="74C853CB" w14:textId="5CC3ECA2" w:rsidR="00F92BED" w:rsidRPr="00F24B71" w:rsidRDefault="00F92BED" w:rsidP="00F92BED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444387A2" w14:textId="12A399AA" w:rsidR="00F92BED" w:rsidRPr="00F24B71" w:rsidRDefault="008A16E3" w:rsidP="00F92BED">
            <w:pPr>
              <w:rPr>
                <w:lang w:val="es-ES"/>
              </w:rPr>
            </w:pPr>
            <w:r w:rsidRPr="008A16E3">
              <w:rPr>
                <w:lang w:val="es-ES"/>
              </w:rPr>
              <w:t>Planes Estratégico y Financiero</w:t>
            </w:r>
          </w:p>
          <w:p w14:paraId="6DB7397A" w14:textId="77777777" w:rsidR="00F92BED" w:rsidRDefault="00F92BED" w:rsidP="00F92BE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2924DF2E" w14:textId="4D39E4F8" w:rsidR="00F92BED" w:rsidRPr="00BB6FD8" w:rsidRDefault="008A16E3" w:rsidP="00F92BED">
            <w:r w:rsidRPr="008A16E3">
              <w:t>Con cargo al presupuesto asignado para 2024-2025</w:t>
            </w:r>
            <w:r w:rsidR="003636BE">
              <w:t>.</w:t>
            </w:r>
          </w:p>
          <w:p w14:paraId="0692A3E2" w14:textId="77777777" w:rsidR="00FE57F6" w:rsidRPr="00BB6FD8" w:rsidRDefault="00FE57F6" w:rsidP="00C538FC">
            <w:pPr>
              <w:spacing w:before="160"/>
              <w:rPr>
                <w:caps/>
                <w:sz w:val="22"/>
              </w:rPr>
            </w:pPr>
            <w:r w:rsidRPr="00BB6FD8">
              <w:rPr>
                <w:sz w:val="22"/>
              </w:rPr>
              <w:t>__________________</w:t>
            </w:r>
          </w:p>
          <w:p w14:paraId="42A5C31C" w14:textId="1612584C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Referencia</w:t>
            </w:r>
            <w:r w:rsidR="00F92BED">
              <w:rPr>
                <w:b/>
                <w:bCs/>
                <w:sz w:val="26"/>
                <w:szCs w:val="26"/>
              </w:rPr>
              <w:t>s</w:t>
            </w:r>
          </w:p>
          <w:p w14:paraId="6C3AD0E0" w14:textId="66175E18" w:rsidR="00FE57F6" w:rsidRPr="004D3A3C" w:rsidRDefault="008A16E3" w:rsidP="008A16E3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7" w:tgtFrame="_blank" w:history="1">
              <w:r w:rsidRPr="008A16E3">
                <w:rPr>
                  <w:rStyle w:val="Hyperlink"/>
                  <w:i/>
                  <w:iCs/>
                  <w:sz w:val="22"/>
                  <w:szCs w:val="22"/>
                </w:rPr>
                <w:t>Página web del GTC-PEF</w:t>
              </w:r>
            </w:hyperlink>
            <w:r w:rsidRPr="008A16E3">
              <w:rPr>
                <w:i/>
                <w:iCs/>
                <w:sz w:val="22"/>
                <w:szCs w:val="22"/>
              </w:rPr>
              <w:t>; Resolución</w:t>
            </w:r>
            <w:r>
              <w:rPr>
                <w:i/>
                <w:iCs/>
                <w:sz w:val="22"/>
                <w:szCs w:val="22"/>
              </w:rPr>
              <w:t> </w:t>
            </w:r>
            <w:hyperlink r:id="rId8" w:tgtFrame="_blank" w:history="1">
              <w:r w:rsidRPr="008A16E3">
                <w:rPr>
                  <w:rStyle w:val="Hyperlink"/>
                  <w:i/>
                  <w:iCs/>
                  <w:sz w:val="22"/>
                  <w:szCs w:val="22"/>
                </w:rPr>
                <w:t>1428 (C24)</w:t>
              </w:r>
            </w:hyperlink>
            <w:r w:rsidRPr="008A16E3">
              <w:rPr>
                <w:i/>
                <w:iCs/>
                <w:sz w:val="22"/>
                <w:szCs w:val="22"/>
              </w:rPr>
              <w:t xml:space="preserve"> del Consejo</w:t>
            </w:r>
          </w:p>
        </w:tc>
      </w:tr>
      <w:bookmarkEnd w:id="0"/>
    </w:tbl>
    <w:p w14:paraId="16033198" w14:textId="77777777" w:rsidR="001559F5" w:rsidRPr="00BB6FD8" w:rsidRDefault="001559F5" w:rsidP="008A16E3">
      <w:r w:rsidRPr="00BB6FD8">
        <w:br w:type="page"/>
      </w:r>
    </w:p>
    <w:p w14:paraId="4227C0F3" w14:textId="77777777" w:rsidR="008A16E3" w:rsidRPr="008A16E3" w:rsidRDefault="008A16E3" w:rsidP="008A16E3">
      <w:pPr>
        <w:pStyle w:val="Heading1"/>
      </w:pPr>
      <w:r w:rsidRPr="008A16E3">
        <w:lastRenderedPageBreak/>
        <w:t>1</w:t>
      </w:r>
      <w:r w:rsidRPr="008A16E3">
        <w:tab/>
        <w:t>Introducción</w:t>
      </w:r>
    </w:p>
    <w:p w14:paraId="0A22108F" w14:textId="5D9A8BBA" w:rsidR="008A16E3" w:rsidRPr="008A16E3" w:rsidRDefault="008A16E3" w:rsidP="003636BE">
      <w:pPr>
        <w:jc w:val="both"/>
      </w:pPr>
      <w:r w:rsidRPr="008A16E3">
        <w:t xml:space="preserve">En su reunión de 2024, el Consejo resolvió crear un </w:t>
      </w:r>
      <w:hyperlink r:id="rId9" w:history="1">
        <w:r w:rsidRPr="008A16E3">
          <w:rPr>
            <w:rStyle w:val="Hyperlink"/>
          </w:rPr>
          <w:t>Grupo de Trabajo encargado de desarrollar los proyectos de Plan Estratégico y de Plan Financiero</w:t>
        </w:r>
      </w:hyperlink>
      <w:r w:rsidRPr="008A16E3">
        <w:t>, con miras al examen de estos últimos en la reunión de 2026 del Consejo y su presentación a la Conferencia de Plenipotenciarios de 2026 (PP-26) (véase la Resolución</w:t>
      </w:r>
      <w:r w:rsidR="006D68AD">
        <w:t> </w:t>
      </w:r>
      <w:hyperlink r:id="rId10" w:history="1">
        <w:r w:rsidRPr="008A16E3">
          <w:rPr>
            <w:rStyle w:val="Hyperlink"/>
          </w:rPr>
          <w:t>1428 (C24)</w:t>
        </w:r>
      </w:hyperlink>
      <w:r w:rsidRPr="008A16E3">
        <w:t xml:space="preserve"> del Consejo).</w:t>
      </w:r>
    </w:p>
    <w:p w14:paraId="57E1EF1A" w14:textId="4FCDA363" w:rsidR="008A16E3" w:rsidRPr="008A16E3" w:rsidRDefault="008A16E3" w:rsidP="003636BE">
      <w:pPr>
        <w:jc w:val="both"/>
      </w:pPr>
      <w:r w:rsidRPr="008A16E3">
        <w:t>Preside el Grupo el Sr.</w:t>
      </w:r>
      <w:r w:rsidR="006D68AD">
        <w:t> </w:t>
      </w:r>
      <w:r w:rsidRPr="008A16E3">
        <w:t>Mansour AI-Qurashi (Arabia Saudita), con la asistencia de los siguientes Vicepresidentes: Sr. Mulembwa Denis Munaku (Tanzanía), Sr.</w:t>
      </w:r>
      <w:r w:rsidR="006D68AD">
        <w:t> </w:t>
      </w:r>
      <w:r w:rsidRPr="008A16E3">
        <w:t>Kenji Kuramochi (Paraguay), Sra.</w:t>
      </w:r>
      <w:r w:rsidR="006D68AD">
        <w:t> </w:t>
      </w:r>
      <w:r w:rsidRPr="008A16E3">
        <w:t>Maitha Al Jamri (Emiratos Árabes Unidos), Sr.</w:t>
      </w:r>
      <w:r w:rsidR="006D68AD">
        <w:t> </w:t>
      </w:r>
      <w:r w:rsidRPr="008A16E3">
        <w:t>Yi Lun (China), Sr.</w:t>
      </w:r>
      <w:r w:rsidR="006D68AD">
        <w:t> </w:t>
      </w:r>
      <w:r w:rsidRPr="008A16E3">
        <w:t>Bakhtjan Smanov (Uzbekistán) y Sr.</w:t>
      </w:r>
      <w:r w:rsidR="006D68AD">
        <w:t> </w:t>
      </w:r>
      <w:r w:rsidRPr="008A16E3">
        <w:t>Rafał Bartoszewski (Polonia).</w:t>
      </w:r>
    </w:p>
    <w:p w14:paraId="119E9848" w14:textId="40F892FB" w:rsidR="008A16E3" w:rsidRPr="008A16E3" w:rsidRDefault="008A16E3" w:rsidP="003636BE">
      <w:pPr>
        <w:jc w:val="both"/>
      </w:pPr>
      <w:r w:rsidRPr="008A16E3">
        <w:t>Este Grupo, en el que pueden participar todos los Estados Miembros y Miembros de Sector, se ha reunido en dos ocasiones desde su creación: la primera reunión tuvo lugar los días 10 y 11 de octubre de 2024, y la segunda reunión los días 20 y 21 de febrero de 2025.</w:t>
      </w:r>
    </w:p>
    <w:p w14:paraId="0C44C1D9" w14:textId="77777777" w:rsidR="008A16E3" w:rsidRPr="008A16E3" w:rsidRDefault="008A16E3" w:rsidP="008A16E3">
      <w:pPr>
        <w:pStyle w:val="Heading1"/>
      </w:pPr>
      <w:r w:rsidRPr="008A16E3">
        <w:t>2</w:t>
      </w:r>
      <w:r w:rsidRPr="008A16E3">
        <w:tab/>
        <w:t>Actividades del GTC-PEF</w:t>
      </w:r>
    </w:p>
    <w:p w14:paraId="44CD6471" w14:textId="77777777" w:rsidR="008A16E3" w:rsidRPr="008A16E3" w:rsidRDefault="008A16E3" w:rsidP="003636BE">
      <w:pPr>
        <w:jc w:val="both"/>
      </w:pPr>
      <w:r w:rsidRPr="008A16E3">
        <w:t>Con arreglo al mandato del Grupo, el Presidente del GTC-PEF desea facilitar al Consejo, en su reunión de 2025, información actualizada sobre los trabajos en curso:</w:t>
      </w:r>
    </w:p>
    <w:p w14:paraId="16932F40" w14:textId="348DBE48" w:rsidR="008A16E3" w:rsidRPr="008A16E3" w:rsidRDefault="008A16E3" w:rsidP="003636BE">
      <w:pPr>
        <w:pStyle w:val="enumlev1"/>
        <w:jc w:val="both"/>
      </w:pPr>
      <w:r w:rsidRPr="008A16E3">
        <w:t>a)</w:t>
      </w:r>
      <w:r w:rsidRPr="008A16E3">
        <w:tab/>
        <w:t xml:space="preserve">El Grupo ha acordado un calendario para la finalización de las tareas asignadas (véase el </w:t>
      </w:r>
      <w:hyperlink w:anchor="Anexo" w:history="1">
        <w:r w:rsidRPr="00677DE1">
          <w:rPr>
            <w:rStyle w:val="Hyperlink"/>
          </w:rPr>
          <w:t>Anexo</w:t>
        </w:r>
      </w:hyperlink>
      <w:r w:rsidRPr="008A16E3">
        <w:t>). Los Grupos Asesores de los Sectores y el Grupo de Trabajo del Consejo sobre Recursos Humanos y Financieros (GTC</w:t>
      </w:r>
      <w:r w:rsidR="00677DE1">
        <w:noBreakHyphen/>
      </w:r>
      <w:r w:rsidRPr="008A16E3">
        <w:t>RHF) han sido informados en consecuencia e invitados a participar en el proceso y aportar contribuciones al mismo.</w:t>
      </w:r>
    </w:p>
    <w:p w14:paraId="278868D1" w14:textId="576292A3" w:rsidR="008A16E3" w:rsidRPr="008A16E3" w:rsidRDefault="008A16E3" w:rsidP="003636BE">
      <w:pPr>
        <w:pStyle w:val="enumlev1"/>
        <w:jc w:val="both"/>
      </w:pPr>
      <w:r w:rsidRPr="008A16E3">
        <w:t>b)</w:t>
      </w:r>
      <w:r w:rsidRPr="008A16E3">
        <w:tab/>
        <w:t>En cuanto al desarrollo de los proyectos de Plan Estratégico y de Plan Financiero, el Grupo llevó a cabo una consulta en línea para recabar aportaciones sobre los planes actuales y propuestas de mejora. Los resultados figuran en el Documento</w:t>
      </w:r>
      <w:r w:rsidR="0082001D">
        <w:t> </w:t>
      </w:r>
      <w:hyperlink r:id="rId11" w:history="1">
        <w:r w:rsidRPr="008A16E3">
          <w:rPr>
            <w:rStyle w:val="Hyperlink"/>
          </w:rPr>
          <w:t>CWG</w:t>
        </w:r>
        <w:r w:rsidR="0082001D">
          <w:rPr>
            <w:rStyle w:val="Hyperlink"/>
          </w:rPr>
          <w:noBreakHyphen/>
        </w:r>
        <w:r w:rsidRPr="008A16E3">
          <w:rPr>
            <w:rStyle w:val="Hyperlink"/>
          </w:rPr>
          <w:t>SFP</w:t>
        </w:r>
        <w:r w:rsidR="0082001D">
          <w:rPr>
            <w:rStyle w:val="Hyperlink"/>
          </w:rPr>
          <w:noBreakHyphen/>
        </w:r>
        <w:r w:rsidRPr="008A16E3">
          <w:rPr>
            <w:rStyle w:val="Hyperlink"/>
          </w:rPr>
          <w:t>2/2</w:t>
        </w:r>
      </w:hyperlink>
      <w:r w:rsidRPr="008A16E3">
        <w:t>. El Grupo también debatió los elementos que cabía tener en cuenta en el análisis de situación, el cual reviste una importancia crucial para orientar la redacción de los nuevos planes.</w:t>
      </w:r>
    </w:p>
    <w:p w14:paraId="3729E71A" w14:textId="734693F9" w:rsidR="008A16E3" w:rsidRPr="008A16E3" w:rsidRDefault="008A16E3" w:rsidP="003636BE">
      <w:pPr>
        <w:pStyle w:val="enumlev1"/>
        <w:jc w:val="both"/>
      </w:pPr>
      <w:r w:rsidRPr="008A16E3">
        <w:tab/>
        <w:t>Además, con miras a proponer formas de vincular los proyectos de Plan Estratégico y de Plan Financiero con los Planes Operacionales y los presupuestos bienales, de conformidad con los principios de gestión basada en los resultados (GBR) y presupuestación basada en los resultados (PBR), el Grupo invitó a expertos de la</w:t>
      </w:r>
      <w:r w:rsidR="00677DE1">
        <w:t> </w:t>
      </w:r>
      <w:r w:rsidRPr="008A16E3">
        <w:t>UNESCO y la</w:t>
      </w:r>
      <w:r w:rsidR="00677DE1">
        <w:t> </w:t>
      </w:r>
      <w:r w:rsidRPr="008A16E3">
        <w:t xml:space="preserve">ONUDI a compartir sus conocimientos técnicos. Estos impartieron un taller de </w:t>
      </w:r>
      <w:r w:rsidR="00677DE1">
        <w:t>tres</w:t>
      </w:r>
      <w:r w:rsidRPr="008A16E3">
        <w:t xml:space="preserve"> horas de duración sobre planificación estratégica, con un énfasis especial en los conceptos y procesos de GBR aplicables a los Planes Estratégico y Financiero de la</w:t>
      </w:r>
      <w:r w:rsidR="00677DE1">
        <w:t> </w:t>
      </w:r>
      <w:r w:rsidRPr="008A16E3">
        <w:t>UIT.</w:t>
      </w:r>
    </w:p>
    <w:p w14:paraId="5D93ADBB" w14:textId="75A7A1C7" w:rsidR="008A16E3" w:rsidRPr="008A16E3" w:rsidRDefault="008A16E3" w:rsidP="003636BE">
      <w:pPr>
        <w:pStyle w:val="enumlev1"/>
        <w:jc w:val="both"/>
      </w:pPr>
      <w:r w:rsidRPr="008A16E3">
        <w:tab/>
        <w:t>Con todas las aportaciones recibidas, incluidas las contribuciones de los Estados Miembros y del Grupo Asesor de Normalización de las Telecomunicaciones (GANT), el Grupo encargó a la secretaría que preparase el primer proyecto de marco y finalidades del Plan Estratégico, así como un proyecto de análisis de situación para la próxima reunión, prevista para septiembre de 2025.</w:t>
      </w:r>
    </w:p>
    <w:p w14:paraId="057CBE3F" w14:textId="14E49D71" w:rsidR="008A16E3" w:rsidRPr="008A16E3" w:rsidRDefault="008A16E3" w:rsidP="003636BE">
      <w:pPr>
        <w:pStyle w:val="enumlev1"/>
        <w:jc w:val="both"/>
      </w:pPr>
      <w:r w:rsidRPr="008A16E3">
        <w:t>c)</w:t>
      </w:r>
      <w:r w:rsidRPr="008A16E3">
        <w:tab/>
        <w:t xml:space="preserve">En relación con el ejercicio de establecimiento de correspondencias entre las Resoluciones y las Decisiones, destinado a armonizar los resultados de la Conferencia de Plenipotenciarios, el Grupo sopesó la elaboración de directrices no vinculantes a las que los Estados Miembros pudieran remitirse a efectos de la revisión y/o redacción de </w:t>
      </w:r>
      <w:r w:rsidRPr="008A16E3">
        <w:lastRenderedPageBreak/>
        <w:t>Resoluciones y Decisiones para la PP</w:t>
      </w:r>
      <w:r w:rsidR="00677DE1">
        <w:noBreakHyphen/>
      </w:r>
      <w:r w:rsidRPr="008A16E3">
        <w:t>26. Estas directrices se someten a la consideración del Consejo en su reunión de 2025 por conducto del Documento</w:t>
      </w:r>
      <w:r w:rsidR="0082001D">
        <w:t> </w:t>
      </w:r>
      <w:hyperlink r:id="rId12" w:history="1">
        <w:r w:rsidRPr="008A16E3">
          <w:rPr>
            <w:rStyle w:val="Hyperlink"/>
          </w:rPr>
          <w:t>C25/29</w:t>
        </w:r>
      </w:hyperlink>
      <w:r w:rsidRPr="008A16E3">
        <w:t>.</w:t>
      </w:r>
    </w:p>
    <w:p w14:paraId="1D9B2C2A" w14:textId="77777777" w:rsidR="008A16E3" w:rsidRPr="008A16E3" w:rsidRDefault="008A16E3" w:rsidP="003636BE">
      <w:pPr>
        <w:pStyle w:val="enumlev1"/>
        <w:jc w:val="both"/>
      </w:pPr>
      <w:r w:rsidRPr="008A16E3">
        <w:tab/>
        <w:t>El GTC-PEF también destacó la importancia de supervisar la aplicación de las Resoluciones/Decisiones y presentar información al respecto de forma periódica, para facilitar la toma de decisiones fundamentadas en materia de armonización.</w:t>
      </w:r>
    </w:p>
    <w:p w14:paraId="64FA005A" w14:textId="0E58B989" w:rsidR="008A16E3" w:rsidRPr="008A16E3" w:rsidRDefault="008A16E3" w:rsidP="003636BE">
      <w:pPr>
        <w:pStyle w:val="enumlev1"/>
        <w:jc w:val="both"/>
      </w:pPr>
      <w:r w:rsidRPr="008A16E3">
        <w:t>d)</w:t>
      </w:r>
      <w:r w:rsidRPr="008A16E3">
        <w:tab/>
        <w:t>También se ha había encargado al GTC-PEF que formulase una recomendación a la presente reunión del Consejo sobre el importe preliminar de la unidad contributiva. A ese respecto, la secretaría presentó el Documento</w:t>
      </w:r>
      <w:r w:rsidR="0082001D">
        <w:t> </w:t>
      </w:r>
      <w:hyperlink r:id="rId13" w:history="1">
        <w:r w:rsidRPr="008A16E3">
          <w:rPr>
            <w:rStyle w:val="Hyperlink"/>
          </w:rPr>
          <w:t>CWG-SFP-2/7</w:t>
        </w:r>
      </w:hyperlink>
      <w:r w:rsidRPr="008A16E3">
        <w:t>, en el que se proponía un aumento de la unidad contributiva. Los miembros expresaron su preocupación, al tiempo que citaron la inestabilidad económica mundial y las restricciones financieras de sus respectivos países, y sugirieron la posibilidad de explorar opciones alternativas, como podían ser la optimización de costes, la mejora de la eficiencia presupuestaria y la generación de ingresos adicionales. Se insistió en la necesidad de realizar una presentación exhaustiva y transparente del presupuesto, para facilitar la toma de decisiones fundamentadas.</w:t>
      </w:r>
    </w:p>
    <w:p w14:paraId="65EC6644" w14:textId="77777777" w:rsidR="008A16E3" w:rsidRPr="008A16E3" w:rsidRDefault="008A16E3" w:rsidP="003636BE">
      <w:pPr>
        <w:pStyle w:val="enumlev1"/>
        <w:jc w:val="both"/>
      </w:pPr>
      <w:r w:rsidRPr="008A16E3">
        <w:tab/>
        <w:t>El Grupo solicitó a la secretaría que facilitara más información sobre la situación financiera y su relación con el importe de la unidad contributiva al Consejo en su reunión de 2025, dada la necesidad de contar con un mecanismo estable y una serie de criterios para establecer la unidad contributiva.</w:t>
      </w:r>
    </w:p>
    <w:p w14:paraId="391C3C49" w14:textId="664BE160" w:rsidR="008A16E3" w:rsidRPr="008A16E3" w:rsidRDefault="008A16E3" w:rsidP="003636BE">
      <w:pPr>
        <w:jc w:val="both"/>
      </w:pPr>
      <w:r w:rsidRPr="008A16E3">
        <w:t xml:space="preserve">Para obtener más información sobre el GTC-PEF, véanse los informes de la </w:t>
      </w:r>
      <w:hyperlink r:id="rId14" w:history="1">
        <w:r w:rsidRPr="008A16E3">
          <w:rPr>
            <w:rStyle w:val="Hyperlink"/>
          </w:rPr>
          <w:t>1</w:t>
        </w:r>
        <w:r w:rsidR="0082001D">
          <w:rPr>
            <w:rStyle w:val="Hyperlink"/>
          </w:rPr>
          <w:t>.</w:t>
        </w:r>
        <w:r w:rsidRPr="008A16E3">
          <w:rPr>
            <w:rStyle w:val="Hyperlink"/>
          </w:rPr>
          <w:t>ª</w:t>
        </w:r>
        <w:r w:rsidR="0082001D">
          <w:rPr>
            <w:rStyle w:val="Hyperlink"/>
          </w:rPr>
          <w:t> </w:t>
        </w:r>
        <w:r w:rsidRPr="008A16E3">
          <w:rPr>
            <w:rStyle w:val="Hyperlink"/>
          </w:rPr>
          <w:t>reunión</w:t>
        </w:r>
      </w:hyperlink>
      <w:r w:rsidRPr="008A16E3">
        <w:t xml:space="preserve"> y la </w:t>
      </w:r>
      <w:hyperlink r:id="rId15" w:history="1">
        <w:r w:rsidRPr="008A16E3">
          <w:rPr>
            <w:rStyle w:val="Hyperlink"/>
          </w:rPr>
          <w:t>2</w:t>
        </w:r>
        <w:r w:rsidR="0082001D">
          <w:rPr>
            <w:rStyle w:val="Hyperlink"/>
          </w:rPr>
          <w:t>.</w:t>
        </w:r>
        <w:r w:rsidRPr="008A16E3">
          <w:rPr>
            <w:rStyle w:val="Hyperlink"/>
          </w:rPr>
          <w:t>ª</w:t>
        </w:r>
        <w:r w:rsidR="0082001D">
          <w:rPr>
            <w:rStyle w:val="Hyperlink"/>
          </w:rPr>
          <w:t> </w:t>
        </w:r>
        <w:r w:rsidRPr="008A16E3">
          <w:rPr>
            <w:rStyle w:val="Hyperlink"/>
          </w:rPr>
          <w:t>reunión</w:t>
        </w:r>
      </w:hyperlink>
      <w:r w:rsidRPr="008A16E3">
        <w:t xml:space="preserve"> del Grupo.</w:t>
      </w:r>
    </w:p>
    <w:p w14:paraId="0B41807C" w14:textId="77777777" w:rsidR="008A16E3" w:rsidRPr="008A16E3" w:rsidRDefault="008A16E3" w:rsidP="008A16E3">
      <w:pPr>
        <w:pStyle w:val="Heading1"/>
      </w:pPr>
      <w:r w:rsidRPr="008A16E3">
        <w:t>3</w:t>
      </w:r>
      <w:r w:rsidRPr="008A16E3">
        <w:tab/>
        <w:t>Conclusión</w:t>
      </w:r>
    </w:p>
    <w:p w14:paraId="6AEABEDB" w14:textId="77777777" w:rsidR="008A16E3" w:rsidRPr="008A16E3" w:rsidRDefault="008A16E3" w:rsidP="003636BE">
      <w:pPr>
        <w:jc w:val="both"/>
      </w:pPr>
      <w:r w:rsidRPr="008A16E3">
        <w:t>Se invita al Consejo a tomar nota del presente informe.</w:t>
      </w:r>
    </w:p>
    <w:p w14:paraId="4AA8BF09" w14:textId="77777777" w:rsidR="008A16E3" w:rsidRPr="008A16E3" w:rsidRDefault="008A16E3" w:rsidP="003636BE">
      <w:pPr>
        <w:jc w:val="both"/>
      </w:pPr>
      <w:r w:rsidRPr="008A16E3">
        <w:t>En nombre del GTC-PEF, el Presidente expresa su agradecimiento personal tanto a todos los Estados Miembros y Miembros de Sector de la UIT que han aportado contribuciones a los trabajos del Grupos y han participado en los mismos, como a los Vicepresidentes y a la secretaría por la eficaz asistencia prestada durante la primera y segunda reuniones del Grupo.</w:t>
      </w:r>
    </w:p>
    <w:p w14:paraId="46B59044" w14:textId="77777777" w:rsidR="008A16E3" w:rsidRPr="008A16E3" w:rsidRDefault="008A16E3" w:rsidP="00677D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spacing w:before="1200"/>
        <w:rPr>
          <w:lang w:val="pt-BR"/>
        </w:rPr>
      </w:pPr>
      <w:r w:rsidRPr="008A16E3">
        <w:tab/>
      </w:r>
      <w:r w:rsidRPr="008A16E3">
        <w:rPr>
          <w:lang w:val="pt-BR"/>
        </w:rPr>
        <w:t>Sr. Mansour AL-QURASHI</w:t>
      </w:r>
      <w:r w:rsidRPr="008A16E3">
        <w:rPr>
          <w:lang w:val="pt-BR"/>
        </w:rPr>
        <w:br/>
      </w:r>
      <w:r w:rsidRPr="008A16E3">
        <w:rPr>
          <w:lang w:val="pt-BR"/>
        </w:rPr>
        <w:tab/>
        <w:t>Presidente, GTC-PEF</w:t>
      </w:r>
    </w:p>
    <w:p w14:paraId="3E6C4BEE" w14:textId="15359C3D" w:rsidR="008A16E3" w:rsidRDefault="008A16E3" w:rsidP="00677DE1">
      <w:pPr>
        <w:spacing w:before="720"/>
        <w:rPr>
          <w:i/>
          <w:iCs/>
          <w:lang w:val="pt-BR"/>
        </w:rPr>
      </w:pPr>
      <w:r w:rsidRPr="008A16E3">
        <w:rPr>
          <w:b/>
          <w:bCs/>
          <w:i/>
          <w:iCs/>
          <w:lang w:val="pt-BR"/>
        </w:rPr>
        <w:t xml:space="preserve">Anexo: </w:t>
      </w:r>
      <w:r w:rsidRPr="008A16E3">
        <w:rPr>
          <w:i/>
          <w:iCs/>
          <w:lang w:val="pt-BR"/>
        </w:rPr>
        <w:t>1</w:t>
      </w:r>
    </w:p>
    <w:p w14:paraId="44B78FB3" w14:textId="77777777" w:rsidR="008A16E3" w:rsidRPr="008A16E3" w:rsidRDefault="008A16E3" w:rsidP="008A16E3">
      <w:pPr>
        <w:rPr>
          <w:lang w:val="pt-BR"/>
        </w:rPr>
      </w:pPr>
    </w:p>
    <w:p w14:paraId="48D457B5" w14:textId="77777777" w:rsidR="008A16E3" w:rsidRDefault="008A16E3" w:rsidP="008A16E3">
      <w:pPr>
        <w:rPr>
          <w:lang w:val="pt-BR"/>
        </w:rPr>
        <w:sectPr w:rsidR="008A16E3" w:rsidSect="00C538FC">
          <w:footerReference w:type="default" r:id="rId16"/>
          <w:headerReference w:type="first" r:id="rId17"/>
          <w:footerReference w:type="first" r:id="rId18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1A7CF4F1" w14:textId="5F8E63C1" w:rsidR="008A16E3" w:rsidRDefault="008A16E3" w:rsidP="003636BE">
      <w:pPr>
        <w:pStyle w:val="AnnexNo"/>
        <w:rPr>
          <w:lang w:val="pt-BR"/>
        </w:rPr>
      </w:pPr>
      <w:bookmarkStart w:id="2" w:name="Anexo"/>
      <w:r w:rsidRPr="008A16E3">
        <w:rPr>
          <w:lang w:val="pt-BR"/>
        </w:rPr>
        <w:lastRenderedPageBreak/>
        <w:t>ANEXO</w:t>
      </w:r>
      <w:bookmarkEnd w:id="2"/>
    </w:p>
    <w:p w14:paraId="6D83D1F0" w14:textId="13323242" w:rsidR="00F92BED" w:rsidRPr="003636BE" w:rsidRDefault="006D68AD" w:rsidP="003636BE">
      <w:pPr>
        <w:pStyle w:val="Figure"/>
      </w:pPr>
      <w:r w:rsidRPr="003636BE">
        <w:drawing>
          <wp:inline distT="0" distB="0" distL="0" distR="0" wp14:anchorId="07BEC2E1" wp14:editId="7E706F94">
            <wp:extent cx="8888730" cy="49942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88730" cy="49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6AB15" w14:textId="39B7C75E" w:rsidR="006D68AD" w:rsidRDefault="00AC4524" w:rsidP="003636BE">
      <w:pPr>
        <w:pStyle w:val="Figure"/>
        <w:rPr>
          <w:lang w:val="pt-BR"/>
        </w:rPr>
      </w:pPr>
      <w:r w:rsidRPr="00AC4524">
        <w:lastRenderedPageBreak/>
        <w:drawing>
          <wp:inline distT="0" distB="0" distL="0" distR="0" wp14:anchorId="5A683F68" wp14:editId="4F27A424">
            <wp:extent cx="8888730" cy="499745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88730" cy="499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31187" w14:textId="77777777" w:rsidR="006D68AD" w:rsidRPr="008A16E3" w:rsidRDefault="006D68AD" w:rsidP="0032202E">
      <w:pPr>
        <w:pStyle w:val="Reasons"/>
        <w:rPr>
          <w:lang w:val="pt-BR"/>
        </w:rPr>
      </w:pPr>
    </w:p>
    <w:p w14:paraId="7519E2BD" w14:textId="77777777" w:rsidR="00F92BED" w:rsidRPr="00F92BED" w:rsidRDefault="00F92BED" w:rsidP="00F92BED">
      <w:pPr>
        <w:jc w:val="center"/>
      </w:pPr>
      <w:r>
        <w:t>______________</w:t>
      </w:r>
    </w:p>
    <w:sectPr w:rsidR="00F92BED" w:rsidRPr="00F92BED" w:rsidSect="008A16E3">
      <w:headerReference w:type="default" r:id="rId21"/>
      <w:footerReference w:type="default" r:id="rId22"/>
      <w:headerReference w:type="first" r:id="rId23"/>
      <w:footerReference w:type="first" r:id="rId24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FA71B" w14:textId="77777777" w:rsidR="007717EF" w:rsidRDefault="007717EF">
      <w:r>
        <w:separator/>
      </w:r>
    </w:p>
  </w:endnote>
  <w:endnote w:type="continuationSeparator" w:id="0">
    <w:p w14:paraId="7F4DC3BA" w14:textId="77777777" w:rsidR="007717EF" w:rsidRDefault="0077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357638B3" w14:textId="77777777" w:rsidTr="00E31DCE">
      <w:trPr>
        <w:jc w:val="center"/>
      </w:trPr>
      <w:tc>
        <w:tcPr>
          <w:tcW w:w="1803" w:type="dxa"/>
          <w:vAlign w:val="center"/>
        </w:tcPr>
        <w:p w14:paraId="11941931" w14:textId="17ACC539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="008A16E3">
            <w:rPr>
              <w:noProof/>
            </w:rPr>
            <w:t>2500950</w:t>
          </w:r>
        </w:p>
      </w:tc>
      <w:tc>
        <w:tcPr>
          <w:tcW w:w="8261" w:type="dxa"/>
        </w:tcPr>
        <w:p w14:paraId="79971E66" w14:textId="34610FD2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8A16E3">
            <w:rPr>
              <w:bCs/>
            </w:rPr>
            <w:t>31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369F86E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3905833" w14:textId="77777777" w:rsidTr="00E31DCE">
      <w:trPr>
        <w:jc w:val="center"/>
      </w:trPr>
      <w:tc>
        <w:tcPr>
          <w:tcW w:w="1803" w:type="dxa"/>
          <w:vAlign w:val="center"/>
        </w:tcPr>
        <w:p w14:paraId="79F8F474" w14:textId="3FE55FD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5EC70179" w14:textId="015F7E4E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8A16E3">
            <w:rPr>
              <w:bCs/>
            </w:rPr>
            <w:t>31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3945CD1" w14:textId="77777777" w:rsidR="00760F1C" w:rsidRPr="00F24B71" w:rsidRDefault="00760F1C" w:rsidP="00F24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6D68AD" w14:paraId="1D402AF8" w14:textId="77777777" w:rsidTr="00320881">
      <w:trPr>
        <w:jc w:val="center"/>
      </w:trPr>
      <w:tc>
        <w:tcPr>
          <w:tcW w:w="1905" w:type="dxa"/>
          <w:vAlign w:val="center"/>
          <w:hideMark/>
        </w:tcPr>
        <w:p w14:paraId="37D3DCF0" w14:textId="31652BF1" w:rsidR="006D68AD" w:rsidRDefault="00AC4524" w:rsidP="006D68AD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2500950</w:t>
          </w:r>
        </w:p>
      </w:tc>
      <w:tc>
        <w:tcPr>
          <w:tcW w:w="12100" w:type="dxa"/>
          <w:hideMark/>
        </w:tcPr>
        <w:p w14:paraId="55CFBADA" w14:textId="77777777" w:rsidR="006D68AD" w:rsidRDefault="006D68AD" w:rsidP="006D68AD">
          <w:pPr>
            <w:pStyle w:val="Header"/>
            <w:tabs>
              <w:tab w:val="left" w:pos="10788"/>
              <w:tab w:val="right" w:pos="1187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  <w:t>C25/31-S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2936D69C" w14:textId="77777777" w:rsidR="006D68AD" w:rsidRPr="006D68AD" w:rsidRDefault="006D68AD" w:rsidP="006D68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8A16E3" w14:paraId="708D48DF" w14:textId="77777777" w:rsidTr="00320881">
      <w:trPr>
        <w:jc w:val="center"/>
      </w:trPr>
      <w:tc>
        <w:tcPr>
          <w:tcW w:w="1905" w:type="dxa"/>
          <w:vAlign w:val="center"/>
          <w:hideMark/>
        </w:tcPr>
        <w:p w14:paraId="7676A6A1" w14:textId="56996888" w:rsidR="008A16E3" w:rsidRDefault="00AC4524" w:rsidP="008A16E3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2500950</w:t>
          </w:r>
        </w:p>
      </w:tc>
      <w:tc>
        <w:tcPr>
          <w:tcW w:w="12100" w:type="dxa"/>
          <w:hideMark/>
        </w:tcPr>
        <w:p w14:paraId="40E371B0" w14:textId="535C64AF" w:rsidR="008A16E3" w:rsidRDefault="008A16E3" w:rsidP="008A16E3">
          <w:pPr>
            <w:pStyle w:val="Header"/>
            <w:tabs>
              <w:tab w:val="left" w:pos="10788"/>
              <w:tab w:val="right" w:pos="1187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  <w:t>C25/31-S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rPr>
              <w:noProof/>
            </w:rPr>
            <w:fldChar w:fldCharType="end"/>
          </w:r>
        </w:p>
      </w:tc>
    </w:tr>
  </w:tbl>
  <w:p w14:paraId="6FCEDFCA" w14:textId="77777777" w:rsidR="008A16E3" w:rsidRPr="008A16E3" w:rsidRDefault="008A16E3" w:rsidP="008A1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64EB" w14:textId="77777777" w:rsidR="007717EF" w:rsidRDefault="007717EF">
      <w:r>
        <w:t>____________________</w:t>
      </w:r>
    </w:p>
  </w:footnote>
  <w:footnote w:type="continuationSeparator" w:id="0">
    <w:p w14:paraId="6E4336ED" w14:textId="77777777" w:rsidR="007717EF" w:rsidRDefault="0077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304BF2B0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FA39B54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760264C" wp14:editId="5EA9E29C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528AC247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6CAA1C0E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772EF" wp14:editId="39B102C2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6DE4A2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8432" w14:textId="77777777" w:rsidR="006D68AD" w:rsidRDefault="006D6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BB24" w14:textId="6E6C2C09" w:rsidR="008A16E3" w:rsidRPr="008A16E3" w:rsidRDefault="008A16E3" w:rsidP="008A1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EF"/>
    <w:rsid w:val="000007D1"/>
    <w:rsid w:val="00016DDB"/>
    <w:rsid w:val="0006007D"/>
    <w:rsid w:val="00093EEB"/>
    <w:rsid w:val="000B0D00"/>
    <w:rsid w:val="000B7C15"/>
    <w:rsid w:val="000D1D0F"/>
    <w:rsid w:val="000E3F07"/>
    <w:rsid w:val="000F5290"/>
    <w:rsid w:val="0010165C"/>
    <w:rsid w:val="00146BFB"/>
    <w:rsid w:val="001559F5"/>
    <w:rsid w:val="00157AC4"/>
    <w:rsid w:val="0016169C"/>
    <w:rsid w:val="00165884"/>
    <w:rsid w:val="001B6E2B"/>
    <w:rsid w:val="001F14A2"/>
    <w:rsid w:val="002801AA"/>
    <w:rsid w:val="002946E2"/>
    <w:rsid w:val="002C3F32"/>
    <w:rsid w:val="002C4676"/>
    <w:rsid w:val="002C70B0"/>
    <w:rsid w:val="002F3CC4"/>
    <w:rsid w:val="003032E2"/>
    <w:rsid w:val="0031300A"/>
    <w:rsid w:val="003273A4"/>
    <w:rsid w:val="0034796E"/>
    <w:rsid w:val="003636BE"/>
    <w:rsid w:val="00473962"/>
    <w:rsid w:val="004B5D49"/>
    <w:rsid w:val="004D3A3C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56273"/>
    <w:rsid w:val="00664572"/>
    <w:rsid w:val="00666D09"/>
    <w:rsid w:val="006710F6"/>
    <w:rsid w:val="00677A97"/>
    <w:rsid w:val="00677DE1"/>
    <w:rsid w:val="006C1B56"/>
    <w:rsid w:val="006D4761"/>
    <w:rsid w:val="006D68AD"/>
    <w:rsid w:val="00726872"/>
    <w:rsid w:val="00760F1C"/>
    <w:rsid w:val="007657F0"/>
    <w:rsid w:val="0077110E"/>
    <w:rsid w:val="00771635"/>
    <w:rsid w:val="007717EF"/>
    <w:rsid w:val="0077252D"/>
    <w:rsid w:val="007955DA"/>
    <w:rsid w:val="007E5DD3"/>
    <w:rsid w:val="007F350B"/>
    <w:rsid w:val="0082001D"/>
    <w:rsid w:val="00820BE4"/>
    <w:rsid w:val="008451E8"/>
    <w:rsid w:val="008A16E3"/>
    <w:rsid w:val="008F6ABC"/>
    <w:rsid w:val="00913B9C"/>
    <w:rsid w:val="00927F93"/>
    <w:rsid w:val="00956E77"/>
    <w:rsid w:val="009A338E"/>
    <w:rsid w:val="009F4811"/>
    <w:rsid w:val="00A22CDB"/>
    <w:rsid w:val="00A94438"/>
    <w:rsid w:val="00AA390C"/>
    <w:rsid w:val="00AC4524"/>
    <w:rsid w:val="00B0200A"/>
    <w:rsid w:val="00B060DF"/>
    <w:rsid w:val="00B574DB"/>
    <w:rsid w:val="00B826C2"/>
    <w:rsid w:val="00B8298E"/>
    <w:rsid w:val="00BB6FD8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375E0"/>
    <w:rsid w:val="00D50A36"/>
    <w:rsid w:val="00D62446"/>
    <w:rsid w:val="00DA4EA2"/>
    <w:rsid w:val="00DC3D3E"/>
    <w:rsid w:val="00DE2C90"/>
    <w:rsid w:val="00DE3B24"/>
    <w:rsid w:val="00DE7863"/>
    <w:rsid w:val="00E06947"/>
    <w:rsid w:val="00E11319"/>
    <w:rsid w:val="00E21444"/>
    <w:rsid w:val="00E34072"/>
    <w:rsid w:val="00E3592D"/>
    <w:rsid w:val="00E50D76"/>
    <w:rsid w:val="00E8018B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92BED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386C7C"/>
  <w15:docId w15:val="{2B0112AF-C29C-4F1D-909B-443D21AB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3636BE"/>
    <w:pPr>
      <w:spacing w:before="0" w:after="240"/>
      <w:jc w:val="center"/>
    </w:pPr>
    <w:rPr>
      <w:noProof/>
    </w:r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A22CDB"/>
    <w:pPr>
      <w:framePr w:hSpace="181" w:wrap="around" w:vAnchor="page" w:hAnchor="page" w:x="1821" w:y="2314"/>
      <w:spacing w:before="840"/>
    </w:pPr>
    <w:rPr>
      <w:rFonts w:cstheme="minorHAnsi"/>
      <w:b/>
      <w:sz w:val="32"/>
      <w:szCs w:val="32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3636BE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6710F6"/>
    <w:pPr>
      <w:framePr w:wrap="around"/>
    </w:pPr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wrap="around"/>
      <w:spacing w:before="120" w:after="160"/>
    </w:pPr>
    <w:rPr>
      <w:caps w:val="0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8A16E3"/>
    <w:rPr>
      <w:rFonts w:ascii="Calibri" w:hAnsi="Calibri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139/es" TargetMode="External"/><Relationship Id="rId13" Type="http://schemas.openxmlformats.org/officeDocument/2006/relationships/hyperlink" Target="https://www.itu.int/md/S25-CWGSFP2-C-0007/e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itu.int/en/council/CWG-SFP-2028-2031/Pages/default.aspx" TargetMode="External"/><Relationship Id="rId12" Type="http://schemas.openxmlformats.org/officeDocument/2006/relationships/hyperlink" Target="https://www.itu.int/md/S25-CL-C-0029/es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5-CWGSFP2-C-0002/es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5-CWGSFP2-C-0013/e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S24-CL-C-0139/es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CWG-SFP-2028-2031/Pages/default.aspx" TargetMode="External"/><Relationship Id="rId14" Type="http://schemas.openxmlformats.org/officeDocument/2006/relationships/hyperlink" Target="https://www.itu.int/md/S24-CWGSFP1-C-0009/e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94C9-FC3A-4959-8FEC-75B22D93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4</TotalTime>
  <Pages>5</Pages>
  <Words>965</Words>
  <Characters>5856</Characters>
  <Application>Microsoft Office Word</Application>
  <DocSecurity>0</DocSecurity>
  <Lines>119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Informe sobre la marcha de los trabajos del Grupo de Trabajo del Consejo sobre los Planes Estratégico y Financiero para 2028-2031 (GTC-PEF)</vt:lpstr>
    </vt:vector>
  </TitlesOfParts>
  <Manager>Secretaría General - Pool</Manager>
  <Company>International Telecommunication Union</Company>
  <LinksUpToDate>false</LinksUpToDate>
  <CharactersWithSpaces>6771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marcha de los trabajos del Grupo de Trabajo del Consejo sobre los Planes Estratégico y Financiero para 2028-2031 (GTC-PEF)</dc:title>
  <dc:subject>Consejo 2025 de la UIT</dc:subject>
  <cp:keywords>C2025, C25, Council-25</cp:keywords>
  <dc:description/>
  <cp:lastPrinted>2006-03-24T09:51:00Z</cp:lastPrinted>
  <dcterms:created xsi:type="dcterms:W3CDTF">2025-04-17T17:27:00Z</dcterms:created>
  <dcterms:modified xsi:type="dcterms:W3CDTF">2025-04-17T17:31:00Z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