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616BF8" w:rsidRPr="00F34BF7" w14:paraId="6BD95498" w14:textId="77777777" w:rsidTr="00D72F49">
        <w:trPr>
          <w:cantSplit/>
          <w:trHeight w:val="23"/>
        </w:trPr>
        <w:tc>
          <w:tcPr>
            <w:tcW w:w="3969" w:type="dxa"/>
            <w:vMerge w:val="restart"/>
            <w:tcMar>
              <w:left w:w="0" w:type="dxa"/>
            </w:tcMar>
          </w:tcPr>
          <w:p w14:paraId="72F2963A" w14:textId="42B4EB3E" w:rsidR="00616BF8" w:rsidRPr="00F34BF7" w:rsidRDefault="00616BF8" w:rsidP="00616BF8">
            <w:pPr>
              <w:tabs>
                <w:tab w:val="left" w:pos="851"/>
              </w:tabs>
              <w:spacing w:before="0" w:line="240" w:lineRule="atLeast"/>
              <w:rPr>
                <w:b/>
              </w:rPr>
            </w:pPr>
            <w:r w:rsidRPr="00F34BF7">
              <w:rPr>
                <w:b/>
              </w:rPr>
              <w:t>Point de l'ordre du jour: PL-2</w:t>
            </w:r>
          </w:p>
        </w:tc>
        <w:tc>
          <w:tcPr>
            <w:tcW w:w="5245" w:type="dxa"/>
          </w:tcPr>
          <w:p w14:paraId="5F7A248E" w14:textId="58733F5B" w:rsidR="00616BF8" w:rsidRPr="00F34BF7" w:rsidRDefault="00616BF8" w:rsidP="00616BF8">
            <w:pPr>
              <w:tabs>
                <w:tab w:val="left" w:pos="851"/>
              </w:tabs>
              <w:spacing w:before="0" w:line="240" w:lineRule="atLeast"/>
              <w:jc w:val="right"/>
              <w:rPr>
                <w:b/>
              </w:rPr>
            </w:pPr>
            <w:r w:rsidRPr="00F34BF7">
              <w:rPr>
                <w:b/>
              </w:rPr>
              <w:t>Document C25/31-F</w:t>
            </w:r>
          </w:p>
        </w:tc>
      </w:tr>
      <w:tr w:rsidR="00616BF8" w:rsidRPr="00F34BF7" w14:paraId="240782D3" w14:textId="77777777" w:rsidTr="00D72F49">
        <w:trPr>
          <w:cantSplit/>
        </w:trPr>
        <w:tc>
          <w:tcPr>
            <w:tcW w:w="3969" w:type="dxa"/>
            <w:vMerge/>
          </w:tcPr>
          <w:p w14:paraId="0B8F3279" w14:textId="77777777" w:rsidR="00616BF8" w:rsidRPr="00F34BF7" w:rsidRDefault="00616BF8" w:rsidP="00616BF8">
            <w:pPr>
              <w:tabs>
                <w:tab w:val="left" w:pos="851"/>
              </w:tabs>
              <w:spacing w:line="240" w:lineRule="atLeast"/>
              <w:rPr>
                <w:b/>
              </w:rPr>
            </w:pPr>
          </w:p>
        </w:tc>
        <w:tc>
          <w:tcPr>
            <w:tcW w:w="5245" w:type="dxa"/>
          </w:tcPr>
          <w:p w14:paraId="0F900B20" w14:textId="32CC532F" w:rsidR="00616BF8" w:rsidRPr="00F34BF7" w:rsidRDefault="009D49D6" w:rsidP="00616BF8">
            <w:pPr>
              <w:tabs>
                <w:tab w:val="left" w:pos="851"/>
              </w:tabs>
              <w:spacing w:before="0"/>
              <w:jc w:val="right"/>
              <w:rPr>
                <w:b/>
              </w:rPr>
            </w:pPr>
            <w:r w:rsidRPr="00F34BF7">
              <w:rPr>
                <w:b/>
              </w:rPr>
              <w:t>17</w:t>
            </w:r>
            <w:r w:rsidR="00616BF8" w:rsidRPr="00F34BF7">
              <w:rPr>
                <w:b/>
              </w:rPr>
              <w:t xml:space="preserve"> avril 2025</w:t>
            </w:r>
          </w:p>
        </w:tc>
      </w:tr>
      <w:tr w:rsidR="00616BF8" w:rsidRPr="00F34BF7" w14:paraId="5C0CBEE1" w14:textId="77777777" w:rsidTr="00D72F49">
        <w:trPr>
          <w:cantSplit/>
          <w:trHeight w:val="23"/>
        </w:trPr>
        <w:tc>
          <w:tcPr>
            <w:tcW w:w="3969" w:type="dxa"/>
            <w:vMerge/>
          </w:tcPr>
          <w:p w14:paraId="4F3294F8" w14:textId="77777777" w:rsidR="00616BF8" w:rsidRPr="00F34BF7" w:rsidRDefault="00616BF8" w:rsidP="00616BF8">
            <w:pPr>
              <w:tabs>
                <w:tab w:val="left" w:pos="851"/>
              </w:tabs>
              <w:spacing w:line="240" w:lineRule="atLeast"/>
              <w:rPr>
                <w:b/>
              </w:rPr>
            </w:pPr>
          </w:p>
        </w:tc>
        <w:tc>
          <w:tcPr>
            <w:tcW w:w="5245" w:type="dxa"/>
          </w:tcPr>
          <w:p w14:paraId="6289D066" w14:textId="6F5FB61D" w:rsidR="00616BF8" w:rsidRPr="00F34BF7" w:rsidRDefault="00616BF8" w:rsidP="00616BF8">
            <w:pPr>
              <w:tabs>
                <w:tab w:val="left" w:pos="851"/>
              </w:tabs>
              <w:spacing w:before="0" w:line="240" w:lineRule="atLeast"/>
              <w:jc w:val="right"/>
              <w:rPr>
                <w:b/>
              </w:rPr>
            </w:pPr>
            <w:r w:rsidRPr="00F34BF7">
              <w:rPr>
                <w:b/>
              </w:rPr>
              <w:t>Original: anglais</w:t>
            </w:r>
          </w:p>
        </w:tc>
      </w:tr>
      <w:tr w:rsidR="00D72F49" w:rsidRPr="00F34BF7" w14:paraId="4CA0C297" w14:textId="77777777" w:rsidTr="00D72F49">
        <w:trPr>
          <w:cantSplit/>
          <w:trHeight w:val="23"/>
        </w:trPr>
        <w:tc>
          <w:tcPr>
            <w:tcW w:w="3969" w:type="dxa"/>
          </w:tcPr>
          <w:p w14:paraId="7003B82B" w14:textId="77777777" w:rsidR="00D72F49" w:rsidRPr="00F34BF7" w:rsidRDefault="00D72F49" w:rsidP="00D72F49">
            <w:pPr>
              <w:tabs>
                <w:tab w:val="left" w:pos="851"/>
              </w:tabs>
              <w:spacing w:line="240" w:lineRule="atLeast"/>
              <w:rPr>
                <w:b/>
              </w:rPr>
            </w:pPr>
          </w:p>
        </w:tc>
        <w:tc>
          <w:tcPr>
            <w:tcW w:w="5245" w:type="dxa"/>
          </w:tcPr>
          <w:p w14:paraId="59BD422E" w14:textId="77777777" w:rsidR="00D72F49" w:rsidRPr="00F34BF7" w:rsidRDefault="00D72F49" w:rsidP="00D72F49">
            <w:pPr>
              <w:tabs>
                <w:tab w:val="left" w:pos="851"/>
              </w:tabs>
              <w:spacing w:before="0" w:line="240" w:lineRule="atLeast"/>
              <w:jc w:val="right"/>
              <w:rPr>
                <w:b/>
              </w:rPr>
            </w:pPr>
          </w:p>
        </w:tc>
      </w:tr>
      <w:tr w:rsidR="00D72F49" w:rsidRPr="00F34BF7" w14:paraId="5353F9EE" w14:textId="77777777" w:rsidTr="00D72F49">
        <w:trPr>
          <w:cantSplit/>
        </w:trPr>
        <w:tc>
          <w:tcPr>
            <w:tcW w:w="9214" w:type="dxa"/>
            <w:gridSpan w:val="2"/>
            <w:tcMar>
              <w:left w:w="0" w:type="dxa"/>
            </w:tcMar>
          </w:tcPr>
          <w:p w14:paraId="4E55F990" w14:textId="096C95EE" w:rsidR="00D72F49" w:rsidRPr="00F34BF7" w:rsidRDefault="00616BF8" w:rsidP="00D72F49">
            <w:pPr>
              <w:pStyle w:val="Source"/>
              <w:jc w:val="left"/>
              <w:rPr>
                <w:sz w:val="34"/>
                <w:szCs w:val="34"/>
              </w:rPr>
            </w:pPr>
            <w:r w:rsidRPr="00F34BF7">
              <w:rPr>
                <w:rFonts w:cstheme="minorHAnsi"/>
                <w:color w:val="000000"/>
                <w:sz w:val="34"/>
                <w:szCs w:val="34"/>
              </w:rPr>
              <w:t>Rapport du Président du Groupe de travail du Conseil chargé d'élaborer le Plan stratégique et le Plan financier pour la période 2028-2031</w:t>
            </w:r>
          </w:p>
        </w:tc>
      </w:tr>
      <w:tr w:rsidR="00D72F49" w:rsidRPr="00F34BF7" w14:paraId="621C7041" w14:textId="77777777" w:rsidTr="00D72F49">
        <w:trPr>
          <w:cantSplit/>
        </w:trPr>
        <w:tc>
          <w:tcPr>
            <w:tcW w:w="9214" w:type="dxa"/>
            <w:gridSpan w:val="2"/>
            <w:tcMar>
              <w:left w:w="0" w:type="dxa"/>
            </w:tcMar>
          </w:tcPr>
          <w:p w14:paraId="57A7F986" w14:textId="66EECD29" w:rsidR="00D72F49" w:rsidRPr="00F34BF7" w:rsidRDefault="00F30B09" w:rsidP="00D72F49">
            <w:pPr>
              <w:pStyle w:val="Subtitle"/>
              <w:framePr w:hSpace="0" w:wrap="auto" w:hAnchor="text" w:xAlign="left" w:yAlign="inline"/>
              <w:rPr>
                <w:sz w:val="32"/>
                <w:szCs w:val="32"/>
                <w:lang w:val="fr-FR"/>
              </w:rPr>
            </w:pPr>
            <w:r w:rsidRPr="00F34BF7">
              <w:rPr>
                <w:rFonts w:cstheme="minorHAnsi"/>
                <w:sz w:val="32"/>
                <w:szCs w:val="32"/>
                <w:lang w:val="fr-FR"/>
              </w:rPr>
              <w:t>RAPPORT D'ACTIVITÉ DU GROUPE DE TRAVAIL DU CONSEIL CHARGÉ D'ÉLABORER LE PLAN STRATÉGIQUE ET LE PLAN FINANCIER POUR LA PÉRIODE 2028-2031 (</w:t>
            </w:r>
            <w:proofErr w:type="spellStart"/>
            <w:r w:rsidRPr="00F34BF7">
              <w:rPr>
                <w:rFonts w:cstheme="minorHAnsi"/>
                <w:sz w:val="32"/>
                <w:szCs w:val="32"/>
                <w:lang w:val="fr-FR"/>
              </w:rPr>
              <w:t>GTC</w:t>
            </w:r>
            <w:proofErr w:type="spellEnd"/>
            <w:r w:rsidRPr="00F34BF7">
              <w:rPr>
                <w:rFonts w:cstheme="minorHAnsi"/>
                <w:sz w:val="32"/>
                <w:szCs w:val="32"/>
                <w:lang w:val="fr-FR"/>
              </w:rPr>
              <w:t>-SFP)</w:t>
            </w:r>
          </w:p>
        </w:tc>
      </w:tr>
      <w:tr w:rsidR="00D72F49" w:rsidRPr="00F34BF7" w14:paraId="3898E0C8" w14:textId="77777777" w:rsidTr="00D72F49">
        <w:trPr>
          <w:cantSplit/>
        </w:trPr>
        <w:tc>
          <w:tcPr>
            <w:tcW w:w="9214" w:type="dxa"/>
            <w:gridSpan w:val="2"/>
            <w:tcBorders>
              <w:top w:val="single" w:sz="4" w:space="0" w:color="auto"/>
              <w:bottom w:val="single" w:sz="4" w:space="0" w:color="auto"/>
            </w:tcBorders>
            <w:tcMar>
              <w:left w:w="0" w:type="dxa"/>
            </w:tcMar>
          </w:tcPr>
          <w:p w14:paraId="780B6100" w14:textId="77777777" w:rsidR="00D72F49" w:rsidRPr="00F34BF7" w:rsidRDefault="00F37FE5" w:rsidP="00D72F49">
            <w:pPr>
              <w:spacing w:before="160"/>
              <w:rPr>
                <w:b/>
                <w:bCs/>
                <w:sz w:val="26"/>
                <w:szCs w:val="26"/>
              </w:rPr>
            </w:pPr>
            <w:r w:rsidRPr="00F34BF7">
              <w:rPr>
                <w:b/>
                <w:bCs/>
                <w:sz w:val="26"/>
                <w:szCs w:val="26"/>
              </w:rPr>
              <w:t>Objet</w:t>
            </w:r>
          </w:p>
          <w:p w14:paraId="679532B6" w14:textId="2104F2DD" w:rsidR="00D72F49" w:rsidRPr="00F34BF7" w:rsidRDefault="00616BF8" w:rsidP="00B837EE">
            <w:pPr>
              <w:jc w:val="both"/>
            </w:pPr>
            <w:r w:rsidRPr="00F34BF7">
              <w:t>Le présent rapport contient une description des progrès accompli</w:t>
            </w:r>
            <w:r w:rsidR="007A656D" w:rsidRPr="00F34BF7">
              <w:t>s</w:t>
            </w:r>
            <w:r w:rsidRPr="00F34BF7">
              <w:t xml:space="preserve"> par le Groupe de</w:t>
            </w:r>
            <w:r w:rsidR="00CD597A" w:rsidRPr="00F34BF7">
              <w:t xml:space="preserve"> </w:t>
            </w:r>
            <w:r w:rsidRPr="00F34BF7">
              <w:t>travail du Conseil chargé d'élaborer le plan stratégique et le plan financier pour la période 2028</w:t>
            </w:r>
            <w:r w:rsidR="007A656D" w:rsidRPr="00F34BF7">
              <w:noBreakHyphen/>
            </w:r>
            <w:r w:rsidRPr="00F34BF7">
              <w:t xml:space="preserve">2031 (GTC-SFP) depuis sa création par le Conseil à sa session </w:t>
            </w:r>
            <w:r w:rsidR="007A656D" w:rsidRPr="00F34BF7">
              <w:t xml:space="preserve">de </w:t>
            </w:r>
            <w:r w:rsidRPr="00F34BF7">
              <w:t>2024.</w:t>
            </w:r>
          </w:p>
          <w:p w14:paraId="61C757BE" w14:textId="77777777" w:rsidR="00D72F49" w:rsidRPr="00F34BF7" w:rsidRDefault="00D72F49" w:rsidP="00D72F49">
            <w:pPr>
              <w:spacing w:before="160"/>
              <w:rPr>
                <w:b/>
                <w:bCs/>
                <w:sz w:val="26"/>
                <w:szCs w:val="26"/>
              </w:rPr>
            </w:pPr>
            <w:r w:rsidRPr="00F34BF7">
              <w:rPr>
                <w:b/>
                <w:bCs/>
                <w:sz w:val="26"/>
                <w:szCs w:val="26"/>
              </w:rPr>
              <w:t>Suite à donner par le Conseil</w:t>
            </w:r>
          </w:p>
          <w:p w14:paraId="377DF5E1" w14:textId="66AEA2E6" w:rsidR="00D72F49" w:rsidRPr="00F34BF7" w:rsidRDefault="00616BF8" w:rsidP="00D72F49">
            <w:bookmarkStart w:id="0" w:name="_Hlk195704212"/>
            <w:r w:rsidRPr="00F34BF7">
              <w:t xml:space="preserve">Le Conseil est invité à </w:t>
            </w:r>
            <w:r w:rsidRPr="00F34BF7">
              <w:rPr>
                <w:b/>
                <w:bCs/>
              </w:rPr>
              <w:t>prendre note</w:t>
            </w:r>
            <w:r w:rsidRPr="00F34BF7">
              <w:t xml:space="preserve"> du présent rapport</w:t>
            </w:r>
            <w:bookmarkEnd w:id="0"/>
            <w:r w:rsidRPr="00F34BF7">
              <w:t>.</w:t>
            </w:r>
          </w:p>
          <w:p w14:paraId="764E9B1E" w14:textId="0E6ABCC6" w:rsidR="00D72F49" w:rsidRPr="00F34BF7" w:rsidRDefault="00D72F49" w:rsidP="00D72F49">
            <w:pPr>
              <w:spacing w:before="160"/>
              <w:rPr>
                <w:b/>
                <w:bCs/>
                <w:sz w:val="26"/>
                <w:szCs w:val="26"/>
              </w:rPr>
            </w:pPr>
            <w:r w:rsidRPr="00F34BF7">
              <w:rPr>
                <w:b/>
                <w:bCs/>
                <w:sz w:val="26"/>
                <w:szCs w:val="26"/>
              </w:rPr>
              <w:t xml:space="preserve">Liens pertinents avec le </w:t>
            </w:r>
            <w:r w:rsidR="00F37FE5" w:rsidRPr="00F34BF7">
              <w:rPr>
                <w:b/>
                <w:bCs/>
                <w:sz w:val="26"/>
                <w:szCs w:val="26"/>
              </w:rPr>
              <w:t>p</w:t>
            </w:r>
            <w:r w:rsidRPr="00F34BF7">
              <w:rPr>
                <w:b/>
                <w:bCs/>
                <w:sz w:val="26"/>
                <w:szCs w:val="26"/>
              </w:rPr>
              <w:t>lan stratégique</w:t>
            </w:r>
          </w:p>
          <w:p w14:paraId="40A1BAB2" w14:textId="72B90BD7" w:rsidR="00D72F49" w:rsidRPr="00F34BF7" w:rsidRDefault="00616BF8" w:rsidP="00D72F49">
            <w:r w:rsidRPr="00F34BF7">
              <w:t>Plan stratégique et Plan financier.</w:t>
            </w:r>
          </w:p>
          <w:p w14:paraId="17840E9E" w14:textId="77777777" w:rsidR="00E95647" w:rsidRPr="00F34BF7" w:rsidRDefault="00D72F49" w:rsidP="00D72F49">
            <w:pPr>
              <w:spacing w:before="160"/>
              <w:rPr>
                <w:b/>
                <w:bCs/>
                <w:sz w:val="26"/>
                <w:szCs w:val="26"/>
              </w:rPr>
            </w:pPr>
            <w:r w:rsidRPr="00F34BF7">
              <w:rPr>
                <w:b/>
                <w:bCs/>
                <w:sz w:val="26"/>
                <w:szCs w:val="26"/>
              </w:rPr>
              <w:t>Incidences financières</w:t>
            </w:r>
          </w:p>
          <w:p w14:paraId="40316F9B" w14:textId="61AA4A1B" w:rsidR="00D72F49" w:rsidRPr="00F34BF7" w:rsidRDefault="00616BF8" w:rsidP="00882919">
            <w:pPr>
              <w:rPr>
                <w:szCs w:val="24"/>
              </w:rPr>
            </w:pPr>
            <w:r w:rsidRPr="00F34BF7">
              <w:rPr>
                <w:szCs w:val="24"/>
              </w:rPr>
              <w:t>Les coûts sont couverts par le budget alloué pour la période 2024-2025.</w:t>
            </w:r>
          </w:p>
          <w:p w14:paraId="43936D97" w14:textId="77777777" w:rsidR="00D72F49" w:rsidRPr="00F34BF7" w:rsidRDefault="00D72F49" w:rsidP="00D72F49">
            <w:pPr>
              <w:spacing w:before="160"/>
              <w:rPr>
                <w:caps/>
                <w:sz w:val="22"/>
              </w:rPr>
            </w:pPr>
            <w:r w:rsidRPr="00F34BF7">
              <w:rPr>
                <w:sz w:val="22"/>
              </w:rPr>
              <w:t>__________________</w:t>
            </w:r>
          </w:p>
          <w:p w14:paraId="09E0235C" w14:textId="77777777" w:rsidR="00D72F49" w:rsidRPr="00F34BF7" w:rsidRDefault="00D72F49" w:rsidP="00D72F49">
            <w:pPr>
              <w:spacing w:before="160"/>
              <w:rPr>
                <w:b/>
                <w:bCs/>
                <w:sz w:val="26"/>
                <w:szCs w:val="26"/>
              </w:rPr>
            </w:pPr>
            <w:r w:rsidRPr="00F34BF7">
              <w:rPr>
                <w:b/>
                <w:bCs/>
                <w:sz w:val="26"/>
                <w:szCs w:val="26"/>
              </w:rPr>
              <w:t>Références</w:t>
            </w:r>
          </w:p>
          <w:p w14:paraId="76B92A4E" w14:textId="23AF8A84" w:rsidR="00D72F49" w:rsidRPr="00F30B09" w:rsidRDefault="00616BF8" w:rsidP="00D72F49">
            <w:pPr>
              <w:spacing w:after="160"/>
              <w:rPr>
                <w:i/>
                <w:iCs/>
                <w:sz w:val="22"/>
                <w:szCs w:val="22"/>
              </w:rPr>
            </w:pPr>
            <w:hyperlink r:id="rId6" w:anchor="/fr" w:history="1">
              <w:r w:rsidRPr="00F30B09">
                <w:rPr>
                  <w:rStyle w:val="Hyperlink"/>
                  <w:rFonts w:eastAsia="Times New Roman" w:cs="Times New Roman"/>
                  <w:i/>
                  <w:iCs/>
                  <w:sz w:val="22"/>
                </w:rPr>
                <w:t>Site web du GTC-SFP</w:t>
              </w:r>
            </w:hyperlink>
            <w:r w:rsidRPr="00F30B09">
              <w:rPr>
                <w:i/>
                <w:iCs/>
                <w:sz w:val="22"/>
                <w:szCs w:val="22"/>
              </w:rPr>
              <w:t xml:space="preserve">, Résolution </w:t>
            </w:r>
            <w:hyperlink r:id="rId7" w:history="1">
              <w:r w:rsidRPr="00F30B09">
                <w:rPr>
                  <w:rStyle w:val="Hyperlink"/>
                  <w:rFonts w:eastAsia="Times New Roman" w:cs="Times New Roman"/>
                  <w:i/>
                  <w:iCs/>
                  <w:sz w:val="22"/>
                </w:rPr>
                <w:t>1428 (C24)</w:t>
              </w:r>
            </w:hyperlink>
            <w:r w:rsidRPr="00F30B09">
              <w:rPr>
                <w:i/>
                <w:iCs/>
                <w:sz w:val="22"/>
                <w:szCs w:val="22"/>
              </w:rPr>
              <w:t xml:space="preserve"> du Conseil</w:t>
            </w:r>
          </w:p>
        </w:tc>
      </w:tr>
    </w:tbl>
    <w:p w14:paraId="40C694E1" w14:textId="77777777" w:rsidR="00A51849" w:rsidRPr="00F34BF7" w:rsidRDefault="00A51849">
      <w:pPr>
        <w:tabs>
          <w:tab w:val="clear" w:pos="567"/>
          <w:tab w:val="clear" w:pos="1134"/>
          <w:tab w:val="clear" w:pos="1701"/>
          <w:tab w:val="clear" w:pos="2268"/>
          <w:tab w:val="clear" w:pos="2835"/>
        </w:tabs>
        <w:overflowPunct/>
        <w:autoSpaceDE/>
        <w:autoSpaceDN/>
        <w:adjustRightInd/>
        <w:spacing w:before="0"/>
        <w:textAlignment w:val="auto"/>
      </w:pPr>
      <w:r w:rsidRPr="00F34BF7">
        <w:br w:type="page"/>
      </w:r>
    </w:p>
    <w:p w14:paraId="6574F3D5" w14:textId="77777777" w:rsidR="00616BF8" w:rsidRPr="00F34BF7" w:rsidRDefault="00616BF8" w:rsidP="00616BF8">
      <w:pPr>
        <w:pStyle w:val="Heading1"/>
      </w:pPr>
      <w:r w:rsidRPr="00F34BF7">
        <w:lastRenderedPageBreak/>
        <w:t>1</w:t>
      </w:r>
      <w:r w:rsidRPr="00F34BF7">
        <w:tab/>
        <w:t>Introduction</w:t>
      </w:r>
    </w:p>
    <w:p w14:paraId="52BB2970" w14:textId="3D850793" w:rsidR="00616BF8" w:rsidRPr="00F34BF7" w:rsidRDefault="00616BF8" w:rsidP="00B837EE">
      <w:pPr>
        <w:jc w:val="both"/>
      </w:pPr>
      <w:r w:rsidRPr="00F34BF7">
        <w:t xml:space="preserve">À sa session de 2024, le Conseil a décidé d'établir un </w:t>
      </w:r>
      <w:hyperlink r:id="rId8" w:anchor="/fr" w:history="1">
        <w:r w:rsidRPr="00F34BF7">
          <w:rPr>
            <w:rStyle w:val="Hyperlink"/>
            <w:rFonts w:eastAsia="Times New Roman" w:cs="Times New Roman"/>
            <w:szCs w:val="20"/>
          </w:rPr>
          <w:t>groupe de travail du Conseil chargé d'élaborer le projet de Plan stratégique et le projet de Plan financier</w:t>
        </w:r>
      </w:hyperlink>
      <w:r w:rsidRPr="00F34BF7">
        <w:t xml:space="preserve">, qui seront examinés par le Conseil à sa session de 2026 et présentés par ce dernier à la Conférence de plénipotentiaires qui se tiendra en 2026 (PP-26) (voir la Résolution </w:t>
      </w:r>
      <w:hyperlink r:id="rId9" w:history="1">
        <w:r w:rsidRPr="00F34BF7">
          <w:rPr>
            <w:rStyle w:val="Hyperlink"/>
            <w:rFonts w:eastAsia="Times New Roman" w:cs="Times New Roman"/>
            <w:szCs w:val="20"/>
          </w:rPr>
          <w:t>1428 (C24)</w:t>
        </w:r>
      </w:hyperlink>
      <w:r w:rsidRPr="00F34BF7">
        <w:t xml:space="preserve"> du Conseil).</w:t>
      </w:r>
    </w:p>
    <w:p w14:paraId="71319F93" w14:textId="0530C819" w:rsidR="00616BF8" w:rsidRPr="00F34BF7" w:rsidRDefault="00616BF8" w:rsidP="00B837EE">
      <w:pPr>
        <w:jc w:val="both"/>
      </w:pPr>
      <w:r w:rsidRPr="00F34BF7">
        <w:t xml:space="preserve">Le </w:t>
      </w:r>
      <w:r w:rsidR="007A656D" w:rsidRPr="00F34BF7">
        <w:t>g</w:t>
      </w:r>
      <w:r w:rsidRPr="00F34BF7">
        <w:t>roupe est placé sous la présidence de Mansour AI-Qurashi (Arabie saoudite) et comprend les Vice-Présidents suivants: M. Mulembwa Denis Munaku (Tanzanie), M.</w:t>
      </w:r>
      <w:r w:rsidR="007A656D" w:rsidRPr="00F34BF7">
        <w:t> </w:t>
      </w:r>
      <w:r w:rsidRPr="00F34BF7">
        <w:t>Kenji</w:t>
      </w:r>
      <w:r w:rsidR="007A656D" w:rsidRPr="00F34BF7">
        <w:t> </w:t>
      </w:r>
      <w:r w:rsidRPr="00F34BF7">
        <w:t>Kuramochi (Paraguay), Mme Maitha Al Jamri (Émirats arabes unis), M.</w:t>
      </w:r>
      <w:r w:rsidR="007A656D" w:rsidRPr="00F34BF7">
        <w:t> </w:t>
      </w:r>
      <w:r w:rsidRPr="00F34BF7">
        <w:t>Yi</w:t>
      </w:r>
      <w:r w:rsidR="007A656D" w:rsidRPr="00F34BF7">
        <w:t> </w:t>
      </w:r>
      <w:r w:rsidRPr="00F34BF7">
        <w:t>Lun</w:t>
      </w:r>
      <w:r w:rsidR="007A656D" w:rsidRPr="00F34BF7">
        <w:t> </w:t>
      </w:r>
      <w:r w:rsidRPr="00F34BF7">
        <w:t>(Chine), M. Bakhtjan Smanov (Ouzbékistan) et M. Rafał Bartoszewski (Pologne).</w:t>
      </w:r>
    </w:p>
    <w:p w14:paraId="17C3CE34" w14:textId="139F1ECD" w:rsidR="00616BF8" w:rsidRPr="00F34BF7" w:rsidRDefault="00616BF8" w:rsidP="00B837EE">
      <w:pPr>
        <w:jc w:val="both"/>
      </w:pPr>
      <w:r w:rsidRPr="00F34BF7">
        <w:t xml:space="preserve">Depuis son établissement, le </w:t>
      </w:r>
      <w:r w:rsidR="007A656D" w:rsidRPr="00F34BF7">
        <w:t>g</w:t>
      </w:r>
      <w:r w:rsidRPr="00F34BF7">
        <w:t>roupe, qui est ouvert à la participation de tous les États</w:t>
      </w:r>
      <w:r w:rsidR="007A656D" w:rsidRPr="00F34BF7">
        <w:t> </w:t>
      </w:r>
      <w:r w:rsidRPr="00F34BF7">
        <w:t>Membres et Membres de Secteur, a tenu deux réunions, la première les 10 et 11</w:t>
      </w:r>
      <w:r w:rsidR="007A656D" w:rsidRPr="00F34BF7">
        <w:t> </w:t>
      </w:r>
      <w:r w:rsidRPr="00F34BF7">
        <w:t>octobre 2024 et la deuxième les 20 et 21 février 2025.</w:t>
      </w:r>
    </w:p>
    <w:p w14:paraId="4DCA67D9" w14:textId="77777777" w:rsidR="00616BF8" w:rsidRPr="00F34BF7" w:rsidRDefault="00616BF8" w:rsidP="00616BF8">
      <w:pPr>
        <w:pStyle w:val="Heading1"/>
      </w:pPr>
      <w:r w:rsidRPr="00F34BF7">
        <w:t>2</w:t>
      </w:r>
      <w:r w:rsidRPr="00F34BF7">
        <w:tab/>
        <w:t>Activités du GTC-SFP</w:t>
      </w:r>
    </w:p>
    <w:p w14:paraId="68FECA32" w14:textId="01D0380D" w:rsidR="00616BF8" w:rsidRPr="00F34BF7" w:rsidRDefault="00616BF8" w:rsidP="00B837EE">
      <w:pPr>
        <w:jc w:val="both"/>
      </w:pPr>
      <w:r w:rsidRPr="00F34BF7">
        <w:t xml:space="preserve">Conformément au mandat de son </w:t>
      </w:r>
      <w:r w:rsidR="00A431C6" w:rsidRPr="00F34BF7">
        <w:t>g</w:t>
      </w:r>
      <w:r w:rsidRPr="00F34BF7">
        <w:t>roupe, le Président du GTC-SFP souhaite informer le Conseil, à sa session de 2025, des travaux en cours:</w:t>
      </w:r>
    </w:p>
    <w:p w14:paraId="119FBC41" w14:textId="79077B92" w:rsidR="00616BF8" w:rsidRPr="00F34BF7" w:rsidRDefault="00616BF8" w:rsidP="00B837EE">
      <w:pPr>
        <w:pStyle w:val="enumlev1"/>
        <w:jc w:val="both"/>
      </w:pPr>
      <w:r w:rsidRPr="00F34BF7">
        <w:t>a)</w:t>
      </w:r>
      <w:r w:rsidRPr="00F34BF7">
        <w:tab/>
        <w:t xml:space="preserve">Le </w:t>
      </w:r>
      <w:r w:rsidR="00A431C6" w:rsidRPr="00F34BF7">
        <w:t>g</w:t>
      </w:r>
      <w:r w:rsidRPr="00F34BF7">
        <w:t>roupe a défini un calendrier pour mener à bien les tâches qui lui ont été confiées (voir l'</w:t>
      </w:r>
      <w:r w:rsidR="00A431C6" w:rsidRPr="00F34BF7">
        <w:t>a</w:t>
      </w:r>
      <w:r w:rsidRPr="00F34BF7">
        <w:t>nnexe). En conséquence, les groupes consultatifs des Secteurs et le Groupe de travail du Conseil sur les ressources financières et les ressources humaines (GTC-FHR) ont été informés et invités à prendre part et à contribuer au processus.</w:t>
      </w:r>
    </w:p>
    <w:p w14:paraId="3805C628" w14:textId="2FFEBCC0" w:rsidR="00616BF8" w:rsidRPr="00F34BF7" w:rsidRDefault="00616BF8" w:rsidP="00B837EE">
      <w:pPr>
        <w:pStyle w:val="enumlev1"/>
        <w:jc w:val="both"/>
      </w:pPr>
      <w:r w:rsidRPr="00F34BF7">
        <w:t>b)</w:t>
      </w:r>
      <w:r w:rsidRPr="00F34BF7">
        <w:tab/>
        <w:t xml:space="preserve">En ce qui concerne l'élaboration du projet de Plan stratégique et du projet de Plan financier, le </w:t>
      </w:r>
      <w:r w:rsidR="00A431C6" w:rsidRPr="00F34BF7">
        <w:t>g</w:t>
      </w:r>
      <w:r w:rsidRPr="00F34BF7">
        <w:t xml:space="preserve">roupe a mené une consultation en ligne afin de rassembler des informations sur les plans existants et des propositions d'amélioration. Les résultats ont été présentés dans le Document </w:t>
      </w:r>
      <w:hyperlink r:id="rId10" w:history="1">
        <w:r w:rsidRPr="00F34BF7">
          <w:rPr>
            <w:rStyle w:val="Hyperlink"/>
          </w:rPr>
          <w:t>CWG-SFP-2/2</w:t>
        </w:r>
      </w:hyperlink>
      <w:r w:rsidRPr="00F34BF7">
        <w:t xml:space="preserve">. Le </w:t>
      </w:r>
      <w:r w:rsidR="00A431C6" w:rsidRPr="00F34BF7">
        <w:t>g</w:t>
      </w:r>
      <w:r w:rsidRPr="00F34BF7">
        <w:t>roupe a en outre examiné les éléments à prendre en compte pour la partie Analyse de la situation, qui est une composante essentielle guidant l'élaboration des nouveaux plans.</w:t>
      </w:r>
    </w:p>
    <w:p w14:paraId="508FBD61" w14:textId="2B30EB73" w:rsidR="00616BF8" w:rsidRPr="00F34BF7" w:rsidRDefault="00616BF8" w:rsidP="00B837EE">
      <w:pPr>
        <w:pStyle w:val="enumlev1"/>
        <w:jc w:val="both"/>
      </w:pPr>
      <w:r w:rsidRPr="00F34BF7">
        <w:tab/>
        <w:t xml:space="preserve">En outre, en vue de proposer des solutions pour établir un lien entre les projets de Plans stratégique et financier d'une part et les plans opérationnels et les budgets biennaux d'autre part, et conformément aux principes de la gestion et de la budgétisation axées sur les résultats, le </w:t>
      </w:r>
      <w:r w:rsidR="00A431C6" w:rsidRPr="00F34BF7">
        <w:t>g</w:t>
      </w:r>
      <w:r w:rsidRPr="00F34BF7">
        <w:t>roupe a invité des experts de l'UNESCO et de l'ONUDI à présenter leur expérience. Ces experts ont animé un atelier de 3 heures sur la planification stratégique, en se concentrant en particulier sur les concepts et processus de la gestion axée sur les résultats applicables au Plan stratégique et au Plan financier de l'UIT.</w:t>
      </w:r>
    </w:p>
    <w:p w14:paraId="35610BB4" w14:textId="76D094AC" w:rsidR="00616BF8" w:rsidRPr="00F34BF7" w:rsidRDefault="00616BF8" w:rsidP="00B837EE">
      <w:pPr>
        <w:pStyle w:val="enumlev1"/>
        <w:jc w:val="both"/>
      </w:pPr>
      <w:r w:rsidRPr="00F34BF7">
        <w:tab/>
        <w:t>Fort de tous les éléments reçus, y compris les contributions soumises par les États</w:t>
      </w:r>
      <w:r w:rsidR="00D341AD" w:rsidRPr="00F34BF7">
        <w:t> </w:t>
      </w:r>
      <w:r w:rsidRPr="00F34BF7">
        <w:t xml:space="preserve">Membres et le Groupe consultatif de la normalisation des télécommunications (GCNT), le </w:t>
      </w:r>
      <w:r w:rsidR="00D341AD" w:rsidRPr="00F34BF7">
        <w:t>g</w:t>
      </w:r>
      <w:r w:rsidRPr="00F34BF7">
        <w:t>roupe a chargé le secrétariat d'élaborer un premier projet de cadre et de cibles destinés au Plan stratégique, ainsi qu'un projet d'analyse de la situation pour la prochaine réunion prévue en septembre 2025.</w:t>
      </w:r>
    </w:p>
    <w:p w14:paraId="670ACD95" w14:textId="6C6A1687" w:rsidR="00616BF8" w:rsidRPr="00F34BF7" w:rsidRDefault="00616BF8" w:rsidP="00B837EE">
      <w:pPr>
        <w:pStyle w:val="enumlev1"/>
        <w:jc w:val="both"/>
      </w:pPr>
      <w:r w:rsidRPr="00F34BF7">
        <w:t>c)</w:t>
      </w:r>
      <w:r w:rsidRPr="00F34BF7">
        <w:tab/>
        <w:t xml:space="preserve">En ce qui concerne le travail de mise en correspondance des Résolutions et des Décisions en vue d'harmoniser les résultats de la Conférence de plénipotentiaires, le </w:t>
      </w:r>
      <w:r w:rsidR="00D341AD" w:rsidRPr="00F34BF7">
        <w:t>g</w:t>
      </w:r>
      <w:r w:rsidRPr="00F34BF7">
        <w:t xml:space="preserve">roupe a discuté de l'élaboration de lignes directrices non obligatoires destinée aux États Membres, lesquels pourraient s'y référer lorsqu'ils procèdent à la révision et/ou à l'élaboration de résolutions et de décisions en vue de la PP-26. Cette proposition de </w:t>
      </w:r>
      <w:r w:rsidRPr="00F34BF7">
        <w:lastRenderedPageBreak/>
        <w:t xml:space="preserve">lignes directrices est présentée pour examen au Conseil à sa session de 2025 dans le Document </w:t>
      </w:r>
      <w:hyperlink r:id="rId11" w:history="1">
        <w:r w:rsidRPr="00F34BF7">
          <w:rPr>
            <w:rStyle w:val="Hyperlink"/>
          </w:rPr>
          <w:t>C25/29</w:t>
        </w:r>
      </w:hyperlink>
      <w:r w:rsidRPr="00F34BF7">
        <w:t>.</w:t>
      </w:r>
    </w:p>
    <w:p w14:paraId="247DBB20" w14:textId="77777777" w:rsidR="00616BF8" w:rsidRPr="00F34BF7" w:rsidRDefault="00616BF8" w:rsidP="00B837EE">
      <w:pPr>
        <w:pStyle w:val="enumlev1"/>
        <w:jc w:val="both"/>
      </w:pPr>
      <w:r w:rsidRPr="00F34BF7">
        <w:tab/>
        <w:t>Le GTC-SFP a en outre souligné qu'il est important de suivre et de présenter la mise en œuvre des résolutions/décisions à intervalles réguliers afin de permettre des décisions éclairées concernant l'harmonisation.</w:t>
      </w:r>
    </w:p>
    <w:p w14:paraId="068086FB" w14:textId="6CDBA235" w:rsidR="00616BF8" w:rsidRPr="00F34BF7" w:rsidRDefault="00616BF8" w:rsidP="00B837EE">
      <w:pPr>
        <w:pStyle w:val="enumlev1"/>
        <w:jc w:val="both"/>
      </w:pPr>
      <w:r w:rsidRPr="00F34BF7">
        <w:t>d)</w:t>
      </w:r>
      <w:r w:rsidRPr="00F34BF7">
        <w:tab/>
        <w:t xml:space="preserve">Le GTC-SFP a également été chargé de formuler une recommandation à l'intention du Conseil, à la présente session, au sujet du montant préliminaire de l'unité contributive. Le secrétariat a présenté le </w:t>
      </w:r>
      <w:r w:rsidR="00C4335B" w:rsidRPr="00F34BF7">
        <w:t>D</w:t>
      </w:r>
      <w:r w:rsidRPr="00F34BF7">
        <w:t xml:space="preserve">ocument </w:t>
      </w:r>
      <w:hyperlink r:id="rId12" w:history="1">
        <w:r w:rsidRPr="00F34BF7">
          <w:rPr>
            <w:rStyle w:val="Hyperlink"/>
          </w:rPr>
          <w:t>CWG-SFP-2/7</w:t>
        </w:r>
      </w:hyperlink>
      <w:r w:rsidRPr="00F34BF7">
        <w:t xml:space="preserve">, dans lequel il est proposé d'augmenter le montant de l'unité contributive. Les </w:t>
      </w:r>
      <w:r w:rsidR="00D341AD" w:rsidRPr="00F34BF7">
        <w:t>M</w:t>
      </w:r>
      <w:r w:rsidRPr="00F34BF7">
        <w:t>embres ont fait part de préoccupations, évoquant l'instabilité économique mondiale et des contraintes financières dans leurs pays respectifs, et ont suggéré d'étudier d'autres options telles que l'optimisation des coûts, l'amélioration de l'efficacité budgétaire et la mise en place de recettes supplémentaires. Il a été souligné qu'une présentation détaillée et transparente du budget est nécessaire afin de faciliter la prise de décisions éclairées.</w:t>
      </w:r>
    </w:p>
    <w:p w14:paraId="0BC7022F" w14:textId="4537C1B1" w:rsidR="00616BF8" w:rsidRPr="00F34BF7" w:rsidRDefault="00616BF8" w:rsidP="00B837EE">
      <w:pPr>
        <w:pStyle w:val="enumlev1"/>
        <w:jc w:val="both"/>
      </w:pPr>
      <w:r w:rsidRPr="00F34BF7">
        <w:tab/>
        <w:t xml:space="preserve">Le </w:t>
      </w:r>
      <w:r w:rsidR="00D341AD" w:rsidRPr="00F34BF7">
        <w:t>g</w:t>
      </w:r>
      <w:r w:rsidRPr="00F34BF7">
        <w:t>roupe a demandé au secrétariat de fournir davantage d'informations sur la situation financière et son lien avec le montant de l'unité contributive à la session de</w:t>
      </w:r>
      <w:r w:rsidR="00D341AD" w:rsidRPr="00F34BF7">
        <w:t> </w:t>
      </w:r>
      <w:r w:rsidRPr="00F34BF7">
        <w:t>2025 du Conseil, compte également tenu de la nécessité de disposer d'un mécanisme et de critères fiables pour établir le montant de l'unité contributive.</w:t>
      </w:r>
    </w:p>
    <w:p w14:paraId="6CAB84FC" w14:textId="77777777" w:rsidR="00616BF8" w:rsidRPr="00F34BF7" w:rsidRDefault="00616BF8" w:rsidP="00B837EE">
      <w:pPr>
        <w:jc w:val="both"/>
      </w:pPr>
      <w:r w:rsidRPr="00F34BF7">
        <w:t xml:space="preserve">Des informations détaillées sur les travaux du GTC-SFP sont disponibles dans le </w:t>
      </w:r>
      <w:hyperlink r:id="rId13" w:history="1">
        <w:r w:rsidRPr="00F34BF7">
          <w:rPr>
            <w:rStyle w:val="Hyperlink"/>
          </w:rPr>
          <w:t>rapport de sa première réunion</w:t>
        </w:r>
      </w:hyperlink>
      <w:r w:rsidRPr="00F34BF7">
        <w:t xml:space="preserve"> et dans le </w:t>
      </w:r>
      <w:hyperlink r:id="rId14" w:history="1">
        <w:r w:rsidRPr="00F34BF7">
          <w:rPr>
            <w:rStyle w:val="Hyperlink"/>
          </w:rPr>
          <w:t>rapport de sa deuxième réunion</w:t>
        </w:r>
      </w:hyperlink>
      <w:r w:rsidRPr="00F34BF7">
        <w:t>.</w:t>
      </w:r>
    </w:p>
    <w:p w14:paraId="0B19B56E" w14:textId="77777777" w:rsidR="00616BF8" w:rsidRPr="00F34BF7" w:rsidRDefault="00616BF8" w:rsidP="00616BF8">
      <w:pPr>
        <w:pStyle w:val="Heading1"/>
      </w:pPr>
      <w:r w:rsidRPr="00F34BF7">
        <w:t>3</w:t>
      </w:r>
      <w:r w:rsidRPr="00F34BF7">
        <w:tab/>
        <w:t>Conclusion</w:t>
      </w:r>
    </w:p>
    <w:p w14:paraId="7451F66E" w14:textId="77777777" w:rsidR="00616BF8" w:rsidRPr="00F34BF7" w:rsidRDefault="00616BF8" w:rsidP="00616BF8">
      <w:r w:rsidRPr="00F34BF7">
        <w:t>Le Conseil est invité à prendre note du présent rapport.</w:t>
      </w:r>
    </w:p>
    <w:p w14:paraId="0767C004" w14:textId="3737552B" w:rsidR="00616BF8" w:rsidRPr="00F34BF7" w:rsidRDefault="00D341AD" w:rsidP="00B837EE">
      <w:pPr>
        <w:jc w:val="both"/>
      </w:pPr>
      <w:r w:rsidRPr="00F34BF7">
        <w:t>A</w:t>
      </w:r>
      <w:r w:rsidR="00616BF8" w:rsidRPr="00F34BF7">
        <w:t xml:space="preserve">u nom du GTC-SFP, le Président remercie personnellement tous les États Membres de l'UIT et les Membres de Secteur ayant présenté des contributions et participé aux travaux du </w:t>
      </w:r>
      <w:r w:rsidRPr="00F34BF7">
        <w:t>g</w:t>
      </w:r>
      <w:r w:rsidR="00616BF8" w:rsidRPr="00F34BF7">
        <w:t xml:space="preserve">roupe, les </w:t>
      </w:r>
      <w:r w:rsidRPr="00F34BF7">
        <w:t>v</w:t>
      </w:r>
      <w:r w:rsidR="00616BF8" w:rsidRPr="00F34BF7">
        <w:t>ice-</w:t>
      </w:r>
      <w:r w:rsidRPr="00F34BF7">
        <w:t>p</w:t>
      </w:r>
      <w:r w:rsidR="00616BF8" w:rsidRPr="00F34BF7">
        <w:t>résidents et le secrétariat pour leur aide efficace pendant les première et deuxième réunions du</w:t>
      </w:r>
      <w:r w:rsidRPr="00F34BF7">
        <w:t xml:space="preserve"> g</w:t>
      </w:r>
      <w:r w:rsidR="00616BF8" w:rsidRPr="00F34BF7">
        <w:t>roupe.</w:t>
      </w:r>
    </w:p>
    <w:p w14:paraId="323E1C37" w14:textId="77777777" w:rsidR="00616BF8" w:rsidRPr="00F34BF7" w:rsidRDefault="00616BF8" w:rsidP="00D341AD">
      <w:pPr>
        <w:tabs>
          <w:tab w:val="clear" w:pos="567"/>
          <w:tab w:val="clear" w:pos="1134"/>
          <w:tab w:val="clear" w:pos="1701"/>
          <w:tab w:val="clear" w:pos="2268"/>
          <w:tab w:val="clear" w:pos="2835"/>
          <w:tab w:val="center" w:pos="7088"/>
        </w:tabs>
        <w:spacing w:before="840"/>
        <w:rPr>
          <w:rFonts w:asciiTheme="minorHAnsi" w:hAnsiTheme="minorHAnsi" w:cstheme="minorHAnsi"/>
        </w:rPr>
      </w:pPr>
      <w:r w:rsidRPr="00F34BF7">
        <w:tab/>
        <w:t>Mansour AL-QURASHI</w:t>
      </w:r>
      <w:r w:rsidRPr="00F34BF7">
        <w:br/>
      </w:r>
      <w:r w:rsidRPr="00F34BF7">
        <w:rPr>
          <w:rFonts w:asciiTheme="minorHAnsi" w:hAnsiTheme="minorHAnsi" w:cstheme="minorHAnsi"/>
        </w:rPr>
        <w:tab/>
      </w:r>
      <w:r w:rsidRPr="00F34BF7">
        <w:t>Président du GTC-SFP</w:t>
      </w:r>
    </w:p>
    <w:p w14:paraId="13CD3DC1" w14:textId="77777777" w:rsidR="00616BF8" w:rsidRPr="00F34BF7" w:rsidRDefault="00616BF8" w:rsidP="00616BF8">
      <w:pPr>
        <w:spacing w:before="1440"/>
        <w:rPr>
          <w:i/>
          <w:iCs/>
        </w:rPr>
      </w:pPr>
      <w:r w:rsidRPr="00F34BF7">
        <w:rPr>
          <w:b/>
          <w:bCs/>
          <w:i/>
          <w:iCs/>
        </w:rPr>
        <w:t xml:space="preserve">Annexe: </w:t>
      </w:r>
      <w:r w:rsidRPr="00F34BF7">
        <w:rPr>
          <w:i/>
          <w:iCs/>
        </w:rPr>
        <w:t>1</w:t>
      </w:r>
    </w:p>
    <w:p w14:paraId="0B0A9390" w14:textId="77777777" w:rsidR="00C4335B" w:rsidRPr="00F34BF7" w:rsidRDefault="00C4335B" w:rsidP="00616BF8">
      <w:pPr>
        <w:spacing w:before="1440"/>
        <w:rPr>
          <w:b/>
          <w:bCs/>
          <w:i/>
          <w:iCs/>
        </w:rPr>
      </w:pPr>
    </w:p>
    <w:p w14:paraId="59948C60" w14:textId="77777777" w:rsidR="00D341AD" w:rsidRPr="00F34BF7" w:rsidRDefault="00D341AD" w:rsidP="006A11AE">
      <w:pPr>
        <w:sectPr w:rsidR="00D341AD" w:rsidRPr="00F34BF7" w:rsidSect="00D72F49">
          <w:headerReference w:type="even" r:id="rId15"/>
          <w:footerReference w:type="even" r:id="rId16"/>
          <w:footerReference w:type="default" r:id="rId17"/>
          <w:headerReference w:type="first" r:id="rId18"/>
          <w:footerReference w:type="first" r:id="rId19"/>
          <w:pgSz w:w="11907" w:h="16840" w:code="9"/>
          <w:pgMar w:top="1418" w:right="1418" w:bottom="1418" w:left="1418" w:header="720" w:footer="720" w:gutter="0"/>
          <w:paperSrc w:first="286" w:other="286"/>
          <w:cols w:space="720"/>
          <w:titlePg/>
        </w:sectPr>
      </w:pPr>
    </w:p>
    <w:p w14:paraId="1D4A5C06" w14:textId="54DCFAA8" w:rsidR="006A11AE" w:rsidRPr="00F34BF7" w:rsidRDefault="00126EBD" w:rsidP="00381E1F">
      <w:pPr>
        <w:pStyle w:val="AnnexNo"/>
        <w:spacing w:before="120"/>
      </w:pPr>
      <w:r w:rsidRPr="00F34BF7">
        <w:lastRenderedPageBreak/>
        <w:t>ANNEXE</w:t>
      </w:r>
    </w:p>
    <w:p w14:paraId="48B91551" w14:textId="2B298F57" w:rsidR="006A11AE" w:rsidRPr="00F34BF7" w:rsidRDefault="00381E1F" w:rsidP="00381E1F">
      <w:r w:rsidRPr="00F34BF7">
        <w:rPr>
          <w:noProof/>
        </w:rPr>
        <w:drawing>
          <wp:inline distT="0" distB="0" distL="0" distR="0" wp14:anchorId="0179CA62" wp14:editId="6A831BC3">
            <wp:extent cx="9466117" cy="5324690"/>
            <wp:effectExtent l="0" t="0" r="1905" b="9525"/>
            <wp:docPr id="134441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94879" cy="5340869"/>
                    </a:xfrm>
                    <a:prstGeom prst="rect">
                      <a:avLst/>
                    </a:prstGeom>
                    <a:noFill/>
                  </pic:spPr>
                </pic:pic>
              </a:graphicData>
            </a:graphic>
          </wp:inline>
        </w:drawing>
      </w:r>
    </w:p>
    <w:p w14:paraId="4BF17FBE" w14:textId="673C944B" w:rsidR="00381E1F" w:rsidRPr="00F34BF7" w:rsidRDefault="00381E1F" w:rsidP="00381E1F">
      <w:r w:rsidRPr="00F34BF7">
        <w:rPr>
          <w:noProof/>
        </w:rPr>
        <w:lastRenderedPageBreak/>
        <w:drawing>
          <wp:inline distT="0" distB="0" distL="0" distR="0" wp14:anchorId="7DFE9B03" wp14:editId="60DD369D">
            <wp:extent cx="9569568" cy="5382883"/>
            <wp:effectExtent l="0" t="0" r="0" b="8890"/>
            <wp:docPr id="6885790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93800" cy="5396514"/>
                    </a:xfrm>
                    <a:prstGeom prst="rect">
                      <a:avLst/>
                    </a:prstGeom>
                    <a:noFill/>
                  </pic:spPr>
                </pic:pic>
              </a:graphicData>
            </a:graphic>
          </wp:inline>
        </w:drawing>
      </w:r>
    </w:p>
    <w:p w14:paraId="7F7394AC" w14:textId="77777777" w:rsidR="00897553" w:rsidRPr="00F34BF7" w:rsidRDefault="006A11AE" w:rsidP="006A11AE">
      <w:pPr>
        <w:jc w:val="center"/>
      </w:pPr>
      <w:r w:rsidRPr="00F34BF7">
        <w:t>______________</w:t>
      </w:r>
    </w:p>
    <w:sectPr w:rsidR="00897553" w:rsidRPr="00F34BF7" w:rsidSect="004A6A21">
      <w:footerReference w:type="default" r:id="rId22"/>
      <w:headerReference w:type="first" r:id="rId23"/>
      <w:footerReference w:type="first" r:id="rId24"/>
      <w:pgSz w:w="16840" w:h="11907" w:orient="landscape" w:code="9"/>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34B8" w14:textId="77777777" w:rsidR="00616BF8" w:rsidRDefault="00616BF8">
      <w:r>
        <w:separator/>
      </w:r>
    </w:p>
  </w:endnote>
  <w:endnote w:type="continuationSeparator" w:id="0">
    <w:p w14:paraId="49F962A2" w14:textId="77777777" w:rsidR="00616BF8" w:rsidRDefault="0061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C413" w14:textId="1BCA26AD" w:rsidR="00732045" w:rsidRPr="00523ACC" w:rsidRDefault="00E47427">
    <w:pPr>
      <w:pStyle w:val="Footer"/>
      <w:rPr>
        <w:lang w:val="en-US"/>
      </w:rPr>
    </w:pPr>
    <w:r>
      <w:fldChar w:fldCharType="begin"/>
    </w:r>
    <w:r w:rsidRPr="00523ACC">
      <w:rPr>
        <w:lang w:val="en-US"/>
      </w:rPr>
      <w:instrText xml:space="preserve"> FILENAME \p \* MERGEFORMAT </w:instrText>
    </w:r>
    <w:r>
      <w:fldChar w:fldCharType="separate"/>
    </w:r>
    <w:r w:rsidR="00523ACC">
      <w:rPr>
        <w:lang w:val="en-US"/>
      </w:rPr>
      <w:t>P:\FRA\gDoc\SG\C25\2500950F.docx</w:t>
    </w:r>
    <w:r>
      <w:fldChar w:fldCharType="end"/>
    </w:r>
    <w:r w:rsidR="00732045" w:rsidRPr="00523ACC">
      <w:rPr>
        <w:lang w:val="en-US"/>
      </w:rPr>
      <w:tab/>
    </w:r>
    <w:r w:rsidR="002F1B76">
      <w:fldChar w:fldCharType="begin"/>
    </w:r>
    <w:r w:rsidR="00732045">
      <w:instrText xml:space="preserve"> savedate \@ dd.MM.yy </w:instrText>
    </w:r>
    <w:r w:rsidR="002F1B76">
      <w:fldChar w:fldCharType="separate"/>
    </w:r>
    <w:r w:rsidR="00F30B09">
      <w:t>17.04.25</w:t>
    </w:r>
    <w:r w:rsidR="002F1B76">
      <w:fldChar w:fldCharType="end"/>
    </w:r>
    <w:r w:rsidR="00732045" w:rsidRPr="00523ACC">
      <w:rPr>
        <w:lang w:val="en-US"/>
      </w:rPr>
      <w:tab/>
    </w:r>
    <w:r w:rsidR="002F1B76">
      <w:fldChar w:fldCharType="begin"/>
    </w:r>
    <w:r w:rsidR="00732045">
      <w:instrText xml:space="preserve"> printdate \@ dd.MM.yy </w:instrText>
    </w:r>
    <w:r w:rsidR="002F1B76">
      <w:fldChar w:fldCharType="separate"/>
    </w:r>
    <w:r w:rsidR="00523ACC">
      <w:t>18.07.00</w:t>
    </w:r>
    <w:r w:rsidR="002F1B76">
      <w:fldChar w:fldCharType="end"/>
    </w:r>
  </w:p>
  <w:p w14:paraId="435BDDCF" w14:textId="77777777" w:rsidR="00CD597A" w:rsidRPr="00523ACC" w:rsidRDefault="00CD597A">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FBEE46D" w14:textId="77777777" w:rsidTr="00E31DCE">
      <w:trPr>
        <w:jc w:val="center"/>
      </w:trPr>
      <w:tc>
        <w:tcPr>
          <w:tcW w:w="1803" w:type="dxa"/>
          <w:vAlign w:val="center"/>
        </w:tcPr>
        <w:p w14:paraId="3D8389F4" w14:textId="60A34149" w:rsidR="00A51849" w:rsidRDefault="00616BF8" w:rsidP="00A51849">
          <w:pPr>
            <w:pStyle w:val="Header"/>
            <w:jc w:val="left"/>
            <w:rPr>
              <w:noProof/>
            </w:rPr>
          </w:pPr>
          <w:r>
            <w:rPr>
              <w:noProof/>
            </w:rPr>
            <w:t>2500950</w:t>
          </w:r>
        </w:p>
      </w:tc>
      <w:tc>
        <w:tcPr>
          <w:tcW w:w="8261" w:type="dxa"/>
        </w:tcPr>
        <w:p w14:paraId="7A502596" w14:textId="28C1793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616BF8">
            <w:rPr>
              <w:bCs/>
            </w:rPr>
            <w:t>31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94E0A09"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A6A21" w:rsidRPr="00784011" w14:paraId="255D4399" w14:textId="77777777" w:rsidTr="004A6A21">
      <w:trPr>
        <w:jc w:val="center"/>
      </w:trPr>
      <w:tc>
        <w:tcPr>
          <w:tcW w:w="1803" w:type="dxa"/>
          <w:vAlign w:val="center"/>
        </w:tcPr>
        <w:p w14:paraId="7778B7AA" w14:textId="77777777" w:rsidR="004A6A21" w:rsidRPr="00FC6D7D" w:rsidRDefault="004A6A21" w:rsidP="004A6A21">
          <w:pPr>
            <w:pStyle w:val="Header"/>
            <w:jc w:val="left"/>
            <w:rPr>
              <w:noProof/>
              <w:color w:val="0563C1"/>
            </w:rPr>
          </w:pPr>
          <w:hyperlink r:id="rId1" w:history="1">
            <w:r w:rsidRPr="00FC6D7D">
              <w:rPr>
                <w:rStyle w:val="Hyperlink"/>
              </w:rPr>
              <w:t>council.itu.int/2025</w:t>
            </w:r>
          </w:hyperlink>
        </w:p>
      </w:tc>
      <w:tc>
        <w:tcPr>
          <w:tcW w:w="8261" w:type="dxa"/>
        </w:tcPr>
        <w:p w14:paraId="6D2AFDF3" w14:textId="7D40D827" w:rsidR="004A6A21" w:rsidRPr="00E06FD5" w:rsidRDefault="004A6A21" w:rsidP="004A6A21">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31</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05F702DA" w14:textId="77777777" w:rsidR="004A6A21" w:rsidRPr="00A51849" w:rsidRDefault="004A6A21" w:rsidP="004A6A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8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8261"/>
    </w:tblGrid>
    <w:tr w:rsidR="00523ACC" w:rsidRPr="00784011" w14:paraId="0FC3AF66" w14:textId="77777777" w:rsidTr="00523ACC">
      <w:trPr>
        <w:jc w:val="center"/>
      </w:trPr>
      <w:tc>
        <w:tcPr>
          <w:tcW w:w="4638" w:type="dxa"/>
          <w:vAlign w:val="center"/>
        </w:tcPr>
        <w:p w14:paraId="0506058B" w14:textId="77777777" w:rsidR="00523ACC" w:rsidRDefault="00523ACC" w:rsidP="00523ACC">
          <w:pPr>
            <w:pStyle w:val="Header"/>
            <w:jc w:val="left"/>
            <w:rPr>
              <w:noProof/>
            </w:rPr>
          </w:pPr>
          <w:r>
            <w:rPr>
              <w:noProof/>
            </w:rPr>
            <w:t>2500950</w:t>
          </w:r>
        </w:p>
      </w:tc>
      <w:tc>
        <w:tcPr>
          <w:tcW w:w="8261" w:type="dxa"/>
        </w:tcPr>
        <w:p w14:paraId="530F5F31" w14:textId="77777777" w:rsidR="00523ACC" w:rsidRPr="00E06FD5" w:rsidRDefault="00523ACC" w:rsidP="00523ACC">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31</w:t>
          </w:r>
          <w:r w:rsidRPr="00623AE3">
            <w:rPr>
              <w:bCs/>
            </w:rPr>
            <w:t>-</w:t>
          </w:r>
          <w:r>
            <w:rPr>
              <w:bCs/>
            </w:rPr>
            <w:t>F</w:t>
          </w:r>
          <w:r>
            <w:rPr>
              <w:bCs/>
            </w:rPr>
            <w:tab/>
          </w:r>
          <w:r>
            <w:fldChar w:fldCharType="begin"/>
          </w:r>
          <w:r>
            <w:instrText>PAGE</w:instrText>
          </w:r>
          <w:r>
            <w:fldChar w:fldCharType="separate"/>
          </w:r>
          <w:r>
            <w:t>4</w:t>
          </w:r>
          <w:r>
            <w:rPr>
              <w:noProof/>
            </w:rPr>
            <w:fldChar w:fldCharType="end"/>
          </w:r>
        </w:p>
      </w:tc>
    </w:tr>
  </w:tbl>
  <w:p w14:paraId="56F80C8B" w14:textId="77777777" w:rsidR="00523ACC" w:rsidRPr="00A51849" w:rsidRDefault="00523ACC" w:rsidP="00FC6D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8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8261"/>
    </w:tblGrid>
    <w:tr w:rsidR="004A6A21" w:rsidRPr="00784011" w14:paraId="66718F6D" w14:textId="77777777" w:rsidTr="00523ACC">
      <w:trPr>
        <w:jc w:val="center"/>
      </w:trPr>
      <w:tc>
        <w:tcPr>
          <w:tcW w:w="4638" w:type="dxa"/>
          <w:vAlign w:val="center"/>
        </w:tcPr>
        <w:p w14:paraId="607D83C3" w14:textId="77777777" w:rsidR="004A6A21" w:rsidRDefault="004A6A21" w:rsidP="004A6A21">
          <w:pPr>
            <w:pStyle w:val="Header"/>
            <w:jc w:val="left"/>
            <w:rPr>
              <w:noProof/>
            </w:rPr>
          </w:pPr>
          <w:r>
            <w:rPr>
              <w:noProof/>
            </w:rPr>
            <w:t>2500950</w:t>
          </w:r>
        </w:p>
      </w:tc>
      <w:tc>
        <w:tcPr>
          <w:tcW w:w="8261" w:type="dxa"/>
        </w:tcPr>
        <w:p w14:paraId="4A34CB8C" w14:textId="77777777" w:rsidR="004A6A21" w:rsidRPr="00E06FD5" w:rsidRDefault="004A6A21" w:rsidP="004A6A21">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31</w:t>
          </w:r>
          <w:r w:rsidRPr="00623AE3">
            <w:rPr>
              <w:bCs/>
            </w:rPr>
            <w:t>-</w:t>
          </w:r>
          <w:r>
            <w:rPr>
              <w:bCs/>
            </w:rPr>
            <w:t>F</w:t>
          </w:r>
          <w:r>
            <w:rPr>
              <w:bCs/>
            </w:rPr>
            <w:tab/>
          </w:r>
          <w:r>
            <w:fldChar w:fldCharType="begin"/>
          </w:r>
          <w:r>
            <w:instrText>PAGE</w:instrText>
          </w:r>
          <w:r>
            <w:fldChar w:fldCharType="separate"/>
          </w:r>
          <w:r>
            <w:t>3</w:t>
          </w:r>
          <w:r>
            <w:rPr>
              <w:noProof/>
            </w:rPr>
            <w:fldChar w:fldCharType="end"/>
          </w:r>
        </w:p>
      </w:tc>
    </w:tr>
  </w:tbl>
  <w:p w14:paraId="2D983312" w14:textId="77777777" w:rsidR="004A6A21" w:rsidRPr="00A51849" w:rsidRDefault="004A6A21" w:rsidP="004A6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E18B8" w14:textId="77777777" w:rsidR="00616BF8" w:rsidRDefault="00616BF8">
      <w:r>
        <w:t>____________________</w:t>
      </w:r>
    </w:p>
  </w:footnote>
  <w:footnote w:type="continuationSeparator" w:id="0">
    <w:p w14:paraId="6D4E9656" w14:textId="77777777" w:rsidR="00616BF8" w:rsidRDefault="0061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971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8C432E2" w14:textId="77777777" w:rsidR="00732045" w:rsidRDefault="00732045">
    <w:pPr>
      <w:pStyle w:val="Header"/>
    </w:pPr>
    <w:r>
      <w:t>C2001/#-F</w:t>
    </w:r>
  </w:p>
  <w:p w14:paraId="1594015F" w14:textId="77777777" w:rsidR="00CD597A" w:rsidRDefault="00CD59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0CFD85D0" w14:textId="77777777" w:rsidTr="00D37B53">
      <w:trPr>
        <w:trHeight w:val="1104"/>
        <w:jc w:val="center"/>
      </w:trPr>
      <w:tc>
        <w:tcPr>
          <w:tcW w:w="5317" w:type="dxa"/>
          <w:vAlign w:val="center"/>
        </w:tcPr>
        <w:p w14:paraId="6566360F"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97C0DC8" wp14:editId="372981C1">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1D34C886" w14:textId="77777777" w:rsidR="00524E8D" w:rsidRDefault="00524E8D" w:rsidP="00A51849">
          <w:pPr>
            <w:pStyle w:val="Header"/>
            <w:jc w:val="right"/>
            <w:rPr>
              <w:rFonts w:ascii="Arial" w:hAnsi="Arial" w:cs="Arial"/>
              <w:b/>
              <w:bCs/>
              <w:color w:val="009CD6"/>
              <w:szCs w:val="18"/>
            </w:rPr>
          </w:pPr>
        </w:p>
      </w:tc>
    </w:tr>
  </w:tbl>
  <w:p w14:paraId="75033AD3"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63A99F" wp14:editId="606F10C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8D8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4E6A" w14:textId="192057F0" w:rsidR="004A6A21" w:rsidRDefault="004A6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F8"/>
    <w:rsid w:val="00076A2C"/>
    <w:rsid w:val="000D0D0A"/>
    <w:rsid w:val="00103163"/>
    <w:rsid w:val="00106B19"/>
    <w:rsid w:val="001133EF"/>
    <w:rsid w:val="00115D93"/>
    <w:rsid w:val="001247A8"/>
    <w:rsid w:val="00126EBD"/>
    <w:rsid w:val="001370B2"/>
    <w:rsid w:val="001378C0"/>
    <w:rsid w:val="0018694A"/>
    <w:rsid w:val="001A3287"/>
    <w:rsid w:val="001A6508"/>
    <w:rsid w:val="001D4C31"/>
    <w:rsid w:val="001E4D21"/>
    <w:rsid w:val="00207CD1"/>
    <w:rsid w:val="00216E56"/>
    <w:rsid w:val="00226657"/>
    <w:rsid w:val="002477A2"/>
    <w:rsid w:val="00263A51"/>
    <w:rsid w:val="00267E02"/>
    <w:rsid w:val="002A5D44"/>
    <w:rsid w:val="002C3F32"/>
    <w:rsid w:val="002C4E3D"/>
    <w:rsid w:val="002E0BC4"/>
    <w:rsid w:val="002F1B76"/>
    <w:rsid w:val="0033568E"/>
    <w:rsid w:val="00355FF5"/>
    <w:rsid w:val="00361350"/>
    <w:rsid w:val="00381E1F"/>
    <w:rsid w:val="003C3FAE"/>
    <w:rsid w:val="004038CB"/>
    <w:rsid w:val="0040546F"/>
    <w:rsid w:val="004177BD"/>
    <w:rsid w:val="0042404A"/>
    <w:rsid w:val="0044618F"/>
    <w:rsid w:val="0046769A"/>
    <w:rsid w:val="00475FB3"/>
    <w:rsid w:val="004A6A21"/>
    <w:rsid w:val="004C37A9"/>
    <w:rsid w:val="004D1D50"/>
    <w:rsid w:val="004F259E"/>
    <w:rsid w:val="00511F1D"/>
    <w:rsid w:val="00520F36"/>
    <w:rsid w:val="00523ACC"/>
    <w:rsid w:val="00524E8D"/>
    <w:rsid w:val="00534E13"/>
    <w:rsid w:val="00540615"/>
    <w:rsid w:val="00540A6D"/>
    <w:rsid w:val="00566679"/>
    <w:rsid w:val="00571EEA"/>
    <w:rsid w:val="00575417"/>
    <w:rsid w:val="005768E1"/>
    <w:rsid w:val="005B1938"/>
    <w:rsid w:val="005C3890"/>
    <w:rsid w:val="005F7BFE"/>
    <w:rsid w:val="00600017"/>
    <w:rsid w:val="00616BF8"/>
    <w:rsid w:val="006235CA"/>
    <w:rsid w:val="0062366E"/>
    <w:rsid w:val="006643AB"/>
    <w:rsid w:val="006A11AE"/>
    <w:rsid w:val="006F0A53"/>
    <w:rsid w:val="007210CD"/>
    <w:rsid w:val="00732045"/>
    <w:rsid w:val="0073275D"/>
    <w:rsid w:val="007369DB"/>
    <w:rsid w:val="0077110E"/>
    <w:rsid w:val="007956C2"/>
    <w:rsid w:val="007A187E"/>
    <w:rsid w:val="007A656D"/>
    <w:rsid w:val="007C72C2"/>
    <w:rsid w:val="007D4436"/>
    <w:rsid w:val="007F257A"/>
    <w:rsid w:val="007F3665"/>
    <w:rsid w:val="00800037"/>
    <w:rsid w:val="0082299A"/>
    <w:rsid w:val="0083391C"/>
    <w:rsid w:val="00861D73"/>
    <w:rsid w:val="00882919"/>
    <w:rsid w:val="00897553"/>
    <w:rsid w:val="008A246F"/>
    <w:rsid w:val="008A4E87"/>
    <w:rsid w:val="008D76E6"/>
    <w:rsid w:val="00901343"/>
    <w:rsid w:val="0092392D"/>
    <w:rsid w:val="0093234A"/>
    <w:rsid w:val="00956A78"/>
    <w:rsid w:val="0097363B"/>
    <w:rsid w:val="00973F53"/>
    <w:rsid w:val="00993CB4"/>
    <w:rsid w:val="009A6BAA"/>
    <w:rsid w:val="009C307F"/>
    <w:rsid w:val="009C353C"/>
    <w:rsid w:val="009D49D6"/>
    <w:rsid w:val="009F0FB8"/>
    <w:rsid w:val="00A2113E"/>
    <w:rsid w:val="00A23A51"/>
    <w:rsid w:val="00A24607"/>
    <w:rsid w:val="00A25CD3"/>
    <w:rsid w:val="00A431C6"/>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837EE"/>
    <w:rsid w:val="00BB4545"/>
    <w:rsid w:val="00BD5873"/>
    <w:rsid w:val="00BF4B60"/>
    <w:rsid w:val="00C049D7"/>
    <w:rsid w:val="00C04BE3"/>
    <w:rsid w:val="00C25D29"/>
    <w:rsid w:val="00C27A7C"/>
    <w:rsid w:val="00C42437"/>
    <w:rsid w:val="00C4335B"/>
    <w:rsid w:val="00CA08ED"/>
    <w:rsid w:val="00CC6EAA"/>
    <w:rsid w:val="00CD597A"/>
    <w:rsid w:val="00CF183B"/>
    <w:rsid w:val="00D341AD"/>
    <w:rsid w:val="00D375CD"/>
    <w:rsid w:val="00D37B53"/>
    <w:rsid w:val="00D553A2"/>
    <w:rsid w:val="00D72F49"/>
    <w:rsid w:val="00D774D3"/>
    <w:rsid w:val="00D904E8"/>
    <w:rsid w:val="00DA08C3"/>
    <w:rsid w:val="00DB5A3E"/>
    <w:rsid w:val="00DC22AA"/>
    <w:rsid w:val="00DC2AF5"/>
    <w:rsid w:val="00DD1A99"/>
    <w:rsid w:val="00DE7863"/>
    <w:rsid w:val="00DF74DD"/>
    <w:rsid w:val="00E25AD0"/>
    <w:rsid w:val="00E4428F"/>
    <w:rsid w:val="00E47427"/>
    <w:rsid w:val="00E93668"/>
    <w:rsid w:val="00E95647"/>
    <w:rsid w:val="00EB6350"/>
    <w:rsid w:val="00F15B57"/>
    <w:rsid w:val="00F30B09"/>
    <w:rsid w:val="00F34BF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763BE"/>
  <w15:docId w15:val="{1AFD6D05-42EE-4D6E-8FB1-E4F792E2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B837EE"/>
    <w:rPr>
      <w:rFonts w:eastAsiaTheme="minorHAnsi" w:cstheme="minorBidi"/>
      <w:color w:val="4F81BD" w:themeColor="accent1"/>
      <w:szCs w:val="22"/>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paragraph" w:styleId="Signature">
    <w:name w:val="Signature"/>
    <w:basedOn w:val="Normal"/>
    <w:link w:val="SignatureChar"/>
    <w:unhideWhenUsed/>
    <w:rsid w:val="00616BF8"/>
    <w:pPr>
      <w:spacing w:before="0"/>
      <w:ind w:left="4252"/>
    </w:pPr>
    <w:rPr>
      <w:lang w:val="en-GB"/>
    </w:rPr>
  </w:style>
  <w:style w:type="character" w:customStyle="1" w:styleId="SignatureChar">
    <w:name w:val="Signature Char"/>
    <w:basedOn w:val="DefaultParagraphFont"/>
    <w:link w:val="Signature"/>
    <w:rsid w:val="00616BF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SFP-2028-2031/Pages/default.aspx" TargetMode="External"/><Relationship Id="rId13" Type="http://schemas.openxmlformats.org/officeDocument/2006/relationships/hyperlink" Target="https://www.itu.int/md/S24-CWGSFP1-C-0009/en"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s://www.itu.int/md/S24-CL-C-0139/en" TargetMode="External"/><Relationship Id="rId12" Type="http://schemas.openxmlformats.org/officeDocument/2006/relationships/hyperlink" Target="https://www.itu.int/md/S25-CWGSFP2-C-0007/en"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s://www.itu.int/en/council/CWG-SFP-2028-2031/Pages/default.aspx" TargetMode="External"/><Relationship Id="rId11" Type="http://schemas.openxmlformats.org/officeDocument/2006/relationships/hyperlink" Target="https://www.itu.int/md/S25-CL-C-0029/en" TargetMode="External"/><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https://www.itu.int/md/S25-CWGSFP2-C-0002/e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S24-CL-C-0139/en" TargetMode="External"/><Relationship Id="rId14" Type="http://schemas.openxmlformats.org/officeDocument/2006/relationships/hyperlink" Target="https://www.itu.int/md/S25-CWGSFP2-C-0013/en"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2</TotalTime>
  <Pages>5</Pages>
  <Words>988</Words>
  <Characters>5897</Characters>
  <Application>Microsoft Office Word</Application>
  <DocSecurity>0</DocSecurity>
  <Lines>117</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6835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du Groupe de travail du Conseil chargé d'élaborer le plan stratégique et le plan financier pour la période 2028-2031 (GTC-SFP)</dc:title>
  <dc:subject>Conseil 2024 de l'UIT</dc:subject>
  <cp:keywords>C2025; C25; Council-25</cp:keywords>
  <dc:description/>
  <cp:lastPrinted>2000-07-18T08:55:00Z</cp:lastPrinted>
  <dcterms:created xsi:type="dcterms:W3CDTF">2025-04-17T13:21:00Z</dcterms:created>
  <dcterms:modified xsi:type="dcterms:W3CDTF">2025-04-17T13:22:00Z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