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C0458D" w14:paraId="3E1C2769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7147B863" w14:textId="2D55C3F3" w:rsidR="00AD3606" w:rsidRPr="00C0458D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  <w:r w:rsidRPr="00C0458D">
              <w:rPr>
                <w:b/>
              </w:rPr>
              <w:t xml:space="preserve">Agenda item: </w:t>
            </w:r>
            <w:r w:rsidR="00FD547D">
              <w:rPr>
                <w:b/>
              </w:rPr>
              <w:t>PL-2</w:t>
            </w:r>
          </w:p>
        </w:tc>
        <w:tc>
          <w:tcPr>
            <w:tcW w:w="5245" w:type="dxa"/>
          </w:tcPr>
          <w:p w14:paraId="6779937E" w14:textId="33F364D8" w:rsidR="00AD3606" w:rsidRPr="00C0458D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0458D">
              <w:rPr>
                <w:b/>
              </w:rPr>
              <w:t xml:space="preserve">Document </w:t>
            </w:r>
            <w:proofErr w:type="spellStart"/>
            <w:r w:rsidRPr="00C0458D">
              <w:rPr>
                <w:b/>
              </w:rPr>
              <w:t>C2</w:t>
            </w:r>
            <w:r w:rsidR="00BF1FDE" w:rsidRPr="00C0458D">
              <w:rPr>
                <w:b/>
              </w:rPr>
              <w:t>5</w:t>
            </w:r>
            <w:proofErr w:type="spellEnd"/>
            <w:r w:rsidRPr="00C0458D">
              <w:rPr>
                <w:b/>
              </w:rPr>
              <w:t>/</w:t>
            </w:r>
            <w:r w:rsidR="002366B8">
              <w:rPr>
                <w:b/>
              </w:rPr>
              <w:t>31</w:t>
            </w:r>
            <w:r w:rsidRPr="00C0458D">
              <w:rPr>
                <w:b/>
              </w:rPr>
              <w:t>-E</w:t>
            </w:r>
          </w:p>
        </w:tc>
      </w:tr>
      <w:tr w:rsidR="00AD3606" w:rsidRPr="00C0458D" w14:paraId="3E3F9DA5" w14:textId="77777777" w:rsidTr="00AD3606">
        <w:trPr>
          <w:cantSplit/>
        </w:trPr>
        <w:tc>
          <w:tcPr>
            <w:tcW w:w="3969" w:type="dxa"/>
            <w:vMerge/>
          </w:tcPr>
          <w:p w14:paraId="5920AA6E" w14:textId="77777777" w:rsidR="00AD3606" w:rsidRPr="00C0458D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55371C25" w14:textId="7AFEF3FE" w:rsidR="00AD3606" w:rsidRPr="00C0458D" w:rsidRDefault="003D1137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17</w:t>
            </w:r>
            <w:r w:rsidR="002366B8">
              <w:rPr>
                <w:b/>
              </w:rPr>
              <w:t xml:space="preserve"> April</w:t>
            </w:r>
            <w:r w:rsidR="00435ED8">
              <w:rPr>
                <w:b/>
              </w:rPr>
              <w:t xml:space="preserve"> 2025</w:t>
            </w:r>
          </w:p>
        </w:tc>
      </w:tr>
      <w:tr w:rsidR="00AD3606" w:rsidRPr="00C0458D" w14:paraId="75730376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298F937E" w14:textId="77777777" w:rsidR="00AD3606" w:rsidRPr="00C0458D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041A065E" w14:textId="77777777" w:rsidR="00AD3606" w:rsidRPr="00C0458D" w:rsidRDefault="00AD3606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0458D">
              <w:rPr>
                <w:b/>
              </w:rPr>
              <w:t>Original: English</w:t>
            </w:r>
          </w:p>
        </w:tc>
      </w:tr>
      <w:tr w:rsidR="00472BAD" w:rsidRPr="00C0458D" w14:paraId="14DA91C4" w14:textId="77777777" w:rsidTr="00AD3606">
        <w:trPr>
          <w:cantSplit/>
          <w:trHeight w:val="23"/>
        </w:trPr>
        <w:tc>
          <w:tcPr>
            <w:tcW w:w="3969" w:type="dxa"/>
          </w:tcPr>
          <w:p w14:paraId="5858B25D" w14:textId="77777777" w:rsidR="00472BAD" w:rsidRPr="00C0458D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5DBF7439" w14:textId="77777777" w:rsidR="00472BAD" w:rsidRPr="00C0458D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C0458D" w14:paraId="2481FF59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016C4A0" w14:textId="733F8372" w:rsidR="00AD3606" w:rsidRPr="000F7289" w:rsidRDefault="00AD3606" w:rsidP="000F7289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 w:rsidRPr="000F7289">
              <w:t xml:space="preserve">Report by the </w:t>
            </w:r>
            <w:r w:rsidR="0099573F" w:rsidRPr="0099573F">
              <w:t>Chair of the Council Working Group for the strategic and financial plans 2028-2031</w:t>
            </w:r>
          </w:p>
        </w:tc>
      </w:tr>
      <w:tr w:rsidR="00AD3606" w:rsidRPr="00C0458D" w14:paraId="3A759762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A2DCF47" w14:textId="36F708C0" w:rsidR="00AD3606" w:rsidRPr="000F7289" w:rsidRDefault="001B2A99" w:rsidP="000F7289">
            <w:pPr>
              <w:pStyle w:val="Subtitle"/>
              <w:framePr w:hSpace="0" w:wrap="auto" w:xAlign="left" w:yAlign="inline"/>
            </w:pPr>
            <w:bookmarkStart w:id="9" w:name="_Hlk194308878"/>
            <w:bookmarkStart w:id="10" w:name="dtitle1" w:colFirst="0" w:colLast="0"/>
            <w:bookmarkEnd w:id="8"/>
            <w:r>
              <w:t xml:space="preserve">PROGRESS REPORT OF THE </w:t>
            </w:r>
            <w:r w:rsidR="005D2489" w:rsidRPr="005D2489">
              <w:t>COUNCIL WORKING GROUP FOR THE STRATEGIC AND FINANCIAL PLANS 2028-20</w:t>
            </w:r>
            <w:r w:rsidR="005D2489" w:rsidRPr="005D2489">
              <w:t xml:space="preserve">31 </w:t>
            </w:r>
            <w:r w:rsidR="005D2489">
              <w:t>(</w:t>
            </w:r>
            <w:r w:rsidR="00485E4E">
              <w:t>CWG-SFP</w:t>
            </w:r>
            <w:bookmarkEnd w:id="9"/>
            <w:r w:rsidR="005D2489">
              <w:t>)</w:t>
            </w:r>
          </w:p>
        </w:tc>
      </w:tr>
      <w:tr w:rsidR="00AD3606" w:rsidRPr="00C0458D" w14:paraId="72B25568" w14:textId="77777777" w:rsidTr="00AD3606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4C3D541B" w14:textId="1024FD2F" w:rsidR="00AD3606" w:rsidRPr="00C0458D" w:rsidRDefault="00F16BAB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C0458D">
              <w:rPr>
                <w:b/>
                <w:bCs/>
                <w:sz w:val="26"/>
                <w:szCs w:val="26"/>
              </w:rPr>
              <w:t>Purpose</w:t>
            </w:r>
          </w:p>
          <w:p w14:paraId="67D070EA" w14:textId="4BF3A040" w:rsidR="00AD3606" w:rsidRPr="00C0458D" w:rsidRDefault="0007521D" w:rsidP="00F16BAB">
            <w:r>
              <w:t xml:space="preserve">This </w:t>
            </w:r>
            <w:r w:rsidR="002029F4">
              <w:t>report</w:t>
            </w:r>
            <w:r>
              <w:t xml:space="preserve"> presents the progress achieved by the Council Working Group for strategic and financial plans 2028-2031 (</w:t>
            </w:r>
            <w:r w:rsidR="00E62788">
              <w:t xml:space="preserve">CWG-SFP) since its creation </w:t>
            </w:r>
            <w:r w:rsidR="00F1298D">
              <w:t>by</w:t>
            </w:r>
            <w:r w:rsidR="00E62788">
              <w:t xml:space="preserve"> Council 2024.</w:t>
            </w:r>
          </w:p>
          <w:p w14:paraId="4288AA6F" w14:textId="77777777" w:rsidR="00AD3606" w:rsidRDefault="00AD3606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C0458D">
              <w:rPr>
                <w:b/>
                <w:bCs/>
                <w:sz w:val="26"/>
                <w:szCs w:val="26"/>
              </w:rPr>
              <w:t>Action required</w:t>
            </w:r>
            <w:r w:rsidR="00F16BAB" w:rsidRPr="00C0458D">
              <w:rPr>
                <w:b/>
                <w:bCs/>
                <w:sz w:val="26"/>
                <w:szCs w:val="26"/>
              </w:rPr>
              <w:t xml:space="preserve"> by the Council</w:t>
            </w:r>
          </w:p>
          <w:p w14:paraId="0FFF2D9B" w14:textId="659A0ACB" w:rsidR="00722551" w:rsidRDefault="00826677" w:rsidP="00722551">
            <w:r>
              <w:t xml:space="preserve">The </w:t>
            </w:r>
            <w:r w:rsidR="00E62788">
              <w:t xml:space="preserve">Council is invited </w:t>
            </w:r>
            <w:r w:rsidR="00E62788" w:rsidRPr="002029F4">
              <w:rPr>
                <w:b/>
                <w:bCs/>
              </w:rPr>
              <w:t>to note</w:t>
            </w:r>
            <w:r w:rsidR="00E62788">
              <w:t xml:space="preserve"> the </w:t>
            </w:r>
            <w:r w:rsidR="002029F4">
              <w:t>report.</w:t>
            </w:r>
          </w:p>
          <w:p w14:paraId="4B855F83" w14:textId="7E0F2BB7" w:rsidR="00722551" w:rsidRDefault="00722551" w:rsidP="00722551">
            <w:pPr>
              <w:spacing w:before="16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Relevant link</w:t>
            </w:r>
            <w:r w:rsidR="004B25A1">
              <w:rPr>
                <w:b/>
                <w:bCs/>
                <w:sz w:val="26"/>
                <w:szCs w:val="26"/>
              </w:rPr>
              <w:t>(s)</w:t>
            </w:r>
            <w:r>
              <w:rPr>
                <w:b/>
                <w:bCs/>
                <w:sz w:val="26"/>
                <w:szCs w:val="26"/>
              </w:rPr>
              <w:t xml:space="preserve"> with the Strategic Plan</w:t>
            </w:r>
          </w:p>
          <w:p w14:paraId="56ADF403" w14:textId="753D3550" w:rsidR="00722551" w:rsidRPr="00F16BAB" w:rsidRDefault="004F78B2" w:rsidP="00722551">
            <w:r>
              <w:t>Strategic and Financial Plans</w:t>
            </w:r>
          </w:p>
          <w:p w14:paraId="6A77059B" w14:textId="270D1307" w:rsidR="00722551" w:rsidRDefault="00722551" w:rsidP="00722551">
            <w:pPr>
              <w:spacing w:before="16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Financial implications</w:t>
            </w:r>
          </w:p>
          <w:p w14:paraId="731F0870" w14:textId="50A9D61F" w:rsidR="00453079" w:rsidRPr="00453079" w:rsidRDefault="000D167A" w:rsidP="00F16BAB">
            <w:pPr>
              <w:spacing w:before="160"/>
              <w:rPr>
                <w:szCs w:val="24"/>
              </w:rPr>
            </w:pPr>
            <w:r w:rsidRPr="00485E4E">
              <w:rPr>
                <w:szCs w:val="24"/>
              </w:rPr>
              <w:t xml:space="preserve">Within </w:t>
            </w:r>
            <w:r w:rsidR="00D53C73" w:rsidRPr="00485E4E">
              <w:rPr>
                <w:szCs w:val="24"/>
              </w:rPr>
              <w:t xml:space="preserve">the </w:t>
            </w:r>
            <w:r w:rsidRPr="00485E4E">
              <w:rPr>
                <w:szCs w:val="24"/>
              </w:rPr>
              <w:t>allocated budget</w:t>
            </w:r>
            <w:r w:rsidR="00D53C73" w:rsidRPr="00485E4E">
              <w:rPr>
                <w:szCs w:val="24"/>
              </w:rPr>
              <w:t xml:space="preserve"> 2024-2025</w:t>
            </w:r>
            <w:r w:rsidRPr="00485E4E">
              <w:rPr>
                <w:szCs w:val="24"/>
              </w:rPr>
              <w:t>.</w:t>
            </w:r>
          </w:p>
          <w:p w14:paraId="08939791" w14:textId="77777777" w:rsidR="00C0458D" w:rsidRDefault="00C0458D">
            <w:r>
              <w:t>_______________</w:t>
            </w:r>
          </w:p>
          <w:p w14:paraId="212A584A" w14:textId="77777777" w:rsidR="00AD3606" w:rsidRPr="00C0458D" w:rsidRDefault="00AD3606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C0458D">
              <w:rPr>
                <w:b/>
                <w:bCs/>
                <w:sz w:val="26"/>
                <w:szCs w:val="26"/>
              </w:rPr>
              <w:t>References</w:t>
            </w:r>
          </w:p>
          <w:p w14:paraId="7089D4B7" w14:textId="7A2DE7FE" w:rsidR="00AD3606" w:rsidRPr="00722551" w:rsidRDefault="007D6851" w:rsidP="00F16BAB">
            <w:pPr>
              <w:spacing w:after="160"/>
              <w:rPr>
                <w:i/>
                <w:iCs/>
                <w:sz w:val="22"/>
                <w:szCs w:val="22"/>
              </w:rPr>
            </w:pPr>
            <w:hyperlink r:id="rId11" w:tgtFrame="_blank" w:history="1">
              <w:r>
                <w:rPr>
                  <w:rStyle w:val="normaltextrun"/>
                  <w:rFonts w:cs="Calibri"/>
                  <w:i/>
                  <w:iCs/>
                  <w:color w:val="0563C1"/>
                  <w:sz w:val="22"/>
                  <w:szCs w:val="22"/>
                  <w:u w:val="single"/>
                  <w:shd w:val="clear" w:color="auto" w:fill="FFFFFF"/>
                </w:rPr>
                <w:t>CWG-SFP website</w:t>
              </w:r>
            </w:hyperlink>
            <w:r>
              <w:rPr>
                <w:rStyle w:val="normaltextrun"/>
                <w:rFonts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>;</w:t>
            </w:r>
            <w:r w:rsidR="00ED6A09">
              <w:rPr>
                <w:rStyle w:val="normaltextrun"/>
                <w:rFonts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Council Resolution</w:t>
            </w: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 xml:space="preserve"> </w:t>
            </w:r>
            <w:hyperlink r:id="rId12" w:tgtFrame="_blank" w:history="1">
              <w:r>
                <w:rPr>
                  <w:rStyle w:val="normaltextrun"/>
                  <w:rFonts w:cs="Calibri"/>
                  <w:i/>
                  <w:iCs/>
                  <w:color w:val="0563C1"/>
                  <w:sz w:val="22"/>
                  <w:szCs w:val="22"/>
                  <w:u w:val="single"/>
                  <w:shd w:val="clear" w:color="auto" w:fill="FFFFFF"/>
                </w:rPr>
                <w:t>1428 (</w:t>
              </w:r>
              <w:proofErr w:type="spellStart"/>
              <w:r>
                <w:rPr>
                  <w:rStyle w:val="normaltextrun"/>
                  <w:rFonts w:cs="Calibri"/>
                  <w:i/>
                  <w:iCs/>
                  <w:color w:val="0563C1"/>
                  <w:sz w:val="22"/>
                  <w:szCs w:val="22"/>
                  <w:u w:val="single"/>
                  <w:shd w:val="clear" w:color="auto" w:fill="FFFFFF"/>
                </w:rPr>
                <w:t>C24</w:t>
              </w:r>
              <w:proofErr w:type="spellEnd"/>
              <w:r>
                <w:rPr>
                  <w:rStyle w:val="normaltextrun"/>
                  <w:rFonts w:cs="Calibri"/>
                  <w:i/>
                  <w:iCs/>
                  <w:color w:val="0563C1"/>
                  <w:sz w:val="22"/>
                  <w:szCs w:val="22"/>
                  <w:u w:val="single"/>
                  <w:shd w:val="clear" w:color="auto" w:fill="FFFFFF"/>
                </w:rPr>
                <w:t>)</w:t>
              </w:r>
            </w:hyperlink>
          </w:p>
        </w:tc>
      </w:tr>
    </w:tbl>
    <w:p w14:paraId="3E836A65" w14:textId="2AFDB0D3" w:rsidR="0099573F" w:rsidRDefault="0099573F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bookmarkStart w:id="11" w:name="_Hlk133421428"/>
      <w:bookmarkEnd w:id="2"/>
      <w:bookmarkEnd w:id="10"/>
    </w:p>
    <w:p w14:paraId="61755A7A" w14:textId="77777777" w:rsidR="0099573F" w:rsidRDefault="0099573F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bookmarkEnd w:id="3"/>
    <w:bookmarkEnd w:id="4"/>
    <w:p w14:paraId="344CD0E3" w14:textId="60A2A180" w:rsidR="00603413" w:rsidRPr="00ED6A09" w:rsidRDefault="00ED6A09" w:rsidP="00ED6A09">
      <w:pPr>
        <w:pStyle w:val="Heading1"/>
      </w:pPr>
      <w:r>
        <w:lastRenderedPageBreak/>
        <w:t>1</w:t>
      </w:r>
      <w:r>
        <w:tab/>
      </w:r>
      <w:r w:rsidR="00603413" w:rsidRPr="00ED6A09">
        <w:t>Introduction</w:t>
      </w:r>
    </w:p>
    <w:p w14:paraId="6BACCBCC" w14:textId="688CEC32" w:rsidR="00136E58" w:rsidRDefault="00AF77A8" w:rsidP="00ED6A09">
      <w:pPr>
        <w:jc w:val="both"/>
      </w:pPr>
      <w:r>
        <w:t>T</w:t>
      </w:r>
      <w:r w:rsidR="00EC2015" w:rsidRPr="00EC2015">
        <w:t xml:space="preserve">he 2024 Session of </w:t>
      </w:r>
      <w:r w:rsidR="00ED6A09">
        <w:t xml:space="preserve">the </w:t>
      </w:r>
      <w:r w:rsidR="00EC2015" w:rsidRPr="00EC2015">
        <w:t xml:space="preserve">Council </w:t>
      </w:r>
      <w:r w:rsidR="00434A85">
        <w:t xml:space="preserve">resolved </w:t>
      </w:r>
      <w:r w:rsidR="00434A85" w:rsidRPr="00434A85">
        <w:t xml:space="preserve">to establish a </w:t>
      </w:r>
      <w:hyperlink r:id="rId13" w:history="1">
        <w:r w:rsidR="00434A85" w:rsidRPr="005430D2">
          <w:rPr>
            <w:rStyle w:val="Hyperlink"/>
          </w:rPr>
          <w:t>Council Working Group to develop the draft Strategic and Financial Plans</w:t>
        </w:r>
      </w:hyperlink>
      <w:r w:rsidR="00434A85" w:rsidRPr="00434A85">
        <w:t xml:space="preserve"> for consideration by the 2026 session of the Council and presentation by the Council to the Plenipotentiary Conference to take place in 2026 (PP-26)</w:t>
      </w:r>
      <w:r w:rsidR="00434A85">
        <w:t xml:space="preserve"> </w:t>
      </w:r>
      <w:r w:rsidR="00785111">
        <w:t>(see</w:t>
      </w:r>
      <w:r w:rsidR="00ED6A09">
        <w:t xml:space="preserve"> Council Resolution</w:t>
      </w:r>
      <w:r w:rsidR="00785111">
        <w:t xml:space="preserve"> </w:t>
      </w:r>
      <w:hyperlink r:id="rId14" w:history="1">
        <w:r w:rsidR="00785111" w:rsidRPr="00785111">
          <w:rPr>
            <w:rStyle w:val="Hyperlink"/>
          </w:rPr>
          <w:t>1428 (</w:t>
        </w:r>
        <w:proofErr w:type="spellStart"/>
        <w:r w:rsidR="00785111" w:rsidRPr="00785111">
          <w:rPr>
            <w:rStyle w:val="Hyperlink"/>
          </w:rPr>
          <w:t>C24</w:t>
        </w:r>
        <w:proofErr w:type="spellEnd"/>
        <w:r w:rsidR="00785111" w:rsidRPr="00785111">
          <w:rPr>
            <w:rStyle w:val="Hyperlink"/>
          </w:rPr>
          <w:t>)</w:t>
        </w:r>
      </w:hyperlink>
      <w:r w:rsidR="00785111">
        <w:t>)</w:t>
      </w:r>
      <w:r w:rsidR="00EC2015" w:rsidRPr="00EC2015">
        <w:t xml:space="preserve">. </w:t>
      </w:r>
    </w:p>
    <w:p w14:paraId="762956D0" w14:textId="298F4D28" w:rsidR="00E87672" w:rsidRDefault="00AF77A8" w:rsidP="00ED6A09">
      <w:pPr>
        <w:jc w:val="both"/>
      </w:pPr>
      <w:r>
        <w:t xml:space="preserve">The </w:t>
      </w:r>
      <w:r w:rsidR="00921F00">
        <w:t xml:space="preserve">Group </w:t>
      </w:r>
      <w:r>
        <w:t xml:space="preserve">is </w:t>
      </w:r>
      <w:r w:rsidR="00694F35">
        <w:t xml:space="preserve">chaired </w:t>
      </w:r>
      <w:r w:rsidR="00B476E5">
        <w:t xml:space="preserve">by </w:t>
      </w:r>
      <w:r w:rsidR="009A532D">
        <w:t xml:space="preserve">Mr </w:t>
      </w:r>
      <w:r w:rsidR="00B476E5" w:rsidRPr="00B476E5">
        <w:t xml:space="preserve">Mansour AI-Qurashi </w:t>
      </w:r>
      <w:r w:rsidR="00B476E5">
        <w:t>(Saudi Arabia</w:t>
      </w:r>
      <w:r w:rsidR="0085257E">
        <w:t>) and</w:t>
      </w:r>
      <w:r w:rsidR="00B476E5">
        <w:t xml:space="preserve"> </w:t>
      </w:r>
      <w:r w:rsidR="00694F35">
        <w:t xml:space="preserve">composed of the following Vice-Chairs: Mr </w:t>
      </w:r>
      <w:proofErr w:type="spellStart"/>
      <w:r w:rsidR="00694F35">
        <w:t>Mulembwa</w:t>
      </w:r>
      <w:proofErr w:type="spellEnd"/>
      <w:r w:rsidR="00694F35">
        <w:t xml:space="preserve"> Denis </w:t>
      </w:r>
      <w:proofErr w:type="spellStart"/>
      <w:r w:rsidR="00694F35">
        <w:t>Munaku</w:t>
      </w:r>
      <w:proofErr w:type="spellEnd"/>
      <w:r w:rsidR="00694F35">
        <w:t xml:space="preserve"> (Tanzania)</w:t>
      </w:r>
      <w:r w:rsidR="00DA547D">
        <w:t xml:space="preserve">, </w:t>
      </w:r>
      <w:r w:rsidR="00694F35">
        <w:t>Mr Kenji Kuramochi (Paraguay)</w:t>
      </w:r>
      <w:r w:rsidR="00DA547D">
        <w:t xml:space="preserve">, </w:t>
      </w:r>
      <w:r w:rsidR="00694F35">
        <w:t>Ms</w:t>
      </w:r>
      <w:r w:rsidR="00496465">
        <w:t> </w:t>
      </w:r>
      <w:r w:rsidR="00694F35">
        <w:t>Maitha Al Jamri (United Arab Emirates)</w:t>
      </w:r>
      <w:r w:rsidR="00DA547D">
        <w:t xml:space="preserve">, </w:t>
      </w:r>
      <w:r w:rsidR="00694F35">
        <w:t>Mr Yi Lun (China)</w:t>
      </w:r>
      <w:r w:rsidR="00DA547D">
        <w:t xml:space="preserve">, </w:t>
      </w:r>
      <w:r w:rsidR="00694F35">
        <w:t xml:space="preserve">Mr </w:t>
      </w:r>
      <w:proofErr w:type="spellStart"/>
      <w:r w:rsidR="00694F35">
        <w:t>Bakhtjan</w:t>
      </w:r>
      <w:proofErr w:type="spellEnd"/>
      <w:r w:rsidR="00694F35">
        <w:t xml:space="preserve"> </w:t>
      </w:r>
      <w:proofErr w:type="spellStart"/>
      <w:r w:rsidR="00694F35">
        <w:t>Smanov</w:t>
      </w:r>
      <w:proofErr w:type="spellEnd"/>
      <w:r w:rsidR="00694F35">
        <w:t xml:space="preserve"> (Uzbekistan)</w:t>
      </w:r>
      <w:r w:rsidR="00DA547D">
        <w:t xml:space="preserve">, and </w:t>
      </w:r>
      <w:r w:rsidR="00694F35">
        <w:t>Mr Rafał Bartoszewski (Poland).</w:t>
      </w:r>
    </w:p>
    <w:p w14:paraId="4DB666F9" w14:textId="60AC7E45" w:rsidR="00A514A4" w:rsidRDefault="009466A9" w:rsidP="00ED6A09">
      <w:pPr>
        <w:jc w:val="both"/>
      </w:pPr>
      <w:r>
        <w:t>O</w:t>
      </w:r>
      <w:r w:rsidRPr="009466A9">
        <w:t>pen for the participation of all Member States and Sector Members</w:t>
      </w:r>
      <w:r>
        <w:t xml:space="preserve">, </w:t>
      </w:r>
      <w:r w:rsidR="0085257E">
        <w:t xml:space="preserve">since its </w:t>
      </w:r>
      <w:r w:rsidR="005A3DAE">
        <w:t>establishment</w:t>
      </w:r>
      <w:r w:rsidR="00921F00">
        <w:t>,</w:t>
      </w:r>
      <w:r w:rsidR="0085257E">
        <w:t xml:space="preserve"> </w:t>
      </w:r>
      <w:r w:rsidR="00DA547D">
        <w:t xml:space="preserve">the </w:t>
      </w:r>
      <w:r w:rsidR="00921F00">
        <w:t xml:space="preserve">Group has </w:t>
      </w:r>
      <w:r w:rsidR="00DA547D">
        <w:t xml:space="preserve">met twice, </w:t>
      </w:r>
      <w:r w:rsidR="000A7DE7">
        <w:t xml:space="preserve">for a first meeting on </w:t>
      </w:r>
      <w:r w:rsidR="00140B77">
        <w:t>10-11</w:t>
      </w:r>
      <w:r w:rsidR="000A7DE7">
        <w:t xml:space="preserve"> October 2024 and for a second</w:t>
      </w:r>
      <w:r w:rsidR="00140B77">
        <w:t xml:space="preserve"> meeting on 20-21 February 2025. </w:t>
      </w:r>
      <w:bookmarkEnd w:id="5"/>
      <w:bookmarkEnd w:id="11"/>
    </w:p>
    <w:p w14:paraId="43FD55E8" w14:textId="05D98170" w:rsidR="002A16BC" w:rsidRPr="00ED6A09" w:rsidRDefault="00ED6A09" w:rsidP="00ED6A09">
      <w:pPr>
        <w:pStyle w:val="Heading1"/>
      </w:pPr>
      <w:r w:rsidRPr="00A25FA1">
        <w:t>2</w:t>
      </w:r>
      <w:r w:rsidRPr="00A25FA1">
        <w:tab/>
      </w:r>
      <w:r w:rsidR="00A25FA1" w:rsidRPr="00ED6A09">
        <w:t>CWG-SFP activities</w:t>
      </w:r>
    </w:p>
    <w:p w14:paraId="47FD38A4" w14:textId="721E6B1B" w:rsidR="00E43954" w:rsidRDefault="007161E2" w:rsidP="00ED6A09">
      <w:pPr>
        <w:jc w:val="both"/>
      </w:pPr>
      <w:r w:rsidRPr="007161E2">
        <w:t xml:space="preserve">In accordance with the </w:t>
      </w:r>
      <w:r w:rsidR="00921F00" w:rsidRPr="007161E2">
        <w:t>Group</w:t>
      </w:r>
      <w:r w:rsidR="00921F00">
        <w:t>’</w:t>
      </w:r>
      <w:r w:rsidR="00921F00" w:rsidRPr="007161E2">
        <w:t xml:space="preserve">s </w:t>
      </w:r>
      <w:r w:rsidRPr="007161E2">
        <w:t xml:space="preserve">Terms of Reference, the CWG-SFP Chair </w:t>
      </w:r>
      <w:r w:rsidR="00197F64">
        <w:t xml:space="preserve">would like </w:t>
      </w:r>
      <w:r w:rsidRPr="007161E2">
        <w:t xml:space="preserve">to update Council 2025 on </w:t>
      </w:r>
      <w:r w:rsidR="003530F5">
        <w:t>its</w:t>
      </w:r>
      <w:r w:rsidR="003530F5" w:rsidRPr="007161E2">
        <w:t xml:space="preserve"> </w:t>
      </w:r>
      <w:r w:rsidRPr="007161E2">
        <w:t>ongoing work:</w:t>
      </w:r>
    </w:p>
    <w:p w14:paraId="74FE2D79" w14:textId="5BF8E30F" w:rsidR="00217968" w:rsidRDefault="00ED6A09" w:rsidP="00ED6A09">
      <w:pPr>
        <w:pStyle w:val="enumlev1"/>
        <w:jc w:val="both"/>
      </w:pPr>
      <w:r>
        <w:t>a)</w:t>
      </w:r>
      <w:r>
        <w:tab/>
      </w:r>
      <w:r w:rsidR="00513BD8" w:rsidRPr="00513BD8">
        <w:t xml:space="preserve">The </w:t>
      </w:r>
      <w:r w:rsidR="00921F00" w:rsidRPr="00513BD8">
        <w:t>Group</w:t>
      </w:r>
      <w:r w:rsidR="00513BD8" w:rsidRPr="00513BD8">
        <w:t xml:space="preserve"> has agreed on a timeline for completing the assigned tasks (see </w:t>
      </w:r>
      <w:hyperlink w:anchor="Annex" w:history="1">
        <w:r w:rsidR="00513BD8" w:rsidRPr="00F968F8">
          <w:rPr>
            <w:rStyle w:val="Hyperlink"/>
          </w:rPr>
          <w:t>Annex</w:t>
        </w:r>
      </w:hyperlink>
      <w:r w:rsidR="00513BD8" w:rsidRPr="00106575">
        <w:t>)</w:t>
      </w:r>
      <w:r w:rsidR="00513BD8" w:rsidRPr="00513BD8">
        <w:t>. Consequently, the Sectors</w:t>
      </w:r>
      <w:r w:rsidR="00A94630">
        <w:t>’</w:t>
      </w:r>
      <w:r w:rsidR="00513BD8" w:rsidRPr="00513BD8">
        <w:t xml:space="preserve"> advisory groups and the Council Working Group for </w:t>
      </w:r>
      <w:r w:rsidR="00F968F8" w:rsidRPr="00513BD8">
        <w:t xml:space="preserve">financial </w:t>
      </w:r>
      <w:r w:rsidR="00513BD8" w:rsidRPr="00513BD8">
        <w:t xml:space="preserve">and </w:t>
      </w:r>
      <w:r w:rsidR="00F968F8" w:rsidRPr="00513BD8">
        <w:t xml:space="preserve">human resources </w:t>
      </w:r>
      <w:r w:rsidR="00513BD8" w:rsidRPr="00513BD8">
        <w:t>(CWG-FHR) have been informed and invited to engage and contribute to the process.</w:t>
      </w:r>
    </w:p>
    <w:p w14:paraId="59E6F706" w14:textId="1F9BDBF9" w:rsidR="009A76A1" w:rsidRDefault="00ED6A09" w:rsidP="00ED6A09">
      <w:pPr>
        <w:pStyle w:val="enumlev1"/>
        <w:jc w:val="both"/>
      </w:pPr>
      <w:r>
        <w:t>b)</w:t>
      </w:r>
      <w:r>
        <w:tab/>
      </w:r>
      <w:r w:rsidR="000F7608" w:rsidRPr="000F7608">
        <w:t xml:space="preserve">Regarding the development of the draft Strategic and Financial Plans, the </w:t>
      </w:r>
      <w:r w:rsidR="00987801" w:rsidRPr="000F7608">
        <w:t>Group</w:t>
      </w:r>
      <w:r w:rsidR="000F7608" w:rsidRPr="000F7608">
        <w:t xml:space="preserve"> conducted an online consultation to gather inputs on the current plans and proposals for improvement. The results </w:t>
      </w:r>
      <w:r w:rsidR="000F7608">
        <w:t xml:space="preserve">were reported </w:t>
      </w:r>
      <w:r w:rsidR="000F7608" w:rsidRPr="000F7608">
        <w:t>in</w:t>
      </w:r>
      <w:r>
        <w:t xml:space="preserve"> Document</w:t>
      </w:r>
      <w:r w:rsidR="000F7608">
        <w:t xml:space="preserve"> </w:t>
      </w:r>
      <w:hyperlink r:id="rId15" w:history="1">
        <w:r w:rsidR="00FD34DD" w:rsidRPr="00FF7EAC">
          <w:rPr>
            <w:rStyle w:val="Hyperlink"/>
          </w:rPr>
          <w:t>CWG-SFP-2/2</w:t>
        </w:r>
      </w:hyperlink>
      <w:r w:rsidR="00D71E6C">
        <w:t xml:space="preserve">. </w:t>
      </w:r>
      <w:r w:rsidR="0064468C">
        <w:t>T</w:t>
      </w:r>
      <w:r w:rsidR="0099102F">
        <w:t xml:space="preserve">he </w:t>
      </w:r>
      <w:r w:rsidR="00987801">
        <w:t>Group</w:t>
      </w:r>
      <w:r w:rsidR="0099102F">
        <w:t xml:space="preserve"> also discussed the elements to be considered for the </w:t>
      </w:r>
      <w:r w:rsidR="001C239E">
        <w:t>Situational Analysis</w:t>
      </w:r>
      <w:r w:rsidR="002B3A86">
        <w:t>,</w:t>
      </w:r>
      <w:r w:rsidR="001C239E">
        <w:t xml:space="preserve"> as a critical component guid</w:t>
      </w:r>
      <w:r w:rsidR="00DC15DC">
        <w:t>ing</w:t>
      </w:r>
      <w:r w:rsidR="001C239E">
        <w:t xml:space="preserve"> the drafting of the new </w:t>
      </w:r>
      <w:r w:rsidR="009A76A1">
        <w:t>plans.</w:t>
      </w:r>
    </w:p>
    <w:p w14:paraId="62458E95" w14:textId="3348650E" w:rsidR="00897563" w:rsidRDefault="00ED6A09" w:rsidP="00ED6A09">
      <w:pPr>
        <w:pStyle w:val="enumlev1"/>
        <w:jc w:val="both"/>
      </w:pPr>
      <w:r>
        <w:tab/>
      </w:r>
      <w:r w:rsidR="00897563">
        <w:t xml:space="preserve">Additionally, to propose ways to link the draft Strategic and Financial Plans with operational plans and biennial budgets, and in accordance with results-based management </w:t>
      </w:r>
      <w:r w:rsidR="00825202">
        <w:t>(</w:t>
      </w:r>
      <w:proofErr w:type="spellStart"/>
      <w:r w:rsidR="00825202">
        <w:t>RBM</w:t>
      </w:r>
      <w:proofErr w:type="spellEnd"/>
      <w:r w:rsidR="00825202">
        <w:t xml:space="preserve">) </w:t>
      </w:r>
      <w:r w:rsidR="00897563">
        <w:t xml:space="preserve">and results-based budgeting </w:t>
      </w:r>
      <w:r w:rsidR="0010227B">
        <w:t>(</w:t>
      </w:r>
      <w:proofErr w:type="spellStart"/>
      <w:r w:rsidR="0010227B">
        <w:t>RBB</w:t>
      </w:r>
      <w:proofErr w:type="spellEnd"/>
      <w:r w:rsidR="0010227B">
        <w:t xml:space="preserve">) </w:t>
      </w:r>
      <w:r w:rsidR="00897563">
        <w:t xml:space="preserve">principles, the </w:t>
      </w:r>
      <w:r w:rsidR="00987801">
        <w:t>Group</w:t>
      </w:r>
      <w:r w:rsidR="00897563">
        <w:t xml:space="preserve"> invited experts from UNESCO and </w:t>
      </w:r>
      <w:proofErr w:type="spellStart"/>
      <w:r w:rsidR="00897563">
        <w:t>UNIDO</w:t>
      </w:r>
      <w:proofErr w:type="spellEnd"/>
      <w:r w:rsidR="00897563">
        <w:t xml:space="preserve"> to share their experiences. They delivered a 3-hour workshop on strategic planning, with a special focus on </w:t>
      </w:r>
      <w:proofErr w:type="spellStart"/>
      <w:r w:rsidR="00897563">
        <w:t>RBM</w:t>
      </w:r>
      <w:proofErr w:type="spellEnd"/>
      <w:r w:rsidR="00897563">
        <w:t xml:space="preserve"> concepts and processes applicable to ITU</w:t>
      </w:r>
      <w:r w:rsidR="00A94630">
        <w:t>’</w:t>
      </w:r>
      <w:r w:rsidR="00897563">
        <w:t>s strategic and financial plans.</w:t>
      </w:r>
    </w:p>
    <w:p w14:paraId="5E1B3AF2" w14:textId="3390D2C9" w:rsidR="00923EF9" w:rsidRDefault="00ED6A09" w:rsidP="00ED6A09">
      <w:pPr>
        <w:pStyle w:val="enumlev1"/>
        <w:jc w:val="both"/>
      </w:pPr>
      <w:r>
        <w:tab/>
      </w:r>
      <w:r w:rsidR="00897563">
        <w:t xml:space="preserve">With all inputs received, including contributions from Member States and the Telecommunication Standardization Advisory Group (TSAG), </w:t>
      </w:r>
      <w:r w:rsidR="00897563" w:rsidRPr="009E7D01">
        <w:t xml:space="preserve">the </w:t>
      </w:r>
      <w:r w:rsidR="00921F00" w:rsidRPr="009E7D01">
        <w:t xml:space="preserve">Group </w:t>
      </w:r>
      <w:r w:rsidR="00897563" w:rsidRPr="009E7D01">
        <w:t xml:space="preserve">instructed the secretariat </w:t>
      </w:r>
      <w:r w:rsidR="00921F00" w:rsidRPr="009E7D01">
        <w:t>to prepare</w:t>
      </w:r>
      <w:r w:rsidR="009E7D01" w:rsidRPr="009E7D01">
        <w:t xml:space="preserve"> the first draft strategic plan framework and targets</w:t>
      </w:r>
      <w:r w:rsidR="007C3092">
        <w:t xml:space="preserve">, as well as </w:t>
      </w:r>
      <w:r w:rsidR="007C3092" w:rsidRPr="007C3092">
        <w:t>a draft situational analysis</w:t>
      </w:r>
      <w:r w:rsidR="009E7D01" w:rsidRPr="009E7D01">
        <w:t xml:space="preserve"> for the next meeting, scheduled for September</w:t>
      </w:r>
      <w:r w:rsidR="00740670">
        <w:t xml:space="preserve"> 2025. </w:t>
      </w:r>
    </w:p>
    <w:p w14:paraId="2F6C81E2" w14:textId="347D601D" w:rsidR="00DA45AB" w:rsidRDefault="00ED6A09" w:rsidP="00ED6A09">
      <w:pPr>
        <w:pStyle w:val="enumlev1"/>
        <w:jc w:val="both"/>
      </w:pPr>
      <w:r>
        <w:t>c)</w:t>
      </w:r>
      <w:r>
        <w:tab/>
      </w:r>
      <w:r w:rsidR="004F2F0F" w:rsidRPr="004F2F0F">
        <w:t xml:space="preserve">Regarding the mapping exercise of resolutions and decisions aimed at harmonizing the outcomes of the Plenipotentiary Conference, the </w:t>
      </w:r>
      <w:r w:rsidR="00987801" w:rsidRPr="004F2F0F">
        <w:t>Group</w:t>
      </w:r>
      <w:r w:rsidR="004F2F0F" w:rsidRPr="004F2F0F">
        <w:t xml:space="preserve"> discussed the creation of non-mandatory guidelines for Member States to reference when reviewing and/or drafting resolutions and decisions for PP-26. These proposed guidelines are being presented to Council 2025 as </w:t>
      </w:r>
      <w:r w:rsidR="00921F00" w:rsidRPr="00496465">
        <w:t xml:space="preserve">Document </w:t>
      </w:r>
      <w:hyperlink r:id="rId16" w:history="1">
        <w:proofErr w:type="spellStart"/>
        <w:r w:rsidR="0054655A" w:rsidRPr="00496465">
          <w:rPr>
            <w:rStyle w:val="Hyperlink"/>
          </w:rPr>
          <w:t>C25</w:t>
        </w:r>
        <w:proofErr w:type="spellEnd"/>
        <w:r w:rsidR="0054655A" w:rsidRPr="00496465">
          <w:rPr>
            <w:rStyle w:val="Hyperlink"/>
          </w:rPr>
          <w:t>/</w:t>
        </w:r>
        <w:r w:rsidR="00496465" w:rsidRPr="00496465">
          <w:rPr>
            <w:rStyle w:val="Hyperlink"/>
          </w:rPr>
          <w:t>29</w:t>
        </w:r>
      </w:hyperlink>
      <w:r w:rsidR="004F2F0F" w:rsidRPr="004F2F0F">
        <w:t xml:space="preserve"> for consideration.</w:t>
      </w:r>
    </w:p>
    <w:p w14:paraId="686C92D6" w14:textId="41BF4DCA" w:rsidR="00BE4A4A" w:rsidRDefault="00ED6A09" w:rsidP="00921F00">
      <w:pPr>
        <w:pStyle w:val="enumlev1"/>
        <w:jc w:val="both"/>
      </w:pPr>
      <w:r>
        <w:tab/>
      </w:r>
      <w:r w:rsidR="00BE4A4A" w:rsidRPr="004739AD">
        <w:t xml:space="preserve">The </w:t>
      </w:r>
      <w:r w:rsidR="004739AD">
        <w:t xml:space="preserve">CWG-SFP </w:t>
      </w:r>
      <w:r w:rsidR="004739AD" w:rsidRPr="004739AD">
        <w:t xml:space="preserve">also highlighted the importance of monitoring and presenting </w:t>
      </w:r>
      <w:r w:rsidR="00ED62E2">
        <w:t xml:space="preserve">the implementation of </w:t>
      </w:r>
      <w:r w:rsidR="004739AD" w:rsidRPr="004739AD">
        <w:t>resolutions/decisions on a regular basis to facilitate informed decisions on harmonization.</w:t>
      </w:r>
    </w:p>
    <w:p w14:paraId="5D798B91" w14:textId="63AA8347" w:rsidR="00455E5C" w:rsidRDefault="00ED6A09" w:rsidP="00ED6A09">
      <w:pPr>
        <w:pStyle w:val="enumlev1"/>
        <w:jc w:val="both"/>
      </w:pPr>
      <w:r>
        <w:lastRenderedPageBreak/>
        <w:t>d)</w:t>
      </w:r>
      <w:r>
        <w:tab/>
      </w:r>
      <w:r w:rsidR="00301A7A" w:rsidRPr="00ED6A09">
        <w:rPr>
          <w:spacing w:val="-2"/>
        </w:rPr>
        <w:t xml:space="preserve">The CWG-SFP has also been tasked </w:t>
      </w:r>
      <w:r w:rsidR="00336701" w:rsidRPr="00ED6A09">
        <w:rPr>
          <w:spacing w:val="-2"/>
        </w:rPr>
        <w:t xml:space="preserve">to recommend to </w:t>
      </w:r>
      <w:r w:rsidR="006771CF" w:rsidRPr="00ED6A09">
        <w:rPr>
          <w:spacing w:val="-2"/>
        </w:rPr>
        <w:t>this Council session</w:t>
      </w:r>
      <w:r w:rsidR="00336701" w:rsidRPr="00ED6A09">
        <w:rPr>
          <w:spacing w:val="-2"/>
        </w:rPr>
        <w:t xml:space="preserve"> the preliminary</w:t>
      </w:r>
      <w:r w:rsidR="00336701" w:rsidRPr="00336701">
        <w:t xml:space="preserve"> amount of the contributory unit</w:t>
      </w:r>
      <w:r w:rsidR="005728F8">
        <w:t>.</w:t>
      </w:r>
      <w:r w:rsidR="0093683C">
        <w:t xml:space="preserve"> </w:t>
      </w:r>
      <w:r w:rsidR="0096764D" w:rsidRPr="0096764D">
        <w:t xml:space="preserve">The </w:t>
      </w:r>
      <w:r w:rsidR="00B57386">
        <w:t>s</w:t>
      </w:r>
      <w:r w:rsidR="0096764D" w:rsidRPr="0096764D">
        <w:t xml:space="preserve">ecretariat presented </w:t>
      </w:r>
      <w:r w:rsidR="00921F00" w:rsidRPr="0096764D">
        <w:t xml:space="preserve">Document </w:t>
      </w:r>
      <w:hyperlink r:id="rId17" w:history="1">
        <w:r w:rsidR="0096764D" w:rsidRPr="00646B0F">
          <w:rPr>
            <w:rStyle w:val="Hyperlink"/>
          </w:rPr>
          <w:t>CWG-SFP-2/7</w:t>
        </w:r>
      </w:hyperlink>
      <w:r w:rsidR="0096764D" w:rsidRPr="0096764D">
        <w:t>, which proposed an increase in the contributory unit.</w:t>
      </w:r>
      <w:r w:rsidR="0045711E">
        <w:t xml:space="preserve"> </w:t>
      </w:r>
      <w:r w:rsidR="0045711E" w:rsidRPr="0045711E">
        <w:t>Members expressed concerns, citing global economic instability and financial constraints in their respective countries</w:t>
      </w:r>
      <w:r w:rsidR="00670A4F">
        <w:t>, and su</w:t>
      </w:r>
      <w:r w:rsidR="0045711E" w:rsidRPr="0045711E">
        <w:t>ggested exploring alternative options such as optimizing costs, improving budget efficiency, and generating additional revenue. The need for a detailed and transparent budget presentation was emphasized to facilitate informed decision-making.</w:t>
      </w:r>
    </w:p>
    <w:p w14:paraId="2A19D3A8" w14:textId="6200169A" w:rsidR="00343319" w:rsidRDefault="00ED6A09" w:rsidP="00ED6A09">
      <w:pPr>
        <w:pStyle w:val="enumlev1"/>
        <w:jc w:val="both"/>
      </w:pPr>
      <w:r>
        <w:tab/>
      </w:r>
      <w:r w:rsidR="00343319">
        <w:t>T</w:t>
      </w:r>
      <w:r w:rsidR="00343319" w:rsidRPr="00343319">
        <w:t xml:space="preserve">he </w:t>
      </w:r>
      <w:r w:rsidR="00987801">
        <w:t>Group</w:t>
      </w:r>
      <w:r w:rsidR="00343319">
        <w:t xml:space="preserve"> </w:t>
      </w:r>
      <w:r w:rsidR="00343319" w:rsidRPr="00343319">
        <w:t>requested the</w:t>
      </w:r>
      <w:r w:rsidR="00343319">
        <w:t xml:space="preserve"> s</w:t>
      </w:r>
      <w:r w:rsidR="00343319" w:rsidRPr="00343319">
        <w:t>ecretariat to provide more information on the financial situation and its link to the contributory unit amount</w:t>
      </w:r>
      <w:r w:rsidR="00343319">
        <w:t xml:space="preserve"> to</w:t>
      </w:r>
      <w:r w:rsidR="00343319" w:rsidRPr="00343319">
        <w:t xml:space="preserve"> Council </w:t>
      </w:r>
      <w:r w:rsidR="00343319">
        <w:t>2</w:t>
      </w:r>
      <w:r w:rsidR="00343319" w:rsidRPr="00343319">
        <w:t xml:space="preserve">025, considering </w:t>
      </w:r>
      <w:r w:rsidR="000B014B">
        <w:t xml:space="preserve">also </w:t>
      </w:r>
      <w:r w:rsidR="00343319" w:rsidRPr="00343319">
        <w:t>the need for a stable mechanism and criteria to establish the contributory unit.</w:t>
      </w:r>
    </w:p>
    <w:p w14:paraId="463E0E69" w14:textId="68EA1A84" w:rsidR="0085257E" w:rsidRDefault="009A76A1" w:rsidP="0099573F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after="120"/>
        <w:jc w:val="both"/>
        <w:textAlignment w:val="auto"/>
      </w:pPr>
      <w:r w:rsidRPr="00726A0E">
        <w:rPr>
          <w:spacing w:val="4"/>
        </w:rPr>
        <w:t xml:space="preserve">Detailed information about the CWG-SFP can be found </w:t>
      </w:r>
      <w:r w:rsidR="005E544A">
        <w:rPr>
          <w:spacing w:val="4"/>
        </w:rPr>
        <w:t>i</w:t>
      </w:r>
      <w:r w:rsidRPr="00726A0E">
        <w:rPr>
          <w:spacing w:val="4"/>
        </w:rPr>
        <w:t xml:space="preserve">n the </w:t>
      </w:r>
      <w:hyperlink r:id="rId18" w:history="1">
        <w:r w:rsidR="00923EF9" w:rsidRPr="00726A0E">
          <w:rPr>
            <w:rStyle w:val="Hyperlink"/>
            <w:spacing w:val="4"/>
          </w:rPr>
          <w:t>1</w:t>
        </w:r>
        <w:r w:rsidR="00923EF9" w:rsidRPr="00726A0E">
          <w:rPr>
            <w:rStyle w:val="Hyperlink"/>
            <w:spacing w:val="4"/>
            <w:vertAlign w:val="superscript"/>
          </w:rPr>
          <w:t>st</w:t>
        </w:r>
        <w:r w:rsidR="00923EF9" w:rsidRPr="00726A0E">
          <w:rPr>
            <w:rStyle w:val="Hyperlink"/>
            <w:spacing w:val="4"/>
          </w:rPr>
          <w:t xml:space="preserve"> Meeting Report</w:t>
        </w:r>
      </w:hyperlink>
      <w:r w:rsidR="00923EF9" w:rsidRPr="00726A0E">
        <w:rPr>
          <w:spacing w:val="4"/>
        </w:rPr>
        <w:t xml:space="preserve"> and</w:t>
      </w:r>
      <w:r w:rsidR="00923EF9">
        <w:t xml:space="preserve"> the </w:t>
      </w:r>
      <w:hyperlink r:id="rId19" w:history="1">
        <w:r w:rsidR="00923EF9" w:rsidRPr="00B57918">
          <w:rPr>
            <w:rStyle w:val="Hyperlink"/>
          </w:rPr>
          <w:t>2</w:t>
        </w:r>
        <w:r w:rsidR="00923EF9" w:rsidRPr="00B57918">
          <w:rPr>
            <w:rStyle w:val="Hyperlink"/>
            <w:vertAlign w:val="superscript"/>
          </w:rPr>
          <w:t>nd</w:t>
        </w:r>
        <w:r w:rsidR="00923EF9" w:rsidRPr="00B57918">
          <w:rPr>
            <w:rStyle w:val="Hyperlink"/>
          </w:rPr>
          <w:t xml:space="preserve"> Meeting Report</w:t>
        </w:r>
        <w:r w:rsidR="00923EF9" w:rsidRPr="005165A4">
          <w:rPr>
            <w:rStyle w:val="Hyperlink"/>
            <w:color w:val="auto"/>
            <w:u w:val="none"/>
          </w:rPr>
          <w:t>.</w:t>
        </w:r>
      </w:hyperlink>
    </w:p>
    <w:p w14:paraId="442EB2C0" w14:textId="399D451E" w:rsidR="00507216" w:rsidRPr="00805E15" w:rsidRDefault="00ED6A09" w:rsidP="00ED6A09">
      <w:pPr>
        <w:pStyle w:val="Heading1"/>
      </w:pPr>
      <w:r>
        <w:t>3</w:t>
      </w:r>
      <w:r w:rsidRPr="00805E15">
        <w:tab/>
      </w:r>
      <w:r w:rsidR="00805E15" w:rsidRPr="00805E15">
        <w:t>Conclusion</w:t>
      </w:r>
    </w:p>
    <w:p w14:paraId="5FF5F387" w14:textId="4528AAD6" w:rsidR="00507216" w:rsidRDefault="00507216" w:rsidP="00ED6A09">
      <w:pPr>
        <w:jc w:val="both"/>
      </w:pPr>
      <w:r w:rsidRPr="00507216">
        <w:t>The Council is invited to note this report.</w:t>
      </w:r>
    </w:p>
    <w:p w14:paraId="69993659" w14:textId="36D556A6" w:rsidR="007A3FCD" w:rsidRDefault="00507216" w:rsidP="00ED6A09">
      <w:pPr>
        <w:jc w:val="both"/>
      </w:pPr>
      <w:r w:rsidRPr="00507216">
        <w:t>On behalf of CWG-</w:t>
      </w:r>
      <w:r w:rsidR="00805E15">
        <w:t>SFP</w:t>
      </w:r>
      <w:r w:rsidRPr="00507216">
        <w:t xml:space="preserve">, the Chair extends his personal thanks to all the ITU Member States </w:t>
      </w:r>
      <w:r w:rsidR="00805E15">
        <w:t xml:space="preserve">and Sector </w:t>
      </w:r>
      <w:r w:rsidR="00726A0E">
        <w:t xml:space="preserve">Members </w:t>
      </w:r>
      <w:r w:rsidRPr="00507216">
        <w:t>who made contributions and participated in the work of the Group, the Vice</w:t>
      </w:r>
      <w:r w:rsidR="00921F00">
        <w:noBreakHyphen/>
      </w:r>
      <w:r w:rsidRPr="00507216">
        <w:t xml:space="preserve">Chairs, and the </w:t>
      </w:r>
      <w:r w:rsidR="00BA52AE">
        <w:t xml:space="preserve">secretariat </w:t>
      </w:r>
      <w:r w:rsidRPr="00507216">
        <w:t xml:space="preserve">for their efficient assistance during the </w:t>
      </w:r>
      <w:r w:rsidR="00BA52AE">
        <w:t>first and second</w:t>
      </w:r>
      <w:r w:rsidR="008F256A">
        <w:t xml:space="preserve"> </w:t>
      </w:r>
      <w:r w:rsidRPr="00507216">
        <w:t xml:space="preserve">meetings of the </w:t>
      </w:r>
      <w:r w:rsidR="00921F00">
        <w:t>Group</w:t>
      </w:r>
      <w:r w:rsidR="00CF3C75">
        <w:t>.</w:t>
      </w:r>
    </w:p>
    <w:p w14:paraId="28276E6A" w14:textId="56B94E33" w:rsidR="00677191" w:rsidRPr="00ED6A09" w:rsidRDefault="004B7414" w:rsidP="00ED6A09">
      <w:pPr>
        <w:pStyle w:val="Signature"/>
        <w:tabs>
          <w:tab w:val="clear" w:pos="567"/>
          <w:tab w:val="clear" w:pos="1134"/>
          <w:tab w:val="clear" w:pos="1701"/>
          <w:tab w:val="clear" w:pos="2268"/>
          <w:tab w:val="clear" w:pos="2835"/>
          <w:tab w:val="center" w:pos="7371"/>
        </w:tabs>
        <w:spacing w:before="600"/>
        <w:ind w:left="0"/>
        <w:rPr>
          <w:rFonts w:asciiTheme="minorHAnsi" w:hAnsiTheme="minorHAnsi" w:cstheme="minorHAnsi"/>
          <w:lang w:val="fr-FR"/>
        </w:rPr>
      </w:pPr>
      <w:r w:rsidRPr="00726A0E">
        <w:tab/>
      </w:r>
      <w:r w:rsidR="00CF3C75" w:rsidRPr="00106575">
        <w:rPr>
          <w:lang w:val="fr-FR"/>
        </w:rPr>
        <w:t xml:space="preserve">Mansour </w:t>
      </w:r>
      <w:proofErr w:type="spellStart"/>
      <w:r w:rsidR="00CF3C75" w:rsidRPr="00106575">
        <w:rPr>
          <w:lang w:val="fr-FR"/>
        </w:rPr>
        <w:t>AL-QURASHI</w:t>
      </w:r>
      <w:proofErr w:type="spellEnd"/>
      <w:r w:rsidR="00ED6A09">
        <w:rPr>
          <w:lang w:val="fr-FR"/>
        </w:rPr>
        <w:br/>
      </w:r>
      <w:r w:rsidR="00CF3C75" w:rsidRPr="00106575">
        <w:rPr>
          <w:rFonts w:asciiTheme="minorHAnsi" w:hAnsiTheme="minorHAnsi" w:cstheme="minorHAnsi"/>
          <w:lang w:val="fr-FR"/>
        </w:rPr>
        <w:tab/>
      </w:r>
      <w:r w:rsidR="00726A0E">
        <w:rPr>
          <w:rFonts w:asciiTheme="minorHAnsi" w:hAnsiTheme="minorHAnsi" w:cstheme="minorHAnsi"/>
          <w:lang w:val="fr-FR"/>
        </w:rPr>
        <w:t xml:space="preserve">Chair, </w:t>
      </w:r>
      <w:proofErr w:type="spellStart"/>
      <w:r w:rsidR="00CF3C75" w:rsidRPr="00106575">
        <w:rPr>
          <w:rFonts w:asciiTheme="minorHAnsi" w:hAnsiTheme="minorHAnsi" w:cstheme="minorHAnsi"/>
          <w:lang w:val="fr-FR"/>
        </w:rPr>
        <w:t>CWG</w:t>
      </w:r>
      <w:proofErr w:type="spellEnd"/>
      <w:r w:rsidR="00CF3C75" w:rsidRPr="00106575">
        <w:rPr>
          <w:rFonts w:asciiTheme="minorHAnsi" w:hAnsiTheme="minorHAnsi" w:cstheme="minorHAnsi"/>
          <w:lang w:val="fr-FR"/>
        </w:rPr>
        <w:t>-SFP</w:t>
      </w:r>
    </w:p>
    <w:p w14:paraId="08F161AA" w14:textId="50245EC6" w:rsidR="00726A0E" w:rsidRPr="00726A0E" w:rsidRDefault="00726A0E" w:rsidP="00726A0E">
      <w:pPr>
        <w:spacing w:before="1440"/>
        <w:rPr>
          <w:b/>
          <w:bCs/>
          <w:i/>
          <w:iCs/>
        </w:rPr>
      </w:pPr>
      <w:r w:rsidRPr="00726A0E">
        <w:rPr>
          <w:b/>
          <w:bCs/>
          <w:i/>
          <w:iCs/>
        </w:rPr>
        <w:t xml:space="preserve">Annex: </w:t>
      </w:r>
      <w:r w:rsidRPr="00ED6A09">
        <w:rPr>
          <w:i/>
          <w:iCs/>
        </w:rPr>
        <w:t>1</w:t>
      </w:r>
    </w:p>
    <w:p w14:paraId="29341AEB" w14:textId="77777777" w:rsidR="00677191" w:rsidRDefault="00677191" w:rsidP="00EE4349"/>
    <w:p w14:paraId="2C3401D6" w14:textId="717A2194" w:rsidR="00677191" w:rsidRDefault="00677191" w:rsidP="00677191">
      <w:pPr>
        <w:jc w:val="right"/>
        <w:sectPr w:rsidR="00677191" w:rsidSect="00AD3606">
          <w:footerReference w:type="default" r:id="rId20"/>
          <w:headerReference w:type="first" r:id="rId21"/>
          <w:footerReference w:type="first" r:id="rId22"/>
          <w:pgSz w:w="11907" w:h="16834"/>
          <w:pgMar w:top="1418" w:right="1418" w:bottom="1418" w:left="1418" w:header="720" w:footer="720" w:gutter="0"/>
          <w:paperSrc w:first="286" w:other="286"/>
          <w:cols w:space="720"/>
          <w:titlePg/>
        </w:sectPr>
      </w:pPr>
    </w:p>
    <w:p w14:paraId="6444792A" w14:textId="61052A62" w:rsidR="00677191" w:rsidRDefault="00DB0140" w:rsidP="00ED6A09">
      <w:pPr>
        <w:pStyle w:val="AnnexNo"/>
        <w:spacing w:before="120"/>
      </w:pPr>
      <w:bookmarkStart w:id="13" w:name="Annex"/>
      <w:r>
        <w:lastRenderedPageBreak/>
        <w:t>Annex</w:t>
      </w:r>
      <w:bookmarkEnd w:id="13"/>
    </w:p>
    <w:p w14:paraId="6CD2CBE3" w14:textId="6DE4C251" w:rsidR="00ED6A09" w:rsidRDefault="00DB0140" w:rsidP="00ED6A09">
      <w:pPr>
        <w:pStyle w:val="Figure"/>
      </w:pPr>
      <w:r>
        <w:rPr>
          <w:noProof/>
        </w:rPr>
        <w:drawing>
          <wp:inline distT="0" distB="0" distL="0" distR="0" wp14:anchorId="27111595" wp14:editId="5575C081">
            <wp:extent cx="8523798" cy="4794561"/>
            <wp:effectExtent l="0" t="0" r="0" b="6350"/>
            <wp:docPr id="593901355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901355" name=""/>
                    <pic:cNvPicPr/>
                  </pic:nvPicPr>
                  <pic:blipFill>
                    <a:blip r:embed="rId23">
                      <a:extLs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1370" cy="479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4F239" w14:textId="18BB8465" w:rsidR="00DB0140" w:rsidRDefault="006A67F0" w:rsidP="00ED6A09">
      <w:pPr>
        <w:pStyle w:val="Figure"/>
      </w:pPr>
      <w:r>
        <w:rPr>
          <w:noProof/>
        </w:rPr>
        <w:lastRenderedPageBreak/>
        <w:drawing>
          <wp:inline distT="0" distB="0" distL="0" distR="0" wp14:anchorId="1FCC1F47" wp14:editId="74D8994B">
            <wp:extent cx="8706678" cy="4897430"/>
            <wp:effectExtent l="0" t="0" r="0" b="0"/>
            <wp:docPr id="926735928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735928" name=""/>
                    <pic:cNvPicPr/>
                  </pic:nvPicPr>
                  <pic:blipFill>
                    <a:blip r:embed="rId25">
                      <a:extLs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09868" cy="489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BDB0D" w14:textId="62D7E9A2" w:rsidR="00ED6A09" w:rsidRPr="00ED6A09" w:rsidRDefault="00ED6A09" w:rsidP="00ED6A09">
      <w:pPr>
        <w:jc w:val="center"/>
      </w:pPr>
      <w:r>
        <w:t>______________</w:t>
      </w:r>
    </w:p>
    <w:sectPr w:rsidR="00ED6A09" w:rsidRPr="00ED6A09" w:rsidSect="00ED6A09">
      <w:headerReference w:type="default" r:id="rId27"/>
      <w:footerReference w:type="default" r:id="rId28"/>
      <w:headerReference w:type="first" r:id="rId29"/>
      <w:footerReference w:type="first" r:id="rId30"/>
      <w:pgSz w:w="16834" w:h="11907" w:orient="landscape"/>
      <w:pgMar w:top="1418" w:right="1418" w:bottom="1418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CAE3E" w14:textId="77777777" w:rsidR="002A1116" w:rsidRDefault="002A1116">
      <w:r>
        <w:separator/>
      </w:r>
    </w:p>
  </w:endnote>
  <w:endnote w:type="continuationSeparator" w:id="0">
    <w:p w14:paraId="6FA65AAE" w14:textId="77777777" w:rsidR="002A1116" w:rsidRDefault="002A1116">
      <w:r>
        <w:continuationSeparator/>
      </w:r>
    </w:p>
  </w:endnote>
  <w:endnote w:type="continuationNotice" w:id="1">
    <w:p w14:paraId="6435306E" w14:textId="77777777" w:rsidR="002A1116" w:rsidRDefault="002A111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7F9D2920" w14:textId="77777777" w:rsidTr="00E93FC8">
      <w:trPr>
        <w:jc w:val="center"/>
      </w:trPr>
      <w:tc>
        <w:tcPr>
          <w:tcW w:w="1803" w:type="dxa"/>
          <w:vAlign w:val="center"/>
        </w:tcPr>
        <w:p w14:paraId="5B3DDD9A" w14:textId="2132F806" w:rsidR="00EE49E8" w:rsidRDefault="00C6520B" w:rsidP="00EE49E8">
          <w:pPr>
            <w:pStyle w:val="Header"/>
            <w:jc w:val="left"/>
            <w:rPr>
              <w:noProof/>
            </w:rPr>
          </w:pPr>
          <w:r w:rsidRPr="0053338B">
            <w:rPr>
              <w:noProof/>
              <w:color w:val="BFBFBF" w:themeColor="background1" w:themeShade="BF"/>
            </w:rPr>
            <w:t xml:space="preserve">gDoc </w:t>
          </w:r>
          <w:r w:rsidR="0053338B" w:rsidRPr="0053338B">
            <w:rPr>
              <w:noProof/>
              <w:color w:val="BFBFBF" w:themeColor="background1" w:themeShade="BF"/>
            </w:rPr>
            <w:t>R2500950</w:t>
          </w:r>
        </w:p>
      </w:tc>
      <w:tc>
        <w:tcPr>
          <w:tcW w:w="8261" w:type="dxa"/>
        </w:tcPr>
        <w:p w14:paraId="6F6B3A01" w14:textId="2C95F25B" w:rsidR="00EE49E8" w:rsidRPr="00E06FD5" w:rsidRDefault="00EE49E8" w:rsidP="000745AB">
          <w:pPr>
            <w:pStyle w:val="Header"/>
            <w:tabs>
              <w:tab w:val="left" w:pos="6164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C6520B">
            <w:rPr>
              <w:bCs/>
            </w:rPr>
            <w:t>5</w:t>
          </w:r>
          <w:proofErr w:type="spellEnd"/>
          <w:r w:rsidRPr="00623AE3">
            <w:rPr>
              <w:bCs/>
            </w:rPr>
            <w:t>/</w:t>
          </w:r>
          <w:r w:rsidR="002366B8">
            <w:rPr>
              <w:bCs/>
            </w:rPr>
            <w:t>31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B3FBF10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10B15790" w14:textId="77777777" w:rsidTr="006B77F1">
      <w:trPr>
        <w:jc w:val="center"/>
      </w:trPr>
      <w:tc>
        <w:tcPr>
          <w:tcW w:w="1803" w:type="dxa"/>
          <w:vAlign w:val="center"/>
        </w:tcPr>
        <w:p w14:paraId="1D4130C1" w14:textId="77777777" w:rsidR="00EE49E8" w:rsidRPr="006B77F1" w:rsidRDefault="00BF1FDE" w:rsidP="00EE49E8">
          <w:pPr>
            <w:pStyle w:val="Header"/>
            <w:jc w:val="left"/>
            <w:rPr>
              <w:noProof/>
            </w:rPr>
          </w:pPr>
          <w:hyperlink r:id="rId1" w:history="1">
            <w:proofErr w:type="spellStart"/>
            <w:r w:rsidRPr="006B77F1">
              <w:rPr>
                <w:rStyle w:val="Hyperlink"/>
                <w:u w:val="none"/>
              </w:rPr>
              <w:t>council.itu.int</w:t>
            </w:r>
            <w:proofErr w:type="spellEnd"/>
            <w:r w:rsidRPr="006B77F1">
              <w:rPr>
                <w:rStyle w:val="Hyperlink"/>
                <w:u w:val="none"/>
              </w:rPr>
              <w:t>/2025</w:t>
            </w:r>
          </w:hyperlink>
        </w:p>
      </w:tc>
      <w:tc>
        <w:tcPr>
          <w:tcW w:w="8261" w:type="dxa"/>
        </w:tcPr>
        <w:p w14:paraId="68F817AE" w14:textId="40E13A83" w:rsidR="00EE49E8" w:rsidRPr="00E06FD5" w:rsidRDefault="00EE49E8" w:rsidP="000745AB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F1FDE">
            <w:rPr>
              <w:bCs/>
            </w:rPr>
            <w:t>5</w:t>
          </w:r>
          <w:proofErr w:type="spellEnd"/>
          <w:r w:rsidRPr="00623AE3">
            <w:rPr>
              <w:bCs/>
            </w:rPr>
            <w:t>/</w:t>
          </w:r>
          <w:r w:rsidR="002366B8">
            <w:rPr>
              <w:bCs/>
            </w:rPr>
            <w:t>31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E78F19F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233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10530"/>
    </w:tblGrid>
    <w:tr w:rsidR="002366B8" w:rsidRPr="00784011" w14:paraId="0E1A7054" w14:textId="77777777" w:rsidTr="00E0523D">
      <w:trPr>
        <w:jc w:val="center"/>
      </w:trPr>
      <w:tc>
        <w:tcPr>
          <w:tcW w:w="1803" w:type="dxa"/>
          <w:vAlign w:val="center"/>
        </w:tcPr>
        <w:p w14:paraId="6E2B32C9" w14:textId="6B6C2544" w:rsidR="002366B8" w:rsidRDefault="002366B8" w:rsidP="00EE49E8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gDoc </w:t>
          </w:r>
          <w:r w:rsidR="0001662F" w:rsidRPr="0001662F">
            <w:rPr>
              <w:noProof/>
            </w:rPr>
            <w:t>R2500950</w:t>
          </w:r>
        </w:p>
      </w:tc>
      <w:tc>
        <w:tcPr>
          <w:tcW w:w="10530" w:type="dxa"/>
        </w:tcPr>
        <w:p w14:paraId="0A482E07" w14:textId="77777777" w:rsidR="002366B8" w:rsidRPr="00E06FD5" w:rsidRDefault="002366B8" w:rsidP="00E0523D">
          <w:pPr>
            <w:pStyle w:val="Header"/>
            <w:tabs>
              <w:tab w:val="left" w:pos="8296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25</w:t>
          </w:r>
          <w:proofErr w:type="spellEnd"/>
          <w:r w:rsidRPr="00623AE3">
            <w:rPr>
              <w:bCs/>
            </w:rPr>
            <w:t>/</w:t>
          </w:r>
          <w:r>
            <w:rPr>
              <w:bCs/>
            </w:rPr>
            <w:t>31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2753F952" w14:textId="77777777" w:rsidR="002366B8" w:rsidRPr="00DB1936" w:rsidRDefault="002366B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204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3"/>
      <w:gridCol w:w="10246"/>
    </w:tblGrid>
    <w:tr w:rsidR="002366B8" w:rsidRPr="00784011" w14:paraId="291D33A5" w14:textId="77777777" w:rsidTr="00E0523D">
      <w:trPr>
        <w:jc w:val="center"/>
      </w:trPr>
      <w:tc>
        <w:tcPr>
          <w:tcW w:w="1803" w:type="dxa"/>
          <w:vAlign w:val="center"/>
        </w:tcPr>
        <w:p w14:paraId="336BB233" w14:textId="5462CCF6" w:rsidR="002366B8" w:rsidRPr="006B77F1" w:rsidRDefault="002366B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10246" w:type="dxa"/>
        </w:tcPr>
        <w:p w14:paraId="45A0139C" w14:textId="77777777" w:rsidR="002366B8" w:rsidRPr="00E06FD5" w:rsidRDefault="002366B8" w:rsidP="00E0523D">
          <w:pPr>
            <w:pStyle w:val="Header"/>
            <w:tabs>
              <w:tab w:val="left" w:pos="8296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25</w:t>
          </w:r>
          <w:proofErr w:type="spellEnd"/>
          <w:r w:rsidRPr="00623AE3">
            <w:rPr>
              <w:bCs/>
            </w:rPr>
            <w:t>/</w:t>
          </w:r>
          <w:r>
            <w:rPr>
              <w:bCs/>
            </w:rPr>
            <w:t>31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05310F7" w14:textId="77777777" w:rsidR="002366B8" w:rsidRPr="00623AE3" w:rsidRDefault="002366B8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61092" w14:textId="77777777" w:rsidR="002A1116" w:rsidRDefault="002A1116">
      <w:r>
        <w:t>____________________</w:t>
      </w:r>
    </w:p>
  </w:footnote>
  <w:footnote w:type="continuationSeparator" w:id="0">
    <w:p w14:paraId="6F885E9F" w14:textId="77777777" w:rsidR="002A1116" w:rsidRDefault="002A1116">
      <w:r>
        <w:continuationSeparator/>
      </w:r>
    </w:p>
  </w:footnote>
  <w:footnote w:type="continuationNotice" w:id="1">
    <w:p w14:paraId="4DA4A9C6" w14:textId="77777777" w:rsidR="002A1116" w:rsidRDefault="002A1116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98"/>
      <w:gridCol w:w="4022"/>
    </w:tblGrid>
    <w:tr w:rsidR="00AD3606" w:rsidRPr="00784011" w14:paraId="34A86D35" w14:textId="77777777" w:rsidTr="00E93FC8">
      <w:trPr>
        <w:trHeight w:val="1104"/>
        <w:jc w:val="center"/>
      </w:trPr>
      <w:tc>
        <w:tcPr>
          <w:tcW w:w="4390" w:type="dxa"/>
          <w:vAlign w:val="center"/>
        </w:tcPr>
        <w:p w14:paraId="5AD45E6C" w14:textId="77777777" w:rsidR="00AD3606" w:rsidRPr="009621F8" w:rsidRDefault="003936D3" w:rsidP="00CF4A2B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12" w:name="_Hlk133422111"/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313B81B2" wp14:editId="52EB5A23">
                <wp:extent cx="3671597" cy="612000"/>
                <wp:effectExtent l="0" t="0" r="0" b="0"/>
                <wp:docPr id="455759986" name="Picture 2" descr="A black background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191505" name="Picture 2" descr="A black background with blu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1597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0" w:type="dxa"/>
        </w:tcPr>
        <w:p w14:paraId="20374029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02A52018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3CCD8DE" w14:textId="77777777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2"/>
  <w:p w14:paraId="3C724958" w14:textId="77777777" w:rsidR="00AD3606" w:rsidRDefault="00AD3606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EDCDB4" wp14:editId="1542E4D0">
              <wp:simplePos x="0" y="0"/>
              <wp:positionH relativeFrom="page">
                <wp:posOffset>3810</wp:posOffset>
              </wp:positionH>
              <wp:positionV relativeFrom="topMargin">
                <wp:posOffset>601122</wp:posOffset>
              </wp:positionV>
              <wp:extent cx="108000" cy="396000"/>
              <wp:effectExtent l="0" t="0" r="6350" b="444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000" cy="3960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74346BB2" id="Rectangle 5" o:spid="_x0000_s1026" style="position:absolute;margin-left:.3pt;margin-top:47.35pt;width:8.5pt;height:31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" fillcolor="#009cd5" stroked="f">
              <w10:wrap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F3732" w14:textId="77777777" w:rsidR="002366B8" w:rsidRPr="00E93FC8" w:rsidRDefault="002366B8" w:rsidP="00E93F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E85C9" w14:textId="076BFCF0" w:rsidR="002366B8" w:rsidRDefault="002366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C16825"/>
    <w:multiLevelType w:val="hybridMultilevel"/>
    <w:tmpl w:val="831E965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F313B2"/>
    <w:multiLevelType w:val="hybridMultilevel"/>
    <w:tmpl w:val="BC58101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4958DE"/>
    <w:multiLevelType w:val="hybridMultilevel"/>
    <w:tmpl w:val="74D0F51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4816267">
    <w:abstractNumId w:val="0"/>
  </w:num>
  <w:num w:numId="2" w16cid:durableId="1408918756">
    <w:abstractNumId w:val="3"/>
  </w:num>
  <w:num w:numId="3" w16cid:durableId="1591816466">
    <w:abstractNumId w:val="1"/>
  </w:num>
  <w:num w:numId="4" w16cid:durableId="495076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1F8"/>
    <w:rsid w:val="00011C4D"/>
    <w:rsid w:val="0001662F"/>
    <w:rsid w:val="000210D4"/>
    <w:rsid w:val="00036AD8"/>
    <w:rsid w:val="000566FA"/>
    <w:rsid w:val="0006007D"/>
    <w:rsid w:val="00063016"/>
    <w:rsid w:val="00066795"/>
    <w:rsid w:val="000745AB"/>
    <w:rsid w:val="0007521D"/>
    <w:rsid w:val="00076AF6"/>
    <w:rsid w:val="00083954"/>
    <w:rsid w:val="00085CF2"/>
    <w:rsid w:val="000869B7"/>
    <w:rsid w:val="000A7DE7"/>
    <w:rsid w:val="000B014B"/>
    <w:rsid w:val="000B1705"/>
    <w:rsid w:val="000B45F5"/>
    <w:rsid w:val="000D167A"/>
    <w:rsid w:val="000D75B2"/>
    <w:rsid w:val="000E05E8"/>
    <w:rsid w:val="000F5DDB"/>
    <w:rsid w:val="000F7289"/>
    <w:rsid w:val="000F7608"/>
    <w:rsid w:val="000F7F49"/>
    <w:rsid w:val="0010227B"/>
    <w:rsid w:val="00106575"/>
    <w:rsid w:val="001121F5"/>
    <w:rsid w:val="00131875"/>
    <w:rsid w:val="00136E58"/>
    <w:rsid w:val="001400DC"/>
    <w:rsid w:val="00140B77"/>
    <w:rsid w:val="00140CE1"/>
    <w:rsid w:val="0017539C"/>
    <w:rsid w:val="00175AC2"/>
    <w:rsid w:val="0017609F"/>
    <w:rsid w:val="00187461"/>
    <w:rsid w:val="0019592C"/>
    <w:rsid w:val="00197F64"/>
    <w:rsid w:val="001A3154"/>
    <w:rsid w:val="001A3A6C"/>
    <w:rsid w:val="001A7D1D"/>
    <w:rsid w:val="001B2A99"/>
    <w:rsid w:val="001B4CC7"/>
    <w:rsid w:val="001B51DD"/>
    <w:rsid w:val="001C239E"/>
    <w:rsid w:val="001C628E"/>
    <w:rsid w:val="001C6738"/>
    <w:rsid w:val="001E0F7B"/>
    <w:rsid w:val="001F5569"/>
    <w:rsid w:val="002029F4"/>
    <w:rsid w:val="002119FD"/>
    <w:rsid w:val="00211A27"/>
    <w:rsid w:val="002130E0"/>
    <w:rsid w:val="00216619"/>
    <w:rsid w:val="00217968"/>
    <w:rsid w:val="00221F46"/>
    <w:rsid w:val="00231532"/>
    <w:rsid w:val="002366B8"/>
    <w:rsid w:val="00253FF0"/>
    <w:rsid w:val="00260509"/>
    <w:rsid w:val="002606F1"/>
    <w:rsid w:val="00264425"/>
    <w:rsid w:val="00265875"/>
    <w:rsid w:val="0027303B"/>
    <w:rsid w:val="00273F4A"/>
    <w:rsid w:val="0028109B"/>
    <w:rsid w:val="002948B2"/>
    <w:rsid w:val="002A1116"/>
    <w:rsid w:val="002A16BC"/>
    <w:rsid w:val="002A17D3"/>
    <w:rsid w:val="002A2188"/>
    <w:rsid w:val="002A78C4"/>
    <w:rsid w:val="002B1F58"/>
    <w:rsid w:val="002B3A86"/>
    <w:rsid w:val="002B4392"/>
    <w:rsid w:val="002C1C7A"/>
    <w:rsid w:val="002C54E2"/>
    <w:rsid w:val="002D0C3F"/>
    <w:rsid w:val="002F1DBF"/>
    <w:rsid w:val="0030160F"/>
    <w:rsid w:val="00301A7A"/>
    <w:rsid w:val="00314D2C"/>
    <w:rsid w:val="00320223"/>
    <w:rsid w:val="00322D0D"/>
    <w:rsid w:val="00324407"/>
    <w:rsid w:val="003364F2"/>
    <w:rsid w:val="00336701"/>
    <w:rsid w:val="00343319"/>
    <w:rsid w:val="003530F5"/>
    <w:rsid w:val="00361465"/>
    <w:rsid w:val="00361DC4"/>
    <w:rsid w:val="003877F5"/>
    <w:rsid w:val="003936D3"/>
    <w:rsid w:val="003942D4"/>
    <w:rsid w:val="003958A8"/>
    <w:rsid w:val="003B29C2"/>
    <w:rsid w:val="003C2533"/>
    <w:rsid w:val="003D0793"/>
    <w:rsid w:val="003D1137"/>
    <w:rsid w:val="003D5A7F"/>
    <w:rsid w:val="0040435A"/>
    <w:rsid w:val="00411ACD"/>
    <w:rsid w:val="00416A24"/>
    <w:rsid w:val="00427BFF"/>
    <w:rsid w:val="00431D9E"/>
    <w:rsid w:val="00433CE8"/>
    <w:rsid w:val="00434A5C"/>
    <w:rsid w:val="00434A85"/>
    <w:rsid w:val="00435ED8"/>
    <w:rsid w:val="004416E5"/>
    <w:rsid w:val="00446C06"/>
    <w:rsid w:val="00453079"/>
    <w:rsid w:val="004544D9"/>
    <w:rsid w:val="00455E5C"/>
    <w:rsid w:val="0045711E"/>
    <w:rsid w:val="00464890"/>
    <w:rsid w:val="00472BAD"/>
    <w:rsid w:val="004739AD"/>
    <w:rsid w:val="00477A3C"/>
    <w:rsid w:val="004811F8"/>
    <w:rsid w:val="004821FF"/>
    <w:rsid w:val="00484009"/>
    <w:rsid w:val="00485E4E"/>
    <w:rsid w:val="00490E72"/>
    <w:rsid w:val="00491157"/>
    <w:rsid w:val="00491BA9"/>
    <w:rsid w:val="004921C8"/>
    <w:rsid w:val="00495B0B"/>
    <w:rsid w:val="00496465"/>
    <w:rsid w:val="004A1122"/>
    <w:rsid w:val="004A1B8B"/>
    <w:rsid w:val="004A235D"/>
    <w:rsid w:val="004B25A1"/>
    <w:rsid w:val="004B2806"/>
    <w:rsid w:val="004B7414"/>
    <w:rsid w:val="004D1851"/>
    <w:rsid w:val="004D599D"/>
    <w:rsid w:val="004D7D17"/>
    <w:rsid w:val="004E2EA5"/>
    <w:rsid w:val="004E3AEB"/>
    <w:rsid w:val="004E64E0"/>
    <w:rsid w:val="004F2F0F"/>
    <w:rsid w:val="004F78B2"/>
    <w:rsid w:val="00500316"/>
    <w:rsid w:val="00500FE3"/>
    <w:rsid w:val="0050223C"/>
    <w:rsid w:val="00507216"/>
    <w:rsid w:val="00513BD8"/>
    <w:rsid w:val="005165A4"/>
    <w:rsid w:val="00523D38"/>
    <w:rsid w:val="005243FF"/>
    <w:rsid w:val="005264EE"/>
    <w:rsid w:val="0053338B"/>
    <w:rsid w:val="005430D2"/>
    <w:rsid w:val="0054655A"/>
    <w:rsid w:val="00564BFE"/>
    <w:rsid w:val="00564FBC"/>
    <w:rsid w:val="005728F8"/>
    <w:rsid w:val="005800BC"/>
    <w:rsid w:val="00582442"/>
    <w:rsid w:val="005A3DAE"/>
    <w:rsid w:val="005D2489"/>
    <w:rsid w:val="005E544A"/>
    <w:rsid w:val="005E69DE"/>
    <w:rsid w:val="005F10A4"/>
    <w:rsid w:val="005F3269"/>
    <w:rsid w:val="00603413"/>
    <w:rsid w:val="00621D17"/>
    <w:rsid w:val="00623AE3"/>
    <w:rsid w:val="00630C4D"/>
    <w:rsid w:val="0063494F"/>
    <w:rsid w:val="006349FF"/>
    <w:rsid w:val="00636BC9"/>
    <w:rsid w:val="00636EF5"/>
    <w:rsid w:val="0064468C"/>
    <w:rsid w:val="00644EC6"/>
    <w:rsid w:val="00646B0F"/>
    <w:rsid w:val="0064737F"/>
    <w:rsid w:val="00652151"/>
    <w:rsid w:val="006535F1"/>
    <w:rsid w:val="0065557D"/>
    <w:rsid w:val="00660D50"/>
    <w:rsid w:val="00662984"/>
    <w:rsid w:val="00670A4F"/>
    <w:rsid w:val="006716BB"/>
    <w:rsid w:val="00677191"/>
    <w:rsid w:val="006771CF"/>
    <w:rsid w:val="00691B99"/>
    <w:rsid w:val="0069256E"/>
    <w:rsid w:val="00694F35"/>
    <w:rsid w:val="006A67F0"/>
    <w:rsid w:val="006A78B3"/>
    <w:rsid w:val="006B1859"/>
    <w:rsid w:val="006B6680"/>
    <w:rsid w:val="006B6DCC"/>
    <w:rsid w:val="006B77F1"/>
    <w:rsid w:val="006C5ECF"/>
    <w:rsid w:val="006C79AC"/>
    <w:rsid w:val="006F2B0A"/>
    <w:rsid w:val="006F5357"/>
    <w:rsid w:val="006F6655"/>
    <w:rsid w:val="00702DEF"/>
    <w:rsid w:val="00706861"/>
    <w:rsid w:val="00707398"/>
    <w:rsid w:val="007161E2"/>
    <w:rsid w:val="00722551"/>
    <w:rsid w:val="00726A0E"/>
    <w:rsid w:val="0073629D"/>
    <w:rsid w:val="00740670"/>
    <w:rsid w:val="0075051B"/>
    <w:rsid w:val="00750880"/>
    <w:rsid w:val="007535B5"/>
    <w:rsid w:val="007634E7"/>
    <w:rsid w:val="00770E8C"/>
    <w:rsid w:val="0077110E"/>
    <w:rsid w:val="00785111"/>
    <w:rsid w:val="00793188"/>
    <w:rsid w:val="00794D34"/>
    <w:rsid w:val="007A3FCD"/>
    <w:rsid w:val="007B19CF"/>
    <w:rsid w:val="007C3092"/>
    <w:rsid w:val="007D01AF"/>
    <w:rsid w:val="007D6851"/>
    <w:rsid w:val="007E3807"/>
    <w:rsid w:val="007E5493"/>
    <w:rsid w:val="007F0250"/>
    <w:rsid w:val="007F45D1"/>
    <w:rsid w:val="00801252"/>
    <w:rsid w:val="00802141"/>
    <w:rsid w:val="00805E15"/>
    <w:rsid w:val="008106D8"/>
    <w:rsid w:val="00813E5E"/>
    <w:rsid w:val="00825202"/>
    <w:rsid w:val="00826677"/>
    <w:rsid w:val="0083581B"/>
    <w:rsid w:val="0085257E"/>
    <w:rsid w:val="0086182A"/>
    <w:rsid w:val="00863874"/>
    <w:rsid w:val="00864AFF"/>
    <w:rsid w:val="00865925"/>
    <w:rsid w:val="00877255"/>
    <w:rsid w:val="00895FA5"/>
    <w:rsid w:val="00897563"/>
    <w:rsid w:val="008B4A6A"/>
    <w:rsid w:val="008C7E27"/>
    <w:rsid w:val="008E27E5"/>
    <w:rsid w:val="008E4BEC"/>
    <w:rsid w:val="008F11EC"/>
    <w:rsid w:val="008F256A"/>
    <w:rsid w:val="008F7448"/>
    <w:rsid w:val="0090147A"/>
    <w:rsid w:val="0090378C"/>
    <w:rsid w:val="009173EF"/>
    <w:rsid w:val="00920C39"/>
    <w:rsid w:val="00921F00"/>
    <w:rsid w:val="00923EF9"/>
    <w:rsid w:val="00932054"/>
    <w:rsid w:val="00932906"/>
    <w:rsid w:val="0093683C"/>
    <w:rsid w:val="009466A9"/>
    <w:rsid w:val="00961B0B"/>
    <w:rsid w:val="00962D33"/>
    <w:rsid w:val="0096764D"/>
    <w:rsid w:val="0097331A"/>
    <w:rsid w:val="00983ADD"/>
    <w:rsid w:val="00987801"/>
    <w:rsid w:val="0099102F"/>
    <w:rsid w:val="0099573F"/>
    <w:rsid w:val="009A532D"/>
    <w:rsid w:val="009A76A1"/>
    <w:rsid w:val="009B38C3"/>
    <w:rsid w:val="009B6C82"/>
    <w:rsid w:val="009C3D9F"/>
    <w:rsid w:val="009E17BD"/>
    <w:rsid w:val="009E485A"/>
    <w:rsid w:val="009E7D01"/>
    <w:rsid w:val="009F12EF"/>
    <w:rsid w:val="00A04CEC"/>
    <w:rsid w:val="00A067A4"/>
    <w:rsid w:val="00A1726F"/>
    <w:rsid w:val="00A23C23"/>
    <w:rsid w:val="00A25FA1"/>
    <w:rsid w:val="00A27AE7"/>
    <w:rsid w:val="00A27F92"/>
    <w:rsid w:val="00A32257"/>
    <w:rsid w:val="00A36D20"/>
    <w:rsid w:val="00A43FF5"/>
    <w:rsid w:val="00A514A4"/>
    <w:rsid w:val="00A55622"/>
    <w:rsid w:val="00A81F3F"/>
    <w:rsid w:val="00A83502"/>
    <w:rsid w:val="00A94630"/>
    <w:rsid w:val="00A94BAB"/>
    <w:rsid w:val="00A95326"/>
    <w:rsid w:val="00AD15B3"/>
    <w:rsid w:val="00AD3606"/>
    <w:rsid w:val="00AD4A3D"/>
    <w:rsid w:val="00AD677D"/>
    <w:rsid w:val="00AF6E49"/>
    <w:rsid w:val="00AF77A8"/>
    <w:rsid w:val="00B00DDB"/>
    <w:rsid w:val="00B04A67"/>
    <w:rsid w:val="00B0583C"/>
    <w:rsid w:val="00B23363"/>
    <w:rsid w:val="00B37B4E"/>
    <w:rsid w:val="00B37D72"/>
    <w:rsid w:val="00B40A81"/>
    <w:rsid w:val="00B4272C"/>
    <w:rsid w:val="00B43D8B"/>
    <w:rsid w:val="00B44910"/>
    <w:rsid w:val="00B476E5"/>
    <w:rsid w:val="00B57386"/>
    <w:rsid w:val="00B57918"/>
    <w:rsid w:val="00B62C7E"/>
    <w:rsid w:val="00B72267"/>
    <w:rsid w:val="00B76EB6"/>
    <w:rsid w:val="00B7737B"/>
    <w:rsid w:val="00B824C8"/>
    <w:rsid w:val="00B84B9D"/>
    <w:rsid w:val="00B9131F"/>
    <w:rsid w:val="00BA52AE"/>
    <w:rsid w:val="00BA69F7"/>
    <w:rsid w:val="00BB0646"/>
    <w:rsid w:val="00BC15A1"/>
    <w:rsid w:val="00BC251A"/>
    <w:rsid w:val="00BD032B"/>
    <w:rsid w:val="00BD547A"/>
    <w:rsid w:val="00BE01C6"/>
    <w:rsid w:val="00BE2640"/>
    <w:rsid w:val="00BE2A14"/>
    <w:rsid w:val="00BE4A4A"/>
    <w:rsid w:val="00BF1FDE"/>
    <w:rsid w:val="00BF4B01"/>
    <w:rsid w:val="00C01189"/>
    <w:rsid w:val="00C039FB"/>
    <w:rsid w:val="00C0458D"/>
    <w:rsid w:val="00C374DE"/>
    <w:rsid w:val="00C37B79"/>
    <w:rsid w:val="00C47AD4"/>
    <w:rsid w:val="00C52D81"/>
    <w:rsid w:val="00C55198"/>
    <w:rsid w:val="00C6520B"/>
    <w:rsid w:val="00C96537"/>
    <w:rsid w:val="00CA6393"/>
    <w:rsid w:val="00CA7995"/>
    <w:rsid w:val="00CB18FF"/>
    <w:rsid w:val="00CB3DBE"/>
    <w:rsid w:val="00CB3F46"/>
    <w:rsid w:val="00CB6C91"/>
    <w:rsid w:val="00CC1BE2"/>
    <w:rsid w:val="00CD0C08"/>
    <w:rsid w:val="00CE03FB"/>
    <w:rsid w:val="00CE433C"/>
    <w:rsid w:val="00CF0161"/>
    <w:rsid w:val="00CF2B37"/>
    <w:rsid w:val="00CF33F3"/>
    <w:rsid w:val="00CF3C75"/>
    <w:rsid w:val="00CF4A2B"/>
    <w:rsid w:val="00D024CA"/>
    <w:rsid w:val="00D04A6C"/>
    <w:rsid w:val="00D06183"/>
    <w:rsid w:val="00D22C42"/>
    <w:rsid w:val="00D24811"/>
    <w:rsid w:val="00D42801"/>
    <w:rsid w:val="00D50025"/>
    <w:rsid w:val="00D53C73"/>
    <w:rsid w:val="00D65041"/>
    <w:rsid w:val="00D661C5"/>
    <w:rsid w:val="00D71E6C"/>
    <w:rsid w:val="00D7370A"/>
    <w:rsid w:val="00D76099"/>
    <w:rsid w:val="00DA45AB"/>
    <w:rsid w:val="00DA547D"/>
    <w:rsid w:val="00DB0140"/>
    <w:rsid w:val="00DB1936"/>
    <w:rsid w:val="00DB384B"/>
    <w:rsid w:val="00DC15DC"/>
    <w:rsid w:val="00DD11ED"/>
    <w:rsid w:val="00DE7863"/>
    <w:rsid w:val="00DF0189"/>
    <w:rsid w:val="00DF0C34"/>
    <w:rsid w:val="00DF26C9"/>
    <w:rsid w:val="00E0523D"/>
    <w:rsid w:val="00E06FD5"/>
    <w:rsid w:val="00E078EE"/>
    <w:rsid w:val="00E10E80"/>
    <w:rsid w:val="00E124F0"/>
    <w:rsid w:val="00E21BD2"/>
    <w:rsid w:val="00E227F3"/>
    <w:rsid w:val="00E3038A"/>
    <w:rsid w:val="00E43954"/>
    <w:rsid w:val="00E46BE6"/>
    <w:rsid w:val="00E534C7"/>
    <w:rsid w:val="00E545C6"/>
    <w:rsid w:val="00E60F04"/>
    <w:rsid w:val="00E62788"/>
    <w:rsid w:val="00E65B24"/>
    <w:rsid w:val="00E714A2"/>
    <w:rsid w:val="00E854E4"/>
    <w:rsid w:val="00E86DBF"/>
    <w:rsid w:val="00E87672"/>
    <w:rsid w:val="00E93FC8"/>
    <w:rsid w:val="00E9553C"/>
    <w:rsid w:val="00E969AF"/>
    <w:rsid w:val="00EB0D6F"/>
    <w:rsid w:val="00EB2232"/>
    <w:rsid w:val="00EB2B35"/>
    <w:rsid w:val="00EC2015"/>
    <w:rsid w:val="00EC5337"/>
    <w:rsid w:val="00ED62E2"/>
    <w:rsid w:val="00ED6330"/>
    <w:rsid w:val="00ED6A09"/>
    <w:rsid w:val="00EE4349"/>
    <w:rsid w:val="00EE49E8"/>
    <w:rsid w:val="00F044DB"/>
    <w:rsid w:val="00F1298D"/>
    <w:rsid w:val="00F16BAB"/>
    <w:rsid w:val="00F2150A"/>
    <w:rsid w:val="00F231D8"/>
    <w:rsid w:val="00F241D4"/>
    <w:rsid w:val="00F37717"/>
    <w:rsid w:val="00F41209"/>
    <w:rsid w:val="00F44C00"/>
    <w:rsid w:val="00F45D2C"/>
    <w:rsid w:val="00F46C5F"/>
    <w:rsid w:val="00F632C0"/>
    <w:rsid w:val="00F641E1"/>
    <w:rsid w:val="00F94A63"/>
    <w:rsid w:val="00F968F8"/>
    <w:rsid w:val="00FA1C28"/>
    <w:rsid w:val="00FB1279"/>
    <w:rsid w:val="00FB59A3"/>
    <w:rsid w:val="00FB6B76"/>
    <w:rsid w:val="00FB7596"/>
    <w:rsid w:val="00FC6DFA"/>
    <w:rsid w:val="00FD1386"/>
    <w:rsid w:val="00FD34DD"/>
    <w:rsid w:val="00FD547D"/>
    <w:rsid w:val="00FE4077"/>
    <w:rsid w:val="00FE500D"/>
    <w:rsid w:val="00FE77D2"/>
    <w:rsid w:val="00FF39B1"/>
    <w:rsid w:val="00FF7EAC"/>
    <w:rsid w:val="3146925F"/>
    <w:rsid w:val="3CC5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3A048E5"/>
  <w15:docId w15:val="{AB21F33E-78B6-4E28-A2C4-55E228D2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9131F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9131F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9131F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9131F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B9131F"/>
    <w:pPr>
      <w:outlineLvl w:val="4"/>
    </w:pPr>
  </w:style>
  <w:style w:type="paragraph" w:styleId="Heading6">
    <w:name w:val="heading 6"/>
    <w:basedOn w:val="Heading4"/>
    <w:next w:val="Normal"/>
    <w:qFormat/>
    <w:rsid w:val="00B9131F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B9131F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B9131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B9131F"/>
    <w:rPr>
      <w:rFonts w:asciiTheme="minorHAnsi" w:hAnsiTheme="minorHAnsi"/>
      <w:sz w:val="24"/>
    </w:rPr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D024CA"/>
    <w:pPr>
      <w:keepLines/>
      <w:tabs>
        <w:tab w:val="left" w:pos="284"/>
      </w:tabs>
      <w:ind w:left="284" w:hanging="284"/>
    </w:pPr>
    <w:rPr>
      <w:sz w:val="22"/>
    </w:r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qFormat/>
    <w:rsid w:val="001A3154"/>
    <w:pPr>
      <w:spacing w:before="80"/>
      <w:ind w:left="567" w:hanging="567"/>
    </w:pPr>
  </w:style>
  <w:style w:type="paragraph" w:customStyle="1" w:styleId="enumlev2">
    <w:name w:val="enumlev2"/>
    <w:basedOn w:val="enumlev1"/>
    <w:qFormat/>
    <w:rsid w:val="001A3154"/>
    <w:pPr>
      <w:ind w:left="1134"/>
    </w:pPr>
  </w:style>
  <w:style w:type="paragraph" w:customStyle="1" w:styleId="enumlev3">
    <w:name w:val="enumlev3"/>
    <w:basedOn w:val="enumlev2"/>
    <w:qFormat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0F7289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9131F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B9131F"/>
    <w:pPr>
      <w:spacing w:before="160"/>
      <w:ind w:left="0" w:firstLine="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qFormat/>
    <w:rsid w:val="00221F46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qFormat/>
    <w:rsid w:val="00221F46"/>
    <w:pPr>
      <w:keepNext/>
      <w:keepLines/>
      <w:spacing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qFormat/>
    <w:rsid w:val="00221F46"/>
    <w:pPr>
      <w:keepNext/>
      <w:keepLines/>
      <w:jc w:val="center"/>
    </w:pPr>
  </w:style>
  <w:style w:type="paragraph" w:customStyle="1" w:styleId="Call">
    <w:name w:val="Call"/>
    <w:basedOn w:val="Normal"/>
    <w:next w:val="Normal"/>
    <w:qFormat/>
    <w:rsid w:val="00F641E1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qFormat/>
    <w:rsid w:val="001A3154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qFormat/>
    <w:rsid w:val="001A3154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qFormat/>
    <w:rsid w:val="00B9131F"/>
    <w:pPr>
      <w:spacing w:before="20" w:after="240"/>
    </w:pPr>
    <w:rPr>
      <w:sz w:val="20"/>
    </w:rPr>
  </w:style>
  <w:style w:type="paragraph" w:customStyle="1" w:styleId="FigureNo">
    <w:name w:val="Figure_No"/>
    <w:basedOn w:val="Normal"/>
    <w:next w:val="Figuretitle"/>
    <w:qFormat/>
    <w:rsid w:val="001A3154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1A3154"/>
  </w:style>
  <w:style w:type="paragraph" w:customStyle="1" w:styleId="Headingi">
    <w:name w:val="Heading_i"/>
    <w:basedOn w:val="Heading3"/>
    <w:next w:val="Normal"/>
    <w:rsid w:val="00B9131F"/>
    <w:pPr>
      <w:spacing w:before="160"/>
      <w:ind w:left="0" w:firstLine="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360"/>
      <w:jc w:val="center"/>
    </w:pPr>
    <w:rPr>
      <w:b/>
    </w:rPr>
  </w:style>
  <w:style w:type="paragraph" w:customStyle="1" w:styleId="ArtNo">
    <w:name w:val="Art_No"/>
    <w:basedOn w:val="Normal"/>
    <w:next w:val="Art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qFormat/>
    <w:rsid w:val="00813E5E"/>
  </w:style>
  <w:style w:type="paragraph" w:customStyle="1" w:styleId="Chaptitle">
    <w:name w:val="Chap_title"/>
    <w:basedOn w:val="Arttitle"/>
    <w:next w:val="Normal"/>
    <w:qFormat/>
    <w:rsid w:val="001A3154"/>
  </w:style>
  <w:style w:type="character" w:styleId="UnresolvedMention">
    <w:name w:val="Unresolved Mention"/>
    <w:basedOn w:val="DefaultParagraphFont"/>
    <w:uiPriority w:val="99"/>
    <w:semiHidden/>
    <w:unhideWhenUsed/>
    <w:rsid w:val="00BF1FD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A7995"/>
    <w:rPr>
      <w:color w:val="666666"/>
    </w:rPr>
  </w:style>
  <w:style w:type="paragraph" w:customStyle="1" w:styleId="Reasons">
    <w:name w:val="Reasons"/>
    <w:basedOn w:val="Normal"/>
    <w:qFormat/>
    <w:rsid w:val="00ED6A0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Theme="minorHAnsi" w:hAnsiTheme="minorHAnsi" w:cstheme="minorHAnsi"/>
      <w:lang w:val="en-US"/>
    </w:rPr>
  </w:style>
  <w:style w:type="character" w:customStyle="1" w:styleId="normaltextrun">
    <w:name w:val="normaltextrun"/>
    <w:basedOn w:val="DefaultParagraphFont"/>
    <w:rsid w:val="007D6851"/>
  </w:style>
  <w:style w:type="character" w:customStyle="1" w:styleId="eop">
    <w:name w:val="eop"/>
    <w:basedOn w:val="DefaultParagraphFont"/>
    <w:rsid w:val="007D6851"/>
  </w:style>
  <w:style w:type="paragraph" w:styleId="ListParagraph">
    <w:name w:val="List Paragraph"/>
    <w:basedOn w:val="Normal"/>
    <w:uiPriority w:val="34"/>
    <w:qFormat/>
    <w:rsid w:val="007F0250"/>
    <w:pPr>
      <w:ind w:left="720"/>
      <w:contextualSpacing/>
    </w:pPr>
  </w:style>
  <w:style w:type="paragraph" w:styleId="Revision">
    <w:name w:val="Revision"/>
    <w:hidden/>
    <w:uiPriority w:val="99"/>
    <w:semiHidden/>
    <w:rsid w:val="009B6C82"/>
    <w:rPr>
      <w:rFonts w:ascii="Calibri" w:hAnsi="Calibri"/>
      <w:sz w:val="24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4A235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A235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A235D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A23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A235D"/>
    <w:rPr>
      <w:rFonts w:ascii="Calibri" w:hAnsi="Calibri"/>
      <w:b/>
      <w:bCs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4A235D"/>
    <w:rPr>
      <w:color w:val="2B579A"/>
      <w:shd w:val="clear" w:color="auto" w:fill="E1DFDD"/>
    </w:rPr>
  </w:style>
  <w:style w:type="paragraph" w:styleId="Signature">
    <w:name w:val="Signature"/>
    <w:basedOn w:val="Normal"/>
    <w:link w:val="SignatureChar"/>
    <w:unhideWhenUsed/>
    <w:rsid w:val="00ED6A09"/>
    <w:pPr>
      <w:spacing w:before="0"/>
      <w:ind w:left="4252"/>
    </w:pPr>
  </w:style>
  <w:style w:type="character" w:customStyle="1" w:styleId="SignatureChar">
    <w:name w:val="Signature Char"/>
    <w:basedOn w:val="DefaultParagraphFont"/>
    <w:link w:val="Signature"/>
    <w:rsid w:val="00ED6A09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en/council/CWG-SFP-2028-2031/Pages/default.aspx" TargetMode="External"/><Relationship Id="rId18" Type="http://schemas.openxmlformats.org/officeDocument/2006/relationships/hyperlink" Target="https://www.itu.int/md/S24-CWGSFP1-C-0009/en" TargetMode="External"/><Relationship Id="rId26" Type="http://schemas.openxmlformats.org/officeDocument/2006/relationships/image" Target="media/image5.sv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itu.int/md/S24-CL-C-0139/en" TargetMode="External"/><Relationship Id="rId17" Type="http://schemas.openxmlformats.org/officeDocument/2006/relationships/hyperlink" Target="https://www.itu.int/md/S25-CWGSFP2-C-0007/en" TargetMode="External"/><Relationship Id="rId25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25-CL-C-0029/en" TargetMode="External"/><Relationship Id="rId20" Type="http://schemas.openxmlformats.org/officeDocument/2006/relationships/footer" Target="footer1.xm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en/council/CWG-SFP-2028-2031/Pages/default.aspx" TargetMode="External"/><Relationship Id="rId24" Type="http://schemas.openxmlformats.org/officeDocument/2006/relationships/image" Target="media/image3.sv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S25-CWGSFP2-C-0002/en" TargetMode="External"/><Relationship Id="rId23" Type="http://schemas.openxmlformats.org/officeDocument/2006/relationships/image" Target="media/image2.png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www.itu.int/md/S25-CWGSFP2-C-0013/en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24-CL-C-0139/en" TargetMode="External"/><Relationship Id="rId22" Type="http://schemas.openxmlformats.org/officeDocument/2006/relationships/footer" Target="footer2.xml"/><Relationship Id="rId27" Type="http://schemas.openxmlformats.org/officeDocument/2006/relationships/header" Target="header2.xml"/><Relationship Id="rId30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5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B2CC4DF5F10149B2E37F08EDC3AC3A" ma:contentTypeVersion="4" ma:contentTypeDescription="Create a new document." ma:contentTypeScope="" ma:versionID="307ecc74a8eb51dfea6b750f0799606c">
  <xsd:schema xmlns:xsd="http://www.w3.org/2001/XMLSchema" xmlns:xs="http://www.w3.org/2001/XMLSchema" xmlns:p="http://schemas.microsoft.com/office/2006/metadata/properties" xmlns:ns2="a1cf676c-2816-4389-ad5d-0f2e7c7e67c4" targetNamespace="http://schemas.microsoft.com/office/2006/metadata/properties" ma:root="true" ma:fieldsID="80c3ec948e348096898dbd7aed4bed44" ns2:_="">
    <xsd:import namespace="a1cf676c-2816-4389-ad5d-0f2e7c7e6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f676c-2816-4389-ad5d-0f2e7c7e6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2F2AC-2255-4DBF-9278-6619577B45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CB52BA-7AEF-42D4-AF59-959012BFA9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A46DD9-75D2-4CD7-9BEC-D96145DFA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f676c-2816-4389-ad5d-0f2e7c7e6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754</Words>
  <Characters>4337</Characters>
  <Application>Microsoft Office Word</Application>
  <DocSecurity>0</DocSecurity>
  <Lines>95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Progress report of the Council Working Group for strategic and financial plans 2028-2031</vt:lpstr>
    </vt:vector>
  </TitlesOfParts>
  <Manager>General Secretariat</Manager>
  <Company>International Telecommunication Union (ITU)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 report of the Council Working Group for strategic and financial plans 2028-2031</dc:title>
  <dc:subject>Council 2025</dc:subject>
  <cp:keywords>C25; C2025; Council 2025; ITU160</cp:keywords>
  <dc:description/>
  <cp:lastPrinted>2000-07-18T13:30:00Z</cp:lastPrinted>
  <dcterms:created xsi:type="dcterms:W3CDTF">2025-04-17T08:20:00Z</dcterms:created>
  <dcterms:modified xsi:type="dcterms:W3CDTF">2025-04-17T08:25:00Z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caebc3b039d2086fae139bdca98a6c61c028c4ec16ce6ef236d196610d84ef77</vt:lpwstr>
  </property>
  <property fmtid="{D5CDD505-2E9C-101B-9397-08002B2CF9AE}" pid="9" name="ContentTypeId">
    <vt:lpwstr>0x01010096B2CC4DF5F10149B2E37F08EDC3AC3A</vt:lpwstr>
  </property>
  <property fmtid="{D5CDD505-2E9C-101B-9397-08002B2CF9AE}" pid="10" name="MediaServiceImageTags">
    <vt:lpwstr/>
  </property>
</Properties>
</file>