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21AB1D28" w14:textId="77777777" w:rsidTr="00E31DCE">
        <w:trPr>
          <w:cantSplit/>
          <w:trHeight w:val="23"/>
        </w:trPr>
        <w:tc>
          <w:tcPr>
            <w:tcW w:w="3969" w:type="dxa"/>
            <w:vMerge w:val="restart"/>
            <w:tcMar>
              <w:left w:w="0" w:type="dxa"/>
            </w:tcMar>
          </w:tcPr>
          <w:p w14:paraId="5B761480" w14:textId="3A37AC16" w:rsidR="00E24D59" w:rsidRPr="005B51FB" w:rsidRDefault="00E24D59" w:rsidP="00E31DCE">
            <w:pPr>
              <w:tabs>
                <w:tab w:val="left" w:pos="851"/>
              </w:tabs>
              <w:spacing w:before="0" w:line="240" w:lineRule="atLeast"/>
              <w:rPr>
                <w:b/>
                <w:bCs/>
                <w:lang w:val="en-US"/>
              </w:rPr>
            </w:pPr>
            <w:bookmarkStart w:id="0" w:name="dmeeting" w:colFirst="0" w:colLast="0"/>
            <w:bookmarkStart w:id="1" w:name="dnum" w:colFirst="1" w:colLast="1"/>
            <w:bookmarkStart w:id="2" w:name="_Hlk133421839"/>
            <w:proofErr w:type="spellStart"/>
            <w:r w:rsidRPr="00E24D59">
              <w:rPr>
                <w:rFonts w:cstheme="minorHAnsi" w:hint="eastAsia"/>
                <w:b/>
                <w:bCs/>
                <w:lang w:val="ru-RU"/>
              </w:rPr>
              <w:t>议项</w:t>
            </w:r>
            <w:proofErr w:type="spellEnd"/>
            <w:r w:rsidRPr="00E24D59">
              <w:rPr>
                <w:rFonts w:cstheme="minorHAnsi" w:hint="eastAsia"/>
                <w:b/>
                <w:bCs/>
                <w:lang w:val="ru-RU"/>
              </w:rPr>
              <w:t>：</w:t>
            </w:r>
            <w:r w:rsidR="00000795">
              <w:rPr>
                <w:b/>
                <w:bCs/>
                <w:color w:val="000000"/>
                <w:lang w:val="zh-CN"/>
              </w:rPr>
              <w:t xml:space="preserve">PL </w:t>
            </w:r>
            <w:r w:rsidR="005B51FB">
              <w:rPr>
                <w:b/>
                <w:bCs/>
                <w:color w:val="000000"/>
                <w:lang w:val="en-US"/>
              </w:rPr>
              <w:t>2</w:t>
            </w:r>
          </w:p>
        </w:tc>
        <w:tc>
          <w:tcPr>
            <w:tcW w:w="5245" w:type="dxa"/>
          </w:tcPr>
          <w:p w14:paraId="5BFD5B79" w14:textId="4D4FA19D" w:rsidR="00E24D59" w:rsidRPr="00E24D59" w:rsidRDefault="00E24D59" w:rsidP="00E31DC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proofErr w:type="spellStart"/>
            <w:r w:rsidRPr="00E24D59">
              <w:rPr>
                <w:b/>
                <w:lang w:val="fr-CH"/>
              </w:rPr>
              <w:t>C2</w:t>
            </w:r>
            <w:r w:rsidR="0072138B">
              <w:rPr>
                <w:b/>
                <w:lang w:val="fr-CH"/>
              </w:rPr>
              <w:t>5</w:t>
            </w:r>
            <w:proofErr w:type="spellEnd"/>
            <w:r w:rsidRPr="00E24D59">
              <w:rPr>
                <w:b/>
                <w:lang w:val="fr-CH"/>
              </w:rPr>
              <w:t>/</w:t>
            </w:r>
            <w:r w:rsidR="005B51FB">
              <w:rPr>
                <w:b/>
                <w:lang w:val="fr-CH" w:eastAsia="zh-CN"/>
              </w:rPr>
              <w:t>3</w:t>
            </w:r>
            <w:r w:rsidR="00B911AB">
              <w:rPr>
                <w:rFonts w:hint="eastAsia"/>
                <w:b/>
                <w:lang w:val="fr-CH" w:eastAsia="zh-CN"/>
              </w:rPr>
              <w:t>1</w:t>
            </w:r>
            <w:r w:rsidRPr="00E24D59">
              <w:rPr>
                <w:b/>
                <w:lang w:val="fr-CH"/>
              </w:rPr>
              <w:t>-C</w:t>
            </w:r>
          </w:p>
        </w:tc>
      </w:tr>
      <w:tr w:rsidR="00E24D59" w:rsidRPr="00813E5E" w14:paraId="3D209343" w14:textId="77777777" w:rsidTr="00E31DCE">
        <w:trPr>
          <w:cantSplit/>
        </w:trPr>
        <w:tc>
          <w:tcPr>
            <w:tcW w:w="3969" w:type="dxa"/>
            <w:vMerge/>
          </w:tcPr>
          <w:p w14:paraId="3C8A4619"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1FAFFA43" w14:textId="17CE5639" w:rsidR="00E24D59" w:rsidRPr="00E85629" w:rsidRDefault="00000795" w:rsidP="00E31DCE">
            <w:pPr>
              <w:tabs>
                <w:tab w:val="left" w:pos="851"/>
              </w:tabs>
              <w:spacing w:before="0"/>
              <w:jc w:val="right"/>
              <w:rPr>
                <w:b/>
              </w:rPr>
            </w:pPr>
            <w:r>
              <w:rPr>
                <w:rFonts w:hint="eastAsia"/>
                <w:b/>
                <w:lang w:eastAsia="zh-CN"/>
              </w:rPr>
              <w:t>2025</w:t>
            </w:r>
            <w:r>
              <w:rPr>
                <w:rFonts w:hint="eastAsia"/>
                <w:b/>
                <w:lang w:eastAsia="zh-CN"/>
              </w:rPr>
              <w:t>年</w:t>
            </w:r>
            <w:r>
              <w:rPr>
                <w:rFonts w:hint="eastAsia"/>
                <w:b/>
                <w:lang w:eastAsia="zh-CN"/>
              </w:rPr>
              <w:t>4</w:t>
            </w:r>
            <w:r>
              <w:rPr>
                <w:rFonts w:hint="eastAsia"/>
                <w:b/>
                <w:lang w:eastAsia="zh-CN"/>
              </w:rPr>
              <w:t>月</w:t>
            </w:r>
            <w:r w:rsidR="00CE6226">
              <w:rPr>
                <w:rFonts w:hint="eastAsia"/>
                <w:b/>
                <w:lang w:eastAsia="zh-CN"/>
              </w:rPr>
              <w:t>17</w:t>
            </w:r>
            <w:r>
              <w:rPr>
                <w:rFonts w:hint="eastAsia"/>
                <w:b/>
                <w:lang w:eastAsia="zh-CN"/>
              </w:rPr>
              <w:t>日</w:t>
            </w:r>
          </w:p>
        </w:tc>
      </w:tr>
      <w:tr w:rsidR="00E24D59" w:rsidRPr="00813E5E" w14:paraId="6524BC02" w14:textId="77777777" w:rsidTr="00E31DCE">
        <w:trPr>
          <w:cantSplit/>
          <w:trHeight w:val="23"/>
        </w:trPr>
        <w:tc>
          <w:tcPr>
            <w:tcW w:w="3969" w:type="dxa"/>
            <w:vMerge/>
          </w:tcPr>
          <w:p w14:paraId="25BE50A7"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1128CBF2" w14:textId="5C84B2BB" w:rsidR="00E24D59" w:rsidRPr="00E85629" w:rsidRDefault="00E24D59" w:rsidP="00E31DCE">
            <w:pPr>
              <w:tabs>
                <w:tab w:val="left" w:pos="851"/>
              </w:tabs>
              <w:spacing w:before="0" w:line="240" w:lineRule="atLeast"/>
              <w:jc w:val="right"/>
              <w:rPr>
                <w:b/>
                <w:lang w:eastAsia="zh-CN"/>
              </w:rPr>
            </w:pPr>
            <w:proofErr w:type="spellStart"/>
            <w:r w:rsidRPr="00E24D59">
              <w:rPr>
                <w:rFonts w:cstheme="minorHAnsi"/>
                <w:b/>
                <w:bCs/>
                <w:lang w:val="ru-RU"/>
              </w:rPr>
              <w:t>原文：</w:t>
            </w:r>
            <w:r w:rsidR="00000795">
              <w:rPr>
                <w:b/>
                <w:bCs/>
                <w:color w:val="000000"/>
                <w:lang w:val="zh-CN"/>
              </w:rPr>
              <w:t>英文</w:t>
            </w:r>
            <w:proofErr w:type="spellEnd"/>
          </w:p>
        </w:tc>
      </w:tr>
      <w:tr w:rsidR="00E24D59" w:rsidRPr="00813E5E" w14:paraId="7A2A6AC2" w14:textId="77777777" w:rsidTr="00E31DCE">
        <w:trPr>
          <w:cantSplit/>
          <w:trHeight w:val="23"/>
        </w:trPr>
        <w:tc>
          <w:tcPr>
            <w:tcW w:w="3969" w:type="dxa"/>
          </w:tcPr>
          <w:p w14:paraId="4D4D824D" w14:textId="77777777" w:rsidR="00E24D59" w:rsidRPr="00813E5E" w:rsidRDefault="00E24D59" w:rsidP="00E31DCE">
            <w:pPr>
              <w:tabs>
                <w:tab w:val="left" w:pos="851"/>
              </w:tabs>
              <w:spacing w:line="240" w:lineRule="atLeast"/>
              <w:rPr>
                <w:b/>
              </w:rPr>
            </w:pPr>
          </w:p>
        </w:tc>
        <w:tc>
          <w:tcPr>
            <w:tcW w:w="5245" w:type="dxa"/>
          </w:tcPr>
          <w:p w14:paraId="318C9B31" w14:textId="77777777" w:rsidR="00E24D59" w:rsidRDefault="00E24D59" w:rsidP="00E31DCE">
            <w:pPr>
              <w:tabs>
                <w:tab w:val="left" w:pos="851"/>
              </w:tabs>
              <w:spacing w:before="0" w:line="240" w:lineRule="atLeast"/>
              <w:jc w:val="right"/>
              <w:rPr>
                <w:b/>
              </w:rPr>
            </w:pPr>
          </w:p>
        </w:tc>
      </w:tr>
      <w:tr w:rsidR="00E24D59" w:rsidRPr="00813E5E" w14:paraId="0837D9B8" w14:textId="77777777" w:rsidTr="00E31DCE">
        <w:trPr>
          <w:cantSplit/>
        </w:trPr>
        <w:tc>
          <w:tcPr>
            <w:tcW w:w="9214" w:type="dxa"/>
            <w:gridSpan w:val="2"/>
            <w:tcMar>
              <w:left w:w="0" w:type="dxa"/>
            </w:tcMar>
          </w:tcPr>
          <w:p w14:paraId="484E8B03" w14:textId="4FCB6CCE" w:rsidR="00E24D59" w:rsidRPr="00E24D59" w:rsidRDefault="00B911AB" w:rsidP="00107F53">
            <w:pPr>
              <w:pStyle w:val="Source"/>
              <w:spacing w:before="360"/>
              <w:jc w:val="left"/>
              <w:rPr>
                <w:sz w:val="34"/>
                <w:szCs w:val="34"/>
                <w:lang w:eastAsia="zh-CN"/>
              </w:rPr>
            </w:pPr>
            <w:bookmarkStart w:id="5" w:name="dsource" w:colFirst="0" w:colLast="0"/>
            <w:bookmarkEnd w:id="4"/>
            <w:r w:rsidRPr="00B911AB">
              <w:rPr>
                <w:rFonts w:cstheme="minorHAnsi"/>
                <w:sz w:val="34"/>
                <w:szCs w:val="34"/>
                <w:lang w:val="ru-RU" w:eastAsia="zh-CN"/>
              </w:rPr>
              <w:t>理事会</w:t>
            </w:r>
            <w:r w:rsidRPr="00B911AB">
              <w:rPr>
                <w:rFonts w:cstheme="minorHAnsi"/>
                <w:sz w:val="34"/>
                <w:szCs w:val="34"/>
                <w:lang w:val="ru-RU" w:eastAsia="zh-CN"/>
              </w:rPr>
              <w:t>2028-2031</w:t>
            </w:r>
            <w:r w:rsidRPr="00B911AB">
              <w:rPr>
                <w:rFonts w:cstheme="minorHAnsi"/>
                <w:sz w:val="34"/>
                <w:szCs w:val="34"/>
                <w:lang w:val="ru-RU" w:eastAsia="zh-CN"/>
              </w:rPr>
              <w:t>年战略</w:t>
            </w:r>
            <w:r w:rsidRPr="00B911AB">
              <w:rPr>
                <w:rFonts w:cstheme="minorHAnsi" w:hint="eastAsia"/>
                <w:sz w:val="34"/>
                <w:szCs w:val="34"/>
                <w:lang w:val="ru-RU" w:eastAsia="zh-CN"/>
              </w:rPr>
              <w:t>规划</w:t>
            </w:r>
            <w:r w:rsidRPr="00B911AB">
              <w:rPr>
                <w:rFonts w:cstheme="minorHAnsi"/>
                <w:sz w:val="34"/>
                <w:szCs w:val="34"/>
                <w:lang w:val="ru-RU" w:eastAsia="zh-CN"/>
              </w:rPr>
              <w:t>和</w:t>
            </w:r>
            <w:r>
              <w:rPr>
                <w:rFonts w:cstheme="minorHAnsi"/>
                <w:sz w:val="34"/>
                <w:szCs w:val="34"/>
                <w:lang w:val="ru-RU" w:eastAsia="zh-CN"/>
              </w:rPr>
              <w:br/>
            </w:r>
            <w:r w:rsidRPr="00B911AB">
              <w:rPr>
                <w:rFonts w:cstheme="minorHAnsi"/>
                <w:sz w:val="34"/>
                <w:szCs w:val="34"/>
                <w:lang w:val="ru-RU" w:eastAsia="zh-CN"/>
              </w:rPr>
              <w:t>财务规划工作组主席的报告</w:t>
            </w:r>
          </w:p>
        </w:tc>
      </w:tr>
      <w:tr w:rsidR="00E24D59" w:rsidRPr="00813E5E" w14:paraId="0A607CA0" w14:textId="77777777" w:rsidTr="00E31DCE">
        <w:trPr>
          <w:cantSplit/>
        </w:trPr>
        <w:tc>
          <w:tcPr>
            <w:tcW w:w="9214" w:type="dxa"/>
            <w:gridSpan w:val="2"/>
            <w:tcMar>
              <w:left w:w="0" w:type="dxa"/>
            </w:tcMar>
          </w:tcPr>
          <w:p w14:paraId="61A82356" w14:textId="7F07D7F5" w:rsidR="00E24D59" w:rsidRPr="00983A8C" w:rsidRDefault="002E6EC4" w:rsidP="00E31DCE">
            <w:pPr>
              <w:pStyle w:val="Subtitle"/>
              <w:framePr w:hSpace="0" w:wrap="auto" w:hAnchor="text" w:xAlign="left" w:yAlign="inline"/>
              <w:rPr>
                <w:rFonts w:eastAsia="SimSun"/>
                <w:sz w:val="32"/>
                <w:szCs w:val="32"/>
                <w:lang w:eastAsia="zh-CN"/>
              </w:rPr>
            </w:pPr>
            <w:bookmarkStart w:id="6" w:name="_Hlk194308878"/>
            <w:bookmarkEnd w:id="5"/>
            <w:r w:rsidRPr="002E6EC4">
              <w:rPr>
                <w:rFonts w:eastAsia="SimSun" w:cs="Calibri" w:hint="eastAsia"/>
                <w:sz w:val="32"/>
                <w:szCs w:val="32"/>
                <w:lang w:eastAsia="zh-CN"/>
              </w:rPr>
              <w:t>理事会</w:t>
            </w:r>
            <w:r w:rsidRPr="002E6EC4">
              <w:rPr>
                <w:rFonts w:eastAsia="SimSun" w:cs="Calibri" w:hint="eastAsia"/>
                <w:sz w:val="32"/>
                <w:szCs w:val="32"/>
                <w:lang w:eastAsia="zh-CN"/>
              </w:rPr>
              <w:t>2028-2031</w:t>
            </w:r>
            <w:r w:rsidRPr="002E6EC4">
              <w:rPr>
                <w:rFonts w:eastAsia="SimSun" w:cs="Calibri" w:hint="eastAsia"/>
                <w:sz w:val="32"/>
                <w:szCs w:val="32"/>
                <w:lang w:eastAsia="zh-CN"/>
              </w:rPr>
              <w:t>年战略规划和</w:t>
            </w:r>
            <w:r w:rsidR="00401180">
              <w:rPr>
                <w:rFonts w:eastAsia="SimSun" w:cs="Calibri"/>
                <w:sz w:val="32"/>
                <w:szCs w:val="32"/>
                <w:lang w:eastAsia="zh-CN"/>
              </w:rPr>
              <w:br/>
            </w:r>
            <w:r w:rsidRPr="002E6EC4">
              <w:rPr>
                <w:rFonts w:eastAsia="SimSun" w:cs="Calibri" w:hint="eastAsia"/>
                <w:sz w:val="32"/>
                <w:szCs w:val="32"/>
                <w:lang w:eastAsia="zh-CN"/>
              </w:rPr>
              <w:t>财务规划工作组（</w:t>
            </w:r>
            <w:r w:rsidRPr="002E6EC4">
              <w:rPr>
                <w:rFonts w:eastAsia="SimSun" w:cs="Calibri" w:hint="eastAsia"/>
                <w:sz w:val="32"/>
                <w:szCs w:val="32"/>
                <w:lang w:eastAsia="zh-CN"/>
              </w:rPr>
              <w:t>CWG-SFP</w:t>
            </w:r>
            <w:r w:rsidRPr="002E6EC4">
              <w:rPr>
                <w:rFonts w:eastAsia="SimSun" w:cs="Calibri" w:hint="eastAsia"/>
                <w:sz w:val="32"/>
                <w:szCs w:val="32"/>
                <w:lang w:eastAsia="zh-CN"/>
              </w:rPr>
              <w:t>）</w:t>
            </w:r>
            <w:r w:rsidR="00C811A5" w:rsidRPr="00C811A5">
              <w:rPr>
                <w:rFonts w:eastAsia="SimSun" w:cs="Calibri"/>
                <w:sz w:val="32"/>
                <w:szCs w:val="32"/>
                <w:lang w:eastAsia="zh-CN"/>
              </w:rPr>
              <w:t>的进展报告</w:t>
            </w:r>
            <w:bookmarkEnd w:id="6"/>
          </w:p>
        </w:tc>
      </w:tr>
      <w:tr w:rsidR="00E24D59" w:rsidRPr="00813E5E" w14:paraId="100C8F8F" w14:textId="77777777" w:rsidTr="00107F53">
        <w:trPr>
          <w:cantSplit/>
          <w:trHeight w:val="699"/>
        </w:trPr>
        <w:tc>
          <w:tcPr>
            <w:tcW w:w="9214" w:type="dxa"/>
            <w:gridSpan w:val="2"/>
            <w:tcBorders>
              <w:top w:val="single" w:sz="4" w:space="0" w:color="auto"/>
              <w:bottom w:val="single" w:sz="4" w:space="0" w:color="auto"/>
            </w:tcBorders>
            <w:tcMar>
              <w:left w:w="0" w:type="dxa"/>
            </w:tcMar>
          </w:tcPr>
          <w:p w14:paraId="713C3B98" w14:textId="383661D0" w:rsidR="003F086E" w:rsidRPr="00477D57" w:rsidRDefault="003F086E" w:rsidP="00477D57">
            <w:pPr>
              <w:rPr>
                <w:b/>
                <w:bCs/>
                <w:lang w:eastAsia="zh-CN"/>
              </w:rPr>
            </w:pPr>
            <w:r w:rsidRPr="00477D57">
              <w:rPr>
                <w:b/>
                <w:bCs/>
                <w:lang w:eastAsia="zh-CN"/>
              </w:rPr>
              <w:t>目的</w:t>
            </w:r>
          </w:p>
          <w:p w14:paraId="2EC71EBF" w14:textId="4376B2B5" w:rsidR="003F086E" w:rsidRPr="00477D57" w:rsidRDefault="00C811A5" w:rsidP="00000795">
            <w:pPr>
              <w:ind w:firstLineChars="200" w:firstLine="480"/>
              <w:rPr>
                <w:rFonts w:asciiTheme="majorEastAsia" w:eastAsiaTheme="majorEastAsia" w:hAnsiTheme="majorEastAsia"/>
                <w:lang w:eastAsia="zh-CN"/>
              </w:rPr>
            </w:pPr>
            <w:r>
              <w:rPr>
                <w:color w:val="000000"/>
                <w:lang w:val="zh-CN" w:eastAsia="zh-CN"/>
              </w:rPr>
              <w:t>本报告介绍了理事会</w:t>
            </w:r>
            <w:r>
              <w:rPr>
                <w:color w:val="000000"/>
                <w:lang w:val="zh-CN" w:eastAsia="zh-CN"/>
              </w:rPr>
              <w:t>2028-2031</w:t>
            </w:r>
            <w:r>
              <w:rPr>
                <w:color w:val="000000"/>
                <w:lang w:val="zh-CN" w:eastAsia="zh-CN"/>
              </w:rPr>
              <w:t>年战略规划和财务规划工作组（</w:t>
            </w:r>
            <w:r>
              <w:rPr>
                <w:color w:val="000000"/>
                <w:lang w:val="zh-CN" w:eastAsia="zh-CN"/>
              </w:rPr>
              <w:t>CWG-SFP</w:t>
            </w:r>
            <w:r>
              <w:rPr>
                <w:color w:val="000000"/>
                <w:lang w:val="zh-CN" w:eastAsia="zh-CN"/>
              </w:rPr>
              <w:t>）自理事会</w:t>
            </w:r>
            <w:r>
              <w:rPr>
                <w:color w:val="000000"/>
                <w:lang w:val="zh-CN" w:eastAsia="zh-CN"/>
              </w:rPr>
              <w:t>2024</w:t>
            </w:r>
            <w:r>
              <w:rPr>
                <w:color w:val="000000"/>
                <w:lang w:val="zh-CN" w:eastAsia="zh-CN"/>
              </w:rPr>
              <w:t>年会议成立以来取得的进展。</w:t>
            </w:r>
          </w:p>
          <w:p w14:paraId="27F347DA" w14:textId="77777777" w:rsidR="003F086E" w:rsidRPr="00477D57" w:rsidRDefault="003F086E" w:rsidP="00477D57">
            <w:pPr>
              <w:rPr>
                <w:b/>
                <w:bCs/>
                <w:lang w:eastAsia="zh-CN"/>
              </w:rPr>
            </w:pPr>
            <w:r w:rsidRPr="00477D57">
              <w:rPr>
                <w:b/>
                <w:bCs/>
                <w:lang w:eastAsia="zh-CN"/>
              </w:rPr>
              <w:t>理事会需采取的行动</w:t>
            </w:r>
          </w:p>
          <w:p w14:paraId="42DB9236" w14:textId="22E6C06C" w:rsidR="00E24D59" w:rsidRDefault="00107F53" w:rsidP="00776C9A">
            <w:pPr>
              <w:spacing w:after="240"/>
              <w:ind w:firstLineChars="200" w:firstLine="480"/>
              <w:rPr>
                <w:lang w:val="en-US" w:eastAsia="zh-CN"/>
              </w:rPr>
            </w:pPr>
            <w:r w:rsidRPr="002A7518">
              <w:rPr>
                <w:rFonts w:hint="eastAsia"/>
                <w:lang w:eastAsia="zh-CN"/>
              </w:rPr>
              <w:t>请理事会将本报告</w:t>
            </w:r>
            <w:r w:rsidRPr="002A7518">
              <w:rPr>
                <w:rFonts w:hint="eastAsia"/>
                <w:b/>
                <w:bCs/>
                <w:lang w:eastAsia="zh-CN"/>
              </w:rPr>
              <w:t>记录在案</w:t>
            </w:r>
            <w:r w:rsidRPr="002A7518">
              <w:rPr>
                <w:rFonts w:hint="eastAsia"/>
                <w:lang w:eastAsia="zh-CN"/>
              </w:rPr>
              <w:t>。</w:t>
            </w:r>
          </w:p>
          <w:p w14:paraId="1FA13FFB" w14:textId="77777777" w:rsidR="00107F53" w:rsidRPr="008F64AD" w:rsidRDefault="00107F53" w:rsidP="00107F53">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hint="eastAsia"/>
                <w:b/>
                <w:bCs/>
                <w:sz w:val="26"/>
                <w:szCs w:val="26"/>
                <w:lang w:eastAsia="zh-CN"/>
              </w:rPr>
              <w:t>与</w:t>
            </w:r>
            <w:r w:rsidRPr="008F64AD">
              <w:rPr>
                <w:rFonts w:ascii="SimSun" w:eastAsia="SimSun" w:hAnsi="SimSun" w:cstheme="minorHAnsi"/>
                <w:b/>
                <w:bCs/>
                <w:sz w:val="26"/>
                <w:szCs w:val="26"/>
                <w:lang w:eastAsia="zh-CN"/>
              </w:rPr>
              <w:t>《战略规划》</w:t>
            </w:r>
            <w:r w:rsidRPr="008F64AD">
              <w:rPr>
                <w:rFonts w:ascii="SimSun" w:eastAsia="SimSun" w:hAnsi="SimSun" w:cstheme="minorHAnsi" w:hint="eastAsia"/>
                <w:b/>
                <w:bCs/>
                <w:sz w:val="26"/>
                <w:szCs w:val="26"/>
                <w:lang w:eastAsia="zh-CN"/>
              </w:rPr>
              <w:t>的关联</w:t>
            </w:r>
          </w:p>
          <w:p w14:paraId="0820492B" w14:textId="3003380D" w:rsidR="00107F53" w:rsidRPr="008F64AD" w:rsidRDefault="00C811A5" w:rsidP="00107F53">
            <w:pPr>
              <w:tabs>
                <w:tab w:val="clear" w:pos="794"/>
                <w:tab w:val="clear" w:pos="1191"/>
                <w:tab w:val="clear" w:pos="1588"/>
                <w:tab w:val="clear" w:pos="1985"/>
                <w:tab w:val="left" w:pos="567"/>
                <w:tab w:val="left" w:pos="1134"/>
                <w:tab w:val="left" w:pos="1701"/>
                <w:tab w:val="left" w:pos="2268"/>
                <w:tab w:val="left" w:pos="2835"/>
              </w:tabs>
              <w:ind w:firstLineChars="200" w:firstLine="480"/>
              <w:jc w:val="both"/>
              <w:rPr>
                <w:rFonts w:ascii="SimSun" w:hAnsi="SimSun" w:cstheme="minorHAnsi"/>
                <w:b/>
                <w:bCs/>
                <w:sz w:val="26"/>
                <w:szCs w:val="26"/>
                <w:lang w:eastAsia="zh-CN"/>
              </w:rPr>
            </w:pPr>
            <w:r>
              <w:rPr>
                <w:rFonts w:hint="eastAsia"/>
                <w:color w:val="000000"/>
                <w:lang w:val="zh-CN" w:eastAsia="zh-CN"/>
              </w:rPr>
              <w:t>《</w:t>
            </w:r>
            <w:r>
              <w:rPr>
                <w:color w:val="000000"/>
                <w:lang w:val="zh-CN" w:eastAsia="zh-CN"/>
              </w:rPr>
              <w:t>战略规划</w:t>
            </w:r>
            <w:r>
              <w:rPr>
                <w:rFonts w:hint="eastAsia"/>
                <w:color w:val="000000"/>
                <w:lang w:val="zh-CN" w:eastAsia="zh-CN"/>
              </w:rPr>
              <w:t>》</w:t>
            </w:r>
            <w:r>
              <w:rPr>
                <w:color w:val="000000"/>
                <w:lang w:val="zh-CN" w:eastAsia="zh-CN"/>
              </w:rPr>
              <w:t>和</w:t>
            </w:r>
            <w:r>
              <w:rPr>
                <w:rFonts w:hint="eastAsia"/>
                <w:color w:val="000000"/>
                <w:lang w:val="zh-CN" w:eastAsia="zh-CN"/>
              </w:rPr>
              <w:t>《</w:t>
            </w:r>
            <w:r>
              <w:rPr>
                <w:color w:val="000000"/>
                <w:lang w:val="zh-CN" w:eastAsia="zh-CN"/>
              </w:rPr>
              <w:t>财务规划</w:t>
            </w:r>
            <w:r>
              <w:rPr>
                <w:rFonts w:hint="eastAsia"/>
                <w:color w:val="000000"/>
                <w:lang w:val="zh-CN" w:eastAsia="zh-CN"/>
              </w:rPr>
              <w:t>》</w:t>
            </w:r>
          </w:p>
          <w:p w14:paraId="59A3B273" w14:textId="77777777" w:rsidR="00107F53" w:rsidRDefault="00107F53" w:rsidP="00107F53">
            <w:pPr>
              <w:pStyle w:val="Subtitle"/>
              <w:framePr w:hSpace="0" w:wrap="auto" w:hAnchor="text" w:xAlign="left" w:yAlign="inline"/>
              <w:spacing w:after="120"/>
              <w:rPr>
                <w:rFonts w:ascii="SimSun" w:eastAsia="SimSun" w:hAnsi="SimSun" w:cstheme="minorHAnsi"/>
                <w:b/>
                <w:bCs/>
                <w:sz w:val="26"/>
                <w:szCs w:val="26"/>
                <w:lang w:eastAsia="zh-CN"/>
              </w:rPr>
            </w:pPr>
            <w:r w:rsidRPr="008F64AD">
              <w:rPr>
                <w:rFonts w:ascii="SimSun" w:eastAsia="SimSun" w:hAnsi="SimSun" w:cstheme="minorHAnsi"/>
                <w:b/>
                <w:bCs/>
                <w:sz w:val="26"/>
                <w:szCs w:val="26"/>
                <w:lang w:eastAsia="zh-CN"/>
              </w:rPr>
              <w:t>财务影响</w:t>
            </w:r>
          </w:p>
          <w:p w14:paraId="7801D455" w14:textId="77777777" w:rsidR="00107F53" w:rsidRPr="00E24D59" w:rsidRDefault="00107F53" w:rsidP="00107F53">
            <w:pPr>
              <w:tabs>
                <w:tab w:val="clear" w:pos="794"/>
                <w:tab w:val="clear" w:pos="1191"/>
                <w:tab w:val="clear" w:pos="1588"/>
                <w:tab w:val="clear" w:pos="1985"/>
                <w:tab w:val="left" w:pos="567"/>
                <w:tab w:val="left" w:pos="1134"/>
                <w:tab w:val="left" w:pos="1701"/>
                <w:tab w:val="left" w:pos="2268"/>
                <w:tab w:val="left" w:pos="2835"/>
              </w:tabs>
              <w:ind w:firstLineChars="200" w:firstLine="480"/>
              <w:jc w:val="both"/>
              <w:rPr>
                <w:rFonts w:ascii="SimSun" w:hAnsi="SimSun" w:cstheme="minorHAnsi"/>
                <w:b/>
                <w:bCs/>
                <w:sz w:val="26"/>
                <w:szCs w:val="26"/>
                <w:lang w:eastAsia="zh-CN"/>
              </w:rPr>
            </w:pPr>
            <w:bookmarkStart w:id="7" w:name="lt_pId018"/>
            <w:r>
              <w:rPr>
                <w:rFonts w:hint="eastAsia"/>
                <w:szCs w:val="24"/>
                <w:lang w:eastAsia="zh-CN"/>
              </w:rPr>
              <w:t>在</w:t>
            </w:r>
            <w:r w:rsidRPr="00F543E6">
              <w:rPr>
                <w:rFonts w:hint="eastAsia"/>
                <w:szCs w:val="24"/>
                <w:lang w:eastAsia="zh-CN"/>
              </w:rPr>
              <w:t>已划拨的</w:t>
            </w:r>
            <w:r w:rsidRPr="00795513">
              <w:rPr>
                <w:szCs w:val="24"/>
                <w:lang w:eastAsia="zh-CN"/>
              </w:rPr>
              <w:t>2024</w:t>
            </w:r>
            <w:r>
              <w:rPr>
                <w:rFonts w:hint="eastAsia"/>
                <w:szCs w:val="24"/>
                <w:lang w:eastAsia="zh-CN"/>
              </w:rPr>
              <w:t>-</w:t>
            </w:r>
            <w:r w:rsidRPr="00795513">
              <w:rPr>
                <w:szCs w:val="24"/>
                <w:lang w:eastAsia="zh-CN"/>
              </w:rPr>
              <w:t>2025</w:t>
            </w:r>
            <w:bookmarkEnd w:id="7"/>
            <w:r>
              <w:rPr>
                <w:rFonts w:hint="eastAsia"/>
                <w:szCs w:val="24"/>
                <w:lang w:eastAsia="zh-CN"/>
              </w:rPr>
              <w:t>年</w:t>
            </w:r>
            <w:r w:rsidRPr="00F543E6">
              <w:rPr>
                <w:rFonts w:hint="eastAsia"/>
                <w:szCs w:val="24"/>
                <w:lang w:eastAsia="zh-CN"/>
              </w:rPr>
              <w:t>预算范围内</w:t>
            </w:r>
            <w:r>
              <w:rPr>
                <w:rFonts w:hint="eastAsia"/>
                <w:szCs w:val="24"/>
                <w:lang w:eastAsia="zh-CN"/>
              </w:rPr>
              <w:t>。</w:t>
            </w:r>
          </w:p>
          <w:p w14:paraId="793BAE45" w14:textId="77777777" w:rsidR="00107F53" w:rsidRPr="00E24D59" w:rsidRDefault="00107F53" w:rsidP="00107F53">
            <w:pPr>
              <w:pStyle w:val="Subtitle"/>
              <w:framePr w:hSpace="0" w:wrap="auto" w:hAnchor="text" w:xAlign="left" w:yAlign="inline"/>
              <w:spacing w:before="0" w:after="120"/>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__________________</w:t>
            </w:r>
          </w:p>
          <w:p w14:paraId="019994C4" w14:textId="77777777" w:rsidR="00107F53" w:rsidRPr="00453622" w:rsidRDefault="00107F53" w:rsidP="00107F53">
            <w:pPr>
              <w:pStyle w:val="Subtitle"/>
              <w:framePr w:hSpace="0" w:wrap="auto" w:hAnchor="text" w:xAlign="left" w:yAlign="inline"/>
              <w:spacing w:after="120"/>
              <w:rPr>
                <w:rStyle w:val="Hyperlink"/>
                <w:rFonts w:ascii="SimSun" w:eastAsia="SimSun" w:hAnsi="SimSun" w:cstheme="minorHAnsi"/>
                <w:b/>
                <w:bCs/>
                <w:color w:val="auto"/>
                <w:sz w:val="26"/>
                <w:szCs w:val="26"/>
                <w:lang w:eastAsia="zh-CN"/>
              </w:rPr>
            </w:pPr>
            <w:r w:rsidRPr="00E24D59">
              <w:rPr>
                <w:rFonts w:ascii="SimSun" w:eastAsia="SimSun" w:hAnsi="SimSun" w:cstheme="minorHAnsi" w:hint="eastAsia"/>
                <w:b/>
                <w:bCs/>
                <w:sz w:val="26"/>
                <w:szCs w:val="26"/>
                <w:lang w:eastAsia="zh-CN"/>
              </w:rPr>
              <w:t>参考文件</w:t>
            </w:r>
          </w:p>
          <w:p w14:paraId="10B87927" w14:textId="6E446C8D" w:rsidR="00463423" w:rsidRPr="00151990" w:rsidRDefault="00C811A5" w:rsidP="00151990">
            <w:pPr>
              <w:spacing w:before="0" w:after="120"/>
              <w:rPr>
                <w:lang w:eastAsia="zh-CN"/>
              </w:rPr>
            </w:pPr>
            <w:r>
              <w:fldChar w:fldCharType="begin"/>
            </w:r>
            <w:r>
              <w:rPr>
                <w:lang w:eastAsia="zh-CN"/>
              </w:rPr>
              <w:instrText>HYPERLINK "https://www.itu.int/en/council/CWG-SFP-2028-2031/Pages/default.aspx" \t "_blank"</w:instrText>
            </w:r>
            <w:r>
              <w:fldChar w:fldCharType="separate"/>
            </w:r>
            <w:r>
              <w:fldChar w:fldCharType="begin"/>
            </w:r>
            <w:r>
              <w:rPr>
                <w:lang w:eastAsia="zh-CN"/>
              </w:rPr>
              <w:instrText>HYPERLINK "https://www.itu.int/en/council/CWG-SFP-2028-2031/Pages/default.aspx" \t "_blank"</w:instrText>
            </w:r>
            <w:r>
              <w:fldChar w:fldCharType="separate"/>
            </w:r>
            <w:r w:rsidRPr="00C811A5">
              <w:rPr>
                <w:rStyle w:val="normaltextrun"/>
                <w:rFonts w:ascii="Times New Roman" w:eastAsia="STKaiti" w:hAnsi="Times New Roman"/>
                <w:color w:val="0000FF"/>
                <w:sz w:val="22"/>
                <w:szCs w:val="22"/>
                <w:u w:val="single"/>
                <w:shd w:val="clear" w:color="auto" w:fill="FFFFFF"/>
                <w:lang w:eastAsia="zh-CN"/>
              </w:rPr>
              <w:t>CWG-SFP</w:t>
            </w:r>
            <w:r w:rsidRPr="00C811A5">
              <w:rPr>
                <w:rStyle w:val="normaltextrun"/>
                <w:rFonts w:ascii="Times New Roman" w:eastAsia="STKaiti" w:hAnsi="Times New Roman"/>
                <w:color w:val="0000FF"/>
                <w:sz w:val="22"/>
                <w:szCs w:val="22"/>
                <w:u w:val="single"/>
                <w:shd w:val="clear" w:color="auto" w:fill="FFFFFF"/>
                <w:lang w:eastAsia="zh-CN"/>
              </w:rPr>
              <w:t>网站</w:t>
            </w:r>
            <w:r>
              <w:fldChar w:fldCharType="end"/>
            </w:r>
            <w:r w:rsidRPr="00B1785A">
              <w:rPr>
                <w:rFonts w:ascii="Times New Roman" w:eastAsia="STKaiti" w:hAnsi="Times New Roman"/>
                <w:color w:val="000000"/>
                <w:lang w:eastAsia="zh-CN"/>
              </w:rPr>
              <w:t>；理事会第</w:t>
            </w:r>
            <w:r w:rsidRPr="00C811A5">
              <w:rPr>
                <w:color w:val="0000FF"/>
              </w:rPr>
              <w:fldChar w:fldCharType="begin"/>
            </w:r>
            <w:r w:rsidRPr="00C811A5">
              <w:rPr>
                <w:color w:val="0000FF"/>
                <w:lang w:eastAsia="zh-CN"/>
              </w:rPr>
              <w:instrText>HYPERLINK "https://www.itu.int/md/S24-CL-C-0139/en" \t "_blank"</w:instrText>
            </w:r>
            <w:r w:rsidRPr="00C811A5">
              <w:rPr>
                <w:color w:val="0000FF"/>
              </w:rPr>
            </w:r>
            <w:r w:rsidRPr="00C811A5">
              <w:rPr>
                <w:color w:val="0000FF"/>
              </w:rPr>
              <w:fldChar w:fldCharType="separate"/>
            </w:r>
            <w:r w:rsidRPr="00C811A5">
              <w:rPr>
                <w:rStyle w:val="normaltextrun"/>
                <w:rFonts w:ascii="Times New Roman" w:eastAsia="STKaiti" w:hAnsi="Times New Roman"/>
                <w:color w:val="0000FF"/>
                <w:sz w:val="22"/>
                <w:szCs w:val="22"/>
                <w:u w:val="single"/>
                <w:shd w:val="clear" w:color="auto" w:fill="FFFFFF"/>
                <w:lang w:eastAsia="zh-CN"/>
              </w:rPr>
              <w:t>1428</w:t>
            </w:r>
            <w:r w:rsidRPr="00C811A5">
              <w:rPr>
                <w:color w:val="0000FF"/>
              </w:rPr>
              <w:fldChar w:fldCharType="end"/>
            </w:r>
            <w:r w:rsidRPr="00B1785A">
              <w:rPr>
                <w:rFonts w:ascii="Times New Roman" w:eastAsia="STKaiti" w:hAnsi="Times New Roman"/>
                <w:color w:val="000000"/>
                <w:lang w:eastAsia="zh-CN"/>
              </w:rPr>
              <w:t>号决议（</w:t>
            </w:r>
            <w:proofErr w:type="spellStart"/>
            <w:r w:rsidRPr="00B1785A">
              <w:rPr>
                <w:rFonts w:ascii="Times New Roman" w:eastAsia="STKaiti" w:hAnsi="Times New Roman"/>
                <w:color w:val="000000"/>
                <w:lang w:eastAsia="zh-CN"/>
              </w:rPr>
              <w:t>C24</w:t>
            </w:r>
            <w:proofErr w:type="spellEnd"/>
            <w:r w:rsidRPr="00B1785A">
              <w:rPr>
                <w:rFonts w:ascii="Times New Roman" w:eastAsia="STKaiti" w:hAnsi="Times New Roman"/>
                <w:color w:val="000000"/>
                <w:lang w:eastAsia="zh-CN"/>
              </w:rPr>
              <w:t>）</w:t>
            </w:r>
            <w:r>
              <w:fldChar w:fldCharType="end"/>
            </w:r>
          </w:p>
        </w:tc>
      </w:tr>
      <w:bookmarkEnd w:id="2"/>
    </w:tbl>
    <w:p w14:paraId="17D8BBDB" w14:textId="77777777" w:rsidR="00B62035" w:rsidRDefault="00B62035">
      <w:pPr>
        <w:tabs>
          <w:tab w:val="clear" w:pos="794"/>
          <w:tab w:val="clear" w:pos="1191"/>
          <w:tab w:val="clear" w:pos="1588"/>
          <w:tab w:val="clear" w:pos="1985"/>
        </w:tabs>
        <w:overflowPunct/>
        <w:autoSpaceDE/>
        <w:autoSpaceDN/>
        <w:adjustRightInd/>
        <w:spacing w:before="0"/>
        <w:textAlignment w:val="auto"/>
        <w:rPr>
          <w:b/>
          <w:sz w:val="28"/>
          <w:lang w:eastAsia="zh-CN"/>
        </w:rPr>
      </w:pPr>
      <w:r>
        <w:rPr>
          <w:lang w:eastAsia="zh-CN"/>
        </w:rPr>
        <w:br w:type="page"/>
      </w:r>
    </w:p>
    <w:p w14:paraId="715B6CB1" w14:textId="6B5786BC" w:rsidR="00107F53" w:rsidRPr="00107F53" w:rsidRDefault="00107F53" w:rsidP="00107F53">
      <w:pPr>
        <w:pStyle w:val="Heading1"/>
        <w:rPr>
          <w:lang w:eastAsia="zh-CN"/>
        </w:rPr>
      </w:pPr>
      <w:r w:rsidRPr="00107F53">
        <w:rPr>
          <w:lang w:eastAsia="zh-CN"/>
        </w:rPr>
        <w:lastRenderedPageBreak/>
        <w:t>1</w:t>
      </w:r>
      <w:r w:rsidRPr="00107F53">
        <w:rPr>
          <w:lang w:eastAsia="zh-CN"/>
        </w:rPr>
        <w:tab/>
      </w:r>
      <w:r w:rsidRPr="00107F53">
        <w:rPr>
          <w:rFonts w:hint="eastAsia"/>
          <w:lang w:eastAsia="zh-CN"/>
        </w:rPr>
        <w:t>引言</w:t>
      </w:r>
    </w:p>
    <w:p w14:paraId="4E405139" w14:textId="77777777" w:rsidR="00C811A5" w:rsidRDefault="00C811A5" w:rsidP="00C811A5">
      <w:pPr>
        <w:ind w:firstLineChars="200" w:firstLine="480"/>
        <w:rPr>
          <w:lang w:eastAsia="zh-CN"/>
        </w:rPr>
      </w:pPr>
      <w:r w:rsidRPr="00B1785A">
        <w:rPr>
          <w:rFonts w:hint="eastAsia"/>
          <w:lang w:val="zh-CN" w:eastAsia="zh-CN"/>
        </w:rPr>
        <w:t>理事会</w:t>
      </w:r>
      <w:r w:rsidRPr="00B1785A">
        <w:rPr>
          <w:rFonts w:hint="eastAsia"/>
          <w:lang w:val="zh-CN" w:eastAsia="zh-CN"/>
        </w:rPr>
        <w:t>2024</w:t>
      </w:r>
      <w:r w:rsidRPr="00B1785A">
        <w:rPr>
          <w:rFonts w:hint="eastAsia"/>
          <w:lang w:val="zh-CN" w:eastAsia="zh-CN"/>
        </w:rPr>
        <w:t>年会议</w:t>
      </w:r>
      <w:r>
        <w:rPr>
          <w:rFonts w:hint="eastAsia"/>
          <w:lang w:val="zh-CN" w:eastAsia="zh-CN"/>
        </w:rPr>
        <w:t>做出决议，</w:t>
      </w:r>
      <w:r w:rsidRPr="00B1785A">
        <w:rPr>
          <w:rFonts w:hint="eastAsia"/>
          <w:lang w:val="zh-CN" w:eastAsia="zh-CN"/>
        </w:rPr>
        <w:t>成立一个</w:t>
      </w:r>
      <w:r>
        <w:fldChar w:fldCharType="begin"/>
      </w:r>
      <w:r>
        <w:rPr>
          <w:lang w:eastAsia="zh-CN"/>
        </w:rPr>
        <w:instrText>HYPERLINK "https://www.itu.int/en/council/CWG-SFP-2028-2031/Pages/default.aspx"</w:instrText>
      </w:r>
      <w:r>
        <w:fldChar w:fldCharType="separate"/>
      </w:r>
      <w:r w:rsidRPr="00C811A5">
        <w:rPr>
          <w:rStyle w:val="Hyperlink"/>
          <w:rFonts w:eastAsia="SimSun" w:hint="eastAsia"/>
          <w:color w:val="0000FF"/>
          <w:u w:val="single"/>
          <w:lang w:val="zh-CN" w:eastAsia="zh-CN"/>
        </w:rPr>
        <w:t>理事会工作组，负责制定《战略规划》和《财务规划》草案</w:t>
      </w:r>
      <w:r>
        <w:fldChar w:fldCharType="end"/>
      </w:r>
      <w:r w:rsidRPr="00B1785A">
        <w:rPr>
          <w:rFonts w:hint="eastAsia"/>
          <w:lang w:val="zh-CN" w:eastAsia="zh-CN"/>
        </w:rPr>
        <w:t>，供理事会</w:t>
      </w:r>
      <w:r w:rsidRPr="00B1785A">
        <w:rPr>
          <w:rFonts w:hint="eastAsia"/>
          <w:lang w:val="zh-CN" w:eastAsia="zh-CN"/>
        </w:rPr>
        <w:t>2026</w:t>
      </w:r>
      <w:r w:rsidRPr="00B1785A">
        <w:rPr>
          <w:rFonts w:hint="eastAsia"/>
          <w:lang w:val="zh-CN" w:eastAsia="zh-CN"/>
        </w:rPr>
        <w:t>年会议审议，并由理事会提交将于</w:t>
      </w:r>
      <w:r w:rsidRPr="00B1785A">
        <w:rPr>
          <w:rFonts w:hint="eastAsia"/>
          <w:lang w:val="zh-CN" w:eastAsia="zh-CN"/>
        </w:rPr>
        <w:t>2026</w:t>
      </w:r>
      <w:r w:rsidRPr="00B1785A">
        <w:rPr>
          <w:rFonts w:hint="eastAsia"/>
          <w:lang w:val="zh-CN" w:eastAsia="zh-CN"/>
        </w:rPr>
        <w:t>年举行的全权代表大会（</w:t>
      </w:r>
      <w:r w:rsidRPr="00B1785A">
        <w:rPr>
          <w:rFonts w:hint="eastAsia"/>
          <w:lang w:val="zh-CN" w:eastAsia="zh-CN"/>
        </w:rPr>
        <w:t>PP-26</w:t>
      </w:r>
      <w:r w:rsidRPr="00B1785A">
        <w:rPr>
          <w:rFonts w:hint="eastAsia"/>
          <w:lang w:val="zh-CN" w:eastAsia="zh-CN"/>
        </w:rPr>
        <w:t>）（见理事会第</w:t>
      </w:r>
      <w:r w:rsidRPr="00C811A5">
        <w:rPr>
          <w:color w:val="0000FF"/>
          <w:u w:val="single"/>
        </w:rPr>
        <w:fldChar w:fldCharType="begin"/>
      </w:r>
      <w:r w:rsidRPr="00C811A5">
        <w:rPr>
          <w:color w:val="0000FF"/>
          <w:u w:val="single"/>
          <w:lang w:eastAsia="zh-CN"/>
        </w:rPr>
        <w:instrText>HYPERLINK "https://www.itu.int/md/S24-CL-C-0139/en"</w:instrText>
      </w:r>
      <w:r w:rsidRPr="00C811A5">
        <w:rPr>
          <w:color w:val="0000FF"/>
          <w:u w:val="single"/>
        </w:rPr>
      </w:r>
      <w:r w:rsidRPr="00C811A5">
        <w:rPr>
          <w:color w:val="0000FF"/>
          <w:u w:val="single"/>
        </w:rPr>
        <w:fldChar w:fldCharType="separate"/>
      </w:r>
      <w:r w:rsidRPr="00C811A5">
        <w:rPr>
          <w:rStyle w:val="Hyperlink"/>
          <w:rFonts w:eastAsia="SimSun" w:hint="eastAsia"/>
          <w:color w:val="0000FF"/>
          <w:u w:val="single"/>
          <w:lang w:val="zh-CN" w:eastAsia="zh-CN"/>
        </w:rPr>
        <w:t>1428</w:t>
      </w:r>
      <w:r w:rsidRPr="00C811A5">
        <w:rPr>
          <w:color w:val="0000FF"/>
          <w:u w:val="single"/>
        </w:rPr>
        <w:fldChar w:fldCharType="end"/>
      </w:r>
      <w:r w:rsidRPr="00B1785A">
        <w:rPr>
          <w:rFonts w:hint="eastAsia"/>
          <w:lang w:val="zh-CN" w:eastAsia="zh-CN"/>
        </w:rPr>
        <w:t>号决议（</w:t>
      </w:r>
      <w:r w:rsidRPr="00B1785A">
        <w:rPr>
          <w:rFonts w:hint="eastAsia"/>
          <w:lang w:val="zh-CN" w:eastAsia="zh-CN"/>
        </w:rPr>
        <w:t>C24</w:t>
      </w:r>
      <w:r w:rsidRPr="00B1785A">
        <w:rPr>
          <w:rFonts w:hint="eastAsia"/>
          <w:lang w:val="zh-CN" w:eastAsia="zh-CN"/>
        </w:rPr>
        <w:t>））</w:t>
      </w:r>
      <w:r>
        <w:rPr>
          <w:lang w:val="zh-CN" w:eastAsia="zh-CN"/>
        </w:rPr>
        <w:t>。</w:t>
      </w:r>
    </w:p>
    <w:p w14:paraId="1478DE96" w14:textId="1D69880C" w:rsidR="00C811A5" w:rsidRDefault="00C811A5" w:rsidP="00C811A5">
      <w:pPr>
        <w:ind w:firstLineChars="200" w:firstLine="480"/>
      </w:pPr>
      <w:proofErr w:type="spellStart"/>
      <w:r>
        <w:rPr>
          <w:lang w:val="zh-CN"/>
        </w:rPr>
        <w:t>该组由</w:t>
      </w:r>
      <w:proofErr w:type="spellEnd"/>
      <w:r w:rsidRPr="00725B04">
        <w:t>Mansour AI-Qurashi</w:t>
      </w:r>
      <w:r w:rsidR="002E6EC4">
        <w:rPr>
          <w:rFonts w:hint="eastAsia"/>
          <w:lang w:eastAsia="zh-CN"/>
        </w:rPr>
        <w:t>先生</w:t>
      </w:r>
      <w:r w:rsidRPr="00725B04">
        <w:t>（</w:t>
      </w:r>
      <w:proofErr w:type="spellStart"/>
      <w:r>
        <w:rPr>
          <w:lang w:val="zh-CN"/>
        </w:rPr>
        <w:t>沙特阿拉伯</w:t>
      </w:r>
      <w:r w:rsidRPr="00725B04">
        <w:t>）</w:t>
      </w:r>
      <w:r>
        <w:rPr>
          <w:lang w:val="zh-CN"/>
        </w:rPr>
        <w:t>担任主席</w:t>
      </w:r>
      <w:r w:rsidRPr="00725B04">
        <w:t>，</w:t>
      </w:r>
      <w:r>
        <w:rPr>
          <w:lang w:val="zh-CN"/>
        </w:rPr>
        <w:t>并由以下副主席组成</w:t>
      </w:r>
      <w:proofErr w:type="spellEnd"/>
      <w:r w:rsidRPr="00725B04">
        <w:t>：</w:t>
      </w:r>
      <w:proofErr w:type="spellStart"/>
      <w:r w:rsidRPr="00725B04">
        <w:t>Mulembwa</w:t>
      </w:r>
      <w:proofErr w:type="spellEnd"/>
      <w:r w:rsidRPr="00725B04">
        <w:t xml:space="preserve"> Denis </w:t>
      </w:r>
      <w:proofErr w:type="spellStart"/>
      <w:r w:rsidRPr="00725B04">
        <w:t>Munaku</w:t>
      </w:r>
      <w:r>
        <w:rPr>
          <w:lang w:val="zh-CN"/>
        </w:rPr>
        <w:t>先生</w:t>
      </w:r>
      <w:r w:rsidRPr="00725B04">
        <w:t>（</w:t>
      </w:r>
      <w:r>
        <w:rPr>
          <w:lang w:val="zh-CN"/>
        </w:rPr>
        <w:t>坦桑尼亚</w:t>
      </w:r>
      <w:proofErr w:type="spellEnd"/>
      <w:r w:rsidRPr="00725B04">
        <w:t>）</w:t>
      </w:r>
      <w:r>
        <w:rPr>
          <w:lang w:val="zh-CN"/>
        </w:rPr>
        <w:t>、</w:t>
      </w:r>
      <w:r w:rsidRPr="00725B04">
        <w:t>Kenji Kuramochi</w:t>
      </w:r>
      <w:proofErr w:type="spellStart"/>
      <w:r>
        <w:rPr>
          <w:lang w:val="zh-CN"/>
        </w:rPr>
        <w:t>先生</w:t>
      </w:r>
      <w:r w:rsidRPr="00725B04">
        <w:t>（</w:t>
      </w:r>
      <w:r>
        <w:rPr>
          <w:lang w:val="zh-CN"/>
        </w:rPr>
        <w:t>巴拉圭</w:t>
      </w:r>
      <w:proofErr w:type="spellEnd"/>
      <w:r w:rsidRPr="00725B04">
        <w:t>）</w:t>
      </w:r>
      <w:r>
        <w:rPr>
          <w:lang w:val="zh-CN"/>
        </w:rPr>
        <w:t>、</w:t>
      </w:r>
      <w:r w:rsidRPr="00725B04">
        <w:t>Maitha Al Jamri</w:t>
      </w:r>
      <w:proofErr w:type="spellStart"/>
      <w:r>
        <w:rPr>
          <w:lang w:val="zh-CN"/>
        </w:rPr>
        <w:t>女士</w:t>
      </w:r>
      <w:r w:rsidRPr="00725B04">
        <w:t>（</w:t>
      </w:r>
      <w:r>
        <w:rPr>
          <w:lang w:val="zh-CN"/>
        </w:rPr>
        <w:t>阿拉伯联合酋长国</w:t>
      </w:r>
      <w:proofErr w:type="spellEnd"/>
      <w:r w:rsidRPr="00725B04">
        <w:t>）</w:t>
      </w:r>
      <w:r>
        <w:rPr>
          <w:lang w:val="zh-CN"/>
        </w:rPr>
        <w:t>、</w:t>
      </w:r>
      <w:proofErr w:type="spellStart"/>
      <w:r>
        <w:rPr>
          <w:rFonts w:hint="eastAsia"/>
        </w:rPr>
        <w:t>伦一</w:t>
      </w:r>
      <w:r>
        <w:rPr>
          <w:lang w:val="zh-CN"/>
        </w:rPr>
        <w:t>先生</w:t>
      </w:r>
      <w:r w:rsidRPr="00725B04">
        <w:t>（</w:t>
      </w:r>
      <w:r>
        <w:rPr>
          <w:lang w:val="zh-CN"/>
        </w:rPr>
        <w:t>中国</w:t>
      </w:r>
      <w:proofErr w:type="spellEnd"/>
      <w:r w:rsidRPr="00725B04">
        <w:t>）</w:t>
      </w:r>
      <w:r>
        <w:rPr>
          <w:lang w:val="zh-CN"/>
        </w:rPr>
        <w:t>、</w:t>
      </w:r>
      <w:proofErr w:type="spellStart"/>
      <w:r w:rsidRPr="00725B04">
        <w:t>Bakhtjan</w:t>
      </w:r>
      <w:proofErr w:type="spellEnd"/>
      <w:r w:rsidRPr="00725B04">
        <w:t xml:space="preserve"> </w:t>
      </w:r>
      <w:proofErr w:type="spellStart"/>
      <w:r w:rsidRPr="00725B04">
        <w:t>Smanov</w:t>
      </w:r>
      <w:r>
        <w:rPr>
          <w:lang w:val="zh-CN"/>
        </w:rPr>
        <w:t>先生</w:t>
      </w:r>
      <w:r w:rsidRPr="00725B04">
        <w:t>（</w:t>
      </w:r>
      <w:r>
        <w:rPr>
          <w:lang w:val="zh-CN"/>
        </w:rPr>
        <w:t>乌兹别克斯坦</w:t>
      </w:r>
      <w:r w:rsidRPr="00725B04">
        <w:t>）</w:t>
      </w:r>
      <w:r>
        <w:rPr>
          <w:lang w:val="zh-CN"/>
        </w:rPr>
        <w:t>和</w:t>
      </w:r>
      <w:proofErr w:type="spellEnd"/>
      <w:r w:rsidRPr="00725B04">
        <w:t>Rafał Bartoszewski</w:t>
      </w:r>
      <w:proofErr w:type="spellStart"/>
      <w:r>
        <w:rPr>
          <w:lang w:val="zh-CN"/>
        </w:rPr>
        <w:t>先生</w:t>
      </w:r>
      <w:r w:rsidRPr="00725B04">
        <w:t>（</w:t>
      </w:r>
      <w:r>
        <w:rPr>
          <w:lang w:val="zh-CN"/>
        </w:rPr>
        <w:t>波兰</w:t>
      </w:r>
      <w:proofErr w:type="spellEnd"/>
      <w:r w:rsidRPr="00725B04">
        <w:t>）</w:t>
      </w:r>
      <w:r>
        <w:rPr>
          <w:lang w:val="zh-CN"/>
        </w:rPr>
        <w:t>。</w:t>
      </w:r>
    </w:p>
    <w:p w14:paraId="5B65A37B" w14:textId="7BFFEE7D" w:rsidR="00107F53" w:rsidRPr="00107F53" w:rsidRDefault="00C811A5" w:rsidP="00C811A5">
      <w:pPr>
        <w:snapToGrid w:val="0"/>
        <w:ind w:firstLineChars="200" w:firstLine="480"/>
        <w:jc w:val="both"/>
        <w:rPr>
          <w:rFonts w:asciiTheme="minorHAnsi" w:hAnsiTheme="minorHAnsi" w:cstheme="minorBidi"/>
          <w:szCs w:val="24"/>
          <w:lang w:eastAsia="zh-CN"/>
        </w:rPr>
      </w:pPr>
      <w:r>
        <w:rPr>
          <w:lang w:val="zh-CN" w:eastAsia="zh-CN"/>
        </w:rPr>
        <w:t>自成立以来，该组向所有成员国和部门成员开放，举行了两次会议，第一次会议于</w:t>
      </w:r>
      <w:r>
        <w:rPr>
          <w:lang w:val="zh-CN" w:eastAsia="zh-CN"/>
        </w:rPr>
        <w:t>2024</w:t>
      </w:r>
      <w:r>
        <w:rPr>
          <w:lang w:val="zh-CN" w:eastAsia="zh-CN"/>
        </w:rPr>
        <w:t>年</w:t>
      </w:r>
      <w:r>
        <w:rPr>
          <w:lang w:val="zh-CN" w:eastAsia="zh-CN"/>
        </w:rPr>
        <w:t>10</w:t>
      </w:r>
      <w:r>
        <w:rPr>
          <w:lang w:val="zh-CN" w:eastAsia="zh-CN"/>
        </w:rPr>
        <w:t>月</w:t>
      </w:r>
      <w:r>
        <w:rPr>
          <w:lang w:val="zh-CN" w:eastAsia="zh-CN"/>
        </w:rPr>
        <w:t>10</w:t>
      </w:r>
      <w:r>
        <w:rPr>
          <w:lang w:val="zh-CN" w:eastAsia="zh-CN"/>
        </w:rPr>
        <w:t>日至</w:t>
      </w:r>
      <w:r>
        <w:rPr>
          <w:lang w:val="zh-CN" w:eastAsia="zh-CN"/>
        </w:rPr>
        <w:t>11</w:t>
      </w:r>
      <w:r>
        <w:rPr>
          <w:lang w:val="zh-CN" w:eastAsia="zh-CN"/>
        </w:rPr>
        <w:t>日举行，第二次会议于</w:t>
      </w:r>
      <w:r>
        <w:rPr>
          <w:lang w:val="zh-CN" w:eastAsia="zh-CN"/>
        </w:rPr>
        <w:t>2025</w:t>
      </w:r>
      <w:r>
        <w:rPr>
          <w:lang w:val="zh-CN" w:eastAsia="zh-CN"/>
        </w:rPr>
        <w:t>年</w:t>
      </w:r>
      <w:r>
        <w:rPr>
          <w:lang w:val="zh-CN" w:eastAsia="zh-CN"/>
        </w:rPr>
        <w:t>2</w:t>
      </w:r>
      <w:r>
        <w:rPr>
          <w:lang w:val="zh-CN" w:eastAsia="zh-CN"/>
        </w:rPr>
        <w:t>月</w:t>
      </w:r>
      <w:r>
        <w:rPr>
          <w:lang w:val="zh-CN" w:eastAsia="zh-CN"/>
        </w:rPr>
        <w:t>20</w:t>
      </w:r>
      <w:r>
        <w:rPr>
          <w:lang w:val="zh-CN" w:eastAsia="zh-CN"/>
        </w:rPr>
        <w:t>日至</w:t>
      </w:r>
      <w:r>
        <w:rPr>
          <w:lang w:val="zh-CN" w:eastAsia="zh-CN"/>
        </w:rPr>
        <w:t>21</w:t>
      </w:r>
      <w:r>
        <w:rPr>
          <w:lang w:val="zh-CN" w:eastAsia="zh-CN"/>
        </w:rPr>
        <w:t>日举行。</w:t>
      </w:r>
    </w:p>
    <w:p w14:paraId="653D9626" w14:textId="11F6C3A9" w:rsidR="00107F53" w:rsidRPr="00107F53" w:rsidRDefault="00107F53" w:rsidP="00107F53">
      <w:pPr>
        <w:pStyle w:val="Heading1"/>
        <w:rPr>
          <w:lang w:eastAsia="zh-CN"/>
        </w:rPr>
      </w:pPr>
      <w:r w:rsidRPr="00107F53">
        <w:rPr>
          <w:lang w:eastAsia="zh-CN"/>
        </w:rPr>
        <w:t>2</w:t>
      </w:r>
      <w:r w:rsidRPr="00107F53">
        <w:rPr>
          <w:lang w:eastAsia="zh-CN"/>
        </w:rPr>
        <w:tab/>
      </w:r>
      <w:r w:rsidR="00C811A5">
        <w:rPr>
          <w:bCs/>
          <w:lang w:val="zh-CN" w:eastAsia="zh-CN"/>
        </w:rPr>
        <w:t>CWG-</w:t>
      </w:r>
      <w:r w:rsidR="00C811A5">
        <w:rPr>
          <w:rFonts w:hint="eastAsia"/>
          <w:bCs/>
          <w:lang w:val="zh-CN" w:eastAsia="zh-CN"/>
        </w:rPr>
        <w:t>SFP</w:t>
      </w:r>
      <w:r w:rsidR="00C811A5">
        <w:rPr>
          <w:bCs/>
          <w:lang w:val="zh-CN" w:eastAsia="zh-CN"/>
        </w:rPr>
        <w:t>的活动</w:t>
      </w:r>
    </w:p>
    <w:p w14:paraId="5406B4CD" w14:textId="77777777" w:rsidR="00C811A5" w:rsidRDefault="00C811A5" w:rsidP="00C811A5">
      <w:pPr>
        <w:ind w:firstLineChars="200" w:firstLine="480"/>
        <w:rPr>
          <w:lang w:eastAsia="zh-CN"/>
        </w:rPr>
      </w:pPr>
      <w:r>
        <w:rPr>
          <w:lang w:val="zh-CN" w:eastAsia="zh-CN"/>
        </w:rPr>
        <w:t>根据工作组的职责范围，</w:t>
      </w:r>
      <w:r>
        <w:rPr>
          <w:lang w:val="zh-CN" w:eastAsia="zh-CN"/>
        </w:rPr>
        <w:t>CWG-SFP</w:t>
      </w:r>
      <w:r>
        <w:rPr>
          <w:lang w:val="zh-CN" w:eastAsia="zh-CN"/>
        </w:rPr>
        <w:t>主席希望向理事会</w:t>
      </w:r>
      <w:r>
        <w:rPr>
          <w:lang w:val="zh-CN" w:eastAsia="zh-CN"/>
        </w:rPr>
        <w:t>2025</w:t>
      </w:r>
      <w:r>
        <w:rPr>
          <w:lang w:val="zh-CN" w:eastAsia="zh-CN"/>
        </w:rPr>
        <w:t>年会议通报其正在开展的工作的最新情况：</w:t>
      </w:r>
    </w:p>
    <w:p w14:paraId="2052FE1B" w14:textId="0F3BD581" w:rsidR="00C811A5" w:rsidRPr="00151990" w:rsidRDefault="00C811A5" w:rsidP="00C811A5">
      <w:pPr>
        <w:pStyle w:val="enumlev1"/>
        <w:rPr>
          <w:lang w:val="en-US" w:eastAsia="zh-CN"/>
        </w:rPr>
      </w:pPr>
      <w:r>
        <w:rPr>
          <w:lang w:val="zh-CN" w:eastAsia="zh-CN"/>
        </w:rPr>
        <w:t>a)</w:t>
      </w:r>
      <w:r>
        <w:rPr>
          <w:lang w:val="zh-CN" w:eastAsia="zh-CN"/>
        </w:rPr>
        <w:tab/>
      </w:r>
      <w:r>
        <w:rPr>
          <w:rFonts w:hint="eastAsia"/>
          <w:lang w:val="zh-CN" w:eastAsia="zh-CN"/>
        </w:rPr>
        <w:t>工作</w:t>
      </w:r>
      <w:r>
        <w:rPr>
          <w:lang w:val="zh-CN" w:eastAsia="zh-CN"/>
        </w:rPr>
        <w:t>组已商定了完成分配任务的时间表（见</w:t>
      </w:r>
      <w:r w:rsidR="00F82544">
        <w:fldChar w:fldCharType="begin"/>
      </w:r>
      <w:r w:rsidR="00F5483F">
        <w:rPr>
          <w:lang w:eastAsia="zh-CN"/>
        </w:rPr>
        <w:instrText>HYPERLINK  \l "dtitle1"</w:instrText>
      </w:r>
      <w:r w:rsidR="00F82544">
        <w:fldChar w:fldCharType="separate"/>
      </w:r>
      <w:r w:rsidR="00F82544">
        <w:rPr>
          <w:rStyle w:val="Hyperlink"/>
          <w:rFonts w:eastAsia="SimSun" w:hint="eastAsia"/>
          <w:lang w:eastAsia="zh-CN"/>
        </w:rPr>
        <w:t>附件</w:t>
      </w:r>
      <w:r w:rsidR="00F82544">
        <w:fldChar w:fldCharType="end"/>
      </w:r>
      <w:r>
        <w:rPr>
          <w:lang w:val="zh-CN" w:eastAsia="zh-CN"/>
        </w:rPr>
        <w:t>）。因此，已通知各部门顾问组和理事会财务和人力资源工作组（</w:t>
      </w:r>
      <w:r>
        <w:rPr>
          <w:lang w:val="zh-CN" w:eastAsia="zh-CN"/>
        </w:rPr>
        <w:t>CWG-FHR</w:t>
      </w:r>
      <w:r>
        <w:rPr>
          <w:lang w:val="zh-CN" w:eastAsia="zh-CN"/>
        </w:rPr>
        <w:t>）</w:t>
      </w:r>
      <w:r>
        <w:rPr>
          <w:rFonts w:hint="eastAsia"/>
          <w:lang w:val="zh-CN" w:eastAsia="zh-CN"/>
        </w:rPr>
        <w:t>，并邀请其</w:t>
      </w:r>
      <w:r>
        <w:rPr>
          <w:lang w:val="zh-CN" w:eastAsia="zh-CN"/>
        </w:rPr>
        <w:t>参与这一进程并为</w:t>
      </w:r>
      <w:r>
        <w:rPr>
          <w:rFonts w:hint="eastAsia"/>
          <w:lang w:val="zh-CN" w:eastAsia="zh-CN"/>
        </w:rPr>
        <w:t>之</w:t>
      </w:r>
      <w:r>
        <w:rPr>
          <w:lang w:val="zh-CN" w:eastAsia="zh-CN"/>
        </w:rPr>
        <w:t>做出贡献。</w:t>
      </w:r>
    </w:p>
    <w:p w14:paraId="2AEB1F49" w14:textId="77777777" w:rsidR="00C811A5" w:rsidRDefault="00C811A5" w:rsidP="00C811A5">
      <w:pPr>
        <w:pStyle w:val="enumlev1"/>
        <w:rPr>
          <w:lang w:eastAsia="zh-CN"/>
        </w:rPr>
      </w:pPr>
      <w:r>
        <w:rPr>
          <w:lang w:val="zh-CN" w:eastAsia="zh-CN"/>
        </w:rPr>
        <w:t>b)</w:t>
      </w:r>
      <w:r>
        <w:rPr>
          <w:lang w:val="zh-CN" w:eastAsia="zh-CN"/>
        </w:rPr>
        <w:tab/>
      </w:r>
      <w:r>
        <w:rPr>
          <w:lang w:val="zh-CN" w:eastAsia="zh-CN"/>
        </w:rPr>
        <w:t>在《战略规划》和《财务规划》草案的制定方面，工作组开展了在线磋商，以收集对当前规划的输入意见和改进建议。相关结果报告见</w:t>
      </w:r>
      <w:hyperlink r:id="rId8" w:history="1">
        <w:r w:rsidRPr="00C811A5">
          <w:rPr>
            <w:rStyle w:val="Hyperlink"/>
            <w:rFonts w:eastAsia="SimSun"/>
            <w:color w:val="0000FF"/>
            <w:u w:val="single"/>
            <w:lang w:eastAsia="zh-CN"/>
          </w:rPr>
          <w:t>CWG-SFP-2/2</w:t>
        </w:r>
      </w:hyperlink>
      <w:r>
        <w:rPr>
          <w:lang w:val="zh-CN" w:eastAsia="zh-CN"/>
        </w:rPr>
        <w:t>号文件。</w:t>
      </w:r>
      <w:r>
        <w:rPr>
          <w:rFonts w:hint="eastAsia"/>
          <w:lang w:val="zh-CN" w:eastAsia="zh-CN"/>
        </w:rPr>
        <w:t>工作</w:t>
      </w:r>
      <w:r>
        <w:rPr>
          <w:lang w:val="zh-CN" w:eastAsia="zh-CN"/>
        </w:rPr>
        <w:t>组还讨论了</w:t>
      </w:r>
      <w:r>
        <w:rPr>
          <w:rFonts w:hint="eastAsia"/>
          <w:lang w:val="zh-CN" w:eastAsia="zh-CN"/>
        </w:rPr>
        <w:t>情况</w:t>
      </w:r>
      <w:r w:rsidRPr="004238BB">
        <w:rPr>
          <w:rFonts w:hint="eastAsia"/>
          <w:lang w:val="zh-CN" w:eastAsia="zh-CN"/>
        </w:rPr>
        <w:t>分析应</w:t>
      </w:r>
      <w:r>
        <w:rPr>
          <w:lang w:val="zh-CN" w:eastAsia="zh-CN"/>
        </w:rPr>
        <w:t>考虑的要素，这是指导起草新</w:t>
      </w:r>
      <w:r>
        <w:rPr>
          <w:rFonts w:hint="eastAsia"/>
          <w:lang w:val="zh-CN" w:eastAsia="zh-CN"/>
        </w:rPr>
        <w:t>规划</w:t>
      </w:r>
      <w:r>
        <w:rPr>
          <w:lang w:val="zh-CN" w:eastAsia="zh-CN"/>
        </w:rPr>
        <w:t>的关键组成部分。</w:t>
      </w:r>
    </w:p>
    <w:p w14:paraId="191C0651" w14:textId="77777777" w:rsidR="00C811A5" w:rsidRDefault="00C811A5" w:rsidP="00C811A5">
      <w:pPr>
        <w:pStyle w:val="enumlev1"/>
        <w:rPr>
          <w:lang w:eastAsia="zh-CN"/>
        </w:rPr>
      </w:pPr>
      <w:r>
        <w:rPr>
          <w:lang w:val="zh-CN" w:eastAsia="zh-CN"/>
        </w:rPr>
        <w:tab/>
      </w:r>
      <w:r>
        <w:rPr>
          <w:lang w:val="zh-CN" w:eastAsia="zh-CN"/>
        </w:rPr>
        <w:t>此外，为了提出将</w:t>
      </w:r>
      <w:r>
        <w:rPr>
          <w:rFonts w:hint="eastAsia"/>
          <w:lang w:val="zh-CN" w:eastAsia="zh-CN"/>
        </w:rPr>
        <w:t>《</w:t>
      </w:r>
      <w:r>
        <w:rPr>
          <w:lang w:val="zh-CN" w:eastAsia="zh-CN"/>
        </w:rPr>
        <w:t>战略</w:t>
      </w:r>
      <w:r>
        <w:rPr>
          <w:rFonts w:hint="eastAsia"/>
          <w:lang w:val="zh-CN" w:eastAsia="zh-CN"/>
        </w:rPr>
        <w:t>规划》</w:t>
      </w:r>
      <w:r>
        <w:rPr>
          <w:lang w:val="zh-CN" w:eastAsia="zh-CN"/>
        </w:rPr>
        <w:t>和</w:t>
      </w:r>
      <w:r>
        <w:rPr>
          <w:rFonts w:hint="eastAsia"/>
          <w:lang w:val="zh-CN" w:eastAsia="zh-CN"/>
        </w:rPr>
        <w:t>《</w:t>
      </w:r>
      <w:r>
        <w:rPr>
          <w:lang w:val="zh-CN" w:eastAsia="zh-CN"/>
        </w:rPr>
        <w:t>财务规划</w:t>
      </w:r>
      <w:r>
        <w:rPr>
          <w:rFonts w:hint="eastAsia"/>
          <w:lang w:val="zh-CN" w:eastAsia="zh-CN"/>
        </w:rPr>
        <w:t>》</w:t>
      </w:r>
      <w:r>
        <w:rPr>
          <w:lang w:val="zh-CN" w:eastAsia="zh-CN"/>
        </w:rPr>
        <w:t>草案与</w:t>
      </w:r>
      <w:r>
        <w:rPr>
          <w:rFonts w:hint="eastAsia"/>
          <w:lang w:val="zh-CN" w:eastAsia="zh-CN"/>
        </w:rPr>
        <w:t>《</w:t>
      </w:r>
      <w:r>
        <w:rPr>
          <w:lang w:val="zh-CN" w:eastAsia="zh-CN"/>
        </w:rPr>
        <w:t>运作规划</w:t>
      </w:r>
      <w:r>
        <w:rPr>
          <w:rFonts w:hint="eastAsia"/>
          <w:lang w:val="zh-CN" w:eastAsia="zh-CN"/>
        </w:rPr>
        <w:t>》</w:t>
      </w:r>
      <w:r>
        <w:rPr>
          <w:lang w:val="zh-CN" w:eastAsia="zh-CN"/>
        </w:rPr>
        <w:t>和双年度预算联系起来的方式，并根据基于结果的管理（</w:t>
      </w:r>
      <w:r>
        <w:rPr>
          <w:lang w:val="zh-CN" w:eastAsia="zh-CN"/>
        </w:rPr>
        <w:t>RBM</w:t>
      </w:r>
      <w:r>
        <w:rPr>
          <w:lang w:val="zh-CN" w:eastAsia="zh-CN"/>
        </w:rPr>
        <w:t>）和基于结果的预算（</w:t>
      </w:r>
      <w:r>
        <w:rPr>
          <w:lang w:val="zh-CN" w:eastAsia="zh-CN"/>
        </w:rPr>
        <w:t>RBB</w:t>
      </w:r>
      <w:r>
        <w:rPr>
          <w:lang w:val="zh-CN" w:eastAsia="zh-CN"/>
        </w:rPr>
        <w:t>）原则，工作组邀请了联合国教科文组织（</w:t>
      </w:r>
      <w:r>
        <w:rPr>
          <w:lang w:val="zh-CN" w:eastAsia="zh-CN"/>
        </w:rPr>
        <w:t>UNESCO</w:t>
      </w:r>
      <w:r>
        <w:rPr>
          <w:lang w:val="zh-CN" w:eastAsia="zh-CN"/>
        </w:rPr>
        <w:t>）和工发组织</w:t>
      </w:r>
      <w:r>
        <w:rPr>
          <w:rFonts w:hint="eastAsia"/>
          <w:lang w:val="zh-CN" w:eastAsia="zh-CN"/>
        </w:rPr>
        <w:t>（</w:t>
      </w:r>
      <w:r>
        <w:rPr>
          <w:rFonts w:hint="eastAsia"/>
          <w:lang w:val="zh-CN" w:eastAsia="zh-CN"/>
        </w:rPr>
        <w:t>UNIDO</w:t>
      </w:r>
      <w:r>
        <w:rPr>
          <w:rFonts w:hint="eastAsia"/>
          <w:lang w:val="zh-CN" w:eastAsia="zh-CN"/>
        </w:rPr>
        <w:t>）</w:t>
      </w:r>
      <w:r>
        <w:rPr>
          <w:lang w:val="zh-CN" w:eastAsia="zh-CN"/>
        </w:rPr>
        <w:t>的专家分享他们的经验。他们举办了</w:t>
      </w:r>
      <w:r>
        <w:rPr>
          <w:lang w:val="zh-CN" w:eastAsia="zh-CN"/>
        </w:rPr>
        <w:t>3</w:t>
      </w:r>
      <w:r>
        <w:rPr>
          <w:lang w:val="zh-CN" w:eastAsia="zh-CN"/>
        </w:rPr>
        <w:t>小时的战略规划讲习班，特别关注适用于国际电联</w:t>
      </w:r>
      <w:r>
        <w:rPr>
          <w:rFonts w:hint="eastAsia"/>
          <w:lang w:val="zh-CN" w:eastAsia="zh-CN"/>
        </w:rPr>
        <w:t>《</w:t>
      </w:r>
      <w:r>
        <w:rPr>
          <w:lang w:val="zh-CN" w:eastAsia="zh-CN"/>
        </w:rPr>
        <w:t>战略</w:t>
      </w:r>
      <w:r>
        <w:rPr>
          <w:rFonts w:hint="eastAsia"/>
          <w:lang w:val="zh-CN" w:eastAsia="zh-CN"/>
        </w:rPr>
        <w:t>规划》</w:t>
      </w:r>
      <w:r>
        <w:rPr>
          <w:lang w:val="zh-CN" w:eastAsia="zh-CN"/>
        </w:rPr>
        <w:t>和</w:t>
      </w:r>
      <w:r>
        <w:rPr>
          <w:rFonts w:hint="eastAsia"/>
          <w:lang w:val="zh-CN" w:eastAsia="zh-CN"/>
        </w:rPr>
        <w:t>《</w:t>
      </w:r>
      <w:r>
        <w:rPr>
          <w:lang w:val="zh-CN" w:eastAsia="zh-CN"/>
        </w:rPr>
        <w:t>财务规划</w:t>
      </w:r>
      <w:r>
        <w:rPr>
          <w:rFonts w:hint="eastAsia"/>
          <w:lang w:val="zh-CN" w:eastAsia="zh-CN"/>
        </w:rPr>
        <w:t>》</w:t>
      </w:r>
      <w:r>
        <w:rPr>
          <w:lang w:val="zh-CN" w:eastAsia="zh-CN"/>
        </w:rPr>
        <w:t>的</w:t>
      </w:r>
      <w:r>
        <w:rPr>
          <w:lang w:val="zh-CN" w:eastAsia="zh-CN"/>
        </w:rPr>
        <w:t>RBM</w:t>
      </w:r>
      <w:r>
        <w:rPr>
          <w:lang w:val="zh-CN" w:eastAsia="zh-CN"/>
        </w:rPr>
        <w:t>概念和流程。</w:t>
      </w:r>
    </w:p>
    <w:p w14:paraId="632B2040" w14:textId="77777777" w:rsidR="00C811A5" w:rsidRDefault="00C811A5" w:rsidP="00C811A5">
      <w:pPr>
        <w:pStyle w:val="enumlev1"/>
        <w:rPr>
          <w:lang w:eastAsia="zh-CN"/>
        </w:rPr>
      </w:pPr>
      <w:r>
        <w:rPr>
          <w:lang w:val="zh-CN" w:eastAsia="zh-CN"/>
        </w:rPr>
        <w:tab/>
      </w:r>
      <w:r>
        <w:rPr>
          <w:lang w:val="zh-CN" w:eastAsia="zh-CN"/>
        </w:rPr>
        <w:t>在收到包括成员国和电信标准化顾问组（</w:t>
      </w:r>
      <w:r>
        <w:rPr>
          <w:lang w:val="zh-CN" w:eastAsia="zh-CN"/>
        </w:rPr>
        <w:t>TSAG</w:t>
      </w:r>
      <w:r>
        <w:rPr>
          <w:lang w:val="zh-CN" w:eastAsia="zh-CN"/>
        </w:rPr>
        <w:t>）文稿在内的所有输入意见后，工作组责成秘书处为定于</w:t>
      </w:r>
      <w:r>
        <w:rPr>
          <w:lang w:val="zh-CN" w:eastAsia="zh-CN"/>
        </w:rPr>
        <w:t>2025</w:t>
      </w:r>
      <w:r>
        <w:rPr>
          <w:lang w:val="zh-CN" w:eastAsia="zh-CN"/>
        </w:rPr>
        <w:t>年</w:t>
      </w:r>
      <w:r>
        <w:rPr>
          <w:lang w:val="zh-CN" w:eastAsia="zh-CN"/>
        </w:rPr>
        <w:t>9</w:t>
      </w:r>
      <w:r>
        <w:rPr>
          <w:lang w:val="zh-CN" w:eastAsia="zh-CN"/>
        </w:rPr>
        <w:t>月举行的下次会议编写战略规划框架和具体目标的初稿以及情况分析草案。</w:t>
      </w:r>
    </w:p>
    <w:p w14:paraId="08811464" w14:textId="77777777" w:rsidR="00C811A5" w:rsidRDefault="00C811A5" w:rsidP="00C811A5">
      <w:pPr>
        <w:pStyle w:val="enumlev1"/>
        <w:rPr>
          <w:lang w:eastAsia="zh-CN"/>
        </w:rPr>
      </w:pPr>
      <w:r>
        <w:rPr>
          <w:lang w:val="zh-CN" w:eastAsia="zh-CN"/>
        </w:rPr>
        <w:t>c)</w:t>
      </w:r>
      <w:r>
        <w:rPr>
          <w:lang w:val="zh-CN" w:eastAsia="zh-CN"/>
        </w:rPr>
        <w:tab/>
      </w:r>
      <w:r>
        <w:rPr>
          <w:lang w:val="zh-CN" w:eastAsia="zh-CN"/>
        </w:rPr>
        <w:t>关于旨在协调全权代表大会成果的决议和决定的对照工作，工作组讨论了制定非强制性导则的问题</w:t>
      </w:r>
      <w:r>
        <w:rPr>
          <w:rFonts w:hint="eastAsia"/>
          <w:lang w:val="zh-CN" w:eastAsia="zh-CN"/>
        </w:rPr>
        <w:t>，供</w:t>
      </w:r>
      <w:r>
        <w:rPr>
          <w:lang w:val="zh-CN" w:eastAsia="zh-CN"/>
        </w:rPr>
        <w:t>成员国在审查和</w:t>
      </w:r>
      <w:r>
        <w:rPr>
          <w:lang w:val="zh-CN" w:eastAsia="zh-CN"/>
        </w:rPr>
        <w:t>/</w:t>
      </w:r>
      <w:r>
        <w:rPr>
          <w:lang w:val="zh-CN" w:eastAsia="zh-CN"/>
        </w:rPr>
        <w:t>或起草</w:t>
      </w:r>
      <w:r>
        <w:rPr>
          <w:lang w:val="zh-CN" w:eastAsia="zh-CN"/>
        </w:rPr>
        <w:t>PP-26</w:t>
      </w:r>
      <w:r>
        <w:rPr>
          <w:lang w:val="zh-CN" w:eastAsia="zh-CN"/>
        </w:rPr>
        <w:t>决议和决定时参考。这些拟议导则将作为</w:t>
      </w:r>
      <w:r>
        <w:fldChar w:fldCharType="begin"/>
      </w:r>
      <w:r>
        <w:rPr>
          <w:lang w:eastAsia="zh-CN"/>
        </w:rPr>
        <w:instrText>HYPERLINK "https://www.itu.int/md/S25-CL-C-0029/en"</w:instrText>
      </w:r>
      <w:r>
        <w:fldChar w:fldCharType="separate"/>
      </w:r>
      <w:r w:rsidRPr="00C811A5">
        <w:rPr>
          <w:rStyle w:val="Hyperlink"/>
          <w:rFonts w:eastAsia="SimSun"/>
          <w:color w:val="0000FF"/>
          <w:u w:val="single"/>
          <w:lang w:eastAsia="zh-CN"/>
        </w:rPr>
        <w:t>C25/29</w:t>
      </w:r>
      <w:r>
        <w:fldChar w:fldCharType="end"/>
      </w:r>
      <w:r>
        <w:rPr>
          <w:lang w:val="zh-CN" w:eastAsia="zh-CN"/>
        </w:rPr>
        <w:t>号文件提交理事会</w:t>
      </w:r>
      <w:r>
        <w:rPr>
          <w:lang w:val="zh-CN" w:eastAsia="zh-CN"/>
        </w:rPr>
        <w:t>2025</w:t>
      </w:r>
      <w:r>
        <w:rPr>
          <w:lang w:val="zh-CN" w:eastAsia="zh-CN"/>
        </w:rPr>
        <w:t>年会议审议。</w:t>
      </w:r>
    </w:p>
    <w:p w14:paraId="5AF7EB56" w14:textId="77777777" w:rsidR="00C811A5" w:rsidRDefault="00C811A5" w:rsidP="00C811A5">
      <w:pPr>
        <w:pStyle w:val="enumlev1"/>
        <w:rPr>
          <w:lang w:eastAsia="zh-CN"/>
        </w:rPr>
      </w:pPr>
      <w:r>
        <w:rPr>
          <w:lang w:val="zh-CN" w:eastAsia="zh-CN"/>
        </w:rPr>
        <w:tab/>
        <w:t>CWG-SFP</w:t>
      </w:r>
      <w:r>
        <w:rPr>
          <w:lang w:val="zh-CN" w:eastAsia="zh-CN"/>
        </w:rPr>
        <w:t>还强调了定期监测和介绍决议</w:t>
      </w:r>
      <w:r>
        <w:rPr>
          <w:lang w:val="zh-CN" w:eastAsia="zh-CN"/>
        </w:rPr>
        <w:t>/</w:t>
      </w:r>
      <w:r>
        <w:rPr>
          <w:lang w:val="zh-CN" w:eastAsia="zh-CN"/>
        </w:rPr>
        <w:t>决定落实情况的重要性，以促进就协调问题做出知情决定。</w:t>
      </w:r>
    </w:p>
    <w:p w14:paraId="740C261E" w14:textId="77777777" w:rsidR="00C811A5" w:rsidRDefault="00C811A5" w:rsidP="00C811A5">
      <w:pPr>
        <w:pStyle w:val="enumlev1"/>
        <w:rPr>
          <w:lang w:eastAsia="zh-CN"/>
        </w:rPr>
      </w:pPr>
      <w:r>
        <w:rPr>
          <w:lang w:val="zh-CN" w:eastAsia="zh-CN"/>
        </w:rPr>
        <w:t>d)</w:t>
      </w:r>
      <w:r>
        <w:rPr>
          <w:lang w:val="zh-CN" w:eastAsia="zh-CN"/>
        </w:rPr>
        <w:tab/>
        <w:t>CWG-SFP</w:t>
      </w:r>
      <w:r>
        <w:rPr>
          <w:lang w:val="zh-CN" w:eastAsia="zh-CN"/>
        </w:rPr>
        <w:t>还负责向本届理事会会议建议会费单位的初定金额。秘书处介绍了</w:t>
      </w:r>
      <w:r>
        <w:fldChar w:fldCharType="begin"/>
      </w:r>
      <w:r>
        <w:rPr>
          <w:lang w:eastAsia="zh-CN"/>
        </w:rPr>
        <w:instrText>HYPERLINK "https://www.itu.int/md/S25-CWGSFP2-C-0007/en"</w:instrText>
      </w:r>
      <w:r>
        <w:fldChar w:fldCharType="separate"/>
      </w:r>
      <w:r w:rsidRPr="00C811A5">
        <w:rPr>
          <w:rStyle w:val="Hyperlink"/>
          <w:rFonts w:eastAsia="SimSun"/>
          <w:color w:val="0000FF"/>
          <w:u w:val="single"/>
          <w:lang w:eastAsia="zh-CN"/>
        </w:rPr>
        <w:t>CWG-SFP-2/7</w:t>
      </w:r>
      <w:r>
        <w:fldChar w:fldCharType="end"/>
      </w:r>
      <w:r>
        <w:rPr>
          <w:lang w:val="zh-CN" w:eastAsia="zh-CN"/>
        </w:rPr>
        <w:t>号文件</w:t>
      </w:r>
      <w:r>
        <w:rPr>
          <w:rFonts w:hint="eastAsia"/>
          <w:lang w:val="zh-CN" w:eastAsia="zh-CN"/>
        </w:rPr>
        <w:t>，该文件提议增加</w:t>
      </w:r>
      <w:r>
        <w:rPr>
          <w:lang w:val="zh-CN" w:eastAsia="zh-CN"/>
        </w:rPr>
        <w:t>会费单位。成员们表达了关切，指出了全球经济不稳定和各自国家的</w:t>
      </w:r>
      <w:r w:rsidRPr="00227F71">
        <w:rPr>
          <w:rFonts w:hint="eastAsia"/>
          <w:lang w:val="zh-CN" w:eastAsia="zh-CN"/>
        </w:rPr>
        <w:t>财政拮据</w:t>
      </w:r>
      <w:r>
        <w:rPr>
          <w:lang w:val="zh-CN" w:eastAsia="zh-CN"/>
        </w:rPr>
        <w:t>，并建议</w:t>
      </w:r>
      <w:r w:rsidRPr="00227F71">
        <w:rPr>
          <w:rFonts w:hint="eastAsia"/>
          <w:lang w:val="zh-CN" w:eastAsia="zh-CN"/>
        </w:rPr>
        <w:t>探讨其他备选方案</w:t>
      </w:r>
      <w:r>
        <w:rPr>
          <w:lang w:val="zh-CN" w:eastAsia="zh-CN"/>
        </w:rPr>
        <w:t>，如优化成本、提高预算效率和创造额外收入</w:t>
      </w:r>
      <w:r>
        <w:rPr>
          <w:rFonts w:hint="eastAsia"/>
          <w:lang w:val="zh-CN" w:eastAsia="zh-CN"/>
        </w:rPr>
        <w:t>。</w:t>
      </w:r>
      <w:r w:rsidRPr="00227F71">
        <w:rPr>
          <w:rFonts w:hint="eastAsia"/>
          <w:lang w:val="zh-CN" w:eastAsia="zh-CN"/>
        </w:rPr>
        <w:t>强调预算编制必须详细和透明，以促进知情决策</w:t>
      </w:r>
      <w:r>
        <w:rPr>
          <w:rFonts w:hint="eastAsia"/>
          <w:lang w:val="zh-CN" w:eastAsia="zh-CN"/>
        </w:rPr>
        <w:t>。</w:t>
      </w:r>
    </w:p>
    <w:p w14:paraId="111F51F9" w14:textId="77777777" w:rsidR="00C811A5" w:rsidRDefault="00C811A5" w:rsidP="00C811A5">
      <w:pPr>
        <w:pStyle w:val="enumlev1"/>
        <w:rPr>
          <w:lang w:eastAsia="zh-CN"/>
        </w:rPr>
      </w:pPr>
      <w:r>
        <w:rPr>
          <w:lang w:val="zh-CN" w:eastAsia="zh-CN"/>
        </w:rPr>
        <w:lastRenderedPageBreak/>
        <w:tab/>
      </w:r>
      <w:r>
        <w:rPr>
          <w:lang w:val="zh-CN" w:eastAsia="zh-CN"/>
        </w:rPr>
        <w:t>工作组请秘书处</w:t>
      </w:r>
      <w:r>
        <w:rPr>
          <w:rFonts w:hint="eastAsia"/>
          <w:lang w:val="zh-CN" w:eastAsia="zh-CN"/>
        </w:rPr>
        <w:t>向</w:t>
      </w:r>
      <w:r>
        <w:rPr>
          <w:lang w:val="zh-CN" w:eastAsia="zh-CN"/>
        </w:rPr>
        <w:t>理事会</w:t>
      </w:r>
      <w:r>
        <w:rPr>
          <w:lang w:val="zh-CN" w:eastAsia="zh-CN"/>
        </w:rPr>
        <w:t>2025</w:t>
      </w:r>
      <w:r>
        <w:rPr>
          <w:lang w:val="zh-CN" w:eastAsia="zh-CN"/>
        </w:rPr>
        <w:t>年会议提供更多关于财务状况及其与会费单位金额的联系的信息，同时考虑到需要一个稳定的机制和标准来确定会费单位。</w:t>
      </w:r>
    </w:p>
    <w:p w14:paraId="5F4A9E3C" w14:textId="799887B5" w:rsidR="00107F53" w:rsidRPr="00107F53" w:rsidRDefault="00C811A5" w:rsidP="00C811A5">
      <w:pPr>
        <w:snapToGrid w:val="0"/>
        <w:ind w:firstLineChars="200" w:firstLine="480"/>
        <w:jc w:val="both"/>
        <w:rPr>
          <w:rFonts w:asciiTheme="minorHAnsi" w:hAnsiTheme="minorHAnsi" w:cstheme="minorBidi"/>
          <w:lang w:eastAsia="zh-CN"/>
        </w:rPr>
      </w:pPr>
      <w:r>
        <w:rPr>
          <w:lang w:val="zh-CN" w:eastAsia="zh-CN"/>
        </w:rPr>
        <w:t>有关</w:t>
      </w:r>
      <w:r>
        <w:rPr>
          <w:lang w:val="zh-CN" w:eastAsia="zh-CN"/>
        </w:rPr>
        <w:t>CWG-SFP</w:t>
      </w:r>
      <w:r>
        <w:rPr>
          <w:lang w:val="zh-CN" w:eastAsia="zh-CN"/>
        </w:rPr>
        <w:t>的详细信息</w:t>
      </w:r>
      <w:r>
        <w:rPr>
          <w:rFonts w:hint="eastAsia"/>
          <w:lang w:val="zh-CN" w:eastAsia="zh-CN"/>
        </w:rPr>
        <w:t>，请查阅</w:t>
      </w:r>
      <w:hyperlink r:id="rId9" w:history="1">
        <w:r w:rsidRPr="00C811A5">
          <w:rPr>
            <w:rStyle w:val="Hyperlink"/>
            <w:rFonts w:eastAsia="SimSun"/>
            <w:color w:val="0000FF"/>
            <w:u w:val="single"/>
            <w:lang w:val="zh-CN" w:eastAsia="zh-CN"/>
          </w:rPr>
          <w:t>第</w:t>
        </w:r>
        <w:r w:rsidRPr="00C811A5">
          <w:rPr>
            <w:rStyle w:val="Hyperlink"/>
            <w:rFonts w:eastAsia="SimSun"/>
            <w:color w:val="0000FF"/>
            <w:u w:val="single"/>
            <w:lang w:val="zh-CN" w:eastAsia="zh-CN"/>
          </w:rPr>
          <w:t>1</w:t>
        </w:r>
        <w:r w:rsidRPr="00C811A5">
          <w:rPr>
            <w:rStyle w:val="Hyperlink"/>
            <w:rFonts w:eastAsia="SimSun"/>
            <w:color w:val="0000FF"/>
            <w:u w:val="single"/>
            <w:lang w:val="zh-CN" w:eastAsia="zh-CN"/>
          </w:rPr>
          <w:t>次会议报告</w:t>
        </w:r>
      </w:hyperlink>
      <w:r>
        <w:rPr>
          <w:lang w:val="zh-CN" w:eastAsia="zh-CN"/>
        </w:rPr>
        <w:t>和</w:t>
      </w:r>
      <w:hyperlink r:id="rId10" w:history="1">
        <w:r w:rsidRPr="00C811A5">
          <w:rPr>
            <w:rStyle w:val="Hyperlink"/>
            <w:rFonts w:eastAsia="SimSun"/>
            <w:color w:val="0000FF"/>
            <w:u w:val="single"/>
            <w:lang w:val="zh-CN" w:eastAsia="zh-CN"/>
          </w:rPr>
          <w:t>第</w:t>
        </w:r>
        <w:r w:rsidRPr="00C811A5">
          <w:rPr>
            <w:rStyle w:val="Hyperlink"/>
            <w:rFonts w:eastAsia="SimSun"/>
            <w:color w:val="0000FF"/>
            <w:u w:val="single"/>
            <w:lang w:val="zh-CN" w:eastAsia="zh-CN"/>
          </w:rPr>
          <w:t>2</w:t>
        </w:r>
        <w:r w:rsidRPr="00C811A5">
          <w:rPr>
            <w:rStyle w:val="Hyperlink"/>
            <w:rFonts w:eastAsia="SimSun"/>
            <w:color w:val="0000FF"/>
            <w:u w:val="single"/>
            <w:lang w:val="zh-CN" w:eastAsia="zh-CN"/>
          </w:rPr>
          <w:t>次会议报告</w:t>
        </w:r>
      </w:hyperlink>
      <w:r>
        <w:rPr>
          <w:lang w:val="zh-CN" w:eastAsia="zh-CN"/>
        </w:rPr>
        <w:t>。</w:t>
      </w:r>
    </w:p>
    <w:p w14:paraId="4CA55C6E" w14:textId="71E4BBB2" w:rsidR="00107F53" w:rsidRPr="00107F53" w:rsidRDefault="00107F53" w:rsidP="00107F53">
      <w:pPr>
        <w:pStyle w:val="Heading1"/>
        <w:rPr>
          <w:lang w:eastAsia="zh-CN"/>
        </w:rPr>
      </w:pPr>
      <w:r w:rsidRPr="00107F53">
        <w:rPr>
          <w:lang w:eastAsia="zh-CN"/>
        </w:rPr>
        <w:t>3</w:t>
      </w:r>
      <w:r w:rsidRPr="00107F53">
        <w:rPr>
          <w:lang w:eastAsia="zh-CN"/>
        </w:rPr>
        <w:tab/>
      </w:r>
      <w:r w:rsidR="00C811A5">
        <w:rPr>
          <w:bCs/>
          <w:lang w:val="zh-CN" w:eastAsia="zh-CN"/>
        </w:rPr>
        <w:t>结论</w:t>
      </w:r>
    </w:p>
    <w:p w14:paraId="5DE2BBEE" w14:textId="77777777" w:rsidR="00C811A5" w:rsidRDefault="00C811A5" w:rsidP="00C811A5">
      <w:pPr>
        <w:ind w:firstLineChars="200" w:firstLine="480"/>
        <w:rPr>
          <w:lang w:eastAsia="zh-CN"/>
        </w:rPr>
      </w:pPr>
      <w:r>
        <w:rPr>
          <w:lang w:val="zh-CN" w:eastAsia="zh-CN"/>
        </w:rPr>
        <w:t>请理事会将本报告记录在案。</w:t>
      </w:r>
    </w:p>
    <w:p w14:paraId="5E507A6B" w14:textId="77777777" w:rsidR="00C811A5" w:rsidRDefault="00C811A5" w:rsidP="00C811A5">
      <w:pPr>
        <w:ind w:firstLineChars="200" w:firstLine="480"/>
        <w:rPr>
          <w:lang w:eastAsia="zh-CN"/>
        </w:rPr>
      </w:pPr>
      <w:r>
        <w:rPr>
          <w:lang w:val="zh-CN" w:eastAsia="zh-CN"/>
        </w:rPr>
        <w:t>主席代表</w:t>
      </w:r>
      <w:r w:rsidRPr="00507216">
        <w:rPr>
          <w:lang w:eastAsia="zh-CN"/>
        </w:rPr>
        <w:t>CWG-</w:t>
      </w:r>
      <w:r>
        <w:rPr>
          <w:lang w:eastAsia="zh-CN"/>
        </w:rPr>
        <w:t>SFP</w:t>
      </w:r>
      <w:r>
        <w:rPr>
          <w:lang w:val="zh-CN" w:eastAsia="zh-CN"/>
        </w:rPr>
        <w:t>表达了其个人对提交文稿并参与</w:t>
      </w:r>
      <w:r>
        <w:rPr>
          <w:rFonts w:hint="eastAsia"/>
          <w:lang w:val="zh-CN" w:eastAsia="zh-CN"/>
        </w:rPr>
        <w:t>该</w:t>
      </w:r>
      <w:r>
        <w:rPr>
          <w:lang w:val="zh-CN" w:eastAsia="zh-CN"/>
        </w:rPr>
        <w:t>组工作的所有国际电联成员国</w:t>
      </w:r>
      <w:r>
        <w:rPr>
          <w:rFonts w:hint="eastAsia"/>
          <w:lang w:val="zh-CN" w:eastAsia="zh-CN"/>
        </w:rPr>
        <w:t>和部门成员</w:t>
      </w:r>
      <w:r>
        <w:rPr>
          <w:lang w:val="zh-CN" w:eastAsia="zh-CN"/>
        </w:rPr>
        <w:t>的感谢，并对副主席以及秘书处在</w:t>
      </w:r>
      <w:r>
        <w:rPr>
          <w:rFonts w:hint="eastAsia"/>
          <w:lang w:val="zh-CN" w:eastAsia="zh-CN"/>
        </w:rPr>
        <w:t>工作组</w:t>
      </w:r>
      <w:r>
        <w:rPr>
          <w:lang w:val="zh-CN" w:eastAsia="zh-CN"/>
        </w:rPr>
        <w:t>第一次和第二次会议期间的高效协助表示感谢。</w:t>
      </w:r>
    </w:p>
    <w:p w14:paraId="3F99803D" w14:textId="5235B81B" w:rsidR="00F458A5" w:rsidRPr="001C77AE" w:rsidRDefault="00F458A5" w:rsidP="00F458A5">
      <w:pPr>
        <w:pStyle w:val="Signature"/>
        <w:tabs>
          <w:tab w:val="center" w:pos="7371"/>
        </w:tabs>
        <w:spacing w:before="600"/>
        <w:rPr>
          <w:rFonts w:asciiTheme="minorHAnsi" w:hAnsiTheme="minorHAnsi" w:cstheme="minorHAnsi"/>
          <w:sz w:val="24"/>
          <w:szCs w:val="24"/>
          <w:lang w:val="fr-CH"/>
        </w:rPr>
      </w:pPr>
      <w:r>
        <w:rPr>
          <w:rFonts w:asciiTheme="minorHAnsi" w:hAnsiTheme="minorHAnsi" w:cstheme="minorHAnsi"/>
          <w:lang w:val="fr-FR"/>
        </w:rPr>
        <w:tab/>
      </w:r>
      <w:r w:rsidRPr="001C77AE">
        <w:rPr>
          <w:rFonts w:asciiTheme="minorHAnsi" w:hAnsiTheme="minorHAnsi" w:cstheme="minorHAnsi"/>
          <w:sz w:val="24"/>
          <w:szCs w:val="24"/>
          <w:lang w:val="fr-FR"/>
        </w:rPr>
        <w:t>CWG-SFP</w:t>
      </w:r>
      <w:r w:rsidRPr="001C77AE">
        <w:rPr>
          <w:rFonts w:hint="eastAsia"/>
          <w:sz w:val="24"/>
          <w:szCs w:val="24"/>
          <w:lang w:val="zh-CN"/>
        </w:rPr>
        <w:t>主席</w:t>
      </w:r>
      <w:r w:rsidRPr="001C77AE">
        <w:rPr>
          <w:sz w:val="24"/>
          <w:szCs w:val="24"/>
          <w:lang w:val="fr-CH"/>
        </w:rPr>
        <w:br/>
      </w:r>
      <w:r w:rsidRPr="001C77AE">
        <w:rPr>
          <w:sz w:val="24"/>
          <w:szCs w:val="24"/>
          <w:lang w:val="fr-CH"/>
        </w:rPr>
        <w:tab/>
        <w:t>Mansour AL-QURASHI</w:t>
      </w:r>
    </w:p>
    <w:p w14:paraId="18C85518" w14:textId="7ED9844A" w:rsidR="00107F53" w:rsidRDefault="00F458A5" w:rsidP="00F458A5">
      <w:pPr>
        <w:spacing w:before="480"/>
        <w:rPr>
          <w:rFonts w:ascii="STKaiti" w:eastAsia="STKaiti" w:hAnsi="STKaiti"/>
          <w:szCs w:val="24"/>
          <w:lang w:val="zh-CN" w:eastAsia="zh-CN"/>
        </w:rPr>
      </w:pPr>
      <w:proofErr w:type="spellStart"/>
      <w:r w:rsidRPr="001C77AE">
        <w:rPr>
          <w:rFonts w:ascii="STKaiti" w:eastAsia="STKaiti" w:hAnsi="STKaiti"/>
          <w:b/>
          <w:bCs/>
          <w:szCs w:val="24"/>
          <w:lang w:val="zh-CN"/>
        </w:rPr>
        <w:t>附件</w:t>
      </w:r>
      <w:proofErr w:type="spellEnd"/>
      <w:r w:rsidRPr="001C77AE">
        <w:rPr>
          <w:rFonts w:ascii="STKaiti" w:eastAsia="STKaiti" w:hAnsi="STKaiti"/>
          <w:szCs w:val="24"/>
          <w:lang w:val="zh-CN"/>
        </w:rPr>
        <w:t>：1件</w:t>
      </w:r>
    </w:p>
    <w:p w14:paraId="66C935F8" w14:textId="77777777" w:rsidR="001C77AE" w:rsidRDefault="001C77AE" w:rsidP="00F458A5">
      <w:pPr>
        <w:spacing w:before="480"/>
        <w:rPr>
          <w:szCs w:val="24"/>
          <w:lang w:eastAsia="zh-CN"/>
        </w:rPr>
        <w:sectPr w:rsidR="001C77AE" w:rsidSect="00E24D59">
          <w:footerReference w:type="default" r:id="rId11"/>
          <w:headerReference w:type="first" r:id="rId12"/>
          <w:footerReference w:type="first" r:id="rId13"/>
          <w:pgSz w:w="11907" w:h="16834"/>
          <w:pgMar w:top="1418" w:right="1418" w:bottom="1418" w:left="1418" w:header="720" w:footer="720" w:gutter="0"/>
          <w:paperSrc w:first="286" w:other="286"/>
          <w:cols w:space="720"/>
          <w:titlePg/>
        </w:sectPr>
      </w:pPr>
    </w:p>
    <w:p w14:paraId="0710C213" w14:textId="5F64E142" w:rsidR="001C77AE" w:rsidRDefault="000A6680" w:rsidP="000D749D">
      <w:pPr>
        <w:pStyle w:val="AnnexNo"/>
        <w:spacing w:before="0" w:after="0"/>
        <w:rPr>
          <w:lang w:eastAsia="zh-CN"/>
        </w:rPr>
      </w:pPr>
      <w:bookmarkStart w:id="9" w:name="dtitle1"/>
      <w:r>
        <w:rPr>
          <w:rFonts w:hint="eastAsia"/>
          <w:lang w:eastAsia="zh-CN"/>
        </w:rPr>
        <w:lastRenderedPageBreak/>
        <w:t>附件</w:t>
      </w:r>
      <w:bookmarkEnd w:id="9"/>
    </w:p>
    <w:p w14:paraId="403AE22B" w14:textId="1BB08EA1" w:rsidR="000A6680" w:rsidRDefault="000D749D" w:rsidP="000D749D">
      <w:pPr>
        <w:spacing w:before="480"/>
        <w:jc w:val="center"/>
        <w:rPr>
          <w:szCs w:val="24"/>
          <w:lang w:eastAsia="zh-CN"/>
        </w:rPr>
      </w:pPr>
      <w:r>
        <w:rPr>
          <w:noProof/>
        </w:rPr>
        <w:drawing>
          <wp:inline distT="0" distB="0" distL="0" distR="0" wp14:anchorId="5F5C80BE" wp14:editId="45DFE2FE">
            <wp:extent cx="8614437" cy="4845698"/>
            <wp:effectExtent l="0" t="0" r="0" b="0"/>
            <wp:docPr id="1827089990"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089990" name=""/>
                    <pic:cNvPicPr/>
                  </pic:nvPicPr>
                  <pic:blipFill>
                    <a:blip r:embed="rId14">
                      <a:extLst>
                        <a:ext uri="{96DAC541-7B7A-43D3-8B79-37D633B846F1}">
                          <asvg:svgBlip xmlns:asvg="http://schemas.microsoft.com/office/drawing/2016/SVG/main" r:embed="rId15"/>
                        </a:ext>
                      </a:extLst>
                    </a:blip>
                    <a:stretch>
                      <a:fillRect/>
                    </a:stretch>
                  </pic:blipFill>
                  <pic:spPr>
                    <a:xfrm>
                      <a:off x="0" y="0"/>
                      <a:ext cx="8619700" cy="4848658"/>
                    </a:xfrm>
                    <a:prstGeom prst="rect">
                      <a:avLst/>
                    </a:prstGeom>
                  </pic:spPr>
                </pic:pic>
              </a:graphicData>
            </a:graphic>
          </wp:inline>
        </w:drawing>
      </w:r>
    </w:p>
    <w:p w14:paraId="54F78B65" w14:textId="1D5FB852" w:rsidR="000D749D" w:rsidRPr="001C77AE" w:rsidRDefault="00ED7303" w:rsidP="000D749D">
      <w:pPr>
        <w:spacing w:before="480"/>
        <w:jc w:val="center"/>
        <w:rPr>
          <w:szCs w:val="24"/>
          <w:lang w:eastAsia="zh-CN"/>
        </w:rPr>
      </w:pPr>
      <w:r>
        <w:rPr>
          <w:noProof/>
          <w:lang w:eastAsia="zh-CN"/>
        </w:rPr>
        <w:lastRenderedPageBreak/>
        <w:drawing>
          <wp:anchor distT="0" distB="0" distL="114300" distR="114300" simplePos="0" relativeHeight="251658240" behindDoc="0" locked="0" layoutInCell="1" allowOverlap="1" wp14:anchorId="46230F36" wp14:editId="5B7AA68A">
            <wp:simplePos x="0" y="0"/>
            <wp:positionH relativeFrom="column">
              <wp:posOffset>8355395</wp:posOffset>
            </wp:positionH>
            <wp:positionV relativeFrom="paragraph">
              <wp:posOffset>4430201</wp:posOffset>
            </wp:positionV>
            <wp:extent cx="247650" cy="266700"/>
            <wp:effectExtent l="0" t="0" r="0" b="0"/>
            <wp:wrapNone/>
            <wp:docPr id="62245287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7650" cy="266700"/>
                    </a:xfrm>
                    <a:prstGeom prst="rect">
                      <a:avLst/>
                    </a:prstGeom>
                    <a:noFill/>
                  </pic:spPr>
                </pic:pic>
              </a:graphicData>
            </a:graphic>
          </wp:anchor>
        </w:drawing>
      </w:r>
      <w:r w:rsidR="000D749D">
        <w:rPr>
          <w:noProof/>
          <w:szCs w:val="24"/>
          <w:lang w:eastAsia="zh-CN"/>
        </w:rPr>
        <w:drawing>
          <wp:inline distT="0" distB="0" distL="0" distR="0" wp14:anchorId="07539435" wp14:editId="70FA3FA8">
            <wp:extent cx="8526994" cy="4795935"/>
            <wp:effectExtent l="0" t="0" r="7620" b="5080"/>
            <wp:docPr id="4774909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565186" cy="4817416"/>
                    </a:xfrm>
                    <a:prstGeom prst="rect">
                      <a:avLst/>
                    </a:prstGeom>
                    <a:noFill/>
                  </pic:spPr>
                </pic:pic>
              </a:graphicData>
            </a:graphic>
          </wp:inline>
        </w:drawing>
      </w:r>
    </w:p>
    <w:p w14:paraId="09495224" w14:textId="5629D1BA" w:rsidR="00E323D0" w:rsidRPr="00F149B2" w:rsidRDefault="00E323D0" w:rsidP="00E323D0">
      <w:pPr>
        <w:jc w:val="center"/>
        <w:rPr>
          <w:lang w:eastAsia="zh-CN"/>
        </w:rPr>
      </w:pPr>
      <w:r w:rsidRPr="00F149B2">
        <w:rPr>
          <w:lang w:eastAsia="zh-CN"/>
        </w:rPr>
        <w:t>______________</w:t>
      </w:r>
    </w:p>
    <w:sectPr w:rsidR="00E323D0" w:rsidRPr="00F149B2" w:rsidSect="001C77AE">
      <w:headerReference w:type="first" r:id="rId18"/>
      <w:footerReference w:type="first" r:id="rId19"/>
      <w:pgSz w:w="16834" w:h="11907" w:orient="landscape"/>
      <w:pgMar w:top="1418" w:right="1418" w:bottom="1418" w:left="1418" w:header="720" w:footer="720" w:gutter="0"/>
      <w:paperSrc w:first="286" w:other="286"/>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AEB341" w14:textId="77777777" w:rsidR="00AF4237" w:rsidRDefault="00AF4237">
      <w:r>
        <w:separator/>
      </w:r>
    </w:p>
  </w:endnote>
  <w:endnote w:type="continuationSeparator" w:id="0">
    <w:p w14:paraId="54B3A303" w14:textId="77777777" w:rsidR="00AF4237" w:rsidRDefault="00AF4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STKaiti">
    <w:charset w:val="86"/>
    <w:family w:val="auto"/>
    <w:pitch w:val="variable"/>
    <w:sig w:usb0="00000287" w:usb1="080F0000" w:usb2="00000010" w:usb3="00000000" w:csb0="0004009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13406" w:rsidRPr="00A13406" w14:paraId="25652288" w14:textId="77777777" w:rsidTr="00E31DCE">
      <w:trPr>
        <w:jc w:val="center"/>
      </w:trPr>
      <w:tc>
        <w:tcPr>
          <w:tcW w:w="1803" w:type="dxa"/>
          <w:vAlign w:val="center"/>
        </w:tcPr>
        <w:p w14:paraId="2E33C152" w14:textId="1A8ADEA6" w:rsidR="00E24D59" w:rsidRPr="00000795" w:rsidRDefault="00000795" w:rsidP="00E24D59">
          <w:pPr>
            <w:pStyle w:val="Header"/>
            <w:jc w:val="left"/>
            <w:rPr>
              <w:rFonts w:eastAsiaTheme="minorEastAsia"/>
              <w:noProof/>
              <w:color w:val="808080" w:themeColor="background1" w:themeShade="80"/>
              <w:lang w:eastAsia="zh-CN"/>
            </w:rPr>
          </w:pPr>
          <w:r>
            <w:rPr>
              <w:rFonts w:eastAsiaTheme="minorEastAsia" w:hint="eastAsia"/>
              <w:noProof/>
              <w:color w:val="808080" w:themeColor="background1" w:themeShade="80"/>
              <w:lang w:eastAsia="zh-CN"/>
            </w:rPr>
            <w:t>2500</w:t>
          </w:r>
          <w:r w:rsidR="00107F53">
            <w:rPr>
              <w:rFonts w:eastAsiaTheme="minorEastAsia"/>
              <w:noProof/>
              <w:color w:val="808080" w:themeColor="background1" w:themeShade="80"/>
              <w:lang w:eastAsia="zh-CN"/>
            </w:rPr>
            <w:t>9</w:t>
          </w:r>
          <w:r w:rsidR="001C77AE">
            <w:rPr>
              <w:rFonts w:eastAsiaTheme="minorEastAsia" w:hint="eastAsia"/>
              <w:noProof/>
              <w:color w:val="808080" w:themeColor="background1" w:themeShade="80"/>
              <w:lang w:eastAsia="zh-CN"/>
            </w:rPr>
            <w:t>50</w:t>
          </w:r>
        </w:p>
      </w:tc>
      <w:tc>
        <w:tcPr>
          <w:tcW w:w="8261" w:type="dxa"/>
        </w:tcPr>
        <w:p w14:paraId="128C249C" w14:textId="112752EE" w:rsidR="00E24D59" w:rsidRPr="00A13406" w:rsidRDefault="00E24D59" w:rsidP="00983878">
          <w:pPr>
            <w:pStyle w:val="Header"/>
            <w:tabs>
              <w:tab w:val="left" w:pos="6731"/>
              <w:tab w:val="right" w:pos="8505"/>
              <w:tab w:val="right" w:pos="9639"/>
            </w:tabs>
            <w:jc w:val="left"/>
            <w:rPr>
              <w:rFonts w:ascii="Arial" w:hAnsi="Arial" w:cs="Arial"/>
              <w:b/>
              <w:bCs/>
              <w:color w:val="808080" w:themeColor="background1" w:themeShade="80"/>
              <w:szCs w:val="18"/>
            </w:rPr>
          </w:pPr>
          <w:r w:rsidRPr="00A13406">
            <w:rPr>
              <w:bCs/>
              <w:color w:val="808080" w:themeColor="background1" w:themeShade="80"/>
            </w:rPr>
            <w:tab/>
            <w:t>C2</w:t>
          </w:r>
          <w:r w:rsidR="0072138B" w:rsidRPr="00A13406">
            <w:rPr>
              <w:bCs/>
              <w:color w:val="808080" w:themeColor="background1" w:themeShade="80"/>
            </w:rPr>
            <w:t>5</w:t>
          </w:r>
          <w:r w:rsidRPr="00A13406">
            <w:rPr>
              <w:bCs/>
              <w:color w:val="808080" w:themeColor="background1" w:themeShade="80"/>
            </w:rPr>
            <w:t>/</w:t>
          </w:r>
          <w:r w:rsidR="00107F53">
            <w:rPr>
              <w:rFonts w:eastAsiaTheme="minorEastAsia"/>
              <w:bCs/>
              <w:color w:val="808080" w:themeColor="background1" w:themeShade="80"/>
              <w:lang w:eastAsia="zh-CN"/>
            </w:rPr>
            <w:t>3</w:t>
          </w:r>
          <w:r w:rsidR="005A75D6">
            <w:rPr>
              <w:rFonts w:eastAsiaTheme="minorEastAsia"/>
              <w:bCs/>
              <w:color w:val="808080" w:themeColor="background1" w:themeShade="80"/>
              <w:lang w:eastAsia="zh-CN"/>
            </w:rPr>
            <w:t>1</w:t>
          </w:r>
          <w:r w:rsidRPr="00A13406">
            <w:rPr>
              <w:bCs/>
              <w:color w:val="808080" w:themeColor="background1" w:themeShade="80"/>
            </w:rPr>
            <w:t>-C</w:t>
          </w:r>
          <w:r w:rsidRPr="00A13406">
            <w:rPr>
              <w:bCs/>
              <w:color w:val="808080" w:themeColor="background1" w:themeShade="80"/>
            </w:rPr>
            <w:tab/>
          </w:r>
          <w:r w:rsidRPr="00A13406">
            <w:rPr>
              <w:color w:val="808080" w:themeColor="background1" w:themeShade="80"/>
            </w:rPr>
            <w:fldChar w:fldCharType="begin"/>
          </w:r>
          <w:r w:rsidRPr="00A13406">
            <w:rPr>
              <w:color w:val="808080" w:themeColor="background1" w:themeShade="80"/>
            </w:rPr>
            <w:instrText>PAGE</w:instrText>
          </w:r>
          <w:r w:rsidRPr="00A13406">
            <w:rPr>
              <w:color w:val="808080" w:themeColor="background1" w:themeShade="80"/>
            </w:rPr>
            <w:fldChar w:fldCharType="separate"/>
          </w:r>
          <w:r w:rsidRPr="00A13406">
            <w:rPr>
              <w:color w:val="808080" w:themeColor="background1" w:themeShade="80"/>
            </w:rPr>
            <w:t>1</w:t>
          </w:r>
          <w:r w:rsidRPr="00A13406">
            <w:rPr>
              <w:noProof/>
              <w:color w:val="808080" w:themeColor="background1" w:themeShade="80"/>
            </w:rPr>
            <w:fldChar w:fldCharType="end"/>
          </w:r>
        </w:p>
      </w:tc>
    </w:tr>
  </w:tbl>
  <w:p w14:paraId="33EA752D"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13406" w:rsidRPr="00A13406" w14:paraId="4EA587E7" w14:textId="77777777" w:rsidTr="00E31DCE">
      <w:trPr>
        <w:jc w:val="center"/>
      </w:trPr>
      <w:tc>
        <w:tcPr>
          <w:tcW w:w="1803" w:type="dxa"/>
          <w:vAlign w:val="center"/>
        </w:tcPr>
        <w:p w14:paraId="77D90C33" w14:textId="5000D67C" w:rsidR="00E24D59" w:rsidRPr="00F44A4B" w:rsidRDefault="00F44A4B" w:rsidP="00E24D59">
          <w:pPr>
            <w:pStyle w:val="Header"/>
            <w:jc w:val="left"/>
            <w:rPr>
              <w:noProof/>
              <w:szCs w:val="18"/>
            </w:rPr>
          </w:pPr>
          <w:hyperlink r:id="rId1" w:history="1">
            <w:r w:rsidRPr="00F44A4B">
              <w:rPr>
                <w:color w:val="4F81BD" w:themeColor="accent1"/>
                <w:szCs w:val="18"/>
                <w:lang w:val="en-GB"/>
              </w:rPr>
              <w:t>council.itu.int/2025</w:t>
            </w:r>
          </w:hyperlink>
        </w:p>
      </w:tc>
      <w:tc>
        <w:tcPr>
          <w:tcW w:w="8261" w:type="dxa"/>
        </w:tcPr>
        <w:p w14:paraId="5CB609DF" w14:textId="1C2F8689" w:rsidR="00E24D59" w:rsidRPr="00A13406" w:rsidRDefault="00E24D59" w:rsidP="00983878">
          <w:pPr>
            <w:pStyle w:val="Header"/>
            <w:tabs>
              <w:tab w:val="left" w:pos="6731"/>
              <w:tab w:val="right" w:pos="8505"/>
              <w:tab w:val="right" w:pos="9639"/>
            </w:tabs>
            <w:jc w:val="left"/>
            <w:rPr>
              <w:rFonts w:ascii="Arial" w:hAnsi="Arial" w:cs="Arial"/>
              <w:b/>
              <w:bCs/>
              <w:color w:val="808080" w:themeColor="background1" w:themeShade="80"/>
              <w:szCs w:val="18"/>
            </w:rPr>
          </w:pPr>
          <w:r w:rsidRPr="003F086E">
            <w:rPr>
              <w:bCs/>
              <w:color w:val="808080" w:themeColor="background1" w:themeShade="80"/>
            </w:rPr>
            <w:tab/>
            <w:t>C2</w:t>
          </w:r>
          <w:r w:rsidR="0072138B" w:rsidRPr="003F086E">
            <w:rPr>
              <w:bCs/>
              <w:color w:val="808080" w:themeColor="background1" w:themeShade="80"/>
            </w:rPr>
            <w:t>5</w:t>
          </w:r>
          <w:r w:rsidRPr="003F086E">
            <w:rPr>
              <w:bCs/>
              <w:color w:val="808080" w:themeColor="background1" w:themeShade="80"/>
            </w:rPr>
            <w:t>/</w:t>
          </w:r>
          <w:r w:rsidR="00107F53">
            <w:rPr>
              <w:rFonts w:eastAsiaTheme="minorEastAsia"/>
              <w:bCs/>
              <w:color w:val="808080" w:themeColor="background1" w:themeShade="80"/>
              <w:lang w:eastAsia="zh-CN"/>
            </w:rPr>
            <w:t>3</w:t>
          </w:r>
          <w:r w:rsidR="005A75D6">
            <w:rPr>
              <w:rFonts w:eastAsiaTheme="minorEastAsia"/>
              <w:bCs/>
              <w:color w:val="808080" w:themeColor="background1" w:themeShade="80"/>
              <w:lang w:eastAsia="zh-CN"/>
            </w:rPr>
            <w:t>1</w:t>
          </w:r>
          <w:r w:rsidRPr="003F086E">
            <w:rPr>
              <w:bCs/>
              <w:color w:val="808080" w:themeColor="background1" w:themeShade="80"/>
            </w:rPr>
            <w:t>-C</w:t>
          </w:r>
          <w:r w:rsidRPr="003F086E">
            <w:rPr>
              <w:bCs/>
              <w:color w:val="808080" w:themeColor="background1" w:themeShade="80"/>
            </w:rPr>
            <w:tab/>
          </w:r>
          <w:r w:rsidRPr="003F086E">
            <w:rPr>
              <w:color w:val="808080" w:themeColor="background1" w:themeShade="80"/>
            </w:rPr>
            <w:fldChar w:fldCharType="begin"/>
          </w:r>
          <w:r w:rsidRPr="003F086E">
            <w:rPr>
              <w:color w:val="808080" w:themeColor="background1" w:themeShade="80"/>
            </w:rPr>
            <w:instrText>PAGE</w:instrText>
          </w:r>
          <w:r w:rsidRPr="003F086E">
            <w:rPr>
              <w:color w:val="808080" w:themeColor="background1" w:themeShade="80"/>
            </w:rPr>
            <w:fldChar w:fldCharType="separate"/>
          </w:r>
          <w:r w:rsidRPr="003F086E">
            <w:rPr>
              <w:color w:val="808080" w:themeColor="background1" w:themeShade="80"/>
            </w:rPr>
            <w:t>1</w:t>
          </w:r>
          <w:r w:rsidRPr="003F086E">
            <w:rPr>
              <w:noProof/>
              <w:color w:val="808080" w:themeColor="background1" w:themeShade="80"/>
            </w:rPr>
            <w:fldChar w:fldCharType="end"/>
          </w:r>
        </w:p>
      </w:tc>
    </w:tr>
  </w:tbl>
  <w:p w14:paraId="14736849" w14:textId="77777777" w:rsidR="00663520" w:rsidRDefault="00663520" w:rsidP="000D749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44A4B" w:rsidRPr="00A13406" w14:paraId="711BD662" w14:textId="77777777" w:rsidTr="00E31DCE">
      <w:trPr>
        <w:jc w:val="center"/>
      </w:trPr>
      <w:tc>
        <w:tcPr>
          <w:tcW w:w="1803" w:type="dxa"/>
          <w:vAlign w:val="center"/>
        </w:tcPr>
        <w:p w14:paraId="5544F740" w14:textId="3C21086E" w:rsidR="00F44A4B" w:rsidRPr="00F44A4B" w:rsidRDefault="00F44A4B" w:rsidP="00E24D59">
          <w:pPr>
            <w:pStyle w:val="Header"/>
            <w:jc w:val="left"/>
            <w:rPr>
              <w:noProof/>
              <w:szCs w:val="18"/>
            </w:rPr>
          </w:pPr>
          <w:r>
            <w:rPr>
              <w:rFonts w:eastAsiaTheme="minorEastAsia" w:hint="eastAsia"/>
              <w:noProof/>
              <w:color w:val="808080" w:themeColor="background1" w:themeShade="80"/>
              <w:lang w:eastAsia="zh-CN"/>
            </w:rPr>
            <w:t>2500</w:t>
          </w:r>
          <w:r>
            <w:rPr>
              <w:rFonts w:eastAsiaTheme="minorEastAsia"/>
              <w:noProof/>
              <w:color w:val="808080" w:themeColor="background1" w:themeShade="80"/>
              <w:lang w:eastAsia="zh-CN"/>
            </w:rPr>
            <w:t>9</w:t>
          </w:r>
          <w:r>
            <w:rPr>
              <w:rFonts w:eastAsiaTheme="minorEastAsia" w:hint="eastAsia"/>
              <w:noProof/>
              <w:color w:val="808080" w:themeColor="background1" w:themeShade="80"/>
              <w:lang w:eastAsia="zh-CN"/>
            </w:rPr>
            <w:t>50</w:t>
          </w:r>
        </w:p>
      </w:tc>
      <w:tc>
        <w:tcPr>
          <w:tcW w:w="8261" w:type="dxa"/>
        </w:tcPr>
        <w:p w14:paraId="51CE4437" w14:textId="5727F1CA" w:rsidR="00F44A4B" w:rsidRPr="00A13406" w:rsidRDefault="00F44A4B" w:rsidP="00983878">
          <w:pPr>
            <w:pStyle w:val="Header"/>
            <w:tabs>
              <w:tab w:val="left" w:pos="6731"/>
              <w:tab w:val="right" w:pos="8505"/>
              <w:tab w:val="right" w:pos="9639"/>
            </w:tabs>
            <w:jc w:val="left"/>
            <w:rPr>
              <w:rFonts w:ascii="Arial" w:hAnsi="Arial" w:cs="Arial"/>
              <w:b/>
              <w:bCs/>
              <w:color w:val="808080" w:themeColor="background1" w:themeShade="80"/>
              <w:szCs w:val="18"/>
            </w:rPr>
          </w:pPr>
          <w:r w:rsidRPr="003F086E">
            <w:rPr>
              <w:bCs/>
              <w:color w:val="808080" w:themeColor="background1" w:themeShade="80"/>
            </w:rPr>
            <w:tab/>
            <w:t>C25/</w:t>
          </w:r>
          <w:r>
            <w:rPr>
              <w:rFonts w:eastAsiaTheme="minorEastAsia"/>
              <w:bCs/>
              <w:color w:val="808080" w:themeColor="background1" w:themeShade="80"/>
              <w:lang w:eastAsia="zh-CN"/>
            </w:rPr>
            <w:t>3</w:t>
          </w:r>
          <w:r w:rsidR="005A75D6">
            <w:rPr>
              <w:rFonts w:eastAsiaTheme="minorEastAsia"/>
              <w:bCs/>
              <w:color w:val="808080" w:themeColor="background1" w:themeShade="80"/>
              <w:lang w:eastAsia="zh-CN"/>
            </w:rPr>
            <w:t>1</w:t>
          </w:r>
          <w:r w:rsidRPr="003F086E">
            <w:rPr>
              <w:bCs/>
              <w:color w:val="808080" w:themeColor="background1" w:themeShade="80"/>
            </w:rPr>
            <w:t>-C</w:t>
          </w:r>
          <w:r w:rsidRPr="003F086E">
            <w:rPr>
              <w:bCs/>
              <w:color w:val="808080" w:themeColor="background1" w:themeShade="80"/>
            </w:rPr>
            <w:tab/>
          </w:r>
          <w:r w:rsidRPr="003F086E">
            <w:rPr>
              <w:color w:val="808080" w:themeColor="background1" w:themeShade="80"/>
            </w:rPr>
            <w:fldChar w:fldCharType="begin"/>
          </w:r>
          <w:r w:rsidRPr="003F086E">
            <w:rPr>
              <w:color w:val="808080" w:themeColor="background1" w:themeShade="80"/>
            </w:rPr>
            <w:instrText>PAGE</w:instrText>
          </w:r>
          <w:r w:rsidRPr="003F086E">
            <w:rPr>
              <w:color w:val="808080" w:themeColor="background1" w:themeShade="80"/>
            </w:rPr>
            <w:fldChar w:fldCharType="separate"/>
          </w:r>
          <w:r w:rsidRPr="003F086E">
            <w:rPr>
              <w:color w:val="808080" w:themeColor="background1" w:themeShade="80"/>
            </w:rPr>
            <w:t>1</w:t>
          </w:r>
          <w:r w:rsidRPr="003F086E">
            <w:rPr>
              <w:noProof/>
              <w:color w:val="808080" w:themeColor="background1" w:themeShade="80"/>
            </w:rPr>
            <w:fldChar w:fldCharType="end"/>
          </w:r>
        </w:p>
      </w:tc>
    </w:tr>
  </w:tbl>
  <w:p w14:paraId="53FC56BA" w14:textId="77777777" w:rsidR="00F44A4B" w:rsidRDefault="00F44A4B" w:rsidP="000D74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06B39B" w14:textId="77777777" w:rsidR="00AF4237" w:rsidRDefault="00AF4237">
      <w:r>
        <w:t>____________________</w:t>
      </w:r>
    </w:p>
  </w:footnote>
  <w:footnote w:type="continuationSeparator" w:id="0">
    <w:p w14:paraId="071FE590" w14:textId="77777777" w:rsidR="00AF4237" w:rsidRDefault="00AF42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5068"/>
    </w:tblGrid>
    <w:tr w:rsidR="00E24D59" w:rsidRPr="00784011" w14:paraId="4FC1C57A" w14:textId="77777777" w:rsidTr="00E31DCE">
      <w:trPr>
        <w:trHeight w:val="1104"/>
        <w:jc w:val="center"/>
      </w:trPr>
      <w:tc>
        <w:tcPr>
          <w:tcW w:w="4390" w:type="dxa"/>
          <w:vAlign w:val="center"/>
        </w:tcPr>
        <w:p w14:paraId="007B3524" w14:textId="323F5AF5" w:rsidR="00E24D59" w:rsidRPr="009621F8" w:rsidRDefault="00A13406" w:rsidP="00E24D59">
          <w:pPr>
            <w:pStyle w:val="Header"/>
            <w:jc w:val="left"/>
            <w:rPr>
              <w:rFonts w:ascii="Arial" w:hAnsi="Arial" w:cs="Arial"/>
              <w:b/>
              <w:bCs/>
              <w:color w:val="009CD6"/>
              <w:sz w:val="36"/>
              <w:szCs w:val="36"/>
            </w:rPr>
          </w:pPr>
          <w:bookmarkStart w:id="8" w:name="_Hlk133422111"/>
          <w:r>
            <w:rPr>
              <w:rFonts w:ascii="Arial" w:hAnsi="Arial" w:cs="Arial"/>
              <w:b/>
              <w:bCs/>
              <w:noProof/>
              <w:color w:val="009CD6"/>
              <w:sz w:val="36"/>
              <w:szCs w:val="36"/>
            </w:rPr>
            <w:drawing>
              <wp:inline distT="0" distB="0" distL="0" distR="0" wp14:anchorId="43913A3A" wp14:editId="3E1A137C">
                <wp:extent cx="3007478" cy="575945"/>
                <wp:effectExtent l="0" t="0" r="0" b="0"/>
                <wp:docPr id="144153489" name="Picture 1" descr="A black background with blue letters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723161" name="Picture 1" descr="A black background with blue letters and numbers&#10;&#10;AI-generated content may be incorrect."/>
                        <pic:cNvPicPr/>
                      </pic:nvPicPr>
                      <pic:blipFill rotWithShape="1">
                        <a:blip r:embed="rId1">
                          <a:extLst>
                            <a:ext uri="{28A0092B-C50C-407E-A947-70E740481C1C}">
                              <a14:useLocalDpi xmlns:a14="http://schemas.microsoft.com/office/drawing/2010/main" val="0"/>
                            </a:ext>
                          </a:extLst>
                        </a:blip>
                        <a:srcRect r="18084"/>
                        <a:stretch/>
                      </pic:blipFill>
                      <pic:spPr bwMode="auto">
                        <a:xfrm>
                          <a:off x="0" y="0"/>
                          <a:ext cx="3007765" cy="576000"/>
                        </a:xfrm>
                        <a:prstGeom prst="rect">
                          <a:avLst/>
                        </a:prstGeom>
                        <a:ln>
                          <a:noFill/>
                        </a:ln>
                        <a:extLst>
                          <a:ext uri="{53640926-AAD7-44D8-BBD7-CCE9431645EC}">
                            <a14:shadowObscured xmlns:a14="http://schemas.microsoft.com/office/drawing/2010/main"/>
                          </a:ext>
                        </a:extLst>
                      </pic:spPr>
                    </pic:pic>
                  </a:graphicData>
                </a:graphic>
              </wp:inline>
            </w:drawing>
          </w:r>
        </w:p>
      </w:tc>
      <w:tc>
        <w:tcPr>
          <w:tcW w:w="5630" w:type="dxa"/>
        </w:tcPr>
        <w:p w14:paraId="11B2470D" w14:textId="77777777" w:rsidR="00E24D59" w:rsidRDefault="00E24D59" w:rsidP="00E24D59">
          <w:pPr>
            <w:pStyle w:val="Header"/>
            <w:jc w:val="right"/>
            <w:rPr>
              <w:rFonts w:ascii="Arial" w:hAnsi="Arial" w:cs="Arial"/>
              <w:b/>
              <w:bCs/>
              <w:color w:val="009CD6"/>
              <w:szCs w:val="18"/>
            </w:rPr>
          </w:pPr>
        </w:p>
        <w:p w14:paraId="7F5C6E33" w14:textId="77777777" w:rsidR="00E24D59" w:rsidRDefault="00E24D59" w:rsidP="00E24D59">
          <w:pPr>
            <w:pStyle w:val="Header"/>
            <w:jc w:val="right"/>
            <w:rPr>
              <w:rFonts w:ascii="Arial" w:hAnsi="Arial" w:cs="Arial"/>
              <w:b/>
              <w:bCs/>
              <w:color w:val="009CD6"/>
              <w:szCs w:val="18"/>
            </w:rPr>
          </w:pPr>
        </w:p>
        <w:p w14:paraId="17FC93E0"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8"/>
  <w:p w14:paraId="57C1AFA3"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30251A85" wp14:editId="1A77325E">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492B04"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29610" w14:textId="0C4490C9" w:rsidR="001C77AE" w:rsidRDefault="001C77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6F064BF"/>
    <w:multiLevelType w:val="hybridMultilevel"/>
    <w:tmpl w:val="6B147624"/>
    <w:lvl w:ilvl="0" w:tplc="CBAAB5E2">
      <w:start w:val="2"/>
      <w:numFmt w:val="decimal"/>
      <w:lvlText w:val="%1."/>
      <w:lvlJc w:val="left"/>
      <w:pPr>
        <w:ind w:left="951" w:hanging="718"/>
        <w:jc w:val="left"/>
      </w:pPr>
      <w:rPr>
        <w:rFonts w:ascii="Arial" w:eastAsia="Arial" w:hAnsi="Arial" w:cs="Arial" w:hint="default"/>
        <w:b w:val="0"/>
        <w:bCs w:val="0"/>
        <w:i w:val="0"/>
        <w:iCs w:val="0"/>
        <w:color w:val="0C0C0C"/>
        <w:spacing w:val="-1"/>
        <w:w w:val="98"/>
        <w:sz w:val="22"/>
        <w:szCs w:val="22"/>
        <w:lang w:val="en-US" w:eastAsia="en-US" w:bidi="ar-SA"/>
      </w:rPr>
    </w:lvl>
    <w:lvl w:ilvl="1" w:tplc="4E881C50">
      <w:numFmt w:val="bullet"/>
      <w:lvlText w:val="•"/>
      <w:lvlJc w:val="left"/>
      <w:pPr>
        <w:ind w:left="1939" w:hanging="718"/>
      </w:pPr>
      <w:rPr>
        <w:rFonts w:hint="default"/>
        <w:lang w:val="en-US" w:eastAsia="en-US" w:bidi="ar-SA"/>
      </w:rPr>
    </w:lvl>
    <w:lvl w:ilvl="2" w:tplc="70A04294">
      <w:numFmt w:val="bullet"/>
      <w:lvlText w:val="•"/>
      <w:lvlJc w:val="left"/>
      <w:pPr>
        <w:ind w:left="2919" w:hanging="718"/>
      </w:pPr>
      <w:rPr>
        <w:rFonts w:hint="default"/>
        <w:lang w:val="en-US" w:eastAsia="en-US" w:bidi="ar-SA"/>
      </w:rPr>
    </w:lvl>
    <w:lvl w:ilvl="3" w:tplc="A4E42B68">
      <w:numFmt w:val="bullet"/>
      <w:lvlText w:val="•"/>
      <w:lvlJc w:val="left"/>
      <w:pPr>
        <w:ind w:left="3899" w:hanging="718"/>
      </w:pPr>
      <w:rPr>
        <w:rFonts w:hint="default"/>
        <w:lang w:val="en-US" w:eastAsia="en-US" w:bidi="ar-SA"/>
      </w:rPr>
    </w:lvl>
    <w:lvl w:ilvl="4" w:tplc="7D36F6C8">
      <w:numFmt w:val="bullet"/>
      <w:lvlText w:val="•"/>
      <w:lvlJc w:val="left"/>
      <w:pPr>
        <w:ind w:left="4879" w:hanging="718"/>
      </w:pPr>
      <w:rPr>
        <w:rFonts w:hint="default"/>
        <w:lang w:val="en-US" w:eastAsia="en-US" w:bidi="ar-SA"/>
      </w:rPr>
    </w:lvl>
    <w:lvl w:ilvl="5" w:tplc="0866875E">
      <w:numFmt w:val="bullet"/>
      <w:lvlText w:val="•"/>
      <w:lvlJc w:val="left"/>
      <w:pPr>
        <w:ind w:left="5859" w:hanging="718"/>
      </w:pPr>
      <w:rPr>
        <w:rFonts w:hint="default"/>
        <w:lang w:val="en-US" w:eastAsia="en-US" w:bidi="ar-SA"/>
      </w:rPr>
    </w:lvl>
    <w:lvl w:ilvl="6" w:tplc="89FCF3CA">
      <w:numFmt w:val="bullet"/>
      <w:lvlText w:val="•"/>
      <w:lvlJc w:val="left"/>
      <w:pPr>
        <w:ind w:left="6839" w:hanging="718"/>
      </w:pPr>
      <w:rPr>
        <w:rFonts w:hint="default"/>
        <w:lang w:val="en-US" w:eastAsia="en-US" w:bidi="ar-SA"/>
      </w:rPr>
    </w:lvl>
    <w:lvl w:ilvl="7" w:tplc="5672EE54">
      <w:numFmt w:val="bullet"/>
      <w:lvlText w:val="•"/>
      <w:lvlJc w:val="left"/>
      <w:pPr>
        <w:ind w:left="7819" w:hanging="718"/>
      </w:pPr>
      <w:rPr>
        <w:rFonts w:hint="default"/>
        <w:lang w:val="en-US" w:eastAsia="en-US" w:bidi="ar-SA"/>
      </w:rPr>
    </w:lvl>
    <w:lvl w:ilvl="8" w:tplc="BCF24218">
      <w:numFmt w:val="bullet"/>
      <w:lvlText w:val="•"/>
      <w:lvlJc w:val="left"/>
      <w:pPr>
        <w:ind w:left="8799" w:hanging="718"/>
      </w:pPr>
      <w:rPr>
        <w:rFonts w:hint="default"/>
        <w:lang w:val="en-US" w:eastAsia="en-US" w:bidi="ar-SA"/>
      </w:rPr>
    </w:lvl>
  </w:abstractNum>
  <w:abstractNum w:abstractNumId="5"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2"/>
  </w:num>
  <w:num w:numId="3" w16cid:durableId="371539808">
    <w:abstractNumId w:val="3"/>
  </w:num>
  <w:num w:numId="4" w16cid:durableId="1525828948">
    <w:abstractNumId w:val="5"/>
  </w:num>
  <w:num w:numId="5" w16cid:durableId="2033219779">
    <w:abstractNumId w:val="7"/>
  </w:num>
  <w:num w:numId="6" w16cid:durableId="349645790">
    <w:abstractNumId w:val="6"/>
  </w:num>
  <w:num w:numId="7" w16cid:durableId="1451586466">
    <w:abstractNumId w:val="1"/>
  </w:num>
  <w:num w:numId="8" w16cid:durableId="151676981">
    <w:abstractNumId w:val="4"/>
    <w:lvlOverride w:ilvl="0">
      <w:lvl w:ilvl="0" w:tplc="CBAAB5E2">
        <w:start w:val="2"/>
        <w:numFmt w:val="decimal"/>
        <w:lvlText w:val="%1."/>
        <w:lvlJc w:val="left"/>
        <w:pPr>
          <w:ind w:left="951" w:hanging="718"/>
          <w:jc w:val="left"/>
        </w:pPr>
        <w:rPr>
          <w:rFonts w:ascii="Arial" w:eastAsia="Arial" w:hAnsi="Arial" w:cs="Arial" w:hint="default"/>
          <w:b w:val="0"/>
          <w:bCs w:val="0"/>
          <w:i w:val="0"/>
          <w:iCs w:val="0"/>
          <w:color w:val="0C0C0C"/>
          <w:spacing w:val="-1"/>
          <w:w w:val="98"/>
          <w:sz w:val="22"/>
          <w:szCs w:val="22"/>
          <w:lang w:val="en-US" w:eastAsia="en-US" w:bidi="ar-SA"/>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DD5"/>
    <w:rsid w:val="00000795"/>
    <w:rsid w:val="00001B77"/>
    <w:rsid w:val="0000517A"/>
    <w:rsid w:val="00031E72"/>
    <w:rsid w:val="000404D2"/>
    <w:rsid w:val="000646BD"/>
    <w:rsid w:val="000853C0"/>
    <w:rsid w:val="00093DD9"/>
    <w:rsid w:val="0009409E"/>
    <w:rsid w:val="000A1C21"/>
    <w:rsid w:val="000A6680"/>
    <w:rsid w:val="000C0BC5"/>
    <w:rsid w:val="000D15EA"/>
    <w:rsid w:val="000D7012"/>
    <w:rsid w:val="000D749D"/>
    <w:rsid w:val="000E047C"/>
    <w:rsid w:val="00100D84"/>
    <w:rsid w:val="00107F53"/>
    <w:rsid w:val="00124C9D"/>
    <w:rsid w:val="001305DE"/>
    <w:rsid w:val="00137CDF"/>
    <w:rsid w:val="00151990"/>
    <w:rsid w:val="0015333E"/>
    <w:rsid w:val="00157773"/>
    <w:rsid w:val="0018251A"/>
    <w:rsid w:val="00190272"/>
    <w:rsid w:val="001916D0"/>
    <w:rsid w:val="00193244"/>
    <w:rsid w:val="00195C6C"/>
    <w:rsid w:val="00195FED"/>
    <w:rsid w:val="001A4BD6"/>
    <w:rsid w:val="001B6E2B"/>
    <w:rsid w:val="001C77AE"/>
    <w:rsid w:val="001D5A18"/>
    <w:rsid w:val="00215132"/>
    <w:rsid w:val="00224449"/>
    <w:rsid w:val="00254221"/>
    <w:rsid w:val="00280EB8"/>
    <w:rsid w:val="00281E7C"/>
    <w:rsid w:val="002A6670"/>
    <w:rsid w:val="002B19CE"/>
    <w:rsid w:val="002C3F32"/>
    <w:rsid w:val="002E6EC4"/>
    <w:rsid w:val="002F7302"/>
    <w:rsid w:val="00303502"/>
    <w:rsid w:val="003069FB"/>
    <w:rsid w:val="00325C25"/>
    <w:rsid w:val="00372C8F"/>
    <w:rsid w:val="00380ECE"/>
    <w:rsid w:val="00393DDF"/>
    <w:rsid w:val="00397F55"/>
    <w:rsid w:val="003B4454"/>
    <w:rsid w:val="003C2E37"/>
    <w:rsid w:val="003F086E"/>
    <w:rsid w:val="003F1415"/>
    <w:rsid w:val="00401180"/>
    <w:rsid w:val="0040144C"/>
    <w:rsid w:val="00403EB7"/>
    <w:rsid w:val="004178E6"/>
    <w:rsid w:val="00426FF8"/>
    <w:rsid w:val="00430BF0"/>
    <w:rsid w:val="004509B3"/>
    <w:rsid w:val="00463423"/>
    <w:rsid w:val="004672E6"/>
    <w:rsid w:val="00474ED1"/>
    <w:rsid w:val="00477D57"/>
    <w:rsid w:val="00491BA9"/>
    <w:rsid w:val="00493085"/>
    <w:rsid w:val="004A36EC"/>
    <w:rsid w:val="004D163F"/>
    <w:rsid w:val="004E4BFF"/>
    <w:rsid w:val="004F2598"/>
    <w:rsid w:val="00531935"/>
    <w:rsid w:val="005403F7"/>
    <w:rsid w:val="00540632"/>
    <w:rsid w:val="00541CF4"/>
    <w:rsid w:val="005451E8"/>
    <w:rsid w:val="005507F2"/>
    <w:rsid w:val="005759CC"/>
    <w:rsid w:val="005A72E1"/>
    <w:rsid w:val="005A75D6"/>
    <w:rsid w:val="005B51FB"/>
    <w:rsid w:val="005B6C6E"/>
    <w:rsid w:val="005C6632"/>
    <w:rsid w:val="005D1C9E"/>
    <w:rsid w:val="00630DD5"/>
    <w:rsid w:val="00637584"/>
    <w:rsid w:val="00654257"/>
    <w:rsid w:val="0065435A"/>
    <w:rsid w:val="00663520"/>
    <w:rsid w:val="00670D8A"/>
    <w:rsid w:val="00692524"/>
    <w:rsid w:val="006A2DD3"/>
    <w:rsid w:val="006A5113"/>
    <w:rsid w:val="006A5AF8"/>
    <w:rsid w:val="006C36CD"/>
    <w:rsid w:val="00700D1F"/>
    <w:rsid w:val="007205CB"/>
    <w:rsid w:val="0072138B"/>
    <w:rsid w:val="00724A28"/>
    <w:rsid w:val="00726073"/>
    <w:rsid w:val="00734FE8"/>
    <w:rsid w:val="007360CE"/>
    <w:rsid w:val="0077110E"/>
    <w:rsid w:val="00772315"/>
    <w:rsid w:val="00775157"/>
    <w:rsid w:val="00776C9A"/>
    <w:rsid w:val="007813AE"/>
    <w:rsid w:val="00785176"/>
    <w:rsid w:val="007A37DB"/>
    <w:rsid w:val="007B6F7B"/>
    <w:rsid w:val="007E189D"/>
    <w:rsid w:val="007F0210"/>
    <w:rsid w:val="00806E3F"/>
    <w:rsid w:val="00811259"/>
    <w:rsid w:val="00813AA2"/>
    <w:rsid w:val="008173A3"/>
    <w:rsid w:val="00825323"/>
    <w:rsid w:val="008418F5"/>
    <w:rsid w:val="0086059C"/>
    <w:rsid w:val="00864589"/>
    <w:rsid w:val="00874C82"/>
    <w:rsid w:val="00890AFB"/>
    <w:rsid w:val="00890FC4"/>
    <w:rsid w:val="00895905"/>
    <w:rsid w:val="008F17DE"/>
    <w:rsid w:val="008F64AD"/>
    <w:rsid w:val="00911230"/>
    <w:rsid w:val="00911867"/>
    <w:rsid w:val="009164A9"/>
    <w:rsid w:val="009258CB"/>
    <w:rsid w:val="0093362E"/>
    <w:rsid w:val="00944563"/>
    <w:rsid w:val="00953160"/>
    <w:rsid w:val="009625D8"/>
    <w:rsid w:val="00983878"/>
    <w:rsid w:val="00983A8C"/>
    <w:rsid w:val="0098459B"/>
    <w:rsid w:val="00997185"/>
    <w:rsid w:val="009C2458"/>
    <w:rsid w:val="009C4A7B"/>
    <w:rsid w:val="009C6123"/>
    <w:rsid w:val="009F1E3E"/>
    <w:rsid w:val="00A1213C"/>
    <w:rsid w:val="00A13406"/>
    <w:rsid w:val="00A272FF"/>
    <w:rsid w:val="00A278F0"/>
    <w:rsid w:val="00A453DD"/>
    <w:rsid w:val="00A5354B"/>
    <w:rsid w:val="00A6222D"/>
    <w:rsid w:val="00A71B57"/>
    <w:rsid w:val="00AB42C1"/>
    <w:rsid w:val="00AC516F"/>
    <w:rsid w:val="00AE195F"/>
    <w:rsid w:val="00AE2926"/>
    <w:rsid w:val="00AF4237"/>
    <w:rsid w:val="00B0184B"/>
    <w:rsid w:val="00B035CD"/>
    <w:rsid w:val="00B0769D"/>
    <w:rsid w:val="00B217F8"/>
    <w:rsid w:val="00B332EA"/>
    <w:rsid w:val="00B40A53"/>
    <w:rsid w:val="00B45365"/>
    <w:rsid w:val="00B46A65"/>
    <w:rsid w:val="00B60184"/>
    <w:rsid w:val="00B62035"/>
    <w:rsid w:val="00B62D20"/>
    <w:rsid w:val="00B81E75"/>
    <w:rsid w:val="00B911AB"/>
    <w:rsid w:val="00B93453"/>
    <w:rsid w:val="00B9445B"/>
    <w:rsid w:val="00BD0954"/>
    <w:rsid w:val="00BD1A5A"/>
    <w:rsid w:val="00BD7A9B"/>
    <w:rsid w:val="00BD7BE1"/>
    <w:rsid w:val="00BF416B"/>
    <w:rsid w:val="00C45EB2"/>
    <w:rsid w:val="00C64E4E"/>
    <w:rsid w:val="00C66E64"/>
    <w:rsid w:val="00C761A0"/>
    <w:rsid w:val="00C811A5"/>
    <w:rsid w:val="00C85F7E"/>
    <w:rsid w:val="00C90D53"/>
    <w:rsid w:val="00CA0B2E"/>
    <w:rsid w:val="00CA6EF7"/>
    <w:rsid w:val="00CB2E03"/>
    <w:rsid w:val="00CD47F0"/>
    <w:rsid w:val="00CD5566"/>
    <w:rsid w:val="00CD64D7"/>
    <w:rsid w:val="00CE6226"/>
    <w:rsid w:val="00CE6F22"/>
    <w:rsid w:val="00CE7CE2"/>
    <w:rsid w:val="00CF41F6"/>
    <w:rsid w:val="00CF7D3E"/>
    <w:rsid w:val="00D02B4E"/>
    <w:rsid w:val="00D03CAE"/>
    <w:rsid w:val="00D15D3E"/>
    <w:rsid w:val="00D21F11"/>
    <w:rsid w:val="00D36817"/>
    <w:rsid w:val="00D453EE"/>
    <w:rsid w:val="00D5666C"/>
    <w:rsid w:val="00D666BC"/>
    <w:rsid w:val="00D83542"/>
    <w:rsid w:val="00D918E6"/>
    <w:rsid w:val="00D92F45"/>
    <w:rsid w:val="00D94637"/>
    <w:rsid w:val="00D9725C"/>
    <w:rsid w:val="00DA0E66"/>
    <w:rsid w:val="00DA7006"/>
    <w:rsid w:val="00DB3621"/>
    <w:rsid w:val="00DC6427"/>
    <w:rsid w:val="00DD62F5"/>
    <w:rsid w:val="00DD66A1"/>
    <w:rsid w:val="00DE196D"/>
    <w:rsid w:val="00DF6B49"/>
    <w:rsid w:val="00E012B1"/>
    <w:rsid w:val="00E067C5"/>
    <w:rsid w:val="00E24D59"/>
    <w:rsid w:val="00E265BF"/>
    <w:rsid w:val="00E323D0"/>
    <w:rsid w:val="00E34C96"/>
    <w:rsid w:val="00E378D8"/>
    <w:rsid w:val="00E43A12"/>
    <w:rsid w:val="00E67C67"/>
    <w:rsid w:val="00E77476"/>
    <w:rsid w:val="00E8228B"/>
    <w:rsid w:val="00E872E6"/>
    <w:rsid w:val="00ED7303"/>
    <w:rsid w:val="00EE3031"/>
    <w:rsid w:val="00EE5706"/>
    <w:rsid w:val="00EF373D"/>
    <w:rsid w:val="00F113CF"/>
    <w:rsid w:val="00F11595"/>
    <w:rsid w:val="00F11797"/>
    <w:rsid w:val="00F13BC9"/>
    <w:rsid w:val="00F149B2"/>
    <w:rsid w:val="00F357B2"/>
    <w:rsid w:val="00F36556"/>
    <w:rsid w:val="00F44A4B"/>
    <w:rsid w:val="00F458A5"/>
    <w:rsid w:val="00F5483F"/>
    <w:rsid w:val="00F6736A"/>
    <w:rsid w:val="00F705DF"/>
    <w:rsid w:val="00F70622"/>
    <w:rsid w:val="00F82544"/>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9DB9A8"/>
  <w15:docId w15:val="{22F5921A-C29D-49D4-988A-AD5D42DB4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E34C96"/>
    <w:rPr>
      <w:rFonts w:eastAsia="Times New Roman"/>
      <w:noProof/>
      <w:color w:val="4F81BD" w:themeColor="accent1"/>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1"/>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character" w:styleId="PlaceholderText">
    <w:name w:val="Placeholder Text"/>
    <w:basedOn w:val="DefaultParagraphFont"/>
    <w:uiPriority w:val="99"/>
    <w:semiHidden/>
    <w:rsid w:val="0072138B"/>
    <w:rPr>
      <w:color w:val="666666"/>
    </w:rPr>
  </w:style>
  <w:style w:type="character" w:styleId="UnresolvedMention">
    <w:name w:val="Unresolved Mention"/>
    <w:basedOn w:val="DefaultParagraphFont"/>
    <w:uiPriority w:val="99"/>
    <w:semiHidden/>
    <w:unhideWhenUsed/>
    <w:rsid w:val="00E34C96"/>
    <w:rPr>
      <w:color w:val="605E5C"/>
      <w:shd w:val="clear" w:color="auto" w:fill="E1DFDD"/>
    </w:rPr>
  </w:style>
  <w:style w:type="paragraph" w:styleId="Signature">
    <w:name w:val="Signature"/>
    <w:basedOn w:val="Normal"/>
    <w:link w:val="SignatureChar"/>
    <w:unhideWhenUsed/>
    <w:rsid w:val="00000795"/>
    <w:pPr>
      <w:tabs>
        <w:tab w:val="clear" w:pos="794"/>
        <w:tab w:val="clear" w:pos="1191"/>
        <w:tab w:val="clear" w:pos="1588"/>
        <w:tab w:val="clear" w:pos="1985"/>
        <w:tab w:val="center" w:pos="6804"/>
      </w:tabs>
      <w:spacing w:before="1200" w:after="120" w:line="280" w:lineRule="exact"/>
      <w:jc w:val="both"/>
    </w:pPr>
    <w:rPr>
      <w:sz w:val="21"/>
      <w:szCs w:val="10"/>
      <w:lang w:val="en-US" w:eastAsia="zh-CN"/>
    </w:rPr>
  </w:style>
  <w:style w:type="character" w:customStyle="1" w:styleId="SignatureChar">
    <w:name w:val="Signature Char"/>
    <w:basedOn w:val="DefaultParagraphFont"/>
    <w:link w:val="Signature"/>
    <w:rsid w:val="00000795"/>
    <w:rPr>
      <w:rFonts w:ascii="Calibri" w:hAnsi="Calibri"/>
      <w:sz w:val="21"/>
      <w:szCs w:val="10"/>
    </w:rPr>
  </w:style>
  <w:style w:type="paragraph" w:styleId="BodyText">
    <w:name w:val="Body Text"/>
    <w:basedOn w:val="Normal"/>
    <w:link w:val="BodyTextChar"/>
    <w:uiPriority w:val="1"/>
    <w:qFormat/>
    <w:rsid w:val="00E872E6"/>
    <w:pPr>
      <w:widowControl w:val="0"/>
      <w:tabs>
        <w:tab w:val="clear" w:pos="794"/>
        <w:tab w:val="clear" w:pos="1191"/>
        <w:tab w:val="clear" w:pos="1588"/>
        <w:tab w:val="clear" w:pos="1985"/>
      </w:tabs>
      <w:overflowPunct/>
      <w:adjustRightInd/>
      <w:spacing w:before="0" w:after="120" w:line="280" w:lineRule="exact"/>
      <w:jc w:val="both"/>
      <w:textAlignment w:val="auto"/>
    </w:pPr>
    <w:rPr>
      <w:rFonts w:ascii="Arial" w:eastAsia="Arial" w:hAnsi="Arial" w:cs="Arial"/>
      <w:sz w:val="21"/>
      <w:szCs w:val="10"/>
      <w:lang w:val="en-US" w:eastAsia="zh-CN"/>
    </w:rPr>
  </w:style>
  <w:style w:type="character" w:customStyle="1" w:styleId="BodyTextChar">
    <w:name w:val="Body Text Char"/>
    <w:basedOn w:val="DefaultParagraphFont"/>
    <w:link w:val="BodyText"/>
    <w:uiPriority w:val="1"/>
    <w:rsid w:val="00E872E6"/>
    <w:rPr>
      <w:rFonts w:ascii="Arial" w:eastAsia="Arial" w:hAnsi="Arial" w:cs="Arial"/>
      <w:sz w:val="21"/>
      <w:szCs w:val="10"/>
    </w:rPr>
  </w:style>
  <w:style w:type="character" w:customStyle="1" w:styleId="apple-style-span">
    <w:name w:val="apple-style-span"/>
    <w:basedOn w:val="DefaultParagraphFont"/>
    <w:rsid w:val="00107F53"/>
  </w:style>
  <w:style w:type="character" w:customStyle="1" w:styleId="normaltextrun">
    <w:name w:val="normaltextrun"/>
    <w:basedOn w:val="DefaultParagraphFont"/>
    <w:rsid w:val="00C81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5-CWGSFP2-C-0002/en" TargetMode="External"/><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svg"/><Relationship Id="rId10" Type="http://schemas.openxmlformats.org/officeDocument/2006/relationships/hyperlink" Target="https://www.itu.int/md/S25-CWGSFP2-C-0013/e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itu.int/md/S24-CWGSFP1-C-0009/en" TargetMode="External"/><Relationship Id="rId14"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1371</Words>
  <Characters>1137</Characters>
  <Application>Microsoft Office Word</Application>
  <DocSecurity>0</DocSecurity>
  <Lines>54</Lines>
  <Paragraphs>56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2452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by the Chair, CWG-SFP</dc:title>
  <dc:subject>ITU Council 2025</dc:subject>
  <dc:creator>Xue, Kun</dc:creator>
  <cp:keywords>C2025, C25 Council-25</cp:keywords>
  <dc:description/>
  <cp:lastModifiedBy>LRT</cp:lastModifiedBy>
  <cp:revision>2</cp:revision>
  <cp:lastPrinted>2015-02-24T13:23:00Z</cp:lastPrinted>
  <dcterms:created xsi:type="dcterms:W3CDTF">2025-04-23T12:46:00Z</dcterms:created>
  <dcterms:modified xsi:type="dcterms:W3CDTF">2025-04-23T12:46:00Z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y fmtid="{D5CDD505-2E9C-101B-9397-08002B2CF9AE}" pid="8" name="GrammarlyDocumentId">
    <vt:lpwstr>c6e9fb3b98c60be3ceca001f06bedd27e80c23e89b99aa0a1c899b80b9af3e8b</vt:lpwstr>
  </property>
</Properties>
</file>