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76D80B8C" w14:textId="77777777" w:rsidTr="00F363FE">
        <w:tc>
          <w:tcPr>
            <w:tcW w:w="6512" w:type="dxa"/>
          </w:tcPr>
          <w:p w14:paraId="210E1D48" w14:textId="5518D36E"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FF32F5">
              <w:rPr>
                <w:rFonts w:hint="cs"/>
                <w:b/>
                <w:bCs/>
                <w:rtl/>
                <w:lang w:bidi="ar-EG"/>
              </w:rPr>
              <w:t xml:space="preserve"> </w:t>
            </w:r>
            <w:r w:rsidR="00FF32F5">
              <w:rPr>
                <w:b/>
                <w:bCs/>
                <w:lang w:bidi="ar-EG"/>
              </w:rPr>
              <w:t>PL</w:t>
            </w:r>
            <w:r w:rsidR="00FF32F5">
              <w:rPr>
                <w:b/>
                <w:bCs/>
                <w:lang w:bidi="ar-EG"/>
              </w:rPr>
              <w:noBreakHyphen/>
              <w:t>2</w:t>
            </w:r>
          </w:p>
        </w:tc>
        <w:tc>
          <w:tcPr>
            <w:tcW w:w="3117" w:type="dxa"/>
          </w:tcPr>
          <w:p w14:paraId="358628CD" w14:textId="02ED5F45"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FF32F5">
              <w:rPr>
                <w:b/>
                <w:bCs/>
                <w:lang w:bidi="ar-EG"/>
              </w:rPr>
              <w:t>31</w:t>
            </w:r>
            <w:r w:rsidRPr="007B0AA0">
              <w:rPr>
                <w:b/>
                <w:bCs/>
                <w:lang w:bidi="ar-EG"/>
              </w:rPr>
              <w:t>-A</w:t>
            </w:r>
          </w:p>
        </w:tc>
      </w:tr>
      <w:tr w:rsidR="007B0AA0" w14:paraId="632D6716" w14:textId="77777777" w:rsidTr="00F363FE">
        <w:tc>
          <w:tcPr>
            <w:tcW w:w="6512" w:type="dxa"/>
          </w:tcPr>
          <w:p w14:paraId="593FFA36" w14:textId="77777777" w:rsidR="007B0AA0" w:rsidRPr="007B0AA0" w:rsidRDefault="007B0AA0" w:rsidP="00F363FE">
            <w:pPr>
              <w:spacing w:before="60" w:after="60" w:line="260" w:lineRule="exact"/>
              <w:rPr>
                <w:b/>
                <w:bCs/>
                <w:rtl/>
                <w:lang w:bidi="ar-EG"/>
              </w:rPr>
            </w:pPr>
          </w:p>
        </w:tc>
        <w:tc>
          <w:tcPr>
            <w:tcW w:w="3117" w:type="dxa"/>
          </w:tcPr>
          <w:p w14:paraId="066EC94E" w14:textId="7996D16A" w:rsidR="007B0AA0" w:rsidRPr="007B0AA0" w:rsidRDefault="00E80618" w:rsidP="00F363FE">
            <w:pPr>
              <w:spacing w:before="60" w:after="60" w:line="260" w:lineRule="exact"/>
              <w:rPr>
                <w:b/>
                <w:bCs/>
                <w:lang w:bidi="ar-EG"/>
              </w:rPr>
            </w:pPr>
            <w:r>
              <w:rPr>
                <w:b/>
                <w:bCs/>
                <w:lang w:bidi="ar-EG"/>
              </w:rPr>
              <w:t>17</w:t>
            </w:r>
            <w:r w:rsidR="00FF32F5">
              <w:rPr>
                <w:rFonts w:hint="cs"/>
                <w:b/>
                <w:bCs/>
                <w:rtl/>
                <w:lang w:bidi="ar-EG"/>
              </w:rPr>
              <w:t xml:space="preserve"> أبريل </w:t>
            </w:r>
            <w:r w:rsidR="00FF32F5">
              <w:rPr>
                <w:b/>
                <w:bCs/>
                <w:lang w:bidi="ar-EG"/>
              </w:rPr>
              <w:t>2025</w:t>
            </w:r>
          </w:p>
        </w:tc>
      </w:tr>
      <w:tr w:rsidR="007B0AA0" w14:paraId="17879300" w14:textId="77777777" w:rsidTr="00F363FE">
        <w:tc>
          <w:tcPr>
            <w:tcW w:w="6512" w:type="dxa"/>
          </w:tcPr>
          <w:p w14:paraId="5FD8A835" w14:textId="77777777" w:rsidR="007B0AA0" w:rsidRPr="007B0AA0" w:rsidRDefault="007B0AA0" w:rsidP="00F363FE">
            <w:pPr>
              <w:spacing w:before="60" w:after="60" w:line="260" w:lineRule="exact"/>
              <w:rPr>
                <w:b/>
                <w:bCs/>
                <w:rtl/>
                <w:lang w:bidi="ar-EG"/>
              </w:rPr>
            </w:pPr>
          </w:p>
        </w:tc>
        <w:tc>
          <w:tcPr>
            <w:tcW w:w="3117" w:type="dxa"/>
          </w:tcPr>
          <w:p w14:paraId="15B9E4B4"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659E0101" w14:textId="77777777" w:rsidTr="00F363FE">
        <w:tc>
          <w:tcPr>
            <w:tcW w:w="6512" w:type="dxa"/>
          </w:tcPr>
          <w:p w14:paraId="471F3706" w14:textId="77777777" w:rsidR="007B0AA0" w:rsidRDefault="007B0AA0" w:rsidP="00F363FE">
            <w:pPr>
              <w:spacing w:before="60" w:after="60" w:line="260" w:lineRule="exact"/>
              <w:rPr>
                <w:lang w:bidi="ar-EG"/>
              </w:rPr>
            </w:pPr>
          </w:p>
        </w:tc>
        <w:tc>
          <w:tcPr>
            <w:tcW w:w="3117" w:type="dxa"/>
          </w:tcPr>
          <w:p w14:paraId="138EBAB9" w14:textId="77777777" w:rsidR="007B0AA0" w:rsidRDefault="007B0AA0" w:rsidP="00F363FE">
            <w:pPr>
              <w:spacing w:before="60" w:after="60" w:line="260" w:lineRule="exact"/>
              <w:rPr>
                <w:rtl/>
                <w:lang w:bidi="ar-EG"/>
              </w:rPr>
            </w:pPr>
          </w:p>
        </w:tc>
      </w:tr>
      <w:tr w:rsidR="007B0AA0" w14:paraId="0E0089E4" w14:textId="77777777" w:rsidTr="00EE7446">
        <w:tc>
          <w:tcPr>
            <w:tcW w:w="9629" w:type="dxa"/>
            <w:gridSpan w:val="2"/>
          </w:tcPr>
          <w:p w14:paraId="79996D3C" w14:textId="415D29AF" w:rsidR="007B0AA0" w:rsidRDefault="006A7F59" w:rsidP="00E80618">
            <w:pPr>
              <w:pStyle w:val="Source"/>
              <w:jc w:val="both"/>
              <w:rPr>
                <w:lang w:bidi="ar-EG"/>
              </w:rPr>
            </w:pPr>
            <w:r w:rsidRPr="00E80618">
              <w:rPr>
                <w:rtl/>
              </w:rPr>
              <w:t>تقرير من رئيس فريق العمل التابع للمجلس والمعني بالخطتين الاستراتيجية والمالية للفترة 2028-2031</w:t>
            </w:r>
          </w:p>
        </w:tc>
      </w:tr>
      <w:tr w:rsidR="007B0AA0" w14:paraId="0AA3B903" w14:textId="77777777" w:rsidTr="007B0AA0">
        <w:tc>
          <w:tcPr>
            <w:tcW w:w="9629" w:type="dxa"/>
            <w:gridSpan w:val="2"/>
            <w:tcBorders>
              <w:bottom w:val="single" w:sz="4" w:space="0" w:color="auto"/>
            </w:tcBorders>
          </w:tcPr>
          <w:p w14:paraId="45B6A34E" w14:textId="03A72F45" w:rsidR="007B0AA0" w:rsidRPr="005546CF" w:rsidRDefault="006A7F59" w:rsidP="00E80618">
            <w:pPr>
              <w:pStyle w:val="Subtitle0"/>
              <w:rPr>
                <w:sz w:val="32"/>
                <w:szCs w:val="32"/>
              </w:rPr>
            </w:pPr>
            <w:bookmarkStart w:id="0" w:name="_Hlk194308878"/>
            <w:r w:rsidRPr="006A7F59">
              <w:rPr>
                <w:sz w:val="32"/>
                <w:szCs w:val="32"/>
                <w:rtl/>
                <w:lang w:bidi="ar-SA"/>
              </w:rPr>
              <w:t xml:space="preserve">تقرير مرحلي </w:t>
            </w:r>
            <w:r w:rsidR="00E80618">
              <w:rPr>
                <w:rFonts w:hint="cs"/>
                <w:sz w:val="32"/>
                <w:szCs w:val="32"/>
                <w:rtl/>
                <w:lang w:bidi="ar-SA"/>
              </w:rPr>
              <w:t>ل</w:t>
            </w:r>
            <w:r w:rsidR="00E80618" w:rsidRPr="00E80618">
              <w:rPr>
                <w:sz w:val="32"/>
                <w:szCs w:val="32"/>
                <w:rtl/>
                <w:lang w:bidi="ar-SA"/>
              </w:rPr>
              <w:t xml:space="preserve">فريق العمل التابع للمجلس والمعني بالخطتين الاستراتيجية والمالية </w:t>
            </w:r>
            <w:r w:rsidR="00E80618" w:rsidRPr="00E80618">
              <w:rPr>
                <w:sz w:val="32"/>
                <w:szCs w:val="32"/>
                <w:lang w:bidi="ar-SA"/>
              </w:rPr>
              <w:t>(CWG-SFP)</w:t>
            </w:r>
            <w:r w:rsidR="00E80618" w:rsidRPr="00E80618">
              <w:rPr>
                <w:sz w:val="32"/>
                <w:szCs w:val="32"/>
                <w:rtl/>
                <w:lang w:bidi="ar-SA"/>
              </w:rPr>
              <w:t xml:space="preserve"> للفترة 2028-2031</w:t>
            </w:r>
            <w:bookmarkEnd w:id="0"/>
          </w:p>
        </w:tc>
      </w:tr>
      <w:tr w:rsidR="007B0AA0" w14:paraId="58CC5A67" w14:textId="77777777" w:rsidTr="007B0AA0">
        <w:tc>
          <w:tcPr>
            <w:tcW w:w="9629" w:type="dxa"/>
            <w:gridSpan w:val="2"/>
            <w:tcBorders>
              <w:top w:val="single" w:sz="4" w:space="0" w:color="auto"/>
              <w:bottom w:val="single" w:sz="4" w:space="0" w:color="auto"/>
            </w:tcBorders>
          </w:tcPr>
          <w:p w14:paraId="45FD5B1E" w14:textId="20F44354" w:rsidR="007B0AA0" w:rsidRPr="007B0AA0" w:rsidRDefault="007B0AA0" w:rsidP="007B0AA0">
            <w:pPr>
              <w:rPr>
                <w:b/>
                <w:bCs/>
                <w:rtl/>
              </w:rPr>
            </w:pPr>
            <w:r w:rsidRPr="007B0AA0">
              <w:rPr>
                <w:rFonts w:hint="cs"/>
                <w:b/>
                <w:bCs/>
                <w:rtl/>
              </w:rPr>
              <w:t>الغرض</w:t>
            </w:r>
          </w:p>
          <w:p w14:paraId="239D5C20" w14:textId="343873C8" w:rsidR="007B0AA0" w:rsidRDefault="006A7F59" w:rsidP="006A7F59">
            <w:pPr>
              <w:rPr>
                <w:rtl/>
              </w:rPr>
            </w:pPr>
            <w:r w:rsidRPr="00E80618">
              <w:rPr>
                <w:rtl/>
              </w:rPr>
              <w:t>يعرض هذا التقرير التقدم الذي أحرزه فريق العمل التابع للمجلس والمعني بالخطتين الاستراتيجية والمالية للفترة 2028-2031 (CWG-SFP) منذ أن أنشأه المجلس في دورته لعام 2024.</w:t>
            </w:r>
          </w:p>
          <w:p w14:paraId="66E40360" w14:textId="77777777" w:rsidR="007B0AA0" w:rsidRPr="007B0AA0" w:rsidRDefault="007B0AA0" w:rsidP="007B0AA0">
            <w:pPr>
              <w:rPr>
                <w:b/>
                <w:bCs/>
                <w:rtl/>
              </w:rPr>
            </w:pPr>
            <w:r w:rsidRPr="007B0AA0">
              <w:rPr>
                <w:rFonts w:hint="cs"/>
                <w:b/>
                <w:bCs/>
                <w:rtl/>
              </w:rPr>
              <w:t>الإجراء المطلوب من المجلس</w:t>
            </w:r>
          </w:p>
          <w:p w14:paraId="54626C37" w14:textId="0309238D" w:rsidR="007B0AA0" w:rsidRDefault="006A7F59" w:rsidP="006A7F59">
            <w:pPr>
              <w:rPr>
                <w:rtl/>
              </w:rPr>
            </w:pPr>
            <w:r w:rsidRPr="006A7F59">
              <w:rPr>
                <w:rtl/>
              </w:rPr>
              <w:t xml:space="preserve">يُدعى المجلس إلى </w:t>
            </w:r>
            <w:r w:rsidRPr="006A7F59">
              <w:rPr>
                <w:b/>
                <w:bCs/>
                <w:rtl/>
              </w:rPr>
              <w:t xml:space="preserve">العلم </w:t>
            </w:r>
            <w:r w:rsidRPr="006A7F59">
              <w:rPr>
                <w:rtl/>
              </w:rPr>
              <w:t>بالتقرير.</w:t>
            </w:r>
          </w:p>
          <w:p w14:paraId="5EDE5ADC" w14:textId="264CFA20" w:rsidR="007B0AA0" w:rsidRPr="007B0AA0" w:rsidRDefault="00B1681B" w:rsidP="00B1681B">
            <w:pPr>
              <w:rPr>
                <w:b/>
                <w:bCs/>
                <w:rtl/>
              </w:rPr>
            </w:pPr>
            <w:r w:rsidRPr="00B1681B">
              <w:rPr>
                <w:b/>
                <w:bCs/>
                <w:rtl/>
              </w:rPr>
              <w:t>روابط ذات صلة بالخطة الاستراتيجية</w:t>
            </w:r>
          </w:p>
          <w:p w14:paraId="1350A4CF" w14:textId="25D67C3E" w:rsidR="007B0AA0" w:rsidRDefault="006A7F59" w:rsidP="006A7F59">
            <w:pPr>
              <w:rPr>
                <w:rtl/>
              </w:rPr>
            </w:pPr>
            <w:r w:rsidRPr="006A7F59">
              <w:rPr>
                <w:rtl/>
              </w:rPr>
              <w:t>الخطتان الاستراتيجية والمالية</w:t>
            </w:r>
          </w:p>
          <w:p w14:paraId="17CF487B" w14:textId="77777777" w:rsidR="007B0AA0" w:rsidRDefault="007B0AA0" w:rsidP="00B97F32">
            <w:pPr>
              <w:rPr>
                <w:b/>
                <w:bCs/>
              </w:rPr>
            </w:pPr>
            <w:r w:rsidRPr="007B0AA0">
              <w:rPr>
                <w:rFonts w:hint="cs"/>
                <w:b/>
                <w:bCs/>
                <w:rtl/>
              </w:rPr>
              <w:t>الآثار المالية</w:t>
            </w:r>
          </w:p>
          <w:p w14:paraId="061C61C4" w14:textId="5DAF6438" w:rsidR="006F363C" w:rsidRPr="005546CF" w:rsidRDefault="006A7F59" w:rsidP="006A7F59">
            <w:pPr>
              <w:rPr>
                <w:rtl/>
              </w:rPr>
            </w:pPr>
            <w:r w:rsidRPr="006A7F59">
              <w:rPr>
                <w:rtl/>
              </w:rPr>
              <w:t>ضمن الميزانية المخصصة لفترة السنتين 2024-2025.</w:t>
            </w:r>
          </w:p>
          <w:p w14:paraId="09DF4FD5"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706579F" w14:textId="77777777" w:rsidR="007B0AA0" w:rsidRPr="007B0AA0" w:rsidRDefault="007B0AA0" w:rsidP="007B0AA0">
            <w:pPr>
              <w:rPr>
                <w:b/>
                <w:bCs/>
                <w:rtl/>
              </w:rPr>
            </w:pPr>
            <w:r w:rsidRPr="007B0AA0">
              <w:rPr>
                <w:rFonts w:hint="cs"/>
                <w:b/>
                <w:bCs/>
                <w:rtl/>
              </w:rPr>
              <w:t>المراجع</w:t>
            </w:r>
          </w:p>
          <w:p w14:paraId="295C6646" w14:textId="28DA0101" w:rsidR="007B0AA0" w:rsidRPr="005546CF" w:rsidRDefault="00B1681B" w:rsidP="00EB162D">
            <w:pPr>
              <w:spacing w:after="120"/>
              <w:rPr>
                <w:i/>
                <w:iCs/>
                <w:rtl/>
              </w:rPr>
            </w:pPr>
            <w:hyperlink r:id="rId8" w:anchor="/ar" w:tgtFrame="_blank" w:history="1">
              <w:r w:rsidRPr="008B0E32">
                <w:rPr>
                  <w:rStyle w:val="Hyperlink"/>
                  <w:rFonts w:ascii="Dubai" w:eastAsia="Times New Roman" w:hAnsi="Dubai" w:cs="Dubai"/>
                  <w:i/>
                  <w:iCs/>
                  <w:noProof w:val="0"/>
                  <w:sz w:val="22"/>
                  <w:u w:val="single"/>
                  <w:rtl/>
                  <w:lang w:val="en-US" w:eastAsia="zh-CN"/>
                </w:rPr>
                <w:t>الموقع الإلكتروني لفريق العمل</w:t>
              </w:r>
              <w:r w:rsidRPr="008B0E32">
                <w:rPr>
                  <w:rStyle w:val="Hyperlink"/>
                  <w:rFonts w:ascii="Dubai" w:eastAsia="Times New Roman" w:hAnsi="Dubai" w:cs="Dubai"/>
                  <w:noProof w:val="0"/>
                  <w:sz w:val="22"/>
                  <w:u w:val="single"/>
                  <w:rtl/>
                  <w:lang w:val="en-US" w:eastAsia="zh-CN"/>
                </w:rPr>
                <w:t xml:space="preserve"> </w:t>
              </w:r>
              <w:r w:rsidRPr="008B0E32">
                <w:rPr>
                  <w:rStyle w:val="Hyperlink"/>
                  <w:rFonts w:ascii="Dubai" w:eastAsia="Times New Roman" w:hAnsi="Dubai" w:cs="Dubai"/>
                  <w:i/>
                  <w:iCs/>
                  <w:noProof w:val="0"/>
                  <w:sz w:val="22"/>
                  <w:u w:val="single"/>
                  <w:lang w:val="en-US" w:eastAsia="zh-CN"/>
                </w:rPr>
                <w:t>CWG-SFP</w:t>
              </w:r>
            </w:hyperlink>
            <w:r w:rsidRPr="00B1681B">
              <w:rPr>
                <w:rFonts w:eastAsia="Times New Roman"/>
                <w:color w:val="000000"/>
                <w:rtl/>
              </w:rPr>
              <w:t xml:space="preserve">؛ </w:t>
            </w:r>
            <w:r w:rsidRPr="00B1681B">
              <w:rPr>
                <w:rFonts w:eastAsia="Times New Roman"/>
                <w:i/>
                <w:iCs/>
                <w:color w:val="000000"/>
                <w:rtl/>
              </w:rPr>
              <w:t xml:space="preserve">قرار المجلس </w:t>
            </w:r>
            <w:hyperlink r:id="rId9" w:history="1">
              <w:r w:rsidRPr="008B0E32">
                <w:rPr>
                  <w:rStyle w:val="Hyperlink"/>
                  <w:rFonts w:ascii="Dubai" w:eastAsia="Times New Roman" w:hAnsi="Dubai" w:cs="Dubai"/>
                  <w:i/>
                  <w:iCs/>
                  <w:noProof w:val="0"/>
                  <w:sz w:val="22"/>
                  <w:u w:val="single"/>
                  <w:rtl/>
                  <w:lang w:val="en-US" w:eastAsia="zh-CN"/>
                </w:rPr>
                <w:t>1428 (دورة 2024)</w:t>
              </w:r>
            </w:hyperlink>
          </w:p>
        </w:tc>
      </w:tr>
    </w:tbl>
    <w:p w14:paraId="66AD06E7" w14:textId="77777777" w:rsidR="00F50E3F" w:rsidRDefault="00F50E3F" w:rsidP="0043260A">
      <w:pPr>
        <w:rPr>
          <w:rtl/>
          <w:lang w:bidi="ar-EG"/>
        </w:rPr>
      </w:pPr>
      <w:r>
        <w:rPr>
          <w:rtl/>
          <w:lang w:bidi="ar-EG"/>
        </w:rPr>
        <w:br w:type="page"/>
      </w:r>
    </w:p>
    <w:p w14:paraId="1794FB4A" w14:textId="77777777" w:rsidR="00EB162D" w:rsidRPr="005244D5" w:rsidRDefault="00EB162D" w:rsidP="005244D5">
      <w:pPr>
        <w:pStyle w:val="Heading1"/>
      </w:pPr>
      <w:r w:rsidRPr="005244D5">
        <w:rPr>
          <w:rtl/>
        </w:rPr>
        <w:lastRenderedPageBreak/>
        <w:t>1</w:t>
      </w:r>
      <w:r w:rsidRPr="005244D5">
        <w:rPr>
          <w:rtl/>
        </w:rPr>
        <w:tab/>
        <w:t>مقدمة</w:t>
      </w:r>
    </w:p>
    <w:p w14:paraId="49790B44" w14:textId="7016F556" w:rsidR="00EB162D" w:rsidRPr="00916EAC" w:rsidRDefault="00EB162D" w:rsidP="001C389F">
      <w:pPr>
        <w:rPr>
          <w:lang w:val="ar-SA" w:eastAsia="zh-TW" w:bidi="en-GB"/>
        </w:rPr>
      </w:pPr>
      <w:r w:rsidRPr="00916EAC">
        <w:rPr>
          <w:rtl/>
        </w:rPr>
        <w:t xml:space="preserve">قرر المجلس في دورته لعام 2024 تشكيل </w:t>
      </w:r>
      <w:hyperlink r:id="rId10" w:anchor="/ar" w:history="1">
        <w:r w:rsidRPr="008B0E32">
          <w:rPr>
            <w:rStyle w:val="Hyperlink"/>
            <w:rFonts w:ascii="Dubai" w:eastAsiaTheme="minorEastAsia" w:hAnsi="Dubai" w:cs="Dubai"/>
            <w:noProof w:val="0"/>
            <w:sz w:val="22"/>
            <w:u w:val="single"/>
            <w:rtl/>
            <w:lang w:val="en-US" w:eastAsia="zh-CN"/>
          </w:rPr>
          <w:t>فريق عمل تابع للمجلس لإعداد مشروعي الخطتين الاستراتيجية والمالية</w:t>
        </w:r>
      </w:hyperlink>
      <w:r w:rsidRPr="00916EAC">
        <w:rPr>
          <w:rtl/>
        </w:rPr>
        <w:t xml:space="preserve"> كي ينظر فيهما المجلس في دورته لعام 2026 ويعرضهما على مؤتمر المندوبين المفوضين الي سيُعقد في عام 2026 (PP</w:t>
      </w:r>
      <w:r w:rsidR="00207DC0">
        <w:rPr>
          <w:rtl/>
        </w:rPr>
        <w:noBreakHyphen/>
      </w:r>
      <w:r w:rsidRPr="00916EAC">
        <w:rPr>
          <w:rtl/>
        </w:rPr>
        <w:t xml:space="preserve">26) (انظر قرار المجلس </w:t>
      </w:r>
      <w:hyperlink r:id="rId11" w:history="1">
        <w:r w:rsidRPr="008B0E32">
          <w:rPr>
            <w:rStyle w:val="Hyperlink"/>
            <w:rFonts w:ascii="Dubai" w:eastAsiaTheme="minorEastAsia" w:hAnsi="Dubai" w:cs="Dubai"/>
            <w:noProof w:val="0"/>
            <w:sz w:val="22"/>
            <w:u w:val="single"/>
            <w:rtl/>
            <w:lang w:val="en-US" w:eastAsia="zh-CN"/>
          </w:rPr>
          <w:t>1428 (دورة 2024)</w:t>
        </w:r>
      </w:hyperlink>
      <w:r w:rsidRPr="00916EAC">
        <w:rPr>
          <w:rtl/>
        </w:rPr>
        <w:t xml:space="preserve">). </w:t>
      </w:r>
    </w:p>
    <w:p w14:paraId="43B2112F" w14:textId="1B8C511E" w:rsidR="00EB162D" w:rsidRPr="001C389F" w:rsidRDefault="00EB162D" w:rsidP="001C389F">
      <w:pPr>
        <w:rPr>
          <w:spacing w:val="-2"/>
          <w:lang w:val="ar-SA" w:eastAsia="zh-TW" w:bidi="en-GB"/>
        </w:rPr>
      </w:pPr>
      <w:r w:rsidRPr="001C389F">
        <w:rPr>
          <w:spacing w:val="-2"/>
          <w:rtl/>
        </w:rPr>
        <w:t>ويرأس السيد منصور القرشي (المملكة العربية السعودية) الفريق الذي يتألف من نواب الرئيس التالية أسماؤهم: السيد</w:t>
      </w:r>
      <w:r w:rsidR="001C389F" w:rsidRPr="001C389F">
        <w:rPr>
          <w:rFonts w:hint="cs"/>
          <w:spacing w:val="-2"/>
          <w:rtl/>
        </w:rPr>
        <w:t> </w:t>
      </w:r>
      <w:proofErr w:type="spellStart"/>
      <w:r w:rsidRPr="001C389F">
        <w:rPr>
          <w:spacing w:val="-2"/>
          <w:rtl/>
        </w:rPr>
        <w:t>موليمبوا</w:t>
      </w:r>
      <w:proofErr w:type="spellEnd"/>
      <w:r w:rsidRPr="001C389F">
        <w:rPr>
          <w:spacing w:val="-2"/>
          <w:rtl/>
        </w:rPr>
        <w:t xml:space="preserve"> دينيس موناكو (تنزانيا)، والسيد </w:t>
      </w:r>
      <w:proofErr w:type="spellStart"/>
      <w:r w:rsidRPr="001C389F">
        <w:rPr>
          <w:spacing w:val="-2"/>
          <w:rtl/>
        </w:rPr>
        <w:t>كينجي</w:t>
      </w:r>
      <w:proofErr w:type="spellEnd"/>
      <w:r w:rsidRPr="001C389F">
        <w:rPr>
          <w:spacing w:val="-2"/>
          <w:rtl/>
        </w:rPr>
        <w:t xml:space="preserve"> </w:t>
      </w:r>
      <w:proofErr w:type="spellStart"/>
      <w:r w:rsidRPr="001C389F">
        <w:rPr>
          <w:spacing w:val="-2"/>
          <w:rtl/>
        </w:rPr>
        <w:t>كوراموشي</w:t>
      </w:r>
      <w:proofErr w:type="spellEnd"/>
      <w:r w:rsidRPr="001C389F">
        <w:rPr>
          <w:spacing w:val="-2"/>
          <w:rtl/>
        </w:rPr>
        <w:t xml:space="preserve"> (باراغواي)، والسيدة ميثاء </w:t>
      </w:r>
      <w:proofErr w:type="spellStart"/>
      <w:r w:rsidRPr="001C389F">
        <w:rPr>
          <w:spacing w:val="-2"/>
          <w:rtl/>
        </w:rPr>
        <w:t>الجمري</w:t>
      </w:r>
      <w:proofErr w:type="spellEnd"/>
      <w:r w:rsidRPr="001C389F">
        <w:rPr>
          <w:spacing w:val="-2"/>
          <w:rtl/>
        </w:rPr>
        <w:t xml:space="preserve"> (الإمارات العربية المتحدة)، والسيد </w:t>
      </w:r>
      <w:proofErr w:type="spellStart"/>
      <w:r w:rsidRPr="001C389F">
        <w:rPr>
          <w:spacing w:val="-2"/>
          <w:rtl/>
        </w:rPr>
        <w:t>يي</w:t>
      </w:r>
      <w:proofErr w:type="spellEnd"/>
      <w:r w:rsidRPr="001C389F">
        <w:rPr>
          <w:spacing w:val="-2"/>
          <w:rtl/>
        </w:rPr>
        <w:t xml:space="preserve"> لون (الصين)، والسيد </w:t>
      </w:r>
      <w:proofErr w:type="spellStart"/>
      <w:r w:rsidRPr="001C389F">
        <w:rPr>
          <w:spacing w:val="-2"/>
          <w:rtl/>
        </w:rPr>
        <w:t>باختيان</w:t>
      </w:r>
      <w:proofErr w:type="spellEnd"/>
      <w:r w:rsidRPr="001C389F">
        <w:rPr>
          <w:spacing w:val="-2"/>
          <w:rtl/>
        </w:rPr>
        <w:t xml:space="preserve"> </w:t>
      </w:r>
      <w:proofErr w:type="spellStart"/>
      <w:r w:rsidRPr="001C389F">
        <w:rPr>
          <w:spacing w:val="-2"/>
          <w:rtl/>
        </w:rPr>
        <w:t>سمانوف</w:t>
      </w:r>
      <w:proofErr w:type="spellEnd"/>
      <w:r w:rsidRPr="001C389F">
        <w:rPr>
          <w:spacing w:val="-2"/>
          <w:rtl/>
        </w:rPr>
        <w:t xml:space="preserve"> (أوزبكستان)، والسيد رافال </w:t>
      </w:r>
      <w:proofErr w:type="spellStart"/>
      <w:r w:rsidRPr="001C389F">
        <w:rPr>
          <w:spacing w:val="-2"/>
          <w:rtl/>
        </w:rPr>
        <w:t>بارتوشيفسكي</w:t>
      </w:r>
      <w:proofErr w:type="spellEnd"/>
      <w:r w:rsidRPr="001C389F">
        <w:rPr>
          <w:spacing w:val="-2"/>
          <w:rtl/>
        </w:rPr>
        <w:t xml:space="preserve"> (بولندا).</w:t>
      </w:r>
    </w:p>
    <w:p w14:paraId="214A1DFB" w14:textId="3B2CAC95" w:rsidR="00EB162D" w:rsidRPr="00916EAC" w:rsidRDefault="00EB162D" w:rsidP="001C389F">
      <w:pPr>
        <w:rPr>
          <w:lang w:val="ar-SA" w:eastAsia="zh-TW" w:bidi="en-GB"/>
        </w:rPr>
      </w:pPr>
      <w:r w:rsidRPr="00916EAC">
        <w:rPr>
          <w:rtl/>
        </w:rPr>
        <w:t>وباب المشاركة في الفريق مفتوح لجميع الدول الأعضاء وأعضاء القطاعات، واجتمع الفريق منذ إنشائه مرتين، حيث عقد الاجتماع الأول يوم</w:t>
      </w:r>
      <w:r w:rsidR="00E80618">
        <w:rPr>
          <w:rFonts w:hint="cs"/>
          <w:rtl/>
        </w:rPr>
        <w:t>َ</w:t>
      </w:r>
      <w:r w:rsidRPr="00916EAC">
        <w:rPr>
          <w:rtl/>
        </w:rPr>
        <w:t>ي 10 و11 أكتوبر 2024، والاجتماع الثاني يوم</w:t>
      </w:r>
      <w:r w:rsidR="00E80618">
        <w:rPr>
          <w:rFonts w:hint="cs"/>
          <w:rtl/>
        </w:rPr>
        <w:t>َ</w:t>
      </w:r>
      <w:r w:rsidRPr="00916EAC">
        <w:rPr>
          <w:rtl/>
        </w:rPr>
        <w:t>ي 20 و21 فبراير 2025.</w:t>
      </w:r>
    </w:p>
    <w:p w14:paraId="336CDADC" w14:textId="77777777" w:rsidR="00EB162D" w:rsidRPr="002C1565" w:rsidRDefault="00EB162D" w:rsidP="002C1565">
      <w:pPr>
        <w:pStyle w:val="Heading1"/>
      </w:pPr>
      <w:r w:rsidRPr="002C1565">
        <w:rPr>
          <w:rtl/>
        </w:rPr>
        <w:t>2</w:t>
      </w:r>
      <w:r w:rsidRPr="002C1565">
        <w:rPr>
          <w:rtl/>
        </w:rPr>
        <w:tab/>
        <w:t>أنشطة فريق العمل التابع للمجلس والمعني بالخطتين الاستراتيجية والمالية</w:t>
      </w:r>
    </w:p>
    <w:p w14:paraId="7214F7FF" w14:textId="77777777" w:rsidR="00EB162D" w:rsidRPr="002C1565" w:rsidRDefault="00EB162D" w:rsidP="00EB162D">
      <w:pPr>
        <w:textDirection w:val="tbRlV"/>
        <w:rPr>
          <w:spacing w:val="-2"/>
          <w:lang w:val="ar-SA" w:eastAsia="zh-TW" w:bidi="en-GB"/>
        </w:rPr>
      </w:pPr>
      <w:r w:rsidRPr="002C1565">
        <w:rPr>
          <w:spacing w:val="-2"/>
          <w:rtl/>
        </w:rPr>
        <w:t>وفقاً لاختصاصات الفريق، يود رئيس فريق العمل التابع للمجلس والمعني بالخطتين الاستراتيجية والمالية موافاة المجلس في دورته لعام 2025 بمعلومات محدَّثة عن أعماله الجارية:</w:t>
      </w:r>
    </w:p>
    <w:p w14:paraId="297AD5D1" w14:textId="09C7C51B" w:rsidR="00EB162D" w:rsidRPr="00F66A32" w:rsidRDefault="00CD084C" w:rsidP="00EB162D">
      <w:pPr>
        <w:pStyle w:val="enumlev1"/>
        <w:textDirection w:val="tbRlV"/>
        <w:rPr>
          <w:spacing w:val="-2"/>
          <w:lang w:val="ar-SA" w:eastAsia="zh-TW" w:bidi="en-GB"/>
        </w:rPr>
      </w:pPr>
      <w:r>
        <w:rPr>
          <w:rFonts w:hint="eastAsia"/>
          <w:spacing w:val="-2"/>
          <w:rtl/>
        </w:rPr>
        <w:t> </w:t>
      </w:r>
      <w:r w:rsidR="00EB162D" w:rsidRPr="00F66A32">
        <w:rPr>
          <w:spacing w:val="-2"/>
          <w:rtl/>
        </w:rPr>
        <w:t>أ</w:t>
      </w:r>
      <w:r>
        <w:rPr>
          <w:rFonts w:hint="cs"/>
          <w:spacing w:val="-2"/>
          <w:rtl/>
        </w:rPr>
        <w:t> </w:t>
      </w:r>
      <w:r w:rsidR="00EB162D" w:rsidRPr="00F66A32">
        <w:rPr>
          <w:spacing w:val="-2"/>
          <w:rtl/>
        </w:rPr>
        <w:t>)</w:t>
      </w:r>
      <w:r w:rsidR="00EB162D" w:rsidRPr="00F66A32">
        <w:rPr>
          <w:spacing w:val="-2"/>
          <w:rtl/>
        </w:rPr>
        <w:tab/>
        <w:t xml:space="preserve">اتفق الفريق على جدول زمني لإنجاز المهام المسندة إليه (انظر المرفق). وبناءً على ذلك، تم إبلاغ الأفرقة الاستشارية للقطاعات وفريق العمل التابع للمجلس والمعني بالموارد المالية والبشرية </w:t>
      </w:r>
      <w:r w:rsidR="002C1565" w:rsidRPr="00F66A32">
        <w:rPr>
          <w:spacing w:val="-2"/>
        </w:rPr>
        <w:t>(CWG</w:t>
      </w:r>
      <w:r w:rsidR="002C1565" w:rsidRPr="00F66A32">
        <w:rPr>
          <w:spacing w:val="-2"/>
        </w:rPr>
        <w:noBreakHyphen/>
        <w:t>FHR)</w:t>
      </w:r>
      <w:r w:rsidR="00EB162D" w:rsidRPr="00F66A32">
        <w:rPr>
          <w:spacing w:val="-2"/>
          <w:rtl/>
        </w:rPr>
        <w:t xml:space="preserve"> ودعوتهم إلى المشاركة والإسهام في العملية.</w:t>
      </w:r>
    </w:p>
    <w:p w14:paraId="68698738" w14:textId="7ABDB524" w:rsidR="00EB162D" w:rsidRPr="00916EAC" w:rsidRDefault="00EB162D" w:rsidP="00EB162D">
      <w:pPr>
        <w:pStyle w:val="enumlev1"/>
        <w:textDirection w:val="tbRlV"/>
        <w:rPr>
          <w:lang w:val="ar-SA" w:eastAsia="zh-TW" w:bidi="en-GB"/>
        </w:rPr>
      </w:pPr>
      <w:r w:rsidRPr="00916EAC">
        <w:rPr>
          <w:rtl/>
        </w:rPr>
        <w:t>ب)</w:t>
      </w:r>
      <w:r w:rsidRPr="00916EAC">
        <w:rPr>
          <w:rtl/>
        </w:rPr>
        <w:tab/>
        <w:t xml:space="preserve">وفيما يتعلق بإعداد مشروعي الخطتين الاستراتيجية والمالية، أجرى الفريق مشاورة عبر الإنترنت لجمع المدخلات بشأن الخطتين الحاليتين ومقترحات التحسين. وأُدرجت النتائج في الوثيقة </w:t>
      </w:r>
      <w:hyperlink r:id="rId12" w:history="1">
        <w:r w:rsidRPr="00F66A32">
          <w:rPr>
            <w:rStyle w:val="Hyperlink"/>
            <w:rFonts w:ascii="Dubai" w:eastAsiaTheme="minorEastAsia" w:hAnsi="Dubai" w:cs="Dubai"/>
            <w:noProof w:val="0"/>
            <w:sz w:val="22"/>
            <w:u w:val="single"/>
            <w:rtl/>
            <w:lang w:val="en-US" w:eastAsia="zh-CN"/>
          </w:rPr>
          <w:t>CWG-SFP-2/2</w:t>
        </w:r>
      </w:hyperlink>
      <w:r w:rsidRPr="00916EAC">
        <w:rPr>
          <w:rtl/>
        </w:rPr>
        <w:t>. وناقش الفريق أيضاً العناصر التي يتعين أخذها في الاعتبار لتحليل الوضع، باعتبارها عنصراً حاسماً يُسترشد به في صياغة الخطط الجديدة.</w:t>
      </w:r>
    </w:p>
    <w:p w14:paraId="33755672" w14:textId="5CDD07B6" w:rsidR="00EB162D" w:rsidRPr="009D3DBE" w:rsidRDefault="00EB162D" w:rsidP="00EB162D">
      <w:pPr>
        <w:pStyle w:val="enumlev1"/>
        <w:textDirection w:val="tbRlV"/>
        <w:rPr>
          <w:spacing w:val="-2"/>
          <w:lang w:val="ar-SA" w:eastAsia="zh-TW" w:bidi="en-GB"/>
        </w:rPr>
      </w:pPr>
      <w:r w:rsidRPr="009D3DBE">
        <w:rPr>
          <w:spacing w:val="-2"/>
          <w:rtl/>
        </w:rPr>
        <w:tab/>
        <w:t xml:space="preserve">إضافة إلى ذلك، وبغية اقتراح سبل لربط مشروعي الخطتين الاستراتيجية والمالية بالخطط التشغيلية وميزانيات فترات السنتين، ووفقاً لمبدأي الإدارة القائمة على النتائج </w:t>
      </w:r>
      <w:r w:rsidR="003F1048" w:rsidRPr="009D3DBE">
        <w:rPr>
          <w:spacing w:val="-2"/>
        </w:rPr>
        <w:t>(RBM)</w:t>
      </w:r>
      <w:r w:rsidRPr="009D3DBE">
        <w:rPr>
          <w:spacing w:val="-2"/>
          <w:rtl/>
        </w:rPr>
        <w:t xml:space="preserve"> والميز</w:t>
      </w:r>
      <w:r w:rsidR="003F1048" w:rsidRPr="009D3DBE">
        <w:rPr>
          <w:rFonts w:hint="cs"/>
          <w:spacing w:val="-2"/>
          <w:rtl/>
          <w:lang w:bidi="ar-EG"/>
        </w:rPr>
        <w:t>ا</w:t>
      </w:r>
      <w:r w:rsidRPr="009D3DBE">
        <w:rPr>
          <w:spacing w:val="-2"/>
          <w:rtl/>
        </w:rPr>
        <w:t>ن</w:t>
      </w:r>
      <w:r w:rsidR="003F1048" w:rsidRPr="009D3DBE">
        <w:rPr>
          <w:rFonts w:hint="cs"/>
          <w:spacing w:val="-2"/>
          <w:rtl/>
        </w:rPr>
        <w:t>ي</w:t>
      </w:r>
      <w:r w:rsidRPr="009D3DBE">
        <w:rPr>
          <w:spacing w:val="-2"/>
          <w:rtl/>
        </w:rPr>
        <w:t>ة القائمة على النتائج (</w:t>
      </w:r>
      <w:r w:rsidRPr="009D3DBE">
        <w:rPr>
          <w:spacing w:val="-2"/>
        </w:rPr>
        <w:t>RBB</w:t>
      </w:r>
      <w:r w:rsidRPr="009D3DBE">
        <w:rPr>
          <w:spacing w:val="-2"/>
          <w:rtl/>
        </w:rPr>
        <w:t>)، دعا الفريق خبراء من اليونسكو واليونيدو إلى المساهمة بخبراتهم. وقدم هؤلاء الخبراء ورشة عمل لمدة 3 ساعات بشأن التخطيط الاستراتيجي، مع التركيز بوجه خاص على مفاهيم الإدارة القائمة على النتائج وعملياتها المطبقة على الخطط الاستراتيجية والمالية للاتحاد.</w:t>
      </w:r>
    </w:p>
    <w:p w14:paraId="37822ADB" w14:textId="35B4F2BD" w:rsidR="00EB162D" w:rsidRPr="00916EAC" w:rsidRDefault="00EB162D" w:rsidP="00EB162D">
      <w:pPr>
        <w:pStyle w:val="enumlev1"/>
        <w:textDirection w:val="tbRlV"/>
        <w:rPr>
          <w:lang w:val="ar-SA" w:eastAsia="zh-TW" w:bidi="en-GB"/>
        </w:rPr>
      </w:pPr>
      <w:r w:rsidRPr="00916EAC">
        <w:rPr>
          <w:rtl/>
        </w:rPr>
        <w:tab/>
        <w:t xml:space="preserve">وبعد تلقي جميع المدخلات، بما في ذلك المساهمات المقدمة من الدول الأعضاء والفريق الاستشاري لتقييس الاتصالات </w:t>
      </w:r>
      <w:r w:rsidR="009D3DBE">
        <w:t>(</w:t>
      </w:r>
      <w:r w:rsidR="009D3DBE" w:rsidRPr="00916EAC">
        <w:t>TSAG</w:t>
      </w:r>
      <w:r w:rsidR="009D3DBE">
        <w:t>)</w:t>
      </w:r>
      <w:r w:rsidRPr="00916EAC">
        <w:rPr>
          <w:rtl/>
        </w:rPr>
        <w:t>، كلف الفريق الأمانة بإعداد المشروع الأولي لإطار الخطة الاستراتيجية ومقاصدها، وكذلك مشروع تحليل الوضع، لتقديمهما إلى الاجتماع المقبل المقرر عقده في سبتمبر 2025.</w:t>
      </w:r>
    </w:p>
    <w:p w14:paraId="17B2EC6D" w14:textId="4BAF7CD9" w:rsidR="00EB162D" w:rsidRPr="00916EAC" w:rsidRDefault="00EB162D" w:rsidP="00EB162D">
      <w:pPr>
        <w:pStyle w:val="enumlev1"/>
        <w:textDirection w:val="tbRlV"/>
        <w:rPr>
          <w:lang w:val="ar-SA" w:eastAsia="zh-TW" w:bidi="en-GB"/>
        </w:rPr>
      </w:pPr>
      <w:r w:rsidRPr="00916EAC">
        <w:rPr>
          <w:rtl/>
        </w:rPr>
        <w:t>ج)</w:t>
      </w:r>
      <w:r w:rsidRPr="00916EAC">
        <w:rPr>
          <w:rtl/>
        </w:rPr>
        <w:tab/>
        <w:t xml:space="preserve">وفيما يتعلق بعملية رسم خرائط ارتباطات القرارات والمقررات الرامية إلى مواءمة نتائج مؤتمر المندوبين المفوضين، ناقش الفريق وضع مبادئ توجيهية غير إلزامية تستخدمها الدول الأعضاء كمرجع عند استعراض و/أو صياغة القرارات والمقررات لمؤتمر المندوبين المفوضين لعام 2026. وستقدَّم هذه المبادئ التوجيهية المقترحة إلى المجلس في دورته لعام 2025 في الوثيقة </w:t>
      </w:r>
      <w:hyperlink r:id="rId13" w:history="1">
        <w:r w:rsidRPr="00D24E23">
          <w:rPr>
            <w:rStyle w:val="Hyperlink"/>
            <w:rFonts w:ascii="Dubai" w:eastAsiaTheme="minorEastAsia" w:hAnsi="Dubai" w:cs="Dubai"/>
            <w:noProof w:val="0"/>
            <w:sz w:val="22"/>
            <w:u w:val="single"/>
            <w:rtl/>
            <w:lang w:val="en-US" w:eastAsia="zh-CN"/>
          </w:rPr>
          <w:t>C25/29</w:t>
        </w:r>
      </w:hyperlink>
      <w:r>
        <w:rPr>
          <w:rtl/>
        </w:rPr>
        <w:t xml:space="preserve"> م</w:t>
      </w:r>
      <w:r w:rsidRPr="00916EAC">
        <w:rPr>
          <w:rtl/>
        </w:rPr>
        <w:t>ن أجل النظر فيها.</w:t>
      </w:r>
    </w:p>
    <w:p w14:paraId="4624D568" w14:textId="77777777" w:rsidR="00EB162D" w:rsidRPr="00916EAC" w:rsidRDefault="00EB162D" w:rsidP="00EB162D">
      <w:pPr>
        <w:pStyle w:val="enumlev1"/>
        <w:textDirection w:val="tbRlV"/>
        <w:rPr>
          <w:lang w:val="ar-SA" w:eastAsia="zh-TW" w:bidi="en-GB"/>
        </w:rPr>
      </w:pPr>
      <w:r w:rsidRPr="00916EAC">
        <w:rPr>
          <w:rtl/>
        </w:rPr>
        <w:tab/>
        <w:t>وسلط فريق العمل التابع للمجلس والمعني بالخطتين الاستراتيجية والمالية الضوء أيضاً على أهمية رصد تنفيذ القرارات/المقررات وعرضه على أساس منتظم لتيسير اتخاذ قرارات مستنيرة بشأن المواءمة.</w:t>
      </w:r>
    </w:p>
    <w:p w14:paraId="0E1BDF62" w14:textId="0141F90B" w:rsidR="00EB162D" w:rsidRPr="00916EAC" w:rsidRDefault="00EB162D" w:rsidP="00EB162D">
      <w:pPr>
        <w:pStyle w:val="enumlev1"/>
        <w:textDirection w:val="tbRlV"/>
        <w:rPr>
          <w:lang w:val="ar-SA" w:eastAsia="zh-TW" w:bidi="en-GB"/>
        </w:rPr>
      </w:pPr>
      <w:r w:rsidRPr="00916EAC">
        <w:rPr>
          <w:rtl/>
        </w:rPr>
        <w:t>د</w:t>
      </w:r>
      <w:r w:rsidR="00CD084C">
        <w:rPr>
          <w:rFonts w:hint="cs"/>
          <w:rtl/>
        </w:rPr>
        <w:t> </w:t>
      </w:r>
      <w:r w:rsidRPr="00916EAC">
        <w:rPr>
          <w:rtl/>
        </w:rPr>
        <w:t>)</w:t>
      </w:r>
      <w:r w:rsidRPr="00916EAC">
        <w:rPr>
          <w:rtl/>
        </w:rPr>
        <w:tab/>
        <w:t xml:space="preserve">كُلف فريق العمل التابع للمجلس والمعني بالخطتين الاستراتيجية والمالية أيضاً بأن يقدم إلى دورة المجلس هذه توصيةً بالمبلغ الأولي لوحدة المساهمة. وقدمت الأمانة الوثيقة </w:t>
      </w:r>
      <w:hyperlink r:id="rId14" w:history="1">
        <w:r w:rsidRPr="00F75C32">
          <w:rPr>
            <w:rStyle w:val="Hyperlink"/>
            <w:rFonts w:ascii="Dubai" w:eastAsiaTheme="minorEastAsia" w:hAnsi="Dubai" w:cs="Dubai"/>
            <w:noProof w:val="0"/>
            <w:sz w:val="22"/>
            <w:u w:val="single"/>
            <w:rtl/>
            <w:lang w:val="en-US" w:eastAsia="zh-CN"/>
          </w:rPr>
          <w:t>CWG-SFP-2/7</w:t>
        </w:r>
      </w:hyperlink>
      <w:r w:rsidRPr="00916EAC">
        <w:rPr>
          <w:rtl/>
        </w:rPr>
        <w:t xml:space="preserve"> التي تقترح زيادة في</w:t>
      </w:r>
      <w:r w:rsidR="00D53DE9">
        <w:rPr>
          <w:rFonts w:hint="cs"/>
          <w:rtl/>
        </w:rPr>
        <w:t> </w:t>
      </w:r>
      <w:r w:rsidRPr="00916EAC">
        <w:rPr>
          <w:rtl/>
        </w:rPr>
        <w:t>وحدة المساهمة. وأعرب الأعضاء عن قلقهم، مشيرين إلى عدم الاستقرار الاقتصادي العالمي والقيود المالية في بلدانهم، واقترحوا استكشاف خيارات بديلة من قبيل الحد من التكاليف على النحو الأمثل، وتحسين كفاءة الميزانية، وتوليد إيرادات إضافية. وشُدد على الحاجة إلى عرض تفصيلي وشفاف بشأن الميزانية لتيسير اتخاذ قرارات مستنيرة.</w:t>
      </w:r>
    </w:p>
    <w:p w14:paraId="5E557BF4" w14:textId="2997FE33" w:rsidR="00EB162D" w:rsidRPr="00916EAC" w:rsidRDefault="00EB162D" w:rsidP="00EB162D">
      <w:pPr>
        <w:pStyle w:val="enumlev1"/>
        <w:textDirection w:val="tbRlV"/>
        <w:rPr>
          <w:lang w:val="ar-SA" w:eastAsia="zh-TW" w:bidi="en-GB"/>
        </w:rPr>
      </w:pPr>
      <w:r w:rsidRPr="00916EAC">
        <w:rPr>
          <w:rtl/>
        </w:rPr>
        <w:tab/>
        <w:t xml:space="preserve">وطلب الفريق من الأمانة موافاة المجلس في </w:t>
      </w:r>
      <w:r w:rsidR="00826163" w:rsidRPr="00916EAC">
        <w:rPr>
          <w:rFonts w:hint="cs"/>
          <w:rtl/>
        </w:rPr>
        <w:t>دروت</w:t>
      </w:r>
      <w:r w:rsidR="00826163" w:rsidRPr="00916EAC">
        <w:rPr>
          <w:rtl/>
        </w:rPr>
        <w:t>ه</w:t>
      </w:r>
      <w:r w:rsidRPr="00916EAC">
        <w:rPr>
          <w:rtl/>
        </w:rPr>
        <w:t xml:space="preserve"> لعام 2025 بمزيد من المعلومات عن الوضع المالي وصلته بمبلغ وحدة المساهمة، مع مراعاة الحاجة إلى آلية ومعايير ثابتة لتحديد وحدة المساهمة.</w:t>
      </w:r>
    </w:p>
    <w:p w14:paraId="1081392D" w14:textId="7BA136AB" w:rsidR="00EB162D" w:rsidRPr="00916EAC" w:rsidRDefault="00EB162D" w:rsidP="00D53DE9">
      <w:pPr>
        <w:rPr>
          <w:lang w:val="ar-SA" w:eastAsia="zh-TW" w:bidi="en-GB"/>
        </w:rPr>
      </w:pPr>
      <w:r w:rsidRPr="00916EAC">
        <w:rPr>
          <w:rtl/>
        </w:rPr>
        <w:lastRenderedPageBreak/>
        <w:t>ويمكن الاطلاع على معلومات تفصيلية عن فريق العمل التابع للمجلس والمعني بالخطتين الاستراتيجية والمالية في</w:t>
      </w:r>
      <w:r w:rsidR="00D53DE9">
        <w:rPr>
          <w:rFonts w:hint="cs"/>
          <w:rtl/>
        </w:rPr>
        <w:t> </w:t>
      </w:r>
      <w:hyperlink r:id="rId15" w:history="1">
        <w:r w:rsidRPr="00D53DE9">
          <w:rPr>
            <w:rStyle w:val="Hyperlink"/>
            <w:rFonts w:ascii="Dubai" w:eastAsiaTheme="minorEastAsia" w:hAnsi="Dubai" w:cs="Dubai"/>
            <w:noProof w:val="0"/>
            <w:sz w:val="22"/>
            <w:u w:val="single"/>
            <w:rtl/>
            <w:lang w:val="en-US" w:eastAsia="zh-CN"/>
          </w:rPr>
          <w:t>تقرير الاجتماع الأول</w:t>
        </w:r>
      </w:hyperlink>
      <w:r w:rsidRPr="00916EAC">
        <w:rPr>
          <w:rtl/>
        </w:rPr>
        <w:t xml:space="preserve"> و</w:t>
      </w:r>
      <w:hyperlink r:id="rId16" w:history="1">
        <w:r w:rsidRPr="00D53DE9">
          <w:rPr>
            <w:rStyle w:val="Hyperlink"/>
            <w:rFonts w:ascii="Dubai" w:eastAsiaTheme="minorEastAsia" w:hAnsi="Dubai" w:cs="Dubai"/>
            <w:noProof w:val="0"/>
            <w:sz w:val="22"/>
            <w:u w:val="single"/>
            <w:rtl/>
            <w:lang w:val="en-US" w:eastAsia="zh-CN"/>
          </w:rPr>
          <w:t>تقرير الاجتماع الثاني</w:t>
        </w:r>
      </w:hyperlink>
      <w:r w:rsidRPr="00916EAC">
        <w:rPr>
          <w:rtl/>
        </w:rPr>
        <w:t>.</w:t>
      </w:r>
    </w:p>
    <w:p w14:paraId="487B3EA7" w14:textId="77777777" w:rsidR="00EB162D" w:rsidRPr="000471B3" w:rsidRDefault="00EB162D" w:rsidP="000471B3">
      <w:pPr>
        <w:pStyle w:val="Heading1"/>
      </w:pPr>
      <w:r w:rsidRPr="000471B3">
        <w:rPr>
          <w:rtl/>
        </w:rPr>
        <w:t>3</w:t>
      </w:r>
      <w:r w:rsidRPr="000471B3">
        <w:rPr>
          <w:rtl/>
        </w:rPr>
        <w:tab/>
        <w:t>الخلاصة‎</w:t>
      </w:r>
    </w:p>
    <w:p w14:paraId="3B1F5533" w14:textId="77777777" w:rsidR="00EB162D" w:rsidRPr="00916EAC" w:rsidRDefault="00EB162D" w:rsidP="00EB162D">
      <w:pPr>
        <w:textDirection w:val="tbRlV"/>
        <w:rPr>
          <w:lang w:val="ar-SA" w:eastAsia="zh-TW" w:bidi="en-GB"/>
        </w:rPr>
      </w:pPr>
      <w:r w:rsidRPr="00916EAC">
        <w:rPr>
          <w:rtl/>
        </w:rPr>
        <w:t>يُدعى المجلس إلى العلم بهذا التقرير.</w:t>
      </w:r>
    </w:p>
    <w:p w14:paraId="3C1458C6" w14:textId="1A6F49CE" w:rsidR="00EB162D" w:rsidRDefault="00EB162D" w:rsidP="00EB162D">
      <w:pPr>
        <w:textDirection w:val="tbRlV"/>
      </w:pPr>
      <w:r w:rsidRPr="00916EAC">
        <w:rPr>
          <w:rtl/>
        </w:rPr>
        <w:t>ويتوجه الرئيس، نيابةً عن أعضاء الفريق، بشكره الخاص إلى جميع الدول الأعضاء في الاتحاد وأعضاء القطاعات الذين قدموا مساهمات وشاركوا في أعمال الفريق، وإلى نواب الرئيس والأمانة على ما قدّموه من مساعدة فعّالة خلال الاجتماعين الأول والثاني للفريق.</w:t>
      </w:r>
    </w:p>
    <w:p w14:paraId="529C0CB5" w14:textId="1B53C991" w:rsidR="000471B3" w:rsidRPr="000471B3" w:rsidRDefault="000471B3" w:rsidP="001C1769">
      <w:pPr>
        <w:tabs>
          <w:tab w:val="clear" w:pos="794"/>
          <w:tab w:val="left" w:pos="1134"/>
          <w:tab w:val="left" w:pos="1871"/>
          <w:tab w:val="left" w:pos="2268"/>
        </w:tabs>
        <w:spacing w:before="1440"/>
        <w:ind w:left="3969"/>
        <w:jc w:val="center"/>
        <w:rPr>
          <w:rFonts w:eastAsia="Times New Roman"/>
          <w:rtl/>
          <w:lang w:eastAsia="en-US" w:bidi="ar-SY"/>
        </w:rPr>
      </w:pPr>
      <w:bookmarkStart w:id="1" w:name="_Hlk152925746"/>
      <w:bookmarkStart w:id="2" w:name="_Hlk152925756"/>
      <w:r w:rsidRPr="00916EAC">
        <w:rPr>
          <w:rtl/>
        </w:rPr>
        <w:t>منصور القرشي</w:t>
      </w:r>
      <w:r w:rsidRPr="000471B3">
        <w:rPr>
          <w:rFonts w:eastAsia="Times New Roman"/>
          <w:rtl/>
          <w:lang w:eastAsia="en-US" w:bidi="ar-SY"/>
        </w:rPr>
        <w:br/>
      </w:r>
      <w:bookmarkEnd w:id="1"/>
      <w:r w:rsidRPr="00916EAC">
        <w:rPr>
          <w:rtl/>
        </w:rPr>
        <w:t xml:space="preserve">رئيس فريق العمل التابع للمجلس </w:t>
      </w:r>
      <w:r>
        <w:br/>
      </w:r>
      <w:r w:rsidRPr="00916EAC">
        <w:rPr>
          <w:rtl/>
        </w:rPr>
        <w:t xml:space="preserve">والمعني بالخطتين الاستراتيجية والمالية </w:t>
      </w:r>
      <w:r>
        <w:t>(</w:t>
      </w:r>
      <w:r w:rsidRPr="00916EAC">
        <w:t>CWG-SFP</w:t>
      </w:r>
      <w:r>
        <w:t>)</w:t>
      </w:r>
    </w:p>
    <w:bookmarkEnd w:id="2"/>
    <w:p w14:paraId="21296D4D" w14:textId="0A034BD8" w:rsidR="00EB162D" w:rsidRPr="006A2A00" w:rsidRDefault="00EB162D" w:rsidP="00EB162D">
      <w:pPr>
        <w:spacing w:before="1440"/>
        <w:textDirection w:val="tbRlV"/>
        <w:rPr>
          <w:b/>
          <w:i/>
          <w:iCs/>
          <w:lang w:val="ar-SA" w:eastAsia="zh-TW" w:bidi="en-GB"/>
        </w:rPr>
      </w:pPr>
      <w:r w:rsidRPr="00916EAC">
        <w:rPr>
          <w:b/>
          <w:bCs/>
          <w:i/>
          <w:iCs/>
          <w:rtl/>
        </w:rPr>
        <w:t>الملحقات</w:t>
      </w:r>
      <w:r w:rsidR="006A2A00">
        <w:rPr>
          <w:rFonts w:hint="cs"/>
          <w:b/>
          <w:bCs/>
          <w:i/>
          <w:iCs/>
          <w:rtl/>
          <w:lang w:bidi="ar-EG"/>
        </w:rPr>
        <w:t>:</w:t>
      </w:r>
      <w:r w:rsidRPr="006A2A00">
        <w:rPr>
          <w:b/>
          <w:i/>
          <w:iCs/>
          <w:rtl/>
        </w:rPr>
        <w:t xml:space="preserve"> 1</w:t>
      </w:r>
    </w:p>
    <w:p w14:paraId="464B1923" w14:textId="77777777" w:rsidR="006A2A00" w:rsidRDefault="006A2A00" w:rsidP="00E61BE8">
      <w:pPr>
        <w:rPr>
          <w:rtl/>
          <w:lang w:bidi="ar-EG"/>
        </w:rPr>
        <w:sectPr w:rsidR="006A2A00" w:rsidSect="006F363C">
          <w:footerReference w:type="default" r:id="rId17"/>
          <w:headerReference w:type="first" r:id="rId18"/>
          <w:footerReference w:type="first" r:id="rId19"/>
          <w:type w:val="oddPage"/>
          <w:pgSz w:w="11907" w:h="16840" w:code="9"/>
          <w:pgMar w:top="1418" w:right="1418" w:bottom="1418" w:left="1418" w:header="709" w:footer="709" w:gutter="0"/>
          <w:cols w:space="708"/>
          <w:titlePg/>
          <w:docGrid w:linePitch="360"/>
        </w:sectPr>
      </w:pPr>
    </w:p>
    <w:p w14:paraId="5DF7C286" w14:textId="58AB5A1B" w:rsidR="00F50E3F" w:rsidRDefault="001C1769" w:rsidP="006200E9">
      <w:pPr>
        <w:pStyle w:val="AnnexNo"/>
        <w:rPr>
          <w:rtl/>
          <w:lang w:bidi="ar-EG"/>
        </w:rPr>
      </w:pPr>
      <w:r>
        <w:rPr>
          <w:noProof/>
        </w:rPr>
        <w:lastRenderedPageBreak/>
        <w:drawing>
          <wp:anchor distT="0" distB="0" distL="114300" distR="114300" simplePos="0" relativeHeight="251658240" behindDoc="0" locked="0" layoutInCell="1" allowOverlap="1" wp14:anchorId="520195DA" wp14:editId="5FD4B0A3">
            <wp:simplePos x="0" y="0"/>
            <wp:positionH relativeFrom="column">
              <wp:posOffset>1886052</wp:posOffset>
            </wp:positionH>
            <wp:positionV relativeFrom="paragraph">
              <wp:posOffset>481838</wp:posOffset>
            </wp:positionV>
            <wp:extent cx="9525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5250" cy="419100"/>
                    </a:xfrm>
                    <a:prstGeom prst="rect">
                      <a:avLst/>
                    </a:prstGeom>
                  </pic:spPr>
                </pic:pic>
              </a:graphicData>
            </a:graphic>
          </wp:anchor>
        </w:drawing>
      </w:r>
      <w:r w:rsidR="006200E9">
        <w:rPr>
          <w:rFonts w:hint="cs"/>
          <w:rtl/>
        </w:rPr>
        <w:t>الملحق</w:t>
      </w:r>
      <w:r w:rsidRPr="001C1769">
        <w:rPr>
          <w:noProof/>
        </w:rPr>
        <w:t xml:space="preserve"> </w:t>
      </w:r>
    </w:p>
    <w:p w14:paraId="5FC879F3" w14:textId="2EAC539B" w:rsidR="0088013D" w:rsidRDefault="0088013D" w:rsidP="006200E9">
      <w:pPr>
        <w:pStyle w:val="AnnexNo"/>
        <w:rPr>
          <w:rtl/>
        </w:rPr>
      </w:pPr>
      <w:r>
        <w:rPr>
          <w:noProof/>
        </w:rPr>
        <w:drawing>
          <wp:inline distT="0" distB="0" distL="0" distR="0" wp14:anchorId="2D7AD5A1" wp14:editId="72623EBF">
            <wp:extent cx="8783781" cy="4205570"/>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38999" cy="4232008"/>
                    </a:xfrm>
                    <a:prstGeom prst="rect">
                      <a:avLst/>
                    </a:prstGeom>
                    <a:noFill/>
                  </pic:spPr>
                </pic:pic>
              </a:graphicData>
            </a:graphic>
          </wp:inline>
        </w:drawing>
      </w:r>
    </w:p>
    <w:p w14:paraId="04EE7C74" w14:textId="28FB42B5" w:rsidR="00F50E3F" w:rsidRDefault="00F50E3F" w:rsidP="00094FE8">
      <w:pPr>
        <w:jc w:val="center"/>
        <w:rPr>
          <w:rtl/>
          <w:lang w:bidi="ar-EG"/>
        </w:rPr>
      </w:pPr>
    </w:p>
    <w:p w14:paraId="0900074D" w14:textId="73B4ED7C" w:rsidR="00A72E73" w:rsidRDefault="00A72E73" w:rsidP="00E61BE8">
      <w:pPr>
        <w:rPr>
          <w:rtl/>
          <w:lang w:bidi="ar-EG"/>
        </w:rPr>
      </w:pPr>
      <w:r>
        <w:rPr>
          <w:rtl/>
          <w:lang w:bidi="ar-EG"/>
        </w:rPr>
        <w:br w:type="page"/>
      </w:r>
    </w:p>
    <w:p w14:paraId="5A30A0B3" w14:textId="4ACC19E9" w:rsidR="006200E9" w:rsidRDefault="00921D40" w:rsidP="00094FE8">
      <w:pPr>
        <w:jc w:val="center"/>
        <w:rPr>
          <w:rtl/>
          <w:lang w:bidi="ar-EG"/>
        </w:rPr>
      </w:pPr>
      <w:r>
        <w:rPr>
          <w:noProof/>
          <w:lang w:bidi="ar-EG"/>
        </w:rPr>
        <w:lastRenderedPageBreak/>
        <w:drawing>
          <wp:inline distT="0" distB="0" distL="0" distR="0" wp14:anchorId="781CEEF4" wp14:editId="4ADD3766">
            <wp:extent cx="9361715" cy="410396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01664" cy="4121479"/>
                    </a:xfrm>
                    <a:prstGeom prst="rect">
                      <a:avLst/>
                    </a:prstGeom>
                    <a:noFill/>
                  </pic:spPr>
                </pic:pic>
              </a:graphicData>
            </a:graphic>
          </wp:inline>
        </w:drawing>
      </w:r>
    </w:p>
    <w:p w14:paraId="460BF15A" w14:textId="4C42CE22" w:rsidR="00921D40" w:rsidRDefault="00D63735" w:rsidP="00921D40">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921D40" w:rsidSect="006A2A00">
      <w:headerReference w:type="default" r:id="rId23"/>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D632" w14:textId="77777777" w:rsidR="003B62D0" w:rsidRDefault="003B62D0" w:rsidP="006C3242">
      <w:pPr>
        <w:spacing w:before="0" w:line="240" w:lineRule="auto"/>
      </w:pPr>
      <w:r>
        <w:separator/>
      </w:r>
    </w:p>
  </w:endnote>
  <w:endnote w:type="continuationSeparator" w:id="0">
    <w:p w14:paraId="753ACE7E" w14:textId="77777777" w:rsidR="003B62D0" w:rsidRDefault="003B62D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7D47D1E" w14:textId="77777777" w:rsidTr="00A67F05">
      <w:trPr>
        <w:jc w:val="center"/>
      </w:trPr>
      <w:tc>
        <w:tcPr>
          <w:tcW w:w="868" w:type="pct"/>
          <w:vAlign w:val="center"/>
        </w:tcPr>
        <w:p w14:paraId="53C9590B" w14:textId="486D8646" w:rsidR="00F50E3F" w:rsidRPr="001C1769" w:rsidRDefault="001C1769"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lang w:val="en-US"/>
            </w:rPr>
          </w:pPr>
          <w:r>
            <w:rPr>
              <w:rFonts w:ascii="Calibri" w:hAnsi="Calibri" w:cs="Arial"/>
              <w:noProof/>
              <w:sz w:val="18"/>
              <w:lang w:val="en-US"/>
            </w:rPr>
            <w:t>2500950</w:t>
          </w:r>
        </w:p>
      </w:tc>
      <w:tc>
        <w:tcPr>
          <w:tcW w:w="3912" w:type="pct"/>
        </w:tcPr>
        <w:p w14:paraId="6E69E11F" w14:textId="3B3E025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B1681B">
            <w:rPr>
              <w:rFonts w:ascii="Calibri" w:hAnsi="Calibri" w:cs="Arial"/>
              <w:bCs/>
              <w:color w:val="7F7F7F"/>
              <w:sz w:val="18"/>
            </w:rPr>
            <w:t>31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EEE5234"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DD0B4DA"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7B1A7FF8" w14:textId="77777777" w:rsidTr="00A67F05">
      <w:trPr>
        <w:jc w:val="center"/>
      </w:trPr>
      <w:tc>
        <w:tcPr>
          <w:tcW w:w="1013" w:type="pct"/>
          <w:vAlign w:val="center"/>
        </w:tcPr>
        <w:p w14:paraId="6FC4D187"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6CA72924" w14:textId="4862A686"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B1681B">
            <w:rPr>
              <w:rFonts w:ascii="Calibri" w:hAnsi="Calibri" w:cs="Arial"/>
              <w:bCs/>
              <w:color w:val="7F7F7F"/>
              <w:sz w:val="18"/>
            </w:rPr>
            <w:t>31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3E24914"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2AC4906"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D537" w14:textId="77777777" w:rsidR="003B62D0" w:rsidRDefault="003B62D0" w:rsidP="006C3242">
      <w:pPr>
        <w:spacing w:before="0" w:line="240" w:lineRule="auto"/>
      </w:pPr>
      <w:r>
        <w:separator/>
      </w:r>
    </w:p>
  </w:footnote>
  <w:footnote w:type="continuationSeparator" w:id="0">
    <w:p w14:paraId="4144EE6F" w14:textId="77777777" w:rsidR="003B62D0" w:rsidRDefault="003B62D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0E14" w14:textId="080A7E61" w:rsidR="007B0AA0" w:rsidRDefault="007648A6" w:rsidP="006A2A00">
    <w:pPr>
      <w:pStyle w:val="Header"/>
      <w:tabs>
        <w:tab w:val="clear" w:pos="9360"/>
        <w:tab w:val="left" w:pos="5942"/>
      </w:tabs>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621164F" wp14:editId="5E61AA31">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CEE2B"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63CAFD4E" wp14:editId="7D647B90">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E146" w14:textId="77777777" w:rsidR="006A2A00" w:rsidRDefault="006A2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0"/>
    <w:rsid w:val="000015B2"/>
    <w:rsid w:val="000471B3"/>
    <w:rsid w:val="0005344A"/>
    <w:rsid w:val="0006468A"/>
    <w:rsid w:val="000767D1"/>
    <w:rsid w:val="00090574"/>
    <w:rsid w:val="00094FE8"/>
    <w:rsid w:val="000B0EA0"/>
    <w:rsid w:val="000C1C0E"/>
    <w:rsid w:val="000C548A"/>
    <w:rsid w:val="00105F5B"/>
    <w:rsid w:val="001728C2"/>
    <w:rsid w:val="00172D30"/>
    <w:rsid w:val="00191059"/>
    <w:rsid w:val="001933AF"/>
    <w:rsid w:val="00194356"/>
    <w:rsid w:val="001B6E2B"/>
    <w:rsid w:val="001C0169"/>
    <w:rsid w:val="001C0C21"/>
    <w:rsid w:val="001C1769"/>
    <w:rsid w:val="001C389F"/>
    <w:rsid w:val="001D1D50"/>
    <w:rsid w:val="001D64C7"/>
    <w:rsid w:val="001D6745"/>
    <w:rsid w:val="001E446E"/>
    <w:rsid w:val="00207DC0"/>
    <w:rsid w:val="002154EE"/>
    <w:rsid w:val="002276D2"/>
    <w:rsid w:val="0023283D"/>
    <w:rsid w:val="00247E74"/>
    <w:rsid w:val="00254393"/>
    <w:rsid w:val="0026373E"/>
    <w:rsid w:val="00271C43"/>
    <w:rsid w:val="00290728"/>
    <w:rsid w:val="002978F4"/>
    <w:rsid w:val="002B028D"/>
    <w:rsid w:val="002C1565"/>
    <w:rsid w:val="002C3F32"/>
    <w:rsid w:val="002E6541"/>
    <w:rsid w:val="00334924"/>
    <w:rsid w:val="003409BC"/>
    <w:rsid w:val="00357185"/>
    <w:rsid w:val="00383829"/>
    <w:rsid w:val="003B62D0"/>
    <w:rsid w:val="003F1048"/>
    <w:rsid w:val="003F4B29"/>
    <w:rsid w:val="00420F8A"/>
    <w:rsid w:val="0042686F"/>
    <w:rsid w:val="004317D8"/>
    <w:rsid w:val="0043260A"/>
    <w:rsid w:val="00434183"/>
    <w:rsid w:val="00443869"/>
    <w:rsid w:val="00447F32"/>
    <w:rsid w:val="0046044D"/>
    <w:rsid w:val="00491BA9"/>
    <w:rsid w:val="004A4701"/>
    <w:rsid w:val="004B7334"/>
    <w:rsid w:val="004E11DC"/>
    <w:rsid w:val="004F086A"/>
    <w:rsid w:val="005130DE"/>
    <w:rsid w:val="00513157"/>
    <w:rsid w:val="005244D5"/>
    <w:rsid w:val="00525DDD"/>
    <w:rsid w:val="005409AC"/>
    <w:rsid w:val="005434E0"/>
    <w:rsid w:val="005546CF"/>
    <w:rsid w:val="0055516A"/>
    <w:rsid w:val="0058491B"/>
    <w:rsid w:val="00592EA5"/>
    <w:rsid w:val="005A3170"/>
    <w:rsid w:val="005D43FC"/>
    <w:rsid w:val="005F5960"/>
    <w:rsid w:val="006200E9"/>
    <w:rsid w:val="00624CC4"/>
    <w:rsid w:val="00660DEA"/>
    <w:rsid w:val="00677396"/>
    <w:rsid w:val="0069200F"/>
    <w:rsid w:val="006936C8"/>
    <w:rsid w:val="006A2A00"/>
    <w:rsid w:val="006A65CB"/>
    <w:rsid w:val="006A7F59"/>
    <w:rsid w:val="006B12E5"/>
    <w:rsid w:val="006C3242"/>
    <w:rsid w:val="006C7CC0"/>
    <w:rsid w:val="006F363C"/>
    <w:rsid w:val="006F63F7"/>
    <w:rsid w:val="007025C7"/>
    <w:rsid w:val="00706D7A"/>
    <w:rsid w:val="00722F0D"/>
    <w:rsid w:val="0074420E"/>
    <w:rsid w:val="007648A6"/>
    <w:rsid w:val="0077110E"/>
    <w:rsid w:val="007810DC"/>
    <w:rsid w:val="00783E26"/>
    <w:rsid w:val="007A6684"/>
    <w:rsid w:val="007B0AA0"/>
    <w:rsid w:val="007C3BC7"/>
    <w:rsid w:val="007C3BCD"/>
    <w:rsid w:val="007D4ACF"/>
    <w:rsid w:val="007F0787"/>
    <w:rsid w:val="00810B7B"/>
    <w:rsid w:val="0082358A"/>
    <w:rsid w:val="008235CD"/>
    <w:rsid w:val="008247DE"/>
    <w:rsid w:val="00826163"/>
    <w:rsid w:val="008339C0"/>
    <w:rsid w:val="00840B10"/>
    <w:rsid w:val="008513CB"/>
    <w:rsid w:val="00874E9F"/>
    <w:rsid w:val="0088013D"/>
    <w:rsid w:val="008A7F84"/>
    <w:rsid w:val="008B0E32"/>
    <w:rsid w:val="009159EC"/>
    <w:rsid w:val="0091702E"/>
    <w:rsid w:val="00921D40"/>
    <w:rsid w:val="00923B0C"/>
    <w:rsid w:val="00924F46"/>
    <w:rsid w:val="00935AAC"/>
    <w:rsid w:val="0094021C"/>
    <w:rsid w:val="00952F86"/>
    <w:rsid w:val="00982B28"/>
    <w:rsid w:val="009D313F"/>
    <w:rsid w:val="009D3DBE"/>
    <w:rsid w:val="009E130E"/>
    <w:rsid w:val="00A47A5A"/>
    <w:rsid w:val="00A63AE6"/>
    <w:rsid w:val="00A6683B"/>
    <w:rsid w:val="00A67F05"/>
    <w:rsid w:val="00A72E73"/>
    <w:rsid w:val="00A97F94"/>
    <w:rsid w:val="00AA7EA2"/>
    <w:rsid w:val="00B03099"/>
    <w:rsid w:val="00B05BC8"/>
    <w:rsid w:val="00B1681B"/>
    <w:rsid w:val="00B16CE6"/>
    <w:rsid w:val="00B30F5E"/>
    <w:rsid w:val="00B358E4"/>
    <w:rsid w:val="00B64B47"/>
    <w:rsid w:val="00B92204"/>
    <w:rsid w:val="00B95654"/>
    <w:rsid w:val="00B97F32"/>
    <w:rsid w:val="00BA04B2"/>
    <w:rsid w:val="00C002DE"/>
    <w:rsid w:val="00C0602B"/>
    <w:rsid w:val="00C224DA"/>
    <w:rsid w:val="00C53BF8"/>
    <w:rsid w:val="00C66157"/>
    <w:rsid w:val="00C674FE"/>
    <w:rsid w:val="00C67501"/>
    <w:rsid w:val="00C75633"/>
    <w:rsid w:val="00CA4399"/>
    <w:rsid w:val="00CD084C"/>
    <w:rsid w:val="00CE2EE1"/>
    <w:rsid w:val="00CE3349"/>
    <w:rsid w:val="00CE36E5"/>
    <w:rsid w:val="00CE4360"/>
    <w:rsid w:val="00CF27F5"/>
    <w:rsid w:val="00CF3FFD"/>
    <w:rsid w:val="00D027FB"/>
    <w:rsid w:val="00D10CCF"/>
    <w:rsid w:val="00D13941"/>
    <w:rsid w:val="00D17867"/>
    <w:rsid w:val="00D23F5F"/>
    <w:rsid w:val="00D24E23"/>
    <w:rsid w:val="00D43F7D"/>
    <w:rsid w:val="00D53DE9"/>
    <w:rsid w:val="00D63735"/>
    <w:rsid w:val="00D77D0F"/>
    <w:rsid w:val="00D87C1A"/>
    <w:rsid w:val="00DA0144"/>
    <w:rsid w:val="00DA1CF0"/>
    <w:rsid w:val="00DB4FB4"/>
    <w:rsid w:val="00DC1E02"/>
    <w:rsid w:val="00DC24B4"/>
    <w:rsid w:val="00DC5FB0"/>
    <w:rsid w:val="00DF16DC"/>
    <w:rsid w:val="00E15AD7"/>
    <w:rsid w:val="00E45211"/>
    <w:rsid w:val="00E473C5"/>
    <w:rsid w:val="00E53807"/>
    <w:rsid w:val="00E61BE8"/>
    <w:rsid w:val="00E80618"/>
    <w:rsid w:val="00E83FF1"/>
    <w:rsid w:val="00E92863"/>
    <w:rsid w:val="00E979B2"/>
    <w:rsid w:val="00EB162D"/>
    <w:rsid w:val="00EB796D"/>
    <w:rsid w:val="00F058DC"/>
    <w:rsid w:val="00F168DB"/>
    <w:rsid w:val="00F24FC4"/>
    <w:rsid w:val="00F2676C"/>
    <w:rsid w:val="00F363FE"/>
    <w:rsid w:val="00F50E3F"/>
    <w:rsid w:val="00F66A32"/>
    <w:rsid w:val="00F75C32"/>
    <w:rsid w:val="00F83FF6"/>
    <w:rsid w:val="00F84366"/>
    <w:rsid w:val="00F85089"/>
    <w:rsid w:val="00F974C5"/>
    <w:rsid w:val="00FA3763"/>
    <w:rsid w:val="00FA6F46"/>
    <w:rsid w:val="00FC0E94"/>
    <w:rsid w:val="00FC4592"/>
    <w:rsid w:val="00FD527F"/>
    <w:rsid w:val="00FE5872"/>
    <w:rsid w:val="00FE7FCA"/>
    <w:rsid w:val="00FF32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C881D"/>
  <w15:chartTrackingRefBased/>
  <w15:docId w15:val="{AE6E529D-E7DC-4E69-ABB8-E4106792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nhideWhenUsed/>
    <w:qFormat/>
    <w:rsid w:val="008235CD"/>
    <w:pPr>
      <w:spacing w:before="1440"/>
      <w:jc w:val="left"/>
    </w:pPr>
  </w:style>
  <w:style w:type="character" w:customStyle="1" w:styleId="SignatureChar">
    <w:name w:val="Signature Char"/>
    <w:basedOn w:val="DefaultParagraphFont"/>
    <w:link w:val="Signature"/>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660DEA"/>
    <w:rPr>
      <w:rFonts w:ascii="Calibri" w:eastAsia="Calibri" w:hAnsi="Calibri" w:cs="Arial"/>
      <w:noProof/>
      <w:color w:val="5B9BD5" w:themeColor="accent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524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SFP-2028-2031/Pages/default.aspx" TargetMode="External"/><Relationship Id="rId13" Type="http://schemas.openxmlformats.org/officeDocument/2006/relationships/hyperlink" Target="https://www.itu.int/md/S25-CL-C-0029/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itu.int/md/S25-CWGSFP2-C-0002/en"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CWGSFP2-C-0013/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139/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4-CWGSFP1-C-0009/en" TargetMode="External"/><Relationship Id="rId23" Type="http://schemas.openxmlformats.org/officeDocument/2006/relationships/header" Target="header2.xml"/><Relationship Id="rId10" Type="http://schemas.openxmlformats.org/officeDocument/2006/relationships/hyperlink" Target="https://www.itu.int/en/council/CWG-SFP-2028-2031/Pages/default.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4-CL-C-0139/en" TargetMode="External"/><Relationship Id="rId14" Type="http://schemas.openxmlformats.org/officeDocument/2006/relationships/hyperlink" Target="https://www.itu.int/md/S25-CWGSFP2-C-0007/en" TargetMode="Externa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1</TotalTime>
  <Pages>5</Pages>
  <Words>709</Words>
  <Characters>4173</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 CWG-SFP</dc:title>
  <dc:subject>Council 2025</dc:subject>
  <cp:keywords>C2025, C25, Council-25</cp:keywords>
  <dc:description/>
  <dcterms:created xsi:type="dcterms:W3CDTF">2025-04-22T06:56:00Z</dcterms:created>
  <dcterms:modified xsi:type="dcterms:W3CDTF">2025-04-22T06:56:00Z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