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A267B0" w14:paraId="36D51EA6" w14:textId="77777777" w:rsidTr="00C538FC">
        <w:trPr>
          <w:cantSplit/>
          <w:trHeight w:val="23"/>
        </w:trPr>
        <w:tc>
          <w:tcPr>
            <w:tcW w:w="3969" w:type="dxa"/>
            <w:vMerge w:val="restart"/>
            <w:tcMar>
              <w:left w:w="0" w:type="dxa"/>
            </w:tcMar>
          </w:tcPr>
          <w:p w14:paraId="1035C19B" w14:textId="19FF44BE" w:rsidR="00FE57F6" w:rsidRPr="00A267B0" w:rsidRDefault="006F3D0E" w:rsidP="008C19E3">
            <w:pPr>
              <w:tabs>
                <w:tab w:val="left" w:pos="851"/>
              </w:tabs>
              <w:spacing w:before="0" w:line="240" w:lineRule="atLeast"/>
              <w:rPr>
                <w:b/>
              </w:rPr>
            </w:pPr>
            <w:bookmarkStart w:id="0" w:name="_Hlk133421839"/>
            <w:r w:rsidRPr="00A267B0">
              <w:rPr>
                <w:b/>
              </w:rPr>
              <w:t>Punto del o</w:t>
            </w:r>
            <w:r w:rsidR="00BB6FD8" w:rsidRPr="00A267B0">
              <w:rPr>
                <w:b/>
              </w:rPr>
              <w:t>rden del día</w:t>
            </w:r>
            <w:r w:rsidR="00FE57F6" w:rsidRPr="00A267B0">
              <w:rPr>
                <w:b/>
              </w:rPr>
              <w:t xml:space="preserve">: </w:t>
            </w:r>
            <w:r w:rsidR="008C19E3" w:rsidRPr="00A267B0">
              <w:rPr>
                <w:b/>
              </w:rPr>
              <w:t>PL 3</w:t>
            </w:r>
          </w:p>
        </w:tc>
        <w:tc>
          <w:tcPr>
            <w:tcW w:w="5245" w:type="dxa"/>
          </w:tcPr>
          <w:p w14:paraId="79511665" w14:textId="0DCCE257" w:rsidR="00FE57F6" w:rsidRPr="00A267B0" w:rsidRDefault="00FE57F6" w:rsidP="00C538FC">
            <w:pPr>
              <w:tabs>
                <w:tab w:val="left" w:pos="851"/>
              </w:tabs>
              <w:spacing w:before="0" w:line="240" w:lineRule="atLeast"/>
              <w:jc w:val="right"/>
              <w:rPr>
                <w:b/>
              </w:rPr>
            </w:pPr>
            <w:r w:rsidRPr="00A267B0">
              <w:rPr>
                <w:b/>
              </w:rPr>
              <w:t>Document</w:t>
            </w:r>
            <w:r w:rsidR="00F24B71" w:rsidRPr="00A267B0">
              <w:rPr>
                <w:b/>
              </w:rPr>
              <w:t>o</w:t>
            </w:r>
            <w:r w:rsidRPr="00A267B0">
              <w:rPr>
                <w:b/>
              </w:rPr>
              <w:t xml:space="preserve"> </w:t>
            </w:r>
            <w:proofErr w:type="spellStart"/>
            <w:r w:rsidRPr="00A267B0">
              <w:rPr>
                <w:b/>
              </w:rPr>
              <w:t>C2</w:t>
            </w:r>
            <w:r w:rsidR="00BB6FD8" w:rsidRPr="00A267B0">
              <w:rPr>
                <w:b/>
              </w:rPr>
              <w:t>5</w:t>
            </w:r>
            <w:proofErr w:type="spellEnd"/>
            <w:r w:rsidRPr="00A267B0">
              <w:rPr>
                <w:b/>
              </w:rPr>
              <w:t>/</w:t>
            </w:r>
            <w:r w:rsidR="008C19E3" w:rsidRPr="00A267B0">
              <w:rPr>
                <w:b/>
              </w:rPr>
              <w:t>30</w:t>
            </w:r>
            <w:r w:rsidRPr="00A267B0">
              <w:rPr>
                <w:b/>
              </w:rPr>
              <w:t>-</w:t>
            </w:r>
            <w:r w:rsidR="00F24B71" w:rsidRPr="00A267B0">
              <w:rPr>
                <w:b/>
              </w:rPr>
              <w:t>S</w:t>
            </w:r>
          </w:p>
        </w:tc>
      </w:tr>
      <w:tr w:rsidR="00FE57F6" w:rsidRPr="00A267B0" w14:paraId="4E1DCBE1" w14:textId="77777777" w:rsidTr="00C538FC">
        <w:trPr>
          <w:cantSplit/>
        </w:trPr>
        <w:tc>
          <w:tcPr>
            <w:tcW w:w="3969" w:type="dxa"/>
            <w:vMerge/>
          </w:tcPr>
          <w:p w14:paraId="290586D2" w14:textId="77777777" w:rsidR="00FE57F6" w:rsidRPr="00A267B0" w:rsidRDefault="00FE57F6" w:rsidP="00C538FC">
            <w:pPr>
              <w:tabs>
                <w:tab w:val="left" w:pos="851"/>
              </w:tabs>
              <w:spacing w:line="240" w:lineRule="atLeast"/>
              <w:rPr>
                <w:b/>
              </w:rPr>
            </w:pPr>
          </w:p>
        </w:tc>
        <w:tc>
          <w:tcPr>
            <w:tcW w:w="5245" w:type="dxa"/>
          </w:tcPr>
          <w:p w14:paraId="5411E8D3" w14:textId="030440D5" w:rsidR="00FE57F6" w:rsidRPr="00A267B0" w:rsidRDefault="008C19E3" w:rsidP="00C538FC">
            <w:pPr>
              <w:tabs>
                <w:tab w:val="left" w:pos="851"/>
              </w:tabs>
              <w:spacing w:before="0"/>
              <w:jc w:val="right"/>
              <w:rPr>
                <w:b/>
              </w:rPr>
            </w:pPr>
            <w:r w:rsidRPr="00A267B0">
              <w:rPr>
                <w:b/>
              </w:rPr>
              <w:t>16 de mayo de 2025</w:t>
            </w:r>
          </w:p>
        </w:tc>
      </w:tr>
      <w:tr w:rsidR="00FE57F6" w:rsidRPr="00A267B0" w14:paraId="204E0CE2" w14:textId="77777777" w:rsidTr="00C538FC">
        <w:trPr>
          <w:cantSplit/>
          <w:trHeight w:val="23"/>
        </w:trPr>
        <w:tc>
          <w:tcPr>
            <w:tcW w:w="3969" w:type="dxa"/>
            <w:vMerge/>
          </w:tcPr>
          <w:p w14:paraId="68235FC9" w14:textId="77777777" w:rsidR="00FE57F6" w:rsidRPr="00A267B0" w:rsidRDefault="00FE57F6" w:rsidP="00C538FC">
            <w:pPr>
              <w:tabs>
                <w:tab w:val="left" w:pos="851"/>
              </w:tabs>
              <w:spacing w:line="240" w:lineRule="atLeast"/>
              <w:rPr>
                <w:b/>
              </w:rPr>
            </w:pPr>
          </w:p>
        </w:tc>
        <w:tc>
          <w:tcPr>
            <w:tcW w:w="5245" w:type="dxa"/>
          </w:tcPr>
          <w:p w14:paraId="301E9530" w14:textId="77777777" w:rsidR="00FE57F6" w:rsidRPr="00A267B0" w:rsidRDefault="00F24B71" w:rsidP="00C538FC">
            <w:pPr>
              <w:tabs>
                <w:tab w:val="left" w:pos="851"/>
              </w:tabs>
              <w:spacing w:before="0" w:line="240" w:lineRule="atLeast"/>
              <w:jc w:val="right"/>
              <w:rPr>
                <w:b/>
                <w:bCs/>
              </w:rPr>
            </w:pPr>
            <w:r w:rsidRPr="00A267B0">
              <w:rPr>
                <w:rFonts w:cstheme="minorHAnsi"/>
                <w:b/>
                <w:bCs/>
              </w:rPr>
              <w:t>Original: inglés</w:t>
            </w:r>
          </w:p>
        </w:tc>
      </w:tr>
      <w:tr w:rsidR="00FE57F6" w:rsidRPr="00A267B0" w14:paraId="76E94C2D" w14:textId="77777777" w:rsidTr="00C538FC">
        <w:trPr>
          <w:cantSplit/>
          <w:trHeight w:val="23"/>
        </w:trPr>
        <w:tc>
          <w:tcPr>
            <w:tcW w:w="3969" w:type="dxa"/>
          </w:tcPr>
          <w:p w14:paraId="6D5107A6" w14:textId="77777777" w:rsidR="00FE57F6" w:rsidRPr="00A267B0" w:rsidRDefault="00FE57F6" w:rsidP="00C538FC">
            <w:pPr>
              <w:tabs>
                <w:tab w:val="left" w:pos="851"/>
              </w:tabs>
              <w:spacing w:line="240" w:lineRule="atLeast"/>
              <w:rPr>
                <w:b/>
              </w:rPr>
            </w:pPr>
          </w:p>
        </w:tc>
        <w:tc>
          <w:tcPr>
            <w:tcW w:w="5245" w:type="dxa"/>
          </w:tcPr>
          <w:p w14:paraId="589F6B6E" w14:textId="77777777" w:rsidR="00FE57F6" w:rsidRPr="00A267B0" w:rsidRDefault="00FE57F6" w:rsidP="00C538FC">
            <w:pPr>
              <w:tabs>
                <w:tab w:val="left" w:pos="851"/>
              </w:tabs>
              <w:spacing w:before="0" w:line="240" w:lineRule="atLeast"/>
              <w:jc w:val="right"/>
              <w:rPr>
                <w:b/>
              </w:rPr>
            </w:pPr>
          </w:p>
        </w:tc>
      </w:tr>
      <w:tr w:rsidR="00FE57F6" w:rsidRPr="00A267B0" w14:paraId="2AAE68DF" w14:textId="77777777" w:rsidTr="00C538FC">
        <w:trPr>
          <w:cantSplit/>
        </w:trPr>
        <w:tc>
          <w:tcPr>
            <w:tcW w:w="9214" w:type="dxa"/>
            <w:gridSpan w:val="2"/>
            <w:tcMar>
              <w:left w:w="0" w:type="dxa"/>
            </w:tcMar>
          </w:tcPr>
          <w:p w14:paraId="6F1C45CB" w14:textId="77777777" w:rsidR="00FE57F6" w:rsidRPr="00A267B0" w:rsidRDefault="00157AC4" w:rsidP="00C538FC">
            <w:pPr>
              <w:pStyle w:val="Source"/>
              <w:jc w:val="left"/>
              <w:rPr>
                <w:sz w:val="34"/>
                <w:szCs w:val="34"/>
              </w:rPr>
            </w:pPr>
            <w:r w:rsidRPr="00A267B0">
              <w:rPr>
                <w:rFonts w:cstheme="minorHAnsi"/>
                <w:sz w:val="34"/>
                <w:szCs w:val="34"/>
              </w:rPr>
              <w:t>Informe de la Secretaria General</w:t>
            </w:r>
          </w:p>
        </w:tc>
      </w:tr>
      <w:tr w:rsidR="00FE57F6" w:rsidRPr="00A267B0" w14:paraId="31AD13D7" w14:textId="77777777" w:rsidTr="00C538FC">
        <w:trPr>
          <w:cantSplit/>
        </w:trPr>
        <w:tc>
          <w:tcPr>
            <w:tcW w:w="9214" w:type="dxa"/>
            <w:gridSpan w:val="2"/>
            <w:tcMar>
              <w:left w:w="0" w:type="dxa"/>
            </w:tcMar>
          </w:tcPr>
          <w:p w14:paraId="7FF9EAAE" w14:textId="278A2288" w:rsidR="00FE57F6" w:rsidRPr="00A267B0" w:rsidRDefault="004848F1" w:rsidP="008C19E3">
            <w:pPr>
              <w:pStyle w:val="Subtitle"/>
              <w:framePr w:hSpace="0" w:wrap="auto" w:vAnchor="margin" w:hAnchor="text" w:xAlign="left" w:yAlign="inline"/>
            </w:pPr>
            <w:bookmarkStart w:id="1" w:name="_Hlk197092446"/>
            <w:r w:rsidRPr="00A267B0">
              <w:t xml:space="preserve">Informe sobre los preparativos para la Conferencia Mundial de Desarrollo de las Telecomunicaciones de </w:t>
            </w:r>
            <w:r w:rsidR="008C19E3" w:rsidRPr="00A267B0">
              <w:t>2025</w:t>
            </w:r>
            <w:bookmarkEnd w:id="1"/>
          </w:p>
        </w:tc>
      </w:tr>
      <w:tr w:rsidR="00FE57F6" w:rsidRPr="00A267B0" w14:paraId="7980D484" w14:textId="77777777" w:rsidTr="00C538FC">
        <w:trPr>
          <w:cantSplit/>
        </w:trPr>
        <w:tc>
          <w:tcPr>
            <w:tcW w:w="9214" w:type="dxa"/>
            <w:gridSpan w:val="2"/>
            <w:tcBorders>
              <w:top w:val="single" w:sz="4" w:space="0" w:color="auto"/>
              <w:bottom w:val="single" w:sz="4" w:space="0" w:color="auto"/>
            </w:tcBorders>
            <w:tcMar>
              <w:left w:w="0" w:type="dxa"/>
            </w:tcMar>
          </w:tcPr>
          <w:p w14:paraId="57DEF80B" w14:textId="77777777" w:rsidR="00FE57F6" w:rsidRPr="00A267B0" w:rsidRDefault="00F24B71" w:rsidP="00C538FC">
            <w:pPr>
              <w:spacing w:before="160"/>
              <w:rPr>
                <w:b/>
                <w:bCs/>
                <w:sz w:val="26"/>
                <w:szCs w:val="26"/>
              </w:rPr>
            </w:pPr>
            <w:r w:rsidRPr="00A267B0">
              <w:rPr>
                <w:b/>
                <w:bCs/>
                <w:sz w:val="26"/>
                <w:szCs w:val="26"/>
              </w:rPr>
              <w:t>Finalidad</w:t>
            </w:r>
          </w:p>
          <w:p w14:paraId="1FDEAF24" w14:textId="155E7818" w:rsidR="00FE57F6" w:rsidRPr="00A267B0" w:rsidRDefault="008C19E3" w:rsidP="008C19E3">
            <w:r w:rsidRPr="00A267B0">
              <w:t>El presente documento contiene información actualizada sobre los preparativos para la Conferencia Mundial de Desarrollo de las Telecomunicaciones de 2025 (</w:t>
            </w:r>
            <w:proofErr w:type="spellStart"/>
            <w:r w:rsidRPr="00A267B0">
              <w:t>CMDT</w:t>
            </w:r>
            <w:proofErr w:type="spellEnd"/>
            <w:r w:rsidRPr="00A267B0">
              <w:t>-25), cuya celebración está prevista en Bakú (Azerbaiyán) del 17 al 28 de noviembre de 2025.</w:t>
            </w:r>
          </w:p>
          <w:p w14:paraId="3CF1B632" w14:textId="77777777" w:rsidR="00FE57F6" w:rsidRPr="00A267B0" w:rsidRDefault="00F24B71" w:rsidP="00C538FC">
            <w:pPr>
              <w:spacing w:before="160"/>
              <w:rPr>
                <w:b/>
                <w:bCs/>
                <w:sz w:val="26"/>
                <w:szCs w:val="26"/>
              </w:rPr>
            </w:pPr>
            <w:r w:rsidRPr="00A267B0">
              <w:rPr>
                <w:b/>
                <w:bCs/>
                <w:sz w:val="26"/>
                <w:szCs w:val="26"/>
              </w:rPr>
              <w:t xml:space="preserve">Acción solicitada </w:t>
            </w:r>
            <w:r w:rsidR="00677A97" w:rsidRPr="00A267B0">
              <w:rPr>
                <w:b/>
                <w:bCs/>
                <w:sz w:val="26"/>
                <w:szCs w:val="26"/>
              </w:rPr>
              <w:t>al</w:t>
            </w:r>
            <w:r w:rsidRPr="00A267B0">
              <w:rPr>
                <w:b/>
                <w:bCs/>
                <w:sz w:val="26"/>
                <w:szCs w:val="26"/>
              </w:rPr>
              <w:t xml:space="preserve"> Consejo</w:t>
            </w:r>
          </w:p>
          <w:p w14:paraId="1FE765E5" w14:textId="71CBCB3F" w:rsidR="00F92BED" w:rsidRPr="00A267B0" w:rsidRDefault="008C19E3" w:rsidP="008C19E3">
            <w:pPr>
              <w:spacing w:before="160"/>
              <w:rPr>
                <w:szCs w:val="24"/>
              </w:rPr>
            </w:pPr>
            <w:r w:rsidRPr="00A267B0">
              <w:rPr>
                <w:szCs w:val="24"/>
              </w:rPr>
              <w:t xml:space="preserve">Se invita al Consejo a </w:t>
            </w:r>
            <w:r w:rsidRPr="00A267B0">
              <w:rPr>
                <w:b/>
                <w:bCs/>
                <w:szCs w:val="24"/>
              </w:rPr>
              <w:t xml:space="preserve">tomar nota </w:t>
            </w:r>
            <w:r w:rsidRPr="00A267B0">
              <w:rPr>
                <w:szCs w:val="24"/>
              </w:rPr>
              <w:t>del presente documento.</w:t>
            </w:r>
          </w:p>
          <w:p w14:paraId="0B3CD1D8" w14:textId="77777777" w:rsidR="00F92BED" w:rsidRPr="00A267B0" w:rsidRDefault="00F92BED" w:rsidP="00F92BED">
            <w:pPr>
              <w:spacing w:before="160"/>
              <w:rPr>
                <w:b/>
                <w:bCs/>
                <w:sz w:val="26"/>
                <w:szCs w:val="26"/>
              </w:rPr>
            </w:pPr>
            <w:r w:rsidRPr="00A267B0">
              <w:rPr>
                <w:b/>
                <w:bCs/>
                <w:sz w:val="26"/>
                <w:szCs w:val="26"/>
              </w:rPr>
              <w:t>Vínculo(s) pertinente(s) con el Plan Estratégico</w:t>
            </w:r>
          </w:p>
          <w:p w14:paraId="374B022B" w14:textId="1A9F1468" w:rsidR="00F92BED" w:rsidRPr="00A267B0" w:rsidRDefault="008C19E3" w:rsidP="008C19E3">
            <w:r w:rsidRPr="00A267B0">
              <w:t>Creación de plataformas; impulso de los Miembros.</w:t>
            </w:r>
          </w:p>
          <w:p w14:paraId="539EF606" w14:textId="77777777" w:rsidR="00F92BED" w:rsidRPr="00A267B0" w:rsidRDefault="00F92BED" w:rsidP="00F92BED">
            <w:pPr>
              <w:spacing w:before="160"/>
              <w:rPr>
                <w:b/>
                <w:bCs/>
                <w:sz w:val="26"/>
                <w:szCs w:val="26"/>
              </w:rPr>
            </w:pPr>
            <w:r w:rsidRPr="00A267B0">
              <w:rPr>
                <w:b/>
                <w:bCs/>
                <w:sz w:val="26"/>
                <w:szCs w:val="26"/>
              </w:rPr>
              <w:t>Repercusiones financieras</w:t>
            </w:r>
          </w:p>
          <w:p w14:paraId="14512C2F" w14:textId="5C872ADE" w:rsidR="00F92BED" w:rsidRPr="00A267B0" w:rsidRDefault="008C19E3" w:rsidP="008C19E3">
            <w:r w:rsidRPr="00A267B0">
              <w:t>Con cargo al presupuesto asignado para 2024-2025.</w:t>
            </w:r>
          </w:p>
          <w:p w14:paraId="0918BF0D" w14:textId="77777777" w:rsidR="00FE57F6" w:rsidRPr="00A267B0" w:rsidRDefault="00FE57F6" w:rsidP="00C538FC">
            <w:pPr>
              <w:spacing w:before="160"/>
              <w:rPr>
                <w:caps/>
                <w:sz w:val="22"/>
              </w:rPr>
            </w:pPr>
            <w:r w:rsidRPr="00A267B0">
              <w:rPr>
                <w:sz w:val="22"/>
              </w:rPr>
              <w:t>__________________</w:t>
            </w:r>
          </w:p>
          <w:p w14:paraId="1565FD23" w14:textId="77415352" w:rsidR="00FE57F6" w:rsidRPr="00A267B0" w:rsidRDefault="00F24B71" w:rsidP="00C538FC">
            <w:pPr>
              <w:spacing w:before="160"/>
              <w:rPr>
                <w:b/>
                <w:bCs/>
                <w:sz w:val="26"/>
                <w:szCs w:val="26"/>
              </w:rPr>
            </w:pPr>
            <w:r w:rsidRPr="00A267B0">
              <w:rPr>
                <w:b/>
                <w:bCs/>
                <w:sz w:val="26"/>
                <w:szCs w:val="26"/>
              </w:rPr>
              <w:t>Referencia</w:t>
            </w:r>
            <w:r w:rsidR="00F92BED" w:rsidRPr="00A267B0">
              <w:rPr>
                <w:b/>
                <w:bCs/>
                <w:sz w:val="26"/>
                <w:szCs w:val="26"/>
              </w:rPr>
              <w:t>s</w:t>
            </w:r>
          </w:p>
          <w:p w14:paraId="04ACF006" w14:textId="7AD25998" w:rsidR="00FE57F6" w:rsidRPr="00120250" w:rsidRDefault="008C19E3" w:rsidP="008C19E3">
            <w:pPr>
              <w:spacing w:after="160"/>
              <w:rPr>
                <w:i/>
                <w:iCs/>
                <w:sz w:val="22"/>
                <w:szCs w:val="22"/>
              </w:rPr>
            </w:pPr>
            <w:hyperlink r:id="rId7" w:history="1">
              <w:r w:rsidRPr="00120250">
                <w:rPr>
                  <w:rStyle w:val="Hyperlink"/>
                  <w:i/>
                  <w:iCs/>
                  <w:sz w:val="22"/>
                  <w:szCs w:val="22"/>
                </w:rPr>
                <w:t>Número 141 de la Constitución de la UIT</w:t>
              </w:r>
            </w:hyperlink>
            <w:r w:rsidRPr="00120250">
              <w:rPr>
                <w:i/>
                <w:iCs/>
                <w:sz w:val="22"/>
                <w:szCs w:val="22"/>
              </w:rPr>
              <w:t xml:space="preserve">; </w:t>
            </w:r>
            <w:hyperlink r:id="rId8" w:history="1">
              <w:r w:rsidRPr="00120250">
                <w:rPr>
                  <w:rStyle w:val="Hyperlink"/>
                  <w:i/>
                  <w:iCs/>
                  <w:sz w:val="22"/>
                  <w:szCs w:val="22"/>
                </w:rPr>
                <w:t>número 42 del Convenio de la UIT</w:t>
              </w:r>
            </w:hyperlink>
            <w:r w:rsidRPr="00120250">
              <w:rPr>
                <w:i/>
                <w:iCs/>
                <w:sz w:val="22"/>
                <w:szCs w:val="22"/>
              </w:rPr>
              <w:t xml:space="preserve">; </w:t>
            </w:r>
            <w:hyperlink r:id="rId9" w:history="1">
              <w:r w:rsidRPr="00120250">
                <w:rPr>
                  <w:rStyle w:val="Hyperlink"/>
                  <w:i/>
                  <w:iCs/>
                  <w:sz w:val="22"/>
                  <w:szCs w:val="22"/>
                </w:rPr>
                <w:t>Capítulo I del Reglamento general de las conferencias, asambleas y reuniones de la Unión</w:t>
              </w:r>
            </w:hyperlink>
            <w:r w:rsidRPr="00120250">
              <w:rPr>
                <w:i/>
                <w:iCs/>
                <w:sz w:val="22"/>
                <w:szCs w:val="22"/>
              </w:rPr>
              <w:t xml:space="preserve">; </w:t>
            </w:r>
            <w:hyperlink r:id="rId10" w:history="1">
              <w:r w:rsidRPr="00120250">
                <w:rPr>
                  <w:rStyle w:val="Hyperlink"/>
                  <w:i/>
                  <w:iCs/>
                  <w:sz w:val="22"/>
                  <w:szCs w:val="22"/>
                </w:rPr>
                <w:t xml:space="preserve">Resolución 77 </w:t>
              </w:r>
            </w:hyperlink>
            <w:r w:rsidRPr="00120250">
              <w:rPr>
                <w:i/>
                <w:iCs/>
                <w:sz w:val="22"/>
                <w:szCs w:val="22"/>
              </w:rPr>
              <w:t xml:space="preserve">(Rev. Bucarest, 2022) de la Conferencia de Plenipotenciarios; </w:t>
            </w:r>
            <w:hyperlink r:id="rId11" w:history="1">
              <w:r w:rsidRPr="00120250">
                <w:rPr>
                  <w:rStyle w:val="Hyperlink"/>
                  <w:i/>
                  <w:iCs/>
                  <w:sz w:val="22"/>
                  <w:szCs w:val="22"/>
                </w:rPr>
                <w:t xml:space="preserve">Resolución 31 </w:t>
              </w:r>
            </w:hyperlink>
            <w:r w:rsidRPr="00120250">
              <w:rPr>
                <w:i/>
                <w:iCs/>
                <w:sz w:val="22"/>
                <w:szCs w:val="22"/>
              </w:rPr>
              <w:t xml:space="preserve">(Rev. Kigali, 2022) de la Conferencia Mundial de Desarrollo de las Telecomunicaciones; Carta Circular </w:t>
            </w:r>
            <w:hyperlink r:id="rId12" w:history="1">
              <w:r w:rsidRPr="00120250">
                <w:rPr>
                  <w:rStyle w:val="Hyperlink"/>
                  <w:i/>
                  <w:iCs/>
                  <w:sz w:val="22"/>
                  <w:szCs w:val="22"/>
                </w:rPr>
                <w:t>CL-24/61</w:t>
              </w:r>
            </w:hyperlink>
            <w:r w:rsidRPr="00120250">
              <w:rPr>
                <w:i/>
                <w:iCs/>
                <w:sz w:val="22"/>
                <w:szCs w:val="22"/>
              </w:rPr>
              <w:t>.</w:t>
            </w:r>
          </w:p>
        </w:tc>
      </w:tr>
      <w:bookmarkEnd w:id="0"/>
    </w:tbl>
    <w:p w14:paraId="5E65D0F3" w14:textId="77777777" w:rsidR="00093EEB" w:rsidRPr="00A267B0" w:rsidRDefault="00093EEB"/>
    <w:p w14:paraId="030DE401" w14:textId="77777777" w:rsidR="001559F5" w:rsidRPr="00A267B0" w:rsidRDefault="001559F5">
      <w:pPr>
        <w:tabs>
          <w:tab w:val="clear" w:pos="567"/>
          <w:tab w:val="clear" w:pos="1134"/>
          <w:tab w:val="clear" w:pos="1701"/>
          <w:tab w:val="clear" w:pos="2268"/>
          <w:tab w:val="clear" w:pos="2835"/>
        </w:tabs>
        <w:overflowPunct/>
        <w:autoSpaceDE/>
        <w:autoSpaceDN/>
        <w:adjustRightInd/>
        <w:spacing w:before="0"/>
        <w:textAlignment w:val="auto"/>
      </w:pPr>
      <w:r w:rsidRPr="00A267B0">
        <w:br w:type="page"/>
      </w:r>
    </w:p>
    <w:p w14:paraId="7B62F73D" w14:textId="495A217B" w:rsidR="008C19E3" w:rsidRPr="00A267B0" w:rsidRDefault="008C19E3" w:rsidP="00120250">
      <w:pPr>
        <w:pStyle w:val="Heading1"/>
      </w:pPr>
      <w:r w:rsidRPr="00A267B0">
        <w:lastRenderedPageBreak/>
        <w:t>1</w:t>
      </w:r>
      <w:r w:rsidRPr="00A267B0">
        <w:tab/>
        <w:t>Antecedentes</w:t>
      </w:r>
    </w:p>
    <w:p w14:paraId="1EB3D95F" w14:textId="6877DAB8" w:rsidR="008C19E3" w:rsidRPr="00A267B0" w:rsidRDefault="008C19E3" w:rsidP="00120250">
      <w:pPr>
        <w:jc w:val="both"/>
      </w:pPr>
      <w:r w:rsidRPr="00A267B0">
        <w:t>1.1</w:t>
      </w:r>
      <w:r w:rsidRPr="00A267B0">
        <w:tab/>
        <w:t>En el número 141 de la Constitución de la UIT se estipula que, entre dos Conferencias de Plenipotenciarios, habrá una Conferencia Mundial de Desarrollo de las Telecomunicaciones (</w:t>
      </w:r>
      <w:proofErr w:type="spellStart"/>
      <w:r w:rsidRPr="00A267B0">
        <w:t>CMDT</w:t>
      </w:r>
      <w:proofErr w:type="spellEnd"/>
      <w:r w:rsidRPr="00A267B0">
        <w:t>).</w:t>
      </w:r>
    </w:p>
    <w:p w14:paraId="74A6CEE0" w14:textId="77777777" w:rsidR="008C19E3" w:rsidRPr="00A267B0" w:rsidRDefault="008C19E3" w:rsidP="00120250">
      <w:pPr>
        <w:jc w:val="both"/>
      </w:pPr>
      <w:r w:rsidRPr="00A267B0">
        <w:t>1.2</w:t>
      </w:r>
      <w:r w:rsidRPr="00A267B0">
        <w:tab/>
        <w:t xml:space="preserve">En la Resolución 77 (Rev. Bucarest, 2022) de la Conferencia de Plenipotenciarios se resuelve que la </w:t>
      </w:r>
      <w:proofErr w:type="spellStart"/>
      <w:r w:rsidRPr="00A267B0">
        <w:t>CMDT</w:t>
      </w:r>
      <w:proofErr w:type="spellEnd"/>
      <w:r w:rsidRPr="00A267B0">
        <w:t>-25 tenga lugar en el último trimestre de 2025 en Bangkok (Tailandia).</w:t>
      </w:r>
    </w:p>
    <w:p w14:paraId="3E5B5E83" w14:textId="65A87306" w:rsidR="008C19E3" w:rsidRPr="00697951" w:rsidRDefault="008C19E3" w:rsidP="00120250">
      <w:pPr>
        <w:jc w:val="both"/>
        <w:rPr>
          <w:spacing w:val="-2"/>
        </w:rPr>
      </w:pPr>
      <w:r w:rsidRPr="00697951">
        <w:rPr>
          <w:spacing w:val="-2"/>
        </w:rPr>
        <w:t>1.3</w:t>
      </w:r>
      <w:r w:rsidRPr="00697951">
        <w:rPr>
          <w:spacing w:val="-2"/>
        </w:rPr>
        <w:tab/>
      </w:r>
      <w:bookmarkStart w:id="2" w:name="OLE_LINK6"/>
      <w:bookmarkStart w:id="3" w:name="OLE_LINK5"/>
      <w:r w:rsidRPr="00697951">
        <w:rPr>
          <w:spacing w:val="-2"/>
        </w:rPr>
        <w:t xml:space="preserve">En el número 42 del Convenio y en el Capítulo I del Reglamento general de las conferencias, asambleas y reuniones de la Unión se requiere, respectivamente, </w:t>
      </w:r>
      <w:proofErr w:type="gramStart"/>
      <w:r w:rsidRPr="00697951">
        <w:rPr>
          <w:spacing w:val="-2"/>
        </w:rPr>
        <w:t>que</w:t>
      </w:r>
      <w:proofErr w:type="gramEnd"/>
      <w:r w:rsidRPr="00697951">
        <w:rPr>
          <w:spacing w:val="-2"/>
        </w:rPr>
        <w:t xml:space="preserve"> en ausencia de una decisión de la Conferencia de Plenipotenciarios, el Consejo apruebe las fechas exactas y el lugar preciso de la </w:t>
      </w:r>
      <w:proofErr w:type="spellStart"/>
      <w:r w:rsidRPr="00697951">
        <w:rPr>
          <w:spacing w:val="-2"/>
        </w:rPr>
        <w:t>CMDT</w:t>
      </w:r>
      <w:proofErr w:type="spellEnd"/>
      <w:r w:rsidRPr="00697951">
        <w:rPr>
          <w:spacing w:val="-2"/>
        </w:rPr>
        <w:t>, con la aprobación de la mayoría de los Estados Miembros.</w:t>
      </w:r>
    </w:p>
    <w:p w14:paraId="52459A3C" w14:textId="77777777" w:rsidR="008C19E3" w:rsidRPr="00A267B0" w:rsidRDefault="008C19E3" w:rsidP="00120250">
      <w:pPr>
        <w:jc w:val="both"/>
      </w:pPr>
      <w:r w:rsidRPr="00A267B0">
        <w:t>1.4</w:t>
      </w:r>
      <w:r w:rsidRPr="00A267B0">
        <w:tab/>
        <w:t xml:space="preserve">En la Resolución 31 (Rev. Kigali, 2022) de la </w:t>
      </w:r>
      <w:proofErr w:type="spellStart"/>
      <w:r w:rsidRPr="00A267B0">
        <w:t>CMDT</w:t>
      </w:r>
      <w:proofErr w:type="spellEnd"/>
      <w:r w:rsidRPr="00A267B0">
        <w:t xml:space="preserve"> se </w:t>
      </w:r>
      <w:r w:rsidRPr="00A267B0">
        <w:rPr>
          <w:iCs/>
        </w:rPr>
        <w:t xml:space="preserve">reafirma la convicción de que ha resultado muy beneficioso que los Estados Miembros coordinaran sus preparativos a nivel regional para las seis regiones </w:t>
      </w:r>
      <w:r w:rsidRPr="00A267B0">
        <w:t>del Sector de Desarrollo de las Telecomunicaciones de la UIT (UIT-D).</w:t>
      </w:r>
    </w:p>
    <w:p w14:paraId="533AD70C" w14:textId="703E6FFB" w:rsidR="008C19E3" w:rsidRPr="00A267B0" w:rsidRDefault="008C19E3" w:rsidP="00120250">
      <w:pPr>
        <w:pStyle w:val="Heading1"/>
      </w:pPr>
      <w:r w:rsidRPr="00A267B0">
        <w:t>2</w:t>
      </w:r>
      <w:r w:rsidRPr="00A267B0">
        <w:tab/>
        <w:t xml:space="preserve">Sitio, </w:t>
      </w:r>
      <w:r w:rsidRPr="00120250">
        <w:t>duración</w:t>
      </w:r>
      <w:r w:rsidRPr="00A267B0">
        <w:t xml:space="preserve">, fechas y lugar de celebración de la </w:t>
      </w:r>
      <w:proofErr w:type="spellStart"/>
      <w:r w:rsidRPr="00A267B0">
        <w:t>CMDT</w:t>
      </w:r>
      <w:proofErr w:type="spellEnd"/>
    </w:p>
    <w:p w14:paraId="1358CCBE" w14:textId="0A51981B" w:rsidR="008C19E3" w:rsidRPr="00A267B0" w:rsidRDefault="008C19E3" w:rsidP="00120250">
      <w:pPr>
        <w:jc w:val="both"/>
      </w:pPr>
      <w:r w:rsidRPr="00A267B0">
        <w:t>2.1</w:t>
      </w:r>
      <w:r w:rsidRPr="00A267B0">
        <w:tab/>
        <w:t>El 7 de diciembre de 2023, la Oficina de la Comisión Nacional de Radiodifusión y Telecomunicaciones comunicó oficialmente a la Secretaria General que, debido a circunstancias imprevistas, Tailandia no podría, lamentablemente, acoger la Conferencia. Por consiguiente, la Secretaria General, a través de la Car</w:t>
      </w:r>
      <w:r w:rsidR="00D363AB" w:rsidRPr="00A267B0">
        <w:t>t</w:t>
      </w:r>
      <w:r w:rsidRPr="00A267B0">
        <w:t xml:space="preserve">a Circular </w:t>
      </w:r>
      <w:hyperlink r:id="rId13" w:history="1">
        <w:r w:rsidRPr="00A267B0">
          <w:rPr>
            <w:rStyle w:val="Hyperlink"/>
          </w:rPr>
          <w:t>CL 23/51</w:t>
        </w:r>
      </w:hyperlink>
      <w:r w:rsidRPr="00A267B0">
        <w:t xml:space="preserve">, invitó a los Estados Miembros interesados en acoger la </w:t>
      </w:r>
      <w:proofErr w:type="spellStart"/>
      <w:r w:rsidRPr="00A267B0">
        <w:t>CMDT</w:t>
      </w:r>
      <w:proofErr w:type="spellEnd"/>
      <w:r w:rsidRPr="00A267B0">
        <w:t>-25 a que le informaran al respecto.</w:t>
      </w:r>
    </w:p>
    <w:p w14:paraId="50B33F48" w14:textId="0299CDC8" w:rsidR="008C19E3" w:rsidRPr="00A267B0" w:rsidRDefault="008C19E3" w:rsidP="00120250">
      <w:pPr>
        <w:jc w:val="both"/>
        <w:rPr>
          <w:iCs/>
        </w:rPr>
      </w:pPr>
      <w:r w:rsidRPr="00A267B0">
        <w:t>2.2</w:t>
      </w:r>
      <w:r w:rsidRPr="00A267B0">
        <w:tab/>
        <w:t xml:space="preserve">El 15 de marzo de 2024, la Secretaria General recibió una invitación del Gobierno de la República de Azerbaiyán. Tras una serie de intercambios con el Director de la Oficina de Desarrollo de las Telecomunicaciones de la UIT (BDT), el Ministro de Desarrollo Digital y Transporte confirmó en una carta, de fecha 3 de abril de 2024, su intención de acoger la conferencia en Bakú a finales de noviembre de 2025. En una carta posterior, de fecha 26 de abril de 2024, se propuso el periodo comprendido entre el 17 y el 28 de noviembre de 2025 </w:t>
      </w:r>
      <w:bookmarkEnd w:id="2"/>
      <w:bookmarkEnd w:id="3"/>
      <w:r w:rsidRPr="00A267B0">
        <w:rPr>
          <w:iCs/>
        </w:rPr>
        <w:t xml:space="preserve">(véase el Anexo 1 al </w:t>
      </w:r>
      <w:r w:rsidRPr="00A267B0">
        <w:t xml:space="preserve">Documento </w:t>
      </w:r>
      <w:hyperlink r:id="rId14" w:history="1">
        <w:proofErr w:type="spellStart"/>
        <w:r w:rsidRPr="00A267B0">
          <w:rPr>
            <w:rStyle w:val="Hyperlink"/>
          </w:rPr>
          <w:t>C24</w:t>
        </w:r>
        <w:proofErr w:type="spellEnd"/>
        <w:r w:rsidRPr="00A267B0">
          <w:rPr>
            <w:rStyle w:val="Hyperlink"/>
          </w:rPr>
          <w:t>/30(</w:t>
        </w:r>
        <w:proofErr w:type="spellStart"/>
        <w:r w:rsidRPr="00A267B0">
          <w:rPr>
            <w:rStyle w:val="Hyperlink"/>
          </w:rPr>
          <w:t>Rev.1</w:t>
        </w:r>
        <w:proofErr w:type="spellEnd"/>
        <w:r w:rsidRPr="00A267B0">
          <w:rPr>
            <w:rStyle w:val="Hyperlink"/>
          </w:rPr>
          <w:t>)</w:t>
        </w:r>
      </w:hyperlink>
      <w:r w:rsidRPr="00A267B0">
        <w:rPr>
          <w:iCs/>
        </w:rPr>
        <w:t>).</w:t>
      </w:r>
    </w:p>
    <w:p w14:paraId="078F9815" w14:textId="2CF78FDF" w:rsidR="008C19E3" w:rsidRPr="00A267B0" w:rsidRDefault="008C19E3" w:rsidP="00120250">
      <w:pPr>
        <w:jc w:val="both"/>
      </w:pPr>
      <w:r w:rsidRPr="00A267B0">
        <w:t>2.3</w:t>
      </w:r>
      <w:r w:rsidRPr="00A267B0">
        <w:tab/>
        <w:t xml:space="preserve">El lugar preciso, las fechas exactas y el proyecto de orden del día de la próxima </w:t>
      </w:r>
      <w:proofErr w:type="spellStart"/>
      <w:r w:rsidRPr="00A267B0">
        <w:t>CMDT</w:t>
      </w:r>
      <w:proofErr w:type="spellEnd"/>
      <w:r w:rsidR="00D363AB" w:rsidRPr="00A267B0">
        <w:noBreakHyphen/>
      </w:r>
      <w:r w:rsidRPr="00A267B0">
        <w:t xml:space="preserve">25 se presentaron por conducto del Documento </w:t>
      </w:r>
      <w:hyperlink r:id="rId15" w:history="1">
        <w:proofErr w:type="spellStart"/>
        <w:r w:rsidRPr="00A267B0">
          <w:rPr>
            <w:rStyle w:val="Hyperlink"/>
          </w:rPr>
          <w:t>C24</w:t>
        </w:r>
        <w:proofErr w:type="spellEnd"/>
        <w:r w:rsidRPr="00A267B0">
          <w:rPr>
            <w:rStyle w:val="Hyperlink"/>
          </w:rPr>
          <w:t>/30(</w:t>
        </w:r>
        <w:proofErr w:type="spellStart"/>
        <w:r w:rsidRPr="00A267B0">
          <w:rPr>
            <w:rStyle w:val="Hyperlink"/>
          </w:rPr>
          <w:t>Rev.1</w:t>
        </w:r>
        <w:proofErr w:type="spellEnd"/>
        <w:r w:rsidRPr="00A267B0">
          <w:rPr>
            <w:rStyle w:val="Hyperlink"/>
          </w:rPr>
          <w:t>)</w:t>
        </w:r>
        <w:r w:rsidRPr="00A267B0">
          <w:rPr>
            <w:rStyle w:val="Hyperlink"/>
            <w:color w:val="auto"/>
            <w:u w:val="none"/>
          </w:rPr>
          <w:t xml:space="preserve"> </w:t>
        </w:r>
      </w:hyperlink>
      <w:r w:rsidRPr="00A267B0">
        <w:t>para su aprobación por el Consejo, a reserva del consentimiento de la mayoría de los Estados Miembros de la Unión.</w:t>
      </w:r>
    </w:p>
    <w:p w14:paraId="2ACA18D3" w14:textId="07942D3B" w:rsidR="008C19E3" w:rsidRPr="00A267B0" w:rsidRDefault="008C19E3" w:rsidP="00120250">
      <w:pPr>
        <w:jc w:val="both"/>
      </w:pPr>
      <w:r w:rsidRPr="00A267B0">
        <w:t>2.4</w:t>
      </w:r>
      <w:r w:rsidRPr="00A267B0">
        <w:tab/>
        <w:t>El proyecto de orden del día también se sometió a la consideración y aprobación del Grupo Asesor de Desarrollo de las Telecomunicaciones (</w:t>
      </w:r>
      <w:proofErr w:type="spellStart"/>
      <w:r w:rsidRPr="00A267B0">
        <w:t>GADT</w:t>
      </w:r>
      <w:proofErr w:type="spellEnd"/>
      <w:r w:rsidRPr="00A267B0">
        <w:t xml:space="preserve">) (20-23 de mayo de 2024) (véase el Documento </w:t>
      </w:r>
      <w:hyperlink r:id="rId16" w:history="1">
        <w:proofErr w:type="spellStart"/>
        <w:r w:rsidRPr="00A267B0">
          <w:rPr>
            <w:rStyle w:val="Hyperlink"/>
          </w:rPr>
          <w:t>TDAG</w:t>
        </w:r>
        <w:proofErr w:type="spellEnd"/>
        <w:r w:rsidRPr="00A267B0">
          <w:rPr>
            <w:rStyle w:val="Hyperlink"/>
          </w:rPr>
          <w:t>-24/24</w:t>
        </w:r>
      </w:hyperlink>
      <w:r w:rsidRPr="00A267B0">
        <w:t>).</w:t>
      </w:r>
    </w:p>
    <w:p w14:paraId="26271D29" w14:textId="4E4B734C" w:rsidR="008C19E3" w:rsidRPr="00A267B0" w:rsidRDefault="008C19E3" w:rsidP="00120250">
      <w:pPr>
        <w:jc w:val="both"/>
      </w:pPr>
      <w:r w:rsidRPr="00A267B0">
        <w:t>2.5</w:t>
      </w:r>
      <w:r w:rsidRPr="00A267B0">
        <w:tab/>
        <w:t xml:space="preserve">El Consejo adoptó el </w:t>
      </w:r>
      <w:hyperlink r:id="rId17" w:history="1">
        <w:r w:rsidRPr="00A267B0">
          <w:rPr>
            <w:rStyle w:val="Hyperlink"/>
          </w:rPr>
          <w:t>Acuerdo 637 (</w:t>
        </w:r>
        <w:proofErr w:type="spellStart"/>
        <w:r w:rsidRPr="00A267B0">
          <w:rPr>
            <w:rStyle w:val="Hyperlink"/>
          </w:rPr>
          <w:t>C24</w:t>
        </w:r>
        <w:proofErr w:type="spellEnd"/>
        <w:r w:rsidRPr="00A267B0">
          <w:rPr>
            <w:rStyle w:val="Hyperlink"/>
          </w:rPr>
          <w:t>)</w:t>
        </w:r>
      </w:hyperlink>
      <w:r w:rsidRPr="00A267B0">
        <w:t>, relativo a la convocatoria de la Conferencia Mundial de Desarrollo de las Telecomunicaciones de 2025 (</w:t>
      </w:r>
      <w:proofErr w:type="spellStart"/>
      <w:r w:rsidRPr="00A267B0">
        <w:t>CMDT</w:t>
      </w:r>
      <w:proofErr w:type="spellEnd"/>
      <w:r w:rsidRPr="00A267B0">
        <w:t xml:space="preserve">-25), y aprobó el proyecto de orden del día que figura en el Anexo 3 al Documento </w:t>
      </w:r>
      <w:hyperlink r:id="rId18" w:history="1">
        <w:proofErr w:type="spellStart"/>
        <w:r w:rsidRPr="00A267B0">
          <w:rPr>
            <w:rStyle w:val="Hyperlink"/>
          </w:rPr>
          <w:t>C24</w:t>
        </w:r>
        <w:proofErr w:type="spellEnd"/>
        <w:r w:rsidRPr="00A267B0">
          <w:rPr>
            <w:rStyle w:val="Hyperlink"/>
          </w:rPr>
          <w:t>/30(</w:t>
        </w:r>
        <w:proofErr w:type="spellStart"/>
        <w:r w:rsidRPr="00A267B0">
          <w:rPr>
            <w:rStyle w:val="Hyperlink"/>
          </w:rPr>
          <w:t>Rev.1</w:t>
        </w:r>
        <w:proofErr w:type="spellEnd"/>
        <w:r w:rsidRPr="00A267B0">
          <w:rPr>
            <w:rStyle w:val="Hyperlink"/>
          </w:rPr>
          <w:t>)</w:t>
        </w:r>
      </w:hyperlink>
      <w:r w:rsidRPr="00A267B0">
        <w:t>.</w:t>
      </w:r>
    </w:p>
    <w:p w14:paraId="459684D0" w14:textId="51958CC2" w:rsidR="008C19E3" w:rsidRPr="00A267B0" w:rsidRDefault="008C19E3" w:rsidP="00120250">
      <w:pPr>
        <w:jc w:val="both"/>
      </w:pPr>
      <w:r w:rsidRPr="00A267B0">
        <w:t>2.6</w:t>
      </w:r>
      <w:r w:rsidRPr="00A267B0">
        <w:tab/>
        <w:t xml:space="preserve">Mediante la Carta Circular </w:t>
      </w:r>
      <w:hyperlink r:id="rId19" w:history="1">
        <w:r w:rsidRPr="00A267B0">
          <w:rPr>
            <w:rStyle w:val="Hyperlink"/>
          </w:rPr>
          <w:t>CL-24/38</w:t>
        </w:r>
      </w:hyperlink>
      <w:r w:rsidRPr="00A267B0">
        <w:t xml:space="preserve">, de fecha 24 de junio de 2024, se invitó a los Estados Miembros de la UIT a confirmar por escrito su conformidad con el lugar preciso y las fechas exactas de la </w:t>
      </w:r>
      <w:proofErr w:type="spellStart"/>
      <w:r w:rsidRPr="00A267B0">
        <w:t>CMDT</w:t>
      </w:r>
      <w:proofErr w:type="spellEnd"/>
      <w:r w:rsidRPr="00A267B0">
        <w:t xml:space="preserve"> antes del 31 de agosto de 2024.</w:t>
      </w:r>
    </w:p>
    <w:p w14:paraId="3A71EE03" w14:textId="0B61A5A8" w:rsidR="008C19E3" w:rsidRPr="00697951" w:rsidRDefault="008C19E3" w:rsidP="00120250">
      <w:pPr>
        <w:jc w:val="both"/>
        <w:rPr>
          <w:spacing w:val="-3"/>
        </w:rPr>
      </w:pPr>
      <w:r w:rsidRPr="00697951">
        <w:rPr>
          <w:spacing w:val="-3"/>
        </w:rPr>
        <w:t>2.7</w:t>
      </w:r>
      <w:r w:rsidRPr="00697951">
        <w:rPr>
          <w:spacing w:val="-3"/>
        </w:rPr>
        <w:tab/>
        <w:t xml:space="preserve">Mediante la Carta Circular </w:t>
      </w:r>
      <w:hyperlink r:id="rId20" w:history="1">
        <w:r w:rsidRPr="00697951">
          <w:rPr>
            <w:rStyle w:val="Hyperlink"/>
            <w:spacing w:val="-3"/>
          </w:rPr>
          <w:t>CL-24/61</w:t>
        </w:r>
      </w:hyperlink>
      <w:r w:rsidRPr="00697951">
        <w:rPr>
          <w:spacing w:val="-3"/>
        </w:rPr>
        <w:t xml:space="preserve">, de fecha 31 de octubre de 2024, se informó a los Estados Miembros de la UIT de que, en el marco de la consulta por correspondencia llevada a </w:t>
      </w:r>
      <w:r w:rsidRPr="00697951">
        <w:rPr>
          <w:spacing w:val="-3"/>
        </w:rPr>
        <w:lastRenderedPageBreak/>
        <w:t xml:space="preserve">cabo según lo indicado anteriormente, se había recibido el acuerdo de la mayoría de </w:t>
      </w:r>
      <w:proofErr w:type="gramStart"/>
      <w:r w:rsidRPr="00697951">
        <w:rPr>
          <w:spacing w:val="-3"/>
        </w:rPr>
        <w:t>Estados</w:t>
      </w:r>
      <w:proofErr w:type="gramEnd"/>
      <w:r w:rsidRPr="00697951">
        <w:rPr>
          <w:spacing w:val="-3"/>
        </w:rPr>
        <w:t xml:space="preserve"> Miembros de la UIT requerida, de conformidad con los números 42 y 213 del Convenio de la UIT.</w:t>
      </w:r>
    </w:p>
    <w:p w14:paraId="3FC4C9BF" w14:textId="6E005D35" w:rsidR="008C19E3" w:rsidRPr="00A267B0" w:rsidRDefault="008C19E3" w:rsidP="00120250">
      <w:pPr>
        <w:jc w:val="both"/>
      </w:pPr>
      <w:r w:rsidRPr="00A267B0">
        <w:t>2.8</w:t>
      </w:r>
      <w:r w:rsidRPr="00A267B0">
        <w:tab/>
        <w:t xml:space="preserve">El 31 de octubre de 2024, el Director de la BDT envió una serie de </w:t>
      </w:r>
      <w:hyperlink r:id="rId21" w:history="1">
        <w:r w:rsidRPr="00A267B0">
          <w:rPr>
            <w:rStyle w:val="Hyperlink"/>
          </w:rPr>
          <w:t>cartas</w:t>
        </w:r>
      </w:hyperlink>
      <w:r w:rsidRPr="00A267B0">
        <w:t xml:space="preserve"> oficiales a los miembros y observadores del UIT-D, con el objetivo de invitarles a asistir a la </w:t>
      </w:r>
      <w:proofErr w:type="spellStart"/>
      <w:r w:rsidRPr="00A267B0">
        <w:t>CMDT</w:t>
      </w:r>
      <w:proofErr w:type="spellEnd"/>
      <w:r w:rsidRPr="00A267B0">
        <w:t>-25.</w:t>
      </w:r>
    </w:p>
    <w:p w14:paraId="7B7C8A5C" w14:textId="77777777" w:rsidR="008C19E3" w:rsidRPr="00A267B0" w:rsidRDefault="008C19E3" w:rsidP="00120250">
      <w:pPr>
        <w:jc w:val="both"/>
      </w:pPr>
      <w:r w:rsidRPr="00A267B0">
        <w:t>2.9</w:t>
      </w:r>
      <w:r w:rsidRPr="00A267B0">
        <w:tab/>
        <w:t>Los equipos de la UIT y del país anfitrión están trabajando diligentemente en todos los aspectos relacionados con la planificación, coordinación y organización satisfactoria de la Conferencia, incluidos los temas logísticos, los lugares de celebración, el transporte, los viajes de los delegados, la seguridad, el alojamiento y los servicios a los invitados. El acuerdo con el país anfitrión se encuentra actualmente en las fases finales de firma y, en principio, se suscribirá en la reunión de 2025 del Consejo.</w:t>
      </w:r>
    </w:p>
    <w:p w14:paraId="73D4F3CA" w14:textId="1F04B836" w:rsidR="008C19E3" w:rsidRPr="00A267B0" w:rsidRDefault="008C19E3" w:rsidP="00120250">
      <w:pPr>
        <w:jc w:val="both"/>
      </w:pPr>
      <w:r w:rsidRPr="00A267B0">
        <w:t>2.10</w:t>
      </w:r>
      <w:r w:rsidRPr="00A267B0">
        <w:tab/>
        <w:t>Del 10 al 14 de febrero de 2025, un equipo de la UIT realizó una primera visita a las instalaciones, durante la cual evaluó los posibles lugares de celebración de la Conferencia e identificó hoteles adecuados para alojar a los delegados. La nota de información práctica para los participantes se publicará a su debido tiempo.</w:t>
      </w:r>
    </w:p>
    <w:p w14:paraId="4B997CB3" w14:textId="77777777" w:rsidR="008C19E3" w:rsidRPr="00A267B0" w:rsidRDefault="008C19E3" w:rsidP="00120250">
      <w:pPr>
        <w:jc w:val="both"/>
      </w:pPr>
      <w:r w:rsidRPr="00A267B0">
        <w:t>2.11</w:t>
      </w:r>
      <w:r w:rsidRPr="00A267B0">
        <w:tab/>
        <w:t xml:space="preserve">La participación en la Conferencia Mundial de Desarrollo de las Telecomunicaciones está restringida a los miembros de la UIT. La inscripción anticipada ya está </w:t>
      </w:r>
      <w:hyperlink r:id="rId22" w:anchor="/es" w:history="1">
        <w:r w:rsidRPr="00A267B0">
          <w:rPr>
            <w:rStyle w:val="Hyperlink"/>
          </w:rPr>
          <w:t>abierta en línea</w:t>
        </w:r>
      </w:hyperlink>
      <w:r w:rsidRPr="00A267B0">
        <w:t>.</w:t>
      </w:r>
    </w:p>
    <w:p w14:paraId="5A51C3A8" w14:textId="4AC7C162" w:rsidR="008C19E3" w:rsidRPr="00A267B0" w:rsidRDefault="008C19E3" w:rsidP="00120250">
      <w:pPr>
        <w:pStyle w:val="Heading1"/>
        <w:jc w:val="both"/>
      </w:pPr>
      <w:r w:rsidRPr="00A267B0">
        <w:t>3</w:t>
      </w:r>
      <w:r w:rsidRPr="00A267B0">
        <w:tab/>
        <w:t>Preparativos para la Conferencia</w:t>
      </w:r>
    </w:p>
    <w:p w14:paraId="0DCBDBB3" w14:textId="77777777" w:rsidR="008C19E3" w:rsidRPr="00A267B0" w:rsidRDefault="008C19E3" w:rsidP="00120250">
      <w:pPr>
        <w:jc w:val="both"/>
      </w:pPr>
      <w:r w:rsidRPr="00A267B0">
        <w:t>3.1</w:t>
      </w:r>
      <w:r w:rsidRPr="00A267B0">
        <w:tab/>
        <w:t xml:space="preserve">Los debates sobre el proceso preparatorio de la Conferencia y la elaboración de resultados orientados a lograr repercusiones comenzaron durante el </w:t>
      </w:r>
      <w:hyperlink r:id="rId23" w:history="1">
        <w:proofErr w:type="spellStart"/>
        <w:r w:rsidRPr="00A267B0">
          <w:rPr>
            <w:rStyle w:val="Hyperlink"/>
          </w:rPr>
          <w:t>GADT</w:t>
        </w:r>
        <w:proofErr w:type="spellEnd"/>
        <w:r w:rsidRPr="00A267B0">
          <w:rPr>
            <w:rStyle w:val="Hyperlink"/>
          </w:rPr>
          <w:t>-23</w:t>
        </w:r>
      </w:hyperlink>
      <w:r w:rsidRPr="00A267B0">
        <w:t xml:space="preserve">. La reunión acordó crear los siguientes dos grupos de trabajo para preparar la </w:t>
      </w:r>
      <w:proofErr w:type="spellStart"/>
      <w:r w:rsidRPr="00A267B0">
        <w:t>CMDT</w:t>
      </w:r>
      <w:proofErr w:type="spellEnd"/>
      <w:r w:rsidRPr="00A267B0">
        <w:t>-25 y adoptó su mandato:</w:t>
      </w:r>
    </w:p>
    <w:p w14:paraId="60B8296F" w14:textId="300C3490" w:rsidR="008C19E3" w:rsidRPr="00A267B0" w:rsidRDefault="007924FF" w:rsidP="00120250">
      <w:pPr>
        <w:pStyle w:val="enumlev1"/>
      </w:pPr>
      <w:r w:rsidRPr="00A267B0">
        <w:t>•</w:t>
      </w:r>
      <w:r w:rsidRPr="00A267B0">
        <w:tab/>
      </w:r>
      <w:hyperlink r:id="rId24" w:history="1">
        <w:r w:rsidR="008C19E3" w:rsidRPr="00A267B0">
          <w:rPr>
            <w:rStyle w:val="Hyperlink"/>
          </w:rPr>
          <w:t xml:space="preserve">Grupo de Trabajo del </w:t>
        </w:r>
        <w:proofErr w:type="spellStart"/>
        <w:r w:rsidR="008C19E3" w:rsidRPr="00A267B0">
          <w:rPr>
            <w:rStyle w:val="Hyperlink"/>
          </w:rPr>
          <w:t>GADT</w:t>
        </w:r>
        <w:proofErr w:type="spellEnd"/>
        <w:r w:rsidR="008C19E3" w:rsidRPr="00A267B0">
          <w:rPr>
            <w:rStyle w:val="Hyperlink"/>
          </w:rPr>
          <w:t xml:space="preserve"> sobre el futuro de las Cuestiones de las Comisiones de Estudio</w:t>
        </w:r>
      </w:hyperlink>
      <w:r w:rsidR="008C19E3" w:rsidRPr="00A267B0">
        <w:t xml:space="preserve"> (GT-</w:t>
      </w:r>
      <w:proofErr w:type="spellStart"/>
      <w:r w:rsidR="008C19E3" w:rsidRPr="00A267B0">
        <w:t>GADT</w:t>
      </w:r>
      <w:proofErr w:type="spellEnd"/>
      <w:r w:rsidR="008C19E3" w:rsidRPr="00A267B0">
        <w:t>-</w:t>
      </w:r>
      <w:proofErr w:type="spellStart"/>
      <w:r w:rsidR="008C19E3" w:rsidRPr="00A267B0">
        <w:t>futurasCCE</w:t>
      </w:r>
      <w:proofErr w:type="spellEnd"/>
      <w:r w:rsidR="008C19E3" w:rsidRPr="00A267B0">
        <w:t>)</w:t>
      </w:r>
      <w:r w:rsidR="009250D7" w:rsidRPr="00A267B0">
        <w:t>;</w:t>
      </w:r>
      <w:r w:rsidR="008C19E3" w:rsidRPr="00A267B0">
        <w:t xml:space="preserve"> y</w:t>
      </w:r>
    </w:p>
    <w:p w14:paraId="141A6523" w14:textId="14EABF23" w:rsidR="008C19E3" w:rsidRPr="00A267B0" w:rsidRDefault="007924FF" w:rsidP="00120250">
      <w:pPr>
        <w:pStyle w:val="enumlev1"/>
      </w:pPr>
      <w:r w:rsidRPr="00A267B0">
        <w:t>•</w:t>
      </w:r>
      <w:r w:rsidRPr="00A267B0">
        <w:tab/>
      </w:r>
      <w:hyperlink r:id="rId25" w:history="1">
        <w:r w:rsidR="008C19E3" w:rsidRPr="00A267B0">
          <w:rPr>
            <w:rStyle w:val="Hyperlink"/>
          </w:rPr>
          <w:t xml:space="preserve">Grupo de Trabajo del </w:t>
        </w:r>
        <w:proofErr w:type="spellStart"/>
        <w:r w:rsidR="008C19E3" w:rsidRPr="00A267B0">
          <w:rPr>
            <w:rStyle w:val="Hyperlink"/>
          </w:rPr>
          <w:t>GADT</w:t>
        </w:r>
        <w:proofErr w:type="spellEnd"/>
        <w:r w:rsidR="008C19E3" w:rsidRPr="00A267B0">
          <w:rPr>
            <w:rStyle w:val="Hyperlink"/>
          </w:rPr>
          <w:t xml:space="preserve"> sobre la racionalización de las Resoluciones (GT-</w:t>
        </w:r>
        <w:proofErr w:type="spellStart"/>
        <w:r w:rsidR="008C19E3" w:rsidRPr="00A267B0">
          <w:rPr>
            <w:rStyle w:val="Hyperlink"/>
          </w:rPr>
          <w:t>GADT</w:t>
        </w:r>
        <w:proofErr w:type="spellEnd"/>
        <w:r w:rsidR="008C19E3" w:rsidRPr="00A267B0">
          <w:rPr>
            <w:rStyle w:val="Hyperlink"/>
          </w:rPr>
          <w:t>-</w:t>
        </w:r>
        <w:proofErr w:type="spellStart"/>
        <w:r w:rsidR="008C19E3" w:rsidRPr="00A267B0">
          <w:rPr>
            <w:rStyle w:val="Hyperlink"/>
          </w:rPr>
          <w:t>RR</w:t>
        </w:r>
        <w:proofErr w:type="spellEnd"/>
        <w:r w:rsidR="008C19E3" w:rsidRPr="00A267B0">
          <w:rPr>
            <w:rStyle w:val="Hyperlink"/>
          </w:rPr>
          <w:t>)</w:t>
        </w:r>
      </w:hyperlink>
      <w:r w:rsidR="008C19E3" w:rsidRPr="00A267B0">
        <w:t>.</w:t>
      </w:r>
    </w:p>
    <w:p w14:paraId="53A6B313" w14:textId="77777777" w:rsidR="008C19E3" w:rsidRPr="00A267B0" w:rsidRDefault="008C19E3" w:rsidP="00120250">
      <w:pPr>
        <w:jc w:val="both"/>
      </w:pPr>
      <w:r w:rsidRPr="00A267B0">
        <w:t>3.2</w:t>
      </w:r>
      <w:r w:rsidRPr="00A267B0">
        <w:tab/>
        <w:t xml:space="preserve">Además, el </w:t>
      </w:r>
      <w:hyperlink r:id="rId26" w:history="1">
        <w:proofErr w:type="spellStart"/>
        <w:r w:rsidRPr="00A267B0">
          <w:rPr>
            <w:rStyle w:val="Hyperlink"/>
          </w:rPr>
          <w:t>GADT</w:t>
        </w:r>
        <w:proofErr w:type="spellEnd"/>
        <w:r w:rsidRPr="00A267B0">
          <w:rPr>
            <w:rStyle w:val="Hyperlink"/>
          </w:rPr>
          <w:t>-24</w:t>
        </w:r>
      </w:hyperlink>
      <w:r w:rsidRPr="00A267B0">
        <w:t xml:space="preserve"> creó los siguientes tres grupos adicionales para facilitar los preparativos de la </w:t>
      </w:r>
      <w:proofErr w:type="spellStart"/>
      <w:r w:rsidRPr="00A267B0">
        <w:t>CMDT</w:t>
      </w:r>
      <w:proofErr w:type="spellEnd"/>
      <w:r w:rsidRPr="00A267B0">
        <w:t>-25 y adoptó sus mandatos:</w:t>
      </w:r>
    </w:p>
    <w:p w14:paraId="3D30C50E" w14:textId="57402E5A" w:rsidR="008C19E3" w:rsidRPr="00A267B0" w:rsidRDefault="007924FF" w:rsidP="00120250">
      <w:pPr>
        <w:pStyle w:val="enumlev1"/>
      </w:pPr>
      <w:r w:rsidRPr="00A267B0">
        <w:t>•</w:t>
      </w:r>
      <w:r w:rsidRPr="00A267B0">
        <w:tab/>
      </w:r>
      <w:hyperlink r:id="rId27" w:history="1">
        <w:r w:rsidR="008C19E3" w:rsidRPr="00A267B0">
          <w:rPr>
            <w:rStyle w:val="Hyperlink"/>
          </w:rPr>
          <w:t xml:space="preserve">Grupo de Trabajo del </w:t>
        </w:r>
        <w:proofErr w:type="spellStart"/>
        <w:r w:rsidR="008C19E3" w:rsidRPr="00A267B0">
          <w:rPr>
            <w:rStyle w:val="Hyperlink"/>
          </w:rPr>
          <w:t>GADT</w:t>
        </w:r>
        <w:proofErr w:type="spellEnd"/>
        <w:r w:rsidR="008C19E3" w:rsidRPr="00A267B0">
          <w:rPr>
            <w:rStyle w:val="Hyperlink"/>
          </w:rPr>
          <w:t xml:space="preserve"> sobre las prioridades del UIT-D</w:t>
        </w:r>
      </w:hyperlink>
      <w:r w:rsidR="008C19E3" w:rsidRPr="00A267B0">
        <w:t xml:space="preserve"> (</w:t>
      </w:r>
      <w:proofErr w:type="spellStart"/>
      <w:r w:rsidR="008C19E3" w:rsidRPr="00A267B0">
        <w:t>GADT</w:t>
      </w:r>
      <w:proofErr w:type="spellEnd"/>
      <w:r w:rsidR="008C19E3" w:rsidRPr="00A267B0">
        <w:t>-GT-</w:t>
      </w:r>
      <w:proofErr w:type="spellStart"/>
      <w:r w:rsidR="008C19E3" w:rsidRPr="00A267B0">
        <w:t>PUITD</w:t>
      </w:r>
      <w:proofErr w:type="spellEnd"/>
      <w:r w:rsidR="008C19E3" w:rsidRPr="00A267B0">
        <w:t>)</w:t>
      </w:r>
      <w:r w:rsidR="009250D7" w:rsidRPr="00A267B0">
        <w:t>;</w:t>
      </w:r>
    </w:p>
    <w:p w14:paraId="13048C2C" w14:textId="1499955F" w:rsidR="008C19E3" w:rsidRPr="00A267B0" w:rsidRDefault="007924FF" w:rsidP="00120250">
      <w:pPr>
        <w:pStyle w:val="enumlev1"/>
      </w:pPr>
      <w:r w:rsidRPr="00A267B0">
        <w:t>•</w:t>
      </w:r>
      <w:r w:rsidRPr="00A267B0">
        <w:tab/>
      </w:r>
      <w:hyperlink r:id="rId28" w:history="1">
        <w:r w:rsidR="008C19E3" w:rsidRPr="00A267B0">
          <w:rPr>
            <w:rStyle w:val="Hyperlink"/>
          </w:rPr>
          <w:t xml:space="preserve">Grupo de Trabajo del </w:t>
        </w:r>
        <w:proofErr w:type="spellStart"/>
        <w:r w:rsidR="008C19E3" w:rsidRPr="00A267B0">
          <w:rPr>
            <w:rStyle w:val="Hyperlink"/>
          </w:rPr>
          <w:t>GADT</w:t>
        </w:r>
        <w:proofErr w:type="spellEnd"/>
        <w:r w:rsidR="008C19E3" w:rsidRPr="00A267B0">
          <w:rPr>
            <w:rStyle w:val="Hyperlink"/>
          </w:rPr>
          <w:t xml:space="preserve"> sobre la Declaración de la </w:t>
        </w:r>
        <w:proofErr w:type="spellStart"/>
        <w:r w:rsidR="008C19E3" w:rsidRPr="00A267B0">
          <w:rPr>
            <w:rStyle w:val="Hyperlink"/>
          </w:rPr>
          <w:t>CMDT</w:t>
        </w:r>
        <w:proofErr w:type="spellEnd"/>
      </w:hyperlink>
      <w:r w:rsidR="008C19E3" w:rsidRPr="00A267B0">
        <w:t xml:space="preserve"> (GT-</w:t>
      </w:r>
      <w:proofErr w:type="spellStart"/>
      <w:r w:rsidR="008C19E3" w:rsidRPr="00A267B0">
        <w:t>GADT</w:t>
      </w:r>
      <w:proofErr w:type="spellEnd"/>
      <w:r w:rsidR="008C19E3" w:rsidRPr="00A267B0">
        <w:t>-DEC)</w:t>
      </w:r>
      <w:r w:rsidR="009250D7" w:rsidRPr="00A267B0">
        <w:t>;</w:t>
      </w:r>
      <w:r w:rsidR="008C19E3" w:rsidRPr="00A267B0">
        <w:t xml:space="preserve"> y</w:t>
      </w:r>
    </w:p>
    <w:p w14:paraId="30821E8B" w14:textId="48ABF882" w:rsidR="008C19E3" w:rsidRPr="00A267B0" w:rsidRDefault="007924FF" w:rsidP="00120250">
      <w:pPr>
        <w:pStyle w:val="enumlev1"/>
      </w:pPr>
      <w:r w:rsidRPr="00A267B0">
        <w:t>•</w:t>
      </w:r>
      <w:r w:rsidRPr="00A267B0">
        <w:tab/>
      </w:r>
      <w:hyperlink r:id="rId29" w:history="1">
        <w:r w:rsidR="008C19E3" w:rsidRPr="00A267B0">
          <w:rPr>
            <w:rStyle w:val="Hyperlink"/>
          </w:rPr>
          <w:t xml:space="preserve">Grupo informal de coordinación del </w:t>
        </w:r>
        <w:proofErr w:type="spellStart"/>
        <w:r w:rsidR="008C19E3" w:rsidRPr="00A267B0">
          <w:rPr>
            <w:rStyle w:val="Hyperlink"/>
          </w:rPr>
          <w:t>GADT</w:t>
        </w:r>
        <w:proofErr w:type="spellEnd"/>
        <w:r w:rsidR="008C19E3" w:rsidRPr="00A267B0">
          <w:rPr>
            <w:rStyle w:val="Hyperlink"/>
          </w:rPr>
          <w:t xml:space="preserve"> sobre la Cumbre de la Juventud y la Celebración Mundial</w:t>
        </w:r>
      </w:hyperlink>
      <w:r w:rsidR="008C19E3" w:rsidRPr="00A267B0">
        <w:t xml:space="preserve"> (</w:t>
      </w:r>
      <w:proofErr w:type="spellStart"/>
      <w:r w:rsidR="008C19E3" w:rsidRPr="00A267B0">
        <w:t>GADT-GCI-GYS</w:t>
      </w:r>
      <w:proofErr w:type="spellEnd"/>
      <w:r w:rsidR="008C19E3" w:rsidRPr="00A267B0">
        <w:t>).</w:t>
      </w:r>
    </w:p>
    <w:p w14:paraId="0ADA9AEF" w14:textId="77777777" w:rsidR="008C19E3" w:rsidRPr="00A267B0" w:rsidRDefault="008C19E3" w:rsidP="00120250">
      <w:pPr>
        <w:jc w:val="both"/>
      </w:pPr>
      <w:r w:rsidRPr="00A267B0">
        <w:t>3.3</w:t>
      </w:r>
      <w:r w:rsidRPr="00A267B0">
        <w:tab/>
        <w:t xml:space="preserve">Todos los miembros del UIT-D podían participar en todos los grupos del </w:t>
      </w:r>
      <w:proofErr w:type="spellStart"/>
      <w:r w:rsidRPr="00A267B0">
        <w:t>GADT</w:t>
      </w:r>
      <w:proofErr w:type="spellEnd"/>
      <w:r w:rsidRPr="00A267B0">
        <w:t>.</w:t>
      </w:r>
    </w:p>
    <w:p w14:paraId="7F766D88" w14:textId="77777777" w:rsidR="008C19E3" w:rsidRPr="00A267B0" w:rsidRDefault="008C19E3" w:rsidP="00120250">
      <w:pPr>
        <w:jc w:val="both"/>
      </w:pPr>
      <w:r w:rsidRPr="00A267B0">
        <w:t>3.4</w:t>
      </w:r>
      <w:r w:rsidRPr="00A267B0">
        <w:tab/>
        <w:t xml:space="preserve">Los siguientes informes de resultados de los GT del </w:t>
      </w:r>
      <w:proofErr w:type="spellStart"/>
      <w:r w:rsidRPr="00A267B0">
        <w:t>GADT</w:t>
      </w:r>
      <w:proofErr w:type="spellEnd"/>
      <w:r w:rsidRPr="00A267B0">
        <w:t xml:space="preserve"> se presentaron al </w:t>
      </w:r>
      <w:proofErr w:type="spellStart"/>
      <w:r w:rsidRPr="00A267B0">
        <w:t>GADT</w:t>
      </w:r>
      <w:proofErr w:type="spellEnd"/>
      <w:r w:rsidRPr="00A267B0">
        <w:t xml:space="preserve">-25 para su examen ulterior y formarán parte del informe del </w:t>
      </w:r>
      <w:proofErr w:type="spellStart"/>
      <w:r w:rsidRPr="00A267B0">
        <w:t>GADT</w:t>
      </w:r>
      <w:proofErr w:type="spellEnd"/>
      <w:r w:rsidRPr="00A267B0">
        <w:t xml:space="preserve"> a la próxima </w:t>
      </w:r>
      <w:proofErr w:type="spellStart"/>
      <w:r w:rsidRPr="00A267B0">
        <w:t>CMDT</w:t>
      </w:r>
      <w:proofErr w:type="spellEnd"/>
      <w:r w:rsidRPr="00A267B0">
        <w:t>:</w:t>
      </w:r>
    </w:p>
    <w:p w14:paraId="7D54E8C6" w14:textId="2F97C83A" w:rsidR="008C19E3" w:rsidRPr="00A267B0" w:rsidRDefault="007924FF" w:rsidP="00120250">
      <w:pPr>
        <w:pStyle w:val="enumlev1"/>
      </w:pPr>
      <w:r w:rsidRPr="00A267B0">
        <w:t>•</w:t>
      </w:r>
      <w:r w:rsidRPr="00A267B0">
        <w:tab/>
      </w:r>
      <w:r w:rsidR="008C19E3" w:rsidRPr="00A267B0">
        <w:t xml:space="preserve">Informe sobre el Grupo de Trabajo del </w:t>
      </w:r>
      <w:proofErr w:type="spellStart"/>
      <w:r w:rsidR="008C19E3" w:rsidRPr="00A267B0">
        <w:t>GADT</w:t>
      </w:r>
      <w:proofErr w:type="spellEnd"/>
      <w:r w:rsidR="008C19E3" w:rsidRPr="00A267B0">
        <w:t xml:space="preserve"> sobre el futuro de las Cuestiones de las Comisiones de Estudio (Documento </w:t>
      </w:r>
      <w:hyperlink r:id="rId30" w:history="1">
        <w:proofErr w:type="spellStart"/>
        <w:r w:rsidR="008C19E3" w:rsidRPr="00A267B0">
          <w:rPr>
            <w:rStyle w:val="Hyperlink"/>
            <w:bCs/>
          </w:rPr>
          <w:t>TDAG</w:t>
        </w:r>
        <w:proofErr w:type="spellEnd"/>
        <w:r w:rsidR="008C19E3" w:rsidRPr="00A267B0">
          <w:rPr>
            <w:rStyle w:val="Hyperlink"/>
            <w:bCs/>
          </w:rPr>
          <w:t>-25/19</w:t>
        </w:r>
      </w:hyperlink>
      <w:r w:rsidR="008C19E3" w:rsidRPr="00A267B0">
        <w:t>);</w:t>
      </w:r>
    </w:p>
    <w:p w14:paraId="3D72E333" w14:textId="67B14EAC" w:rsidR="008C19E3" w:rsidRPr="00A267B0" w:rsidRDefault="007924FF" w:rsidP="00120250">
      <w:pPr>
        <w:pStyle w:val="enumlev1"/>
      </w:pPr>
      <w:r w:rsidRPr="00A267B0">
        <w:t>•</w:t>
      </w:r>
      <w:r w:rsidRPr="00A267B0">
        <w:tab/>
      </w:r>
      <w:r w:rsidR="008C19E3" w:rsidRPr="00A267B0">
        <w:t xml:space="preserve">Informe sobre el Grupo de Trabajo del </w:t>
      </w:r>
      <w:proofErr w:type="spellStart"/>
      <w:r w:rsidR="008C19E3" w:rsidRPr="00A267B0">
        <w:t>GADT</w:t>
      </w:r>
      <w:proofErr w:type="spellEnd"/>
      <w:r w:rsidR="008C19E3" w:rsidRPr="00A267B0">
        <w:t xml:space="preserve"> sobre la racionalización de las Resoluciones </w:t>
      </w:r>
      <w:r w:rsidR="008C19E3" w:rsidRPr="00A267B0">
        <w:rPr>
          <w:bCs/>
        </w:rPr>
        <w:t xml:space="preserve">(Documento </w:t>
      </w:r>
      <w:hyperlink r:id="rId31" w:history="1">
        <w:proofErr w:type="spellStart"/>
        <w:r w:rsidR="008C19E3" w:rsidRPr="00A267B0">
          <w:rPr>
            <w:rStyle w:val="Hyperlink"/>
            <w:bCs/>
          </w:rPr>
          <w:t>TDAG</w:t>
        </w:r>
        <w:proofErr w:type="spellEnd"/>
        <w:r w:rsidR="008C19E3" w:rsidRPr="00A267B0">
          <w:rPr>
            <w:rStyle w:val="Hyperlink"/>
            <w:bCs/>
          </w:rPr>
          <w:t>-25/20</w:t>
        </w:r>
      </w:hyperlink>
      <w:r w:rsidR="008C19E3" w:rsidRPr="00A267B0">
        <w:rPr>
          <w:bCs/>
        </w:rPr>
        <w:t>);</w:t>
      </w:r>
    </w:p>
    <w:p w14:paraId="7B82EB53" w14:textId="6E75A885" w:rsidR="008C19E3" w:rsidRPr="00A267B0" w:rsidRDefault="007924FF" w:rsidP="00120250">
      <w:pPr>
        <w:pStyle w:val="enumlev1"/>
      </w:pPr>
      <w:r w:rsidRPr="00A267B0">
        <w:t>•</w:t>
      </w:r>
      <w:r w:rsidRPr="00A267B0">
        <w:tab/>
      </w:r>
      <w:r w:rsidR="008C19E3" w:rsidRPr="00A267B0">
        <w:t xml:space="preserve">Informe sobre la marcha de los trabajos del Grupo de Trabajo del </w:t>
      </w:r>
      <w:proofErr w:type="spellStart"/>
      <w:r w:rsidR="008C19E3" w:rsidRPr="00A267B0">
        <w:t>GADT</w:t>
      </w:r>
      <w:proofErr w:type="spellEnd"/>
      <w:r w:rsidR="008C19E3" w:rsidRPr="00A267B0">
        <w:t xml:space="preserve"> sobre las Prioridades del UIT-D </w:t>
      </w:r>
      <w:r w:rsidR="008C19E3" w:rsidRPr="00A267B0">
        <w:rPr>
          <w:bCs/>
        </w:rPr>
        <w:t xml:space="preserve">(Documento </w:t>
      </w:r>
      <w:hyperlink r:id="rId32" w:history="1">
        <w:proofErr w:type="spellStart"/>
        <w:r w:rsidR="008C19E3" w:rsidRPr="00A267B0">
          <w:rPr>
            <w:rStyle w:val="Hyperlink"/>
            <w:bCs/>
          </w:rPr>
          <w:t>TDAG</w:t>
        </w:r>
        <w:proofErr w:type="spellEnd"/>
        <w:r w:rsidR="008C19E3" w:rsidRPr="00A267B0">
          <w:rPr>
            <w:rStyle w:val="Hyperlink"/>
            <w:bCs/>
          </w:rPr>
          <w:t>-25/21</w:t>
        </w:r>
      </w:hyperlink>
      <w:r w:rsidR="008C19E3" w:rsidRPr="00A267B0">
        <w:rPr>
          <w:bCs/>
        </w:rPr>
        <w:t>);</w:t>
      </w:r>
    </w:p>
    <w:p w14:paraId="688ABA26" w14:textId="49CE7460" w:rsidR="008C19E3" w:rsidRPr="00A267B0" w:rsidRDefault="007924FF" w:rsidP="00120250">
      <w:pPr>
        <w:pStyle w:val="enumlev1"/>
        <w:rPr>
          <w:bCs/>
        </w:rPr>
      </w:pPr>
      <w:r w:rsidRPr="00A267B0">
        <w:t>•</w:t>
      </w:r>
      <w:r w:rsidRPr="00A267B0">
        <w:tab/>
      </w:r>
      <w:r w:rsidR="008C19E3" w:rsidRPr="00A267B0">
        <w:t xml:space="preserve">Informe sobre los trabajos y resultados del Grupo de Trabajo del </w:t>
      </w:r>
      <w:proofErr w:type="spellStart"/>
      <w:r w:rsidR="008C19E3" w:rsidRPr="00A267B0">
        <w:t>GADT</w:t>
      </w:r>
      <w:proofErr w:type="spellEnd"/>
      <w:r w:rsidR="008C19E3" w:rsidRPr="00A267B0">
        <w:t xml:space="preserve"> sobre la Declaración </w:t>
      </w:r>
      <w:r w:rsidR="008C19E3" w:rsidRPr="00A267B0">
        <w:rPr>
          <w:bCs/>
        </w:rPr>
        <w:t xml:space="preserve">(Documento </w:t>
      </w:r>
      <w:hyperlink r:id="rId33" w:history="1">
        <w:proofErr w:type="spellStart"/>
        <w:r w:rsidR="008C19E3" w:rsidRPr="00A267B0">
          <w:rPr>
            <w:rStyle w:val="Hyperlink"/>
            <w:bCs/>
          </w:rPr>
          <w:t>TDAG</w:t>
        </w:r>
        <w:proofErr w:type="spellEnd"/>
        <w:r w:rsidR="008C19E3" w:rsidRPr="00A267B0">
          <w:rPr>
            <w:rStyle w:val="Hyperlink"/>
            <w:bCs/>
          </w:rPr>
          <w:t>-25/18(</w:t>
        </w:r>
        <w:proofErr w:type="spellStart"/>
        <w:r w:rsidR="008C19E3" w:rsidRPr="00A267B0">
          <w:rPr>
            <w:rStyle w:val="Hyperlink"/>
            <w:bCs/>
          </w:rPr>
          <w:t>Rev.1</w:t>
        </w:r>
        <w:proofErr w:type="spellEnd"/>
        <w:r w:rsidR="008C19E3" w:rsidRPr="00A267B0">
          <w:rPr>
            <w:rStyle w:val="Hyperlink"/>
            <w:bCs/>
          </w:rPr>
          <w:t>)</w:t>
        </w:r>
      </w:hyperlink>
      <w:r w:rsidR="008C19E3" w:rsidRPr="00A267B0">
        <w:rPr>
          <w:bCs/>
        </w:rPr>
        <w:t>); y</w:t>
      </w:r>
    </w:p>
    <w:p w14:paraId="2D142C55" w14:textId="2E23B6A8" w:rsidR="008C19E3" w:rsidRPr="00A267B0" w:rsidRDefault="007924FF" w:rsidP="00120250">
      <w:pPr>
        <w:pStyle w:val="enumlev1"/>
        <w:rPr>
          <w:bCs/>
        </w:rPr>
      </w:pPr>
      <w:r w:rsidRPr="00A267B0">
        <w:lastRenderedPageBreak/>
        <w:t>•</w:t>
      </w:r>
      <w:r w:rsidRPr="00A267B0">
        <w:tab/>
      </w:r>
      <w:r w:rsidR="008C19E3" w:rsidRPr="00A267B0">
        <w:t>Informe sobre la organización de la Cumbre Mundial de la Juventud de la UIT de 2025 (</w:t>
      </w:r>
      <w:proofErr w:type="spellStart"/>
      <w:r w:rsidR="008C19E3" w:rsidRPr="00A267B0">
        <w:t>CMJ</w:t>
      </w:r>
      <w:proofErr w:type="spellEnd"/>
      <w:r w:rsidR="008C19E3" w:rsidRPr="00A267B0">
        <w:t>-25), en vísperas de la Conferencia Mundial de Desarrollo de 2025 (</w:t>
      </w:r>
      <w:proofErr w:type="spellStart"/>
      <w:r w:rsidR="008C19E3" w:rsidRPr="00A267B0">
        <w:t>CMDT</w:t>
      </w:r>
      <w:proofErr w:type="spellEnd"/>
      <w:r w:rsidR="008C19E3" w:rsidRPr="00A267B0">
        <w:t>-25)</w:t>
      </w:r>
      <w:r w:rsidR="008C19E3" w:rsidRPr="00A267B0">
        <w:rPr>
          <w:bCs/>
        </w:rPr>
        <w:t xml:space="preserve"> (Documento </w:t>
      </w:r>
      <w:hyperlink r:id="rId34" w:history="1">
        <w:proofErr w:type="spellStart"/>
        <w:r w:rsidR="008C19E3" w:rsidRPr="00A267B0">
          <w:rPr>
            <w:rStyle w:val="Hyperlink"/>
            <w:bCs/>
          </w:rPr>
          <w:t>TDAG</w:t>
        </w:r>
        <w:proofErr w:type="spellEnd"/>
        <w:r w:rsidR="008C19E3" w:rsidRPr="00A267B0">
          <w:rPr>
            <w:rStyle w:val="Hyperlink"/>
            <w:bCs/>
          </w:rPr>
          <w:t>-25/22</w:t>
        </w:r>
      </w:hyperlink>
      <w:r w:rsidR="008C19E3" w:rsidRPr="00A267B0">
        <w:rPr>
          <w:bCs/>
        </w:rPr>
        <w:t>).</w:t>
      </w:r>
    </w:p>
    <w:p w14:paraId="79F57B43" w14:textId="77777777" w:rsidR="008C19E3" w:rsidRPr="00A267B0" w:rsidRDefault="008C19E3" w:rsidP="00120250">
      <w:pPr>
        <w:jc w:val="both"/>
        <w:rPr>
          <w:bCs/>
        </w:rPr>
      </w:pPr>
      <w:r w:rsidRPr="00A267B0">
        <w:rPr>
          <w:bCs/>
        </w:rPr>
        <w:t>3.5</w:t>
      </w:r>
      <w:r w:rsidRPr="00A267B0">
        <w:rPr>
          <w:bCs/>
        </w:rPr>
        <w:tab/>
        <w:t>El GT-</w:t>
      </w:r>
      <w:proofErr w:type="spellStart"/>
      <w:r w:rsidRPr="00A267B0">
        <w:rPr>
          <w:bCs/>
        </w:rPr>
        <w:t>GADT</w:t>
      </w:r>
      <w:proofErr w:type="spellEnd"/>
      <w:r w:rsidRPr="00A267B0">
        <w:rPr>
          <w:bCs/>
        </w:rPr>
        <w:t xml:space="preserve">-DEC propuso un tema para la </w:t>
      </w:r>
      <w:proofErr w:type="spellStart"/>
      <w:r w:rsidRPr="00A267B0">
        <w:rPr>
          <w:bCs/>
        </w:rPr>
        <w:t>CMDT</w:t>
      </w:r>
      <w:proofErr w:type="spellEnd"/>
      <w:r w:rsidRPr="00A267B0">
        <w:rPr>
          <w:bCs/>
        </w:rPr>
        <w:t xml:space="preserve">-25 que corresponde al título del proyecto de Declaración de la </w:t>
      </w:r>
      <w:proofErr w:type="spellStart"/>
      <w:r w:rsidRPr="00A267B0">
        <w:rPr>
          <w:bCs/>
        </w:rPr>
        <w:t>CMDT</w:t>
      </w:r>
      <w:proofErr w:type="spellEnd"/>
      <w:r w:rsidRPr="00A267B0">
        <w:rPr>
          <w:bCs/>
        </w:rPr>
        <w:t>-25, a saber, "Conectividad universal, efectiva y asequible para un futuro digital inclusivo y sostenible".</w:t>
      </w:r>
    </w:p>
    <w:p w14:paraId="5986B6FE" w14:textId="2B231344" w:rsidR="008C19E3" w:rsidRPr="00A267B0" w:rsidRDefault="008C19E3" w:rsidP="00120250">
      <w:pPr>
        <w:pStyle w:val="Heading1"/>
        <w:jc w:val="both"/>
      </w:pPr>
      <w:r w:rsidRPr="00A267B0">
        <w:t>4</w:t>
      </w:r>
      <w:r w:rsidRPr="00A267B0">
        <w:tab/>
        <w:t>Proceso preparatorio regional</w:t>
      </w:r>
    </w:p>
    <w:p w14:paraId="20271FA4" w14:textId="77777777" w:rsidR="008C19E3" w:rsidRPr="00A267B0" w:rsidRDefault="008C19E3" w:rsidP="00120250">
      <w:pPr>
        <w:spacing w:after="120"/>
        <w:jc w:val="both"/>
      </w:pPr>
      <w:r w:rsidRPr="00A267B0">
        <w:t>4.1</w:t>
      </w:r>
      <w:r w:rsidRPr="00A267B0">
        <w:tab/>
        <w:t xml:space="preserve">De conformidad con la Resolución 31 (Rev. Kigali, 2022) de la </w:t>
      </w:r>
      <w:proofErr w:type="spellStart"/>
      <w:r w:rsidRPr="00A267B0">
        <w:t>CMDT</w:t>
      </w:r>
      <w:proofErr w:type="spellEnd"/>
      <w:r w:rsidRPr="00A267B0">
        <w:t>, la BDT organizó una Reunión Preparatoria Regional (</w:t>
      </w:r>
      <w:proofErr w:type="spellStart"/>
      <w:r w:rsidRPr="00A267B0">
        <w:t>RPR</w:t>
      </w:r>
      <w:proofErr w:type="spellEnd"/>
      <w:r w:rsidRPr="00A267B0">
        <w:t>) por región, según se indica a continuación: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34"/>
        <w:gridCol w:w="1741"/>
        <w:gridCol w:w="1980"/>
        <w:gridCol w:w="1890"/>
        <w:gridCol w:w="2316"/>
      </w:tblGrid>
      <w:tr w:rsidR="008C19E3" w:rsidRPr="00A267B0" w14:paraId="50BF1394" w14:textId="77777777" w:rsidTr="007924FF">
        <w:trPr>
          <w:tblHeader/>
          <w:jc w:val="center"/>
        </w:trPr>
        <w:tc>
          <w:tcPr>
            <w:tcW w:w="1134" w:type="dxa"/>
            <w:tcMar>
              <w:top w:w="0" w:type="dxa"/>
              <w:left w:w="108" w:type="dxa"/>
              <w:bottom w:w="0" w:type="dxa"/>
              <w:right w:w="108" w:type="dxa"/>
            </w:tcMar>
            <w:vAlign w:val="center"/>
          </w:tcPr>
          <w:p w14:paraId="17F5A99A" w14:textId="77777777" w:rsidR="008C19E3" w:rsidRPr="00A267B0" w:rsidRDefault="008C19E3" w:rsidP="00B5030F">
            <w:pPr>
              <w:pStyle w:val="Tablehead"/>
            </w:pPr>
            <w:r w:rsidRPr="00A267B0">
              <w:t>Región</w:t>
            </w:r>
          </w:p>
        </w:tc>
        <w:tc>
          <w:tcPr>
            <w:tcW w:w="1741" w:type="dxa"/>
            <w:tcMar>
              <w:top w:w="0" w:type="dxa"/>
              <w:left w:w="108" w:type="dxa"/>
              <w:bottom w:w="0" w:type="dxa"/>
              <w:right w:w="108" w:type="dxa"/>
            </w:tcMar>
            <w:vAlign w:val="center"/>
          </w:tcPr>
          <w:p w14:paraId="46783650" w14:textId="7DBFF73B" w:rsidR="008C19E3" w:rsidRPr="00A267B0" w:rsidRDefault="008C19E3" w:rsidP="00B5030F">
            <w:pPr>
              <w:pStyle w:val="Tablehead"/>
            </w:pPr>
            <w:r w:rsidRPr="00B5030F">
              <w:t>Fechas</w:t>
            </w:r>
            <w:r w:rsidRPr="00A267B0">
              <w:t xml:space="preserve"> </w:t>
            </w:r>
            <w:r w:rsidR="00B5030F">
              <w:br/>
            </w:r>
            <w:r w:rsidRPr="00A267B0">
              <w:t>(2025)</w:t>
            </w:r>
          </w:p>
        </w:tc>
        <w:tc>
          <w:tcPr>
            <w:tcW w:w="1980" w:type="dxa"/>
            <w:vAlign w:val="center"/>
          </w:tcPr>
          <w:p w14:paraId="0CC86BD7" w14:textId="748DDA53" w:rsidR="008C19E3" w:rsidRPr="00A267B0" w:rsidRDefault="008C19E3" w:rsidP="00B5030F">
            <w:pPr>
              <w:pStyle w:val="Tablehead"/>
            </w:pPr>
            <w:r w:rsidRPr="00A267B0">
              <w:t>Ciudad y país anfitrión</w:t>
            </w:r>
          </w:p>
        </w:tc>
        <w:tc>
          <w:tcPr>
            <w:tcW w:w="1890" w:type="dxa"/>
            <w:vAlign w:val="center"/>
          </w:tcPr>
          <w:p w14:paraId="7FDDC33C" w14:textId="77777777" w:rsidR="008C19E3" w:rsidRPr="00A267B0" w:rsidRDefault="008C19E3" w:rsidP="00B5030F">
            <w:pPr>
              <w:pStyle w:val="Tablehead"/>
            </w:pPr>
            <w:r w:rsidRPr="00A267B0">
              <w:t xml:space="preserve">Informe de la </w:t>
            </w:r>
            <w:proofErr w:type="spellStart"/>
            <w:r w:rsidRPr="00A267B0">
              <w:t>RPR</w:t>
            </w:r>
            <w:proofErr w:type="spellEnd"/>
          </w:p>
        </w:tc>
        <w:tc>
          <w:tcPr>
            <w:tcW w:w="2316" w:type="dxa"/>
          </w:tcPr>
          <w:p w14:paraId="7997D479" w14:textId="77777777" w:rsidR="008C19E3" w:rsidRPr="00A267B0" w:rsidRDefault="008C19E3" w:rsidP="00B5030F">
            <w:pPr>
              <w:pStyle w:val="Tablehead"/>
            </w:pPr>
            <w:r w:rsidRPr="00A267B0">
              <w:t>Enlace al vídeo sobre la aplicación del Plan de Acción de Kigali</w:t>
            </w:r>
          </w:p>
        </w:tc>
      </w:tr>
      <w:tr w:rsidR="008C19E3" w:rsidRPr="00A267B0" w14:paraId="69182ED9" w14:textId="77777777" w:rsidTr="007924FF">
        <w:trPr>
          <w:jc w:val="center"/>
        </w:trPr>
        <w:tc>
          <w:tcPr>
            <w:tcW w:w="1134" w:type="dxa"/>
            <w:tcMar>
              <w:top w:w="0" w:type="dxa"/>
              <w:left w:w="108" w:type="dxa"/>
              <w:bottom w:w="0" w:type="dxa"/>
              <w:right w:w="108" w:type="dxa"/>
            </w:tcMar>
          </w:tcPr>
          <w:p w14:paraId="4D5EE4B7" w14:textId="77777777" w:rsidR="008C19E3" w:rsidRPr="00A267B0" w:rsidRDefault="008C19E3" w:rsidP="00120250">
            <w:pPr>
              <w:pStyle w:val="Tabletext"/>
              <w:jc w:val="both"/>
            </w:pPr>
            <w:proofErr w:type="spellStart"/>
            <w:r w:rsidRPr="00A267B0">
              <w:t>RPR-ARB</w:t>
            </w:r>
            <w:proofErr w:type="spellEnd"/>
          </w:p>
        </w:tc>
        <w:tc>
          <w:tcPr>
            <w:tcW w:w="1741" w:type="dxa"/>
            <w:tcMar>
              <w:top w:w="0" w:type="dxa"/>
              <w:left w:w="108" w:type="dxa"/>
              <w:bottom w:w="0" w:type="dxa"/>
              <w:right w:w="108" w:type="dxa"/>
            </w:tcMar>
          </w:tcPr>
          <w:p w14:paraId="4C79130D" w14:textId="77777777" w:rsidR="008C19E3" w:rsidRPr="00A267B0" w:rsidRDefault="008C19E3" w:rsidP="00120250">
            <w:pPr>
              <w:pStyle w:val="Tabletext"/>
              <w:jc w:val="both"/>
            </w:pPr>
            <w:r w:rsidRPr="00A267B0">
              <w:t>4-5 de febrero</w:t>
            </w:r>
          </w:p>
        </w:tc>
        <w:tc>
          <w:tcPr>
            <w:tcW w:w="1980" w:type="dxa"/>
          </w:tcPr>
          <w:p w14:paraId="5BDCBA01" w14:textId="77777777" w:rsidR="008C19E3" w:rsidRPr="00A267B0" w:rsidRDefault="008C19E3" w:rsidP="00120250">
            <w:pPr>
              <w:pStyle w:val="Tabletext"/>
              <w:ind w:left="72"/>
              <w:jc w:val="both"/>
            </w:pPr>
            <w:r w:rsidRPr="00A267B0">
              <w:t>Ammán (Jordania)</w:t>
            </w:r>
          </w:p>
        </w:tc>
        <w:tc>
          <w:tcPr>
            <w:tcW w:w="1890" w:type="dxa"/>
          </w:tcPr>
          <w:p w14:paraId="3DD8A1DD" w14:textId="77777777" w:rsidR="008C19E3" w:rsidRPr="00A267B0" w:rsidRDefault="008C19E3" w:rsidP="00120250">
            <w:pPr>
              <w:pStyle w:val="Tabletext"/>
              <w:ind w:left="72"/>
              <w:jc w:val="center"/>
            </w:pPr>
            <w:hyperlink r:id="rId35" w:history="1">
              <w:r w:rsidRPr="00A267B0">
                <w:rPr>
                  <w:rStyle w:val="Hyperlink"/>
                </w:rPr>
                <w:t>Informe</w:t>
              </w:r>
            </w:hyperlink>
          </w:p>
        </w:tc>
        <w:tc>
          <w:tcPr>
            <w:tcW w:w="2316" w:type="dxa"/>
          </w:tcPr>
          <w:p w14:paraId="3AC66B89" w14:textId="77777777" w:rsidR="008C19E3" w:rsidRPr="00A267B0" w:rsidRDefault="008C19E3" w:rsidP="00120250">
            <w:pPr>
              <w:pStyle w:val="Tabletext"/>
              <w:ind w:left="72"/>
              <w:jc w:val="center"/>
            </w:pPr>
            <w:hyperlink r:id="rId36" w:history="1">
              <w:r w:rsidRPr="00A267B0">
                <w:rPr>
                  <w:rStyle w:val="Hyperlink"/>
                </w:rPr>
                <w:t>Vídeo</w:t>
              </w:r>
            </w:hyperlink>
          </w:p>
        </w:tc>
      </w:tr>
      <w:tr w:rsidR="008C19E3" w:rsidRPr="00A267B0" w14:paraId="00CC9CC5" w14:textId="77777777" w:rsidTr="007924FF">
        <w:trPr>
          <w:jc w:val="center"/>
        </w:trPr>
        <w:tc>
          <w:tcPr>
            <w:tcW w:w="1134" w:type="dxa"/>
            <w:tcMar>
              <w:top w:w="0" w:type="dxa"/>
              <w:left w:w="108" w:type="dxa"/>
              <w:bottom w:w="0" w:type="dxa"/>
              <w:right w:w="108" w:type="dxa"/>
            </w:tcMar>
          </w:tcPr>
          <w:p w14:paraId="5FCA30FE" w14:textId="77777777" w:rsidR="008C19E3" w:rsidRPr="00A267B0" w:rsidRDefault="008C19E3" w:rsidP="00120250">
            <w:pPr>
              <w:pStyle w:val="Tabletext"/>
              <w:jc w:val="both"/>
            </w:pPr>
            <w:proofErr w:type="spellStart"/>
            <w:r w:rsidRPr="00A267B0">
              <w:t>RPR</w:t>
            </w:r>
            <w:proofErr w:type="spellEnd"/>
            <w:r w:rsidRPr="00A267B0">
              <w:t>-EUR</w:t>
            </w:r>
          </w:p>
        </w:tc>
        <w:tc>
          <w:tcPr>
            <w:tcW w:w="1741" w:type="dxa"/>
            <w:tcMar>
              <w:top w:w="0" w:type="dxa"/>
              <w:left w:w="108" w:type="dxa"/>
              <w:bottom w:w="0" w:type="dxa"/>
              <w:right w:w="108" w:type="dxa"/>
            </w:tcMar>
          </w:tcPr>
          <w:p w14:paraId="6AC66B45" w14:textId="77777777" w:rsidR="008C19E3" w:rsidRPr="00A267B0" w:rsidRDefault="008C19E3" w:rsidP="00120250">
            <w:pPr>
              <w:pStyle w:val="Tabletext"/>
              <w:jc w:val="both"/>
            </w:pPr>
            <w:r w:rsidRPr="00A267B0">
              <w:t xml:space="preserve">25-26 de febrero </w:t>
            </w:r>
          </w:p>
        </w:tc>
        <w:tc>
          <w:tcPr>
            <w:tcW w:w="1980" w:type="dxa"/>
          </w:tcPr>
          <w:p w14:paraId="590E1E97" w14:textId="77777777" w:rsidR="008C19E3" w:rsidRPr="00A267B0" w:rsidRDefault="008C19E3" w:rsidP="00120250">
            <w:pPr>
              <w:pStyle w:val="Tabletext"/>
              <w:ind w:left="72"/>
              <w:jc w:val="both"/>
            </w:pPr>
            <w:r w:rsidRPr="00A267B0">
              <w:t>Budapest (Hungría)</w:t>
            </w:r>
          </w:p>
        </w:tc>
        <w:tc>
          <w:tcPr>
            <w:tcW w:w="1890" w:type="dxa"/>
          </w:tcPr>
          <w:p w14:paraId="0DB86FAF" w14:textId="77777777" w:rsidR="008C19E3" w:rsidRPr="00A267B0" w:rsidRDefault="008C19E3" w:rsidP="00120250">
            <w:pPr>
              <w:pStyle w:val="Tabletext"/>
              <w:ind w:left="72"/>
              <w:jc w:val="center"/>
            </w:pPr>
            <w:hyperlink r:id="rId37" w:history="1">
              <w:r w:rsidRPr="00A267B0">
                <w:rPr>
                  <w:rStyle w:val="Hyperlink"/>
                </w:rPr>
                <w:t>Informe</w:t>
              </w:r>
            </w:hyperlink>
          </w:p>
        </w:tc>
        <w:tc>
          <w:tcPr>
            <w:tcW w:w="2316" w:type="dxa"/>
          </w:tcPr>
          <w:p w14:paraId="77A14478" w14:textId="77777777" w:rsidR="008C19E3" w:rsidRPr="00A267B0" w:rsidRDefault="008C19E3" w:rsidP="00120250">
            <w:pPr>
              <w:pStyle w:val="Tabletext"/>
              <w:ind w:left="72"/>
              <w:jc w:val="center"/>
            </w:pPr>
            <w:hyperlink r:id="rId38" w:history="1">
              <w:r w:rsidRPr="00A267B0">
                <w:rPr>
                  <w:rStyle w:val="Hyperlink"/>
                </w:rPr>
                <w:t>Vídeo</w:t>
              </w:r>
            </w:hyperlink>
          </w:p>
        </w:tc>
      </w:tr>
      <w:tr w:rsidR="008C19E3" w:rsidRPr="00A267B0" w14:paraId="160D7DDE" w14:textId="77777777" w:rsidTr="007924FF">
        <w:trPr>
          <w:jc w:val="center"/>
        </w:trPr>
        <w:tc>
          <w:tcPr>
            <w:tcW w:w="1134" w:type="dxa"/>
            <w:tcMar>
              <w:top w:w="0" w:type="dxa"/>
              <w:left w:w="108" w:type="dxa"/>
              <w:bottom w:w="0" w:type="dxa"/>
              <w:right w:w="108" w:type="dxa"/>
            </w:tcMar>
          </w:tcPr>
          <w:p w14:paraId="44A6D7B4" w14:textId="77777777" w:rsidR="008C19E3" w:rsidRPr="00A267B0" w:rsidRDefault="008C19E3" w:rsidP="00120250">
            <w:pPr>
              <w:pStyle w:val="Tabletext"/>
              <w:jc w:val="both"/>
            </w:pPr>
            <w:proofErr w:type="spellStart"/>
            <w:r w:rsidRPr="00A267B0">
              <w:t>RPR</w:t>
            </w:r>
            <w:proofErr w:type="spellEnd"/>
            <w:r w:rsidRPr="00A267B0">
              <w:t>-ASP</w:t>
            </w:r>
          </w:p>
        </w:tc>
        <w:tc>
          <w:tcPr>
            <w:tcW w:w="1741" w:type="dxa"/>
            <w:tcMar>
              <w:top w:w="0" w:type="dxa"/>
              <w:left w:w="108" w:type="dxa"/>
              <w:bottom w:w="0" w:type="dxa"/>
              <w:right w:w="108" w:type="dxa"/>
            </w:tcMar>
          </w:tcPr>
          <w:p w14:paraId="4FADFFB0" w14:textId="1EAEF716" w:rsidR="008C19E3" w:rsidRPr="00A267B0" w:rsidRDefault="008C19E3" w:rsidP="00120250">
            <w:pPr>
              <w:pStyle w:val="Tabletext"/>
              <w:jc w:val="both"/>
            </w:pPr>
            <w:r w:rsidRPr="00A267B0">
              <w:t>20-21 de marzo</w:t>
            </w:r>
          </w:p>
        </w:tc>
        <w:tc>
          <w:tcPr>
            <w:tcW w:w="1980" w:type="dxa"/>
          </w:tcPr>
          <w:p w14:paraId="6136EC6F" w14:textId="77777777" w:rsidR="008C19E3" w:rsidRPr="00A267B0" w:rsidRDefault="008C19E3" w:rsidP="00120250">
            <w:pPr>
              <w:pStyle w:val="Tabletext"/>
              <w:ind w:left="72"/>
              <w:jc w:val="both"/>
            </w:pPr>
            <w:r w:rsidRPr="00A267B0">
              <w:t>Bangkok (Tailandia)</w:t>
            </w:r>
          </w:p>
        </w:tc>
        <w:tc>
          <w:tcPr>
            <w:tcW w:w="1890" w:type="dxa"/>
          </w:tcPr>
          <w:p w14:paraId="131954F0" w14:textId="77777777" w:rsidR="008C19E3" w:rsidRPr="00A267B0" w:rsidRDefault="008C19E3" w:rsidP="00120250">
            <w:pPr>
              <w:pStyle w:val="Tabletext"/>
              <w:ind w:left="72"/>
              <w:jc w:val="center"/>
            </w:pPr>
            <w:hyperlink r:id="rId39" w:history="1">
              <w:r w:rsidRPr="00A267B0">
                <w:rPr>
                  <w:rStyle w:val="Hyperlink"/>
                </w:rPr>
                <w:t>Informe</w:t>
              </w:r>
            </w:hyperlink>
          </w:p>
        </w:tc>
        <w:tc>
          <w:tcPr>
            <w:tcW w:w="2316" w:type="dxa"/>
          </w:tcPr>
          <w:p w14:paraId="4DDC4345" w14:textId="77777777" w:rsidR="008C19E3" w:rsidRPr="00A267B0" w:rsidRDefault="008C19E3" w:rsidP="00120250">
            <w:pPr>
              <w:pStyle w:val="Tabletext"/>
              <w:ind w:left="72"/>
              <w:jc w:val="center"/>
            </w:pPr>
            <w:hyperlink r:id="rId40">
              <w:r w:rsidRPr="00A267B0">
                <w:rPr>
                  <w:rStyle w:val="Hyperlink"/>
                </w:rPr>
                <w:t>Vídeo</w:t>
              </w:r>
            </w:hyperlink>
          </w:p>
        </w:tc>
      </w:tr>
      <w:tr w:rsidR="008C19E3" w:rsidRPr="00A267B0" w14:paraId="603D44AB" w14:textId="77777777" w:rsidTr="007924FF">
        <w:trPr>
          <w:jc w:val="center"/>
        </w:trPr>
        <w:tc>
          <w:tcPr>
            <w:tcW w:w="1134" w:type="dxa"/>
            <w:tcMar>
              <w:top w:w="0" w:type="dxa"/>
              <w:left w:w="108" w:type="dxa"/>
              <w:bottom w:w="0" w:type="dxa"/>
              <w:right w:w="108" w:type="dxa"/>
            </w:tcMar>
          </w:tcPr>
          <w:p w14:paraId="1EA27249" w14:textId="77777777" w:rsidR="008C19E3" w:rsidRPr="00A267B0" w:rsidRDefault="008C19E3" w:rsidP="00120250">
            <w:pPr>
              <w:pStyle w:val="Tabletext"/>
              <w:jc w:val="both"/>
            </w:pPr>
            <w:proofErr w:type="spellStart"/>
            <w:r w:rsidRPr="00A267B0">
              <w:t>RPR-AMS</w:t>
            </w:r>
            <w:proofErr w:type="spellEnd"/>
          </w:p>
        </w:tc>
        <w:tc>
          <w:tcPr>
            <w:tcW w:w="1741" w:type="dxa"/>
            <w:tcMar>
              <w:top w:w="0" w:type="dxa"/>
              <w:left w:w="108" w:type="dxa"/>
              <w:bottom w:w="0" w:type="dxa"/>
              <w:right w:w="108" w:type="dxa"/>
            </w:tcMar>
          </w:tcPr>
          <w:p w14:paraId="59071CAE" w14:textId="77777777" w:rsidR="008C19E3" w:rsidRPr="00A267B0" w:rsidRDefault="008C19E3" w:rsidP="00120250">
            <w:pPr>
              <w:pStyle w:val="Tabletext"/>
              <w:jc w:val="both"/>
            </w:pPr>
            <w:r w:rsidRPr="00A267B0">
              <w:t xml:space="preserve">1-2 de abril </w:t>
            </w:r>
          </w:p>
        </w:tc>
        <w:tc>
          <w:tcPr>
            <w:tcW w:w="1980" w:type="dxa"/>
          </w:tcPr>
          <w:p w14:paraId="00E427F7" w14:textId="77777777" w:rsidR="008C19E3" w:rsidRPr="00A267B0" w:rsidRDefault="008C19E3" w:rsidP="00120250">
            <w:pPr>
              <w:pStyle w:val="Tabletext"/>
              <w:ind w:left="72"/>
              <w:jc w:val="both"/>
            </w:pPr>
            <w:r w:rsidRPr="00A267B0">
              <w:t>Asunción (Paraguay)</w:t>
            </w:r>
          </w:p>
        </w:tc>
        <w:tc>
          <w:tcPr>
            <w:tcW w:w="1890" w:type="dxa"/>
          </w:tcPr>
          <w:p w14:paraId="4BDDDFA9" w14:textId="77777777" w:rsidR="008C19E3" w:rsidRPr="00A267B0" w:rsidRDefault="008C19E3" w:rsidP="00120250">
            <w:pPr>
              <w:pStyle w:val="Tabletext"/>
              <w:ind w:left="72"/>
              <w:jc w:val="center"/>
            </w:pPr>
            <w:hyperlink r:id="rId41" w:tgtFrame="_blank" w:history="1">
              <w:r w:rsidRPr="00A267B0">
                <w:rPr>
                  <w:rStyle w:val="Hyperlink"/>
                </w:rPr>
                <w:t>Informe</w:t>
              </w:r>
            </w:hyperlink>
          </w:p>
        </w:tc>
        <w:tc>
          <w:tcPr>
            <w:tcW w:w="2316" w:type="dxa"/>
          </w:tcPr>
          <w:p w14:paraId="19DA2154" w14:textId="77777777" w:rsidR="008C19E3" w:rsidRPr="00A267B0" w:rsidRDefault="008C19E3" w:rsidP="00120250">
            <w:pPr>
              <w:pStyle w:val="Tabletext"/>
              <w:ind w:left="72"/>
              <w:jc w:val="center"/>
            </w:pPr>
            <w:hyperlink r:id="rId42" w:history="1">
              <w:r w:rsidRPr="00A267B0">
                <w:rPr>
                  <w:rStyle w:val="Hyperlink"/>
                </w:rPr>
                <w:t>Vídeo</w:t>
              </w:r>
            </w:hyperlink>
          </w:p>
        </w:tc>
      </w:tr>
      <w:tr w:rsidR="008C19E3" w:rsidRPr="00A267B0" w14:paraId="3DF01243" w14:textId="77777777" w:rsidTr="007924FF">
        <w:trPr>
          <w:jc w:val="center"/>
        </w:trPr>
        <w:tc>
          <w:tcPr>
            <w:tcW w:w="1134" w:type="dxa"/>
            <w:tcMar>
              <w:top w:w="0" w:type="dxa"/>
              <w:left w:w="108" w:type="dxa"/>
              <w:bottom w:w="0" w:type="dxa"/>
              <w:right w:w="108" w:type="dxa"/>
            </w:tcMar>
          </w:tcPr>
          <w:p w14:paraId="298033F5" w14:textId="77777777" w:rsidR="008C19E3" w:rsidRPr="00A267B0" w:rsidRDefault="008C19E3" w:rsidP="00120250">
            <w:pPr>
              <w:pStyle w:val="Tabletext"/>
              <w:jc w:val="both"/>
            </w:pPr>
            <w:proofErr w:type="spellStart"/>
            <w:r w:rsidRPr="00A267B0">
              <w:t>RPR-AFR</w:t>
            </w:r>
            <w:proofErr w:type="spellEnd"/>
          </w:p>
        </w:tc>
        <w:tc>
          <w:tcPr>
            <w:tcW w:w="1741" w:type="dxa"/>
            <w:tcMar>
              <w:top w:w="0" w:type="dxa"/>
              <w:left w:w="108" w:type="dxa"/>
              <w:bottom w:w="0" w:type="dxa"/>
              <w:right w:w="108" w:type="dxa"/>
            </w:tcMar>
          </w:tcPr>
          <w:p w14:paraId="3655FDB2" w14:textId="3949DAFD" w:rsidR="008C19E3" w:rsidRPr="00A267B0" w:rsidRDefault="008C19E3" w:rsidP="00120250">
            <w:pPr>
              <w:pStyle w:val="Tabletext"/>
              <w:jc w:val="both"/>
            </w:pPr>
            <w:r w:rsidRPr="00A267B0">
              <w:t>8-9 de abril</w:t>
            </w:r>
          </w:p>
        </w:tc>
        <w:tc>
          <w:tcPr>
            <w:tcW w:w="1980" w:type="dxa"/>
          </w:tcPr>
          <w:p w14:paraId="1BF25847" w14:textId="77777777" w:rsidR="008C19E3" w:rsidRPr="00A267B0" w:rsidRDefault="008C19E3" w:rsidP="00120250">
            <w:pPr>
              <w:pStyle w:val="Tabletext"/>
              <w:ind w:left="72"/>
              <w:jc w:val="both"/>
            </w:pPr>
            <w:r w:rsidRPr="00A267B0">
              <w:t>Nairobi (</w:t>
            </w:r>
            <w:proofErr w:type="spellStart"/>
            <w:r w:rsidRPr="00A267B0">
              <w:t>Kenya</w:t>
            </w:r>
            <w:proofErr w:type="spellEnd"/>
            <w:r w:rsidRPr="00A267B0">
              <w:t>)</w:t>
            </w:r>
          </w:p>
        </w:tc>
        <w:tc>
          <w:tcPr>
            <w:tcW w:w="1890" w:type="dxa"/>
          </w:tcPr>
          <w:p w14:paraId="3B3161A0" w14:textId="77777777" w:rsidR="008C19E3" w:rsidRPr="00A267B0" w:rsidRDefault="008C19E3" w:rsidP="00120250">
            <w:pPr>
              <w:pStyle w:val="Tabletext"/>
              <w:ind w:left="72"/>
              <w:jc w:val="center"/>
            </w:pPr>
            <w:hyperlink r:id="rId43" w:tgtFrame="_blank" w:history="1">
              <w:r w:rsidRPr="00A267B0">
                <w:rPr>
                  <w:rStyle w:val="Hyperlink"/>
                </w:rPr>
                <w:t>Informe</w:t>
              </w:r>
            </w:hyperlink>
          </w:p>
        </w:tc>
        <w:tc>
          <w:tcPr>
            <w:tcW w:w="2316" w:type="dxa"/>
          </w:tcPr>
          <w:p w14:paraId="707B1C0D" w14:textId="77777777" w:rsidR="008C19E3" w:rsidRPr="00A267B0" w:rsidRDefault="008C19E3" w:rsidP="00120250">
            <w:pPr>
              <w:pStyle w:val="Tabletext"/>
              <w:ind w:left="72"/>
              <w:jc w:val="center"/>
            </w:pPr>
            <w:hyperlink r:id="rId44" w:history="1">
              <w:r w:rsidRPr="00A267B0">
                <w:rPr>
                  <w:rStyle w:val="Hyperlink"/>
                </w:rPr>
                <w:t>Vídeo</w:t>
              </w:r>
            </w:hyperlink>
          </w:p>
        </w:tc>
      </w:tr>
      <w:tr w:rsidR="008C19E3" w:rsidRPr="00A267B0" w14:paraId="0EA1491B" w14:textId="77777777" w:rsidTr="007924FF">
        <w:trPr>
          <w:jc w:val="center"/>
        </w:trPr>
        <w:tc>
          <w:tcPr>
            <w:tcW w:w="1134" w:type="dxa"/>
            <w:tcMar>
              <w:top w:w="0" w:type="dxa"/>
              <w:left w:w="108" w:type="dxa"/>
              <w:bottom w:w="0" w:type="dxa"/>
              <w:right w:w="108" w:type="dxa"/>
            </w:tcMar>
          </w:tcPr>
          <w:p w14:paraId="3DF971C7" w14:textId="77777777" w:rsidR="008C19E3" w:rsidRPr="00A267B0" w:rsidRDefault="008C19E3" w:rsidP="00120250">
            <w:pPr>
              <w:pStyle w:val="Tabletext"/>
              <w:jc w:val="both"/>
            </w:pPr>
            <w:proofErr w:type="spellStart"/>
            <w:r w:rsidRPr="00A267B0">
              <w:t>RPR</w:t>
            </w:r>
            <w:proofErr w:type="spellEnd"/>
            <w:r w:rsidRPr="00A267B0">
              <w:t>-CEI</w:t>
            </w:r>
          </w:p>
        </w:tc>
        <w:tc>
          <w:tcPr>
            <w:tcW w:w="1741" w:type="dxa"/>
            <w:tcMar>
              <w:top w:w="0" w:type="dxa"/>
              <w:left w:w="108" w:type="dxa"/>
              <w:bottom w:w="0" w:type="dxa"/>
              <w:right w:w="108" w:type="dxa"/>
            </w:tcMar>
          </w:tcPr>
          <w:p w14:paraId="258EA62D" w14:textId="6162E723" w:rsidR="008C19E3" w:rsidRPr="00A267B0" w:rsidRDefault="008C19E3" w:rsidP="00120250">
            <w:pPr>
              <w:pStyle w:val="Tabletext"/>
              <w:jc w:val="both"/>
            </w:pPr>
            <w:r w:rsidRPr="00A267B0">
              <w:t>24-25 de abril</w:t>
            </w:r>
          </w:p>
        </w:tc>
        <w:tc>
          <w:tcPr>
            <w:tcW w:w="1980" w:type="dxa"/>
          </w:tcPr>
          <w:p w14:paraId="6C89DFBE" w14:textId="77777777" w:rsidR="008C19E3" w:rsidRPr="00A267B0" w:rsidRDefault="008C19E3" w:rsidP="00120250">
            <w:pPr>
              <w:pStyle w:val="Tabletext"/>
              <w:ind w:left="72"/>
              <w:jc w:val="both"/>
            </w:pPr>
            <w:r w:rsidRPr="00A267B0">
              <w:t>Bishkek (Kirguistán)</w:t>
            </w:r>
          </w:p>
        </w:tc>
        <w:tc>
          <w:tcPr>
            <w:tcW w:w="1890" w:type="dxa"/>
          </w:tcPr>
          <w:p w14:paraId="00595C3C" w14:textId="77777777" w:rsidR="008C19E3" w:rsidRPr="00A267B0" w:rsidRDefault="008C19E3" w:rsidP="00120250">
            <w:pPr>
              <w:pStyle w:val="Tabletext"/>
              <w:ind w:left="72"/>
              <w:jc w:val="center"/>
            </w:pPr>
            <w:hyperlink r:id="rId45" w:history="1">
              <w:r w:rsidRPr="00A267B0">
                <w:rPr>
                  <w:rStyle w:val="Hyperlink"/>
                </w:rPr>
                <w:t>Informe</w:t>
              </w:r>
            </w:hyperlink>
          </w:p>
        </w:tc>
        <w:tc>
          <w:tcPr>
            <w:tcW w:w="2316" w:type="dxa"/>
          </w:tcPr>
          <w:p w14:paraId="7F3425F6" w14:textId="77777777" w:rsidR="008C19E3" w:rsidRPr="00A267B0" w:rsidRDefault="008C19E3" w:rsidP="00120250">
            <w:pPr>
              <w:pStyle w:val="Tabletext"/>
              <w:ind w:left="72"/>
              <w:jc w:val="center"/>
            </w:pPr>
            <w:hyperlink r:id="rId46" w:history="1">
              <w:r w:rsidRPr="00A267B0">
                <w:rPr>
                  <w:rStyle w:val="Hyperlink"/>
                </w:rPr>
                <w:t>Vídeo</w:t>
              </w:r>
            </w:hyperlink>
          </w:p>
        </w:tc>
      </w:tr>
    </w:tbl>
    <w:p w14:paraId="3DAB37AC" w14:textId="77777777" w:rsidR="00120250" w:rsidRDefault="00120250" w:rsidP="00120250">
      <w:pPr>
        <w:pStyle w:val="Tablefin"/>
      </w:pPr>
    </w:p>
    <w:p w14:paraId="5C7E4089" w14:textId="641CBDD3" w:rsidR="008C19E3" w:rsidRPr="00A267B0" w:rsidRDefault="008C19E3" w:rsidP="00120250">
      <w:pPr>
        <w:jc w:val="both"/>
      </w:pPr>
      <w:r w:rsidRPr="00A267B0">
        <w:t>4.2</w:t>
      </w:r>
      <w:r w:rsidRPr="00A267B0">
        <w:tab/>
        <w:t xml:space="preserve">Las </w:t>
      </w:r>
      <w:proofErr w:type="spellStart"/>
      <w:r w:rsidRPr="00A267B0">
        <w:t>RPR</w:t>
      </w:r>
      <w:proofErr w:type="spellEnd"/>
      <w:r w:rsidRPr="00A267B0">
        <w:t xml:space="preserve"> trataron de involucrar a los miembros de cada región en el proceso de la </w:t>
      </w:r>
      <w:proofErr w:type="spellStart"/>
      <w:r w:rsidRPr="00A267B0">
        <w:t>CMDT</w:t>
      </w:r>
      <w:proofErr w:type="spellEnd"/>
      <w:r w:rsidRPr="00A267B0">
        <w:t xml:space="preserve">, con objeto de fomentar la coordinación regional antes de la Conferencia. Las </w:t>
      </w:r>
      <w:proofErr w:type="spellStart"/>
      <w:r w:rsidRPr="00A267B0">
        <w:t>RPR</w:t>
      </w:r>
      <w:proofErr w:type="spellEnd"/>
      <w:r w:rsidRPr="00A267B0">
        <w:t xml:space="preserve"> también trataron de identificar las prioridades a nivel regional para el desarrollo de las telecomunicaciones y las tecnologías de la información y la comunicación (TIC).</w:t>
      </w:r>
    </w:p>
    <w:p w14:paraId="727EBCA8" w14:textId="77777777" w:rsidR="008C19E3" w:rsidRPr="00A267B0" w:rsidRDefault="008C19E3" w:rsidP="00120250">
      <w:pPr>
        <w:jc w:val="both"/>
      </w:pPr>
      <w:r w:rsidRPr="00A267B0">
        <w:t>4.3</w:t>
      </w:r>
      <w:r w:rsidRPr="00A267B0">
        <w:tab/>
        <w:t xml:space="preserve">Todas las </w:t>
      </w:r>
      <w:proofErr w:type="spellStart"/>
      <w:r w:rsidRPr="00A267B0">
        <w:t>RPR</w:t>
      </w:r>
      <w:proofErr w:type="spellEnd"/>
      <w:r w:rsidRPr="00A267B0">
        <w:t xml:space="preserve"> examinaron detenidamente los resultados de la aplicación del Plan de Acción de Kigali desde 2023. Los debates </w:t>
      </w:r>
      <w:proofErr w:type="gramStart"/>
      <w:r w:rsidRPr="00A267B0">
        <w:t>se centraron principalmente en</w:t>
      </w:r>
      <w:proofErr w:type="gramEnd"/>
      <w:r w:rsidRPr="00A267B0">
        <w:t xml:space="preserve"> los temas, cuestiones y puntos prioritarios, así como en las iniciativas regionales que se habían de considerar para su inclusión en el Plan de Acción de Bakú (PAB).</w:t>
      </w:r>
    </w:p>
    <w:p w14:paraId="031860A9" w14:textId="77777777" w:rsidR="008C19E3" w:rsidRPr="00697951" w:rsidRDefault="008C19E3" w:rsidP="00120250">
      <w:pPr>
        <w:jc w:val="both"/>
        <w:rPr>
          <w:spacing w:val="-2"/>
        </w:rPr>
      </w:pPr>
      <w:r w:rsidRPr="00697951">
        <w:rPr>
          <w:spacing w:val="-2"/>
        </w:rPr>
        <w:t>4.4</w:t>
      </w:r>
      <w:r w:rsidRPr="00697951">
        <w:rPr>
          <w:spacing w:val="-2"/>
        </w:rPr>
        <w:tab/>
        <w:t xml:space="preserve">Para seguir alimentando los debates de las </w:t>
      </w:r>
      <w:proofErr w:type="spellStart"/>
      <w:r w:rsidRPr="00697951">
        <w:rPr>
          <w:spacing w:val="-2"/>
        </w:rPr>
        <w:t>RPR</w:t>
      </w:r>
      <w:proofErr w:type="spellEnd"/>
      <w:r w:rsidRPr="00697951">
        <w:rPr>
          <w:spacing w:val="-2"/>
        </w:rPr>
        <w:t>, la BDT preparó una serie especial de la publicación emblemática de la UIT, "</w:t>
      </w:r>
      <w:proofErr w:type="spellStart"/>
      <w:r w:rsidRPr="00697951">
        <w:rPr>
          <w:spacing w:val="-2"/>
        </w:rPr>
        <w:t>Facts</w:t>
      </w:r>
      <w:proofErr w:type="spellEnd"/>
      <w:r w:rsidRPr="00697951">
        <w:rPr>
          <w:spacing w:val="-2"/>
        </w:rPr>
        <w:t xml:space="preserve"> and Figures: </w:t>
      </w:r>
      <w:proofErr w:type="spellStart"/>
      <w:r w:rsidRPr="00697951">
        <w:rPr>
          <w:spacing w:val="-2"/>
        </w:rPr>
        <w:t>Measuring</w:t>
      </w:r>
      <w:proofErr w:type="spellEnd"/>
      <w:r w:rsidRPr="00697951">
        <w:rPr>
          <w:spacing w:val="-2"/>
        </w:rPr>
        <w:t xml:space="preserve"> digital </w:t>
      </w:r>
      <w:proofErr w:type="spellStart"/>
      <w:r w:rsidRPr="00697951">
        <w:rPr>
          <w:spacing w:val="-2"/>
        </w:rPr>
        <w:t>development</w:t>
      </w:r>
      <w:proofErr w:type="spellEnd"/>
      <w:r w:rsidRPr="00697951">
        <w:rPr>
          <w:spacing w:val="-2"/>
        </w:rPr>
        <w:t xml:space="preserve">", sobre el </w:t>
      </w:r>
      <w:hyperlink r:id="rId47" w:history="1">
        <w:r w:rsidRPr="00697951">
          <w:rPr>
            <w:rStyle w:val="Hyperlink"/>
            <w:spacing w:val="-2"/>
          </w:rPr>
          <w:t>estado del desarrollo digital y las tendencias, retos y oportunidades en las regiones de la UIT</w:t>
        </w:r>
      </w:hyperlink>
      <w:r w:rsidRPr="00697951">
        <w:rPr>
          <w:spacing w:val="-2"/>
        </w:rPr>
        <w:t>.</w:t>
      </w:r>
    </w:p>
    <w:p w14:paraId="5940EEF6" w14:textId="77777777" w:rsidR="008C19E3" w:rsidRPr="00A267B0" w:rsidRDefault="008C19E3" w:rsidP="00120250">
      <w:pPr>
        <w:jc w:val="both"/>
      </w:pPr>
      <w:r w:rsidRPr="00A267B0">
        <w:t>4.5</w:t>
      </w:r>
      <w:r w:rsidRPr="00A267B0">
        <w:tab/>
        <w:t xml:space="preserve">Se celebraron seis </w:t>
      </w:r>
      <w:hyperlink r:id="rId48" w:anchor="/es" w:history="1">
        <w:r w:rsidRPr="00A267B0">
          <w:rPr>
            <w:rStyle w:val="Hyperlink"/>
          </w:rPr>
          <w:t>Foros Regionales de Desarrollo</w:t>
        </w:r>
      </w:hyperlink>
      <w:r w:rsidRPr="00A267B0">
        <w:t xml:space="preserve"> en paralelo a las </w:t>
      </w:r>
      <w:proofErr w:type="spellStart"/>
      <w:r w:rsidRPr="00A267B0">
        <w:t>RPR</w:t>
      </w:r>
      <w:proofErr w:type="spellEnd"/>
      <w:r w:rsidRPr="00A267B0">
        <w:t xml:space="preserve">. Los </w:t>
      </w:r>
      <w:proofErr w:type="spellStart"/>
      <w:r w:rsidRPr="00A267B0">
        <w:t>FRD</w:t>
      </w:r>
      <w:proofErr w:type="spellEnd"/>
      <w:r w:rsidRPr="00A267B0">
        <w:t xml:space="preserve"> brindan la oportunidad de entablar un diálogo de alto nivel en el que participen la BDT, los Estados Miembros y los Miembros de Sector del UIT-D, principalmente sobre la implementación de las Iniciativas Regionales y el Plan de Acción de Kigali.</w:t>
      </w:r>
    </w:p>
    <w:p w14:paraId="2B1C3CB8" w14:textId="77777777" w:rsidR="008C19E3" w:rsidRPr="00A267B0" w:rsidRDefault="008C19E3" w:rsidP="00120250">
      <w:pPr>
        <w:jc w:val="both"/>
      </w:pPr>
      <w:r w:rsidRPr="00A267B0">
        <w:t>4.6</w:t>
      </w:r>
      <w:r w:rsidRPr="00A267B0">
        <w:tab/>
        <w:t xml:space="preserve">Gracias a la labor preparatoria llevada a cabo en los GT del </w:t>
      </w:r>
      <w:proofErr w:type="spellStart"/>
      <w:r w:rsidRPr="00A267B0">
        <w:t>GADT</w:t>
      </w:r>
      <w:proofErr w:type="spellEnd"/>
      <w:r w:rsidRPr="00A267B0">
        <w:t xml:space="preserve"> en 2024 y 2025, los siguientes documentos clave se presentaron a las seis </w:t>
      </w:r>
      <w:proofErr w:type="spellStart"/>
      <w:r w:rsidRPr="00A267B0">
        <w:t>RPR</w:t>
      </w:r>
      <w:proofErr w:type="spellEnd"/>
      <w:r w:rsidRPr="00A267B0">
        <w:t xml:space="preserve"> para recibir más contribuciones:</w:t>
      </w:r>
    </w:p>
    <w:p w14:paraId="75523828" w14:textId="25C29272" w:rsidR="008C19E3" w:rsidRPr="00A267B0" w:rsidRDefault="007924FF" w:rsidP="00120250">
      <w:pPr>
        <w:pStyle w:val="enumlev1"/>
      </w:pPr>
      <w:r w:rsidRPr="00A267B0">
        <w:t>•</w:t>
      </w:r>
      <w:r w:rsidRPr="00A267B0">
        <w:tab/>
      </w:r>
      <w:r w:rsidR="008C19E3" w:rsidRPr="00A267B0">
        <w:t>anteproyecto de contribución del UIT-D al Plan Estratégico de la UIT para 2028-2031 y proyecto de Plan de Acción del UIT-D;</w:t>
      </w:r>
    </w:p>
    <w:p w14:paraId="6E414426" w14:textId="53349674" w:rsidR="008C19E3" w:rsidRPr="00A267B0" w:rsidRDefault="007924FF" w:rsidP="00120250">
      <w:pPr>
        <w:pStyle w:val="enumlev1"/>
      </w:pPr>
      <w:r w:rsidRPr="00A267B0">
        <w:t>•</w:t>
      </w:r>
      <w:r w:rsidRPr="00A267B0">
        <w:tab/>
      </w:r>
      <w:r w:rsidR="008C19E3" w:rsidRPr="00A267B0">
        <w:t xml:space="preserve">anteproyecto de Declaración de la </w:t>
      </w:r>
      <w:proofErr w:type="spellStart"/>
      <w:r w:rsidR="008C19E3" w:rsidRPr="00A267B0">
        <w:t>CMDT</w:t>
      </w:r>
      <w:proofErr w:type="spellEnd"/>
      <w:r w:rsidR="008C19E3" w:rsidRPr="00A267B0">
        <w:t>-25;</w:t>
      </w:r>
    </w:p>
    <w:p w14:paraId="58E05C1E" w14:textId="223867B9" w:rsidR="008C19E3" w:rsidRPr="00A267B0" w:rsidRDefault="007924FF" w:rsidP="00120250">
      <w:pPr>
        <w:pStyle w:val="enumlev1"/>
      </w:pPr>
      <w:r w:rsidRPr="00A267B0">
        <w:t>•</w:t>
      </w:r>
      <w:r w:rsidRPr="00A267B0">
        <w:tab/>
      </w:r>
      <w:r w:rsidR="008C19E3" w:rsidRPr="00A267B0">
        <w:t>propuestas de futuras Cuestiones de Comisiones de Estudio;</w:t>
      </w:r>
    </w:p>
    <w:p w14:paraId="323ABD8C" w14:textId="45E8D011" w:rsidR="008C19E3" w:rsidRPr="00A267B0" w:rsidRDefault="007924FF" w:rsidP="00120250">
      <w:pPr>
        <w:pStyle w:val="enumlev1"/>
      </w:pPr>
      <w:r w:rsidRPr="00A267B0">
        <w:lastRenderedPageBreak/>
        <w:t>•</w:t>
      </w:r>
      <w:r w:rsidRPr="00A267B0">
        <w:tab/>
      </w:r>
      <w:r w:rsidR="008C19E3" w:rsidRPr="00A267B0">
        <w:t xml:space="preserve">Reglamento Interno del UIT-D (Resolución 1 de la </w:t>
      </w:r>
      <w:proofErr w:type="spellStart"/>
      <w:r w:rsidR="008C19E3" w:rsidRPr="00A267B0">
        <w:t>CMDT</w:t>
      </w:r>
      <w:proofErr w:type="spellEnd"/>
      <w:r w:rsidR="008C19E3" w:rsidRPr="00A267B0">
        <w:t>); e</w:t>
      </w:r>
    </w:p>
    <w:p w14:paraId="128664C0" w14:textId="24CC93E1" w:rsidR="008C19E3" w:rsidRPr="00A267B0" w:rsidRDefault="007924FF" w:rsidP="00120250">
      <w:pPr>
        <w:pStyle w:val="enumlev1"/>
      </w:pPr>
      <w:r w:rsidRPr="00A267B0">
        <w:t>•</w:t>
      </w:r>
      <w:r w:rsidRPr="00A267B0">
        <w:tab/>
      </w:r>
      <w:r w:rsidR="008C19E3" w:rsidRPr="00A267B0">
        <w:t>informe sobre la racionalización de las Resoluciones de la CMDT.</w:t>
      </w:r>
    </w:p>
    <w:p w14:paraId="48D3D8C4" w14:textId="5F494D0E" w:rsidR="008C19E3" w:rsidRPr="00A267B0" w:rsidRDefault="008C19E3" w:rsidP="00120250">
      <w:pPr>
        <w:jc w:val="both"/>
      </w:pPr>
      <w:r w:rsidRPr="00A267B0">
        <w:t>4.7</w:t>
      </w:r>
      <w:r w:rsidRPr="00A267B0">
        <w:tab/>
        <w:t xml:space="preserve">En todas las </w:t>
      </w:r>
      <w:proofErr w:type="spellStart"/>
      <w:r w:rsidRPr="00A267B0">
        <w:t>RPR</w:t>
      </w:r>
      <w:proofErr w:type="spellEnd"/>
      <w:r w:rsidRPr="00A267B0">
        <w:t xml:space="preserve"> se acordó un conjunto de propuestas sobre prioridades y temas regionales para sus respectivas regiones, que serviría de base para la formulación de contribuciones a la </w:t>
      </w:r>
      <w:proofErr w:type="spellStart"/>
      <w:r w:rsidRPr="00A267B0">
        <w:t>CMDT</w:t>
      </w:r>
      <w:proofErr w:type="spellEnd"/>
      <w:r w:rsidRPr="00A267B0">
        <w:t>-25, en la que se considerarían las actividades que habría de llevar a cabo el UIT-D durante el ciclo de ejecución 2026-2028.</w:t>
      </w:r>
    </w:p>
    <w:p w14:paraId="022FA7D4" w14:textId="77777777" w:rsidR="008C19E3" w:rsidRPr="00A267B0" w:rsidRDefault="008C19E3" w:rsidP="00120250">
      <w:pPr>
        <w:jc w:val="both"/>
      </w:pPr>
      <w:r w:rsidRPr="00A267B0">
        <w:t>4.8</w:t>
      </w:r>
      <w:r w:rsidRPr="00A267B0">
        <w:tab/>
        <w:t>La BDT organizó la</w:t>
      </w:r>
      <w:r w:rsidRPr="00A267B0">
        <w:rPr>
          <w:b/>
          <w:bCs/>
        </w:rPr>
        <w:t xml:space="preserve"> </w:t>
      </w:r>
      <w:proofErr w:type="spellStart"/>
      <w:r w:rsidRPr="00A267B0">
        <w:rPr>
          <w:b/>
          <w:bCs/>
        </w:rPr>
        <w:t>RPR</w:t>
      </w:r>
      <w:proofErr w:type="spellEnd"/>
      <w:r w:rsidRPr="00A267B0">
        <w:rPr>
          <w:b/>
          <w:bCs/>
        </w:rPr>
        <w:t xml:space="preserve"> para los Estados Árabes (</w:t>
      </w:r>
      <w:proofErr w:type="spellStart"/>
      <w:r w:rsidRPr="00A267B0">
        <w:rPr>
          <w:b/>
          <w:bCs/>
        </w:rPr>
        <w:t>RPR-ARB</w:t>
      </w:r>
      <w:proofErr w:type="spellEnd"/>
      <w:r w:rsidRPr="00A267B0">
        <w:rPr>
          <w:b/>
          <w:bCs/>
        </w:rPr>
        <w:t>)</w:t>
      </w:r>
      <w:r w:rsidRPr="00A267B0">
        <w:t xml:space="preserve"> los días 4 y 5 de febrero de 2025 en Ammán (Jordania), bajo los auspicios de la Comisión de Reglamentación de las Telecomunicaciones del Reino Hachemita de Jordania.</w:t>
      </w:r>
    </w:p>
    <w:p w14:paraId="79463492" w14:textId="6AB9AF80" w:rsidR="008C19E3" w:rsidRPr="00A267B0" w:rsidRDefault="008C19E3" w:rsidP="00120250">
      <w:pPr>
        <w:jc w:val="both"/>
      </w:pPr>
      <w:r w:rsidRPr="00A267B0">
        <w:t>4.9</w:t>
      </w:r>
      <w:r w:rsidRPr="00A267B0">
        <w:tab/>
        <w:t xml:space="preserve">Uno de los principales resultados de la </w:t>
      </w:r>
      <w:proofErr w:type="spellStart"/>
      <w:r w:rsidRPr="00A267B0">
        <w:t>RPR-ARB</w:t>
      </w:r>
      <w:proofErr w:type="spellEnd"/>
      <w:r w:rsidRPr="00A267B0">
        <w:t xml:space="preserve"> fue la definición de seis prioridades regionales que se seguirían debatiendo y perfeccionando durante el período previo a la </w:t>
      </w:r>
      <w:proofErr w:type="spellStart"/>
      <w:r w:rsidRPr="00A267B0">
        <w:t>CMDT</w:t>
      </w:r>
      <w:proofErr w:type="spellEnd"/>
      <w:r w:rsidR="00B5030F">
        <w:noBreakHyphen/>
      </w:r>
      <w:r w:rsidRPr="00A267B0">
        <w:t xml:space="preserve">25, con miras a su presentación como Iniciativas Regionales a la </w:t>
      </w:r>
      <w:proofErr w:type="spellStart"/>
      <w:r w:rsidRPr="00A267B0">
        <w:t>CMDT</w:t>
      </w:r>
      <w:proofErr w:type="spellEnd"/>
      <w:r w:rsidRPr="00A267B0">
        <w:t xml:space="preserve"> para su consideración y adopción. </w:t>
      </w:r>
      <w:r w:rsidR="00883428" w:rsidRPr="00A267B0">
        <w:t>É</w:t>
      </w:r>
      <w:r w:rsidRPr="00A267B0">
        <w:t>stas son:</w:t>
      </w:r>
    </w:p>
    <w:p w14:paraId="155BCCF7" w14:textId="77777777" w:rsidR="008C19E3" w:rsidRPr="00A267B0" w:rsidRDefault="008C19E3" w:rsidP="00120250">
      <w:pPr>
        <w:pStyle w:val="enumlev1"/>
      </w:pPr>
      <w:r w:rsidRPr="00A267B0">
        <w:t>1)</w:t>
      </w:r>
      <w:r w:rsidRPr="00A267B0">
        <w:tab/>
        <w:t>Transformación específica del sector: Futuros digitales sostenibles;</w:t>
      </w:r>
    </w:p>
    <w:p w14:paraId="7DD2D6F3" w14:textId="77777777" w:rsidR="008C19E3" w:rsidRPr="00A267B0" w:rsidRDefault="008C19E3" w:rsidP="00120250">
      <w:pPr>
        <w:pStyle w:val="enumlev1"/>
      </w:pPr>
      <w:r w:rsidRPr="00A267B0">
        <w:t>2)</w:t>
      </w:r>
      <w:r w:rsidRPr="00A267B0">
        <w:tab/>
        <w:t>Infraestructura y conectividad;</w:t>
      </w:r>
    </w:p>
    <w:p w14:paraId="1C8D2376" w14:textId="77777777" w:rsidR="008C19E3" w:rsidRPr="00A267B0" w:rsidRDefault="008C19E3" w:rsidP="00120250">
      <w:pPr>
        <w:pStyle w:val="enumlev1"/>
      </w:pPr>
      <w:r w:rsidRPr="00A267B0">
        <w:t>3)</w:t>
      </w:r>
      <w:r w:rsidRPr="00A267B0">
        <w:tab/>
        <w:t>Fomentar el desarrollo económico y la inclusión digital;</w:t>
      </w:r>
    </w:p>
    <w:p w14:paraId="6D963105" w14:textId="77777777" w:rsidR="008C19E3" w:rsidRPr="00A267B0" w:rsidRDefault="008C19E3" w:rsidP="00120250">
      <w:pPr>
        <w:pStyle w:val="enumlev1"/>
      </w:pPr>
      <w:r w:rsidRPr="00A267B0">
        <w:t>4)</w:t>
      </w:r>
      <w:r w:rsidRPr="00A267B0">
        <w:tab/>
        <w:t>Desarrollo de habilidades y generación de empleo;</w:t>
      </w:r>
    </w:p>
    <w:p w14:paraId="35E36DC6" w14:textId="77777777" w:rsidR="008C19E3" w:rsidRPr="00A267B0" w:rsidRDefault="008C19E3" w:rsidP="00120250">
      <w:pPr>
        <w:pStyle w:val="enumlev1"/>
      </w:pPr>
      <w:r w:rsidRPr="00A267B0">
        <w:t>5)</w:t>
      </w:r>
      <w:r w:rsidRPr="00A267B0">
        <w:tab/>
        <w:t>Fomento de la ciberresiliencia en los países árabes; y</w:t>
      </w:r>
    </w:p>
    <w:p w14:paraId="70F72090" w14:textId="77777777" w:rsidR="008C19E3" w:rsidRPr="00A267B0" w:rsidRDefault="008C19E3" w:rsidP="00120250">
      <w:pPr>
        <w:pStyle w:val="enumlev1"/>
      </w:pPr>
      <w:r w:rsidRPr="00A267B0">
        <w:t>6)</w:t>
      </w:r>
      <w:r w:rsidRPr="00A267B0">
        <w:tab/>
        <w:t>Ecosistemas de innovación y tecnologías incipientes.</w:t>
      </w:r>
    </w:p>
    <w:p w14:paraId="53A93A22" w14:textId="77777777" w:rsidR="008C19E3" w:rsidRPr="00A267B0" w:rsidRDefault="008C19E3" w:rsidP="00120250">
      <w:pPr>
        <w:jc w:val="both"/>
      </w:pPr>
      <w:r w:rsidRPr="00A267B0">
        <w:t>4.10</w:t>
      </w:r>
      <w:r w:rsidRPr="00A267B0">
        <w:tab/>
        <w:t>La BDT organizó la</w:t>
      </w:r>
      <w:r w:rsidRPr="00A267B0">
        <w:rPr>
          <w:b/>
          <w:bCs/>
        </w:rPr>
        <w:t xml:space="preserve"> </w:t>
      </w:r>
      <w:proofErr w:type="spellStart"/>
      <w:r w:rsidRPr="00A267B0">
        <w:rPr>
          <w:b/>
          <w:bCs/>
        </w:rPr>
        <w:t>RPR</w:t>
      </w:r>
      <w:proofErr w:type="spellEnd"/>
      <w:r w:rsidRPr="00A267B0">
        <w:rPr>
          <w:b/>
          <w:bCs/>
        </w:rPr>
        <w:t xml:space="preserve"> para la región de Europa (</w:t>
      </w:r>
      <w:proofErr w:type="spellStart"/>
      <w:r w:rsidRPr="00A267B0">
        <w:rPr>
          <w:b/>
          <w:bCs/>
        </w:rPr>
        <w:t>RPR</w:t>
      </w:r>
      <w:proofErr w:type="spellEnd"/>
      <w:r w:rsidRPr="00A267B0">
        <w:rPr>
          <w:b/>
          <w:bCs/>
        </w:rPr>
        <w:t>-EUR)</w:t>
      </w:r>
      <w:r w:rsidRPr="00A267B0">
        <w:t xml:space="preserve"> los días 25 y 26 de febrero de 2025 en Budapest (Hungría), bajo los auspicios de la Autoridad Nacional de Medios e </w:t>
      </w:r>
      <w:proofErr w:type="spellStart"/>
      <w:r w:rsidRPr="00A267B0">
        <w:t>Infocomunicaciones</w:t>
      </w:r>
      <w:proofErr w:type="spellEnd"/>
      <w:r w:rsidRPr="00A267B0">
        <w:t xml:space="preserve"> de Hungría.</w:t>
      </w:r>
    </w:p>
    <w:p w14:paraId="1E281414" w14:textId="77777777" w:rsidR="008C19E3" w:rsidRPr="00A267B0" w:rsidRDefault="008C19E3" w:rsidP="00120250">
      <w:pPr>
        <w:jc w:val="both"/>
      </w:pPr>
      <w:r w:rsidRPr="00A267B0">
        <w:t>4.11</w:t>
      </w:r>
      <w:r w:rsidRPr="00A267B0">
        <w:tab/>
        <w:t>La reunión adoptó las siguientes Iniciativas Regionales (IR):</w:t>
      </w:r>
    </w:p>
    <w:p w14:paraId="0297020F" w14:textId="30ECEA64" w:rsidR="008C19E3" w:rsidRPr="00A267B0" w:rsidRDefault="007924FF" w:rsidP="00120250">
      <w:pPr>
        <w:pStyle w:val="enumlev1"/>
      </w:pPr>
      <w:r w:rsidRPr="00A267B0">
        <w:t>•</w:t>
      </w:r>
      <w:r w:rsidRPr="00A267B0">
        <w:tab/>
      </w:r>
      <w:r w:rsidR="008C19E3" w:rsidRPr="00A267B0">
        <w:rPr>
          <w:b/>
          <w:bCs/>
        </w:rPr>
        <w:t>EUR 1:</w:t>
      </w:r>
      <w:r w:rsidR="008C19E3" w:rsidRPr="00A267B0">
        <w:t xml:space="preserve"> </w:t>
      </w:r>
      <w:r w:rsidR="008C19E3" w:rsidRPr="00A267B0">
        <w:rPr>
          <w:b/>
          <w:bCs/>
        </w:rPr>
        <w:t>Desarrollo de infraestructuras digitales</w:t>
      </w:r>
      <w:r w:rsidR="008C19E3" w:rsidRPr="00A267B0">
        <w:t>: El objetivo de esta iniciativa es facilitar la consecución de una conectividad universal y efectiva mediante el desarrollo de infraestructuras resilientes y sinérgicas y un entorno propicio, garantizando una cobertura ubicua.</w:t>
      </w:r>
    </w:p>
    <w:p w14:paraId="7636B52A" w14:textId="5903DFD9" w:rsidR="008C19E3" w:rsidRPr="00B5030F" w:rsidRDefault="007924FF" w:rsidP="00120250">
      <w:pPr>
        <w:pStyle w:val="enumlev1"/>
        <w:rPr>
          <w:spacing w:val="-2"/>
        </w:rPr>
      </w:pPr>
      <w:r w:rsidRPr="00B5030F">
        <w:rPr>
          <w:spacing w:val="-2"/>
        </w:rPr>
        <w:t>•</w:t>
      </w:r>
      <w:r w:rsidRPr="00B5030F">
        <w:rPr>
          <w:spacing w:val="-2"/>
        </w:rPr>
        <w:tab/>
      </w:r>
      <w:r w:rsidR="008C19E3" w:rsidRPr="00B5030F">
        <w:rPr>
          <w:b/>
          <w:bCs/>
          <w:spacing w:val="-2"/>
        </w:rPr>
        <w:t>EUR 2:</w:t>
      </w:r>
      <w:r w:rsidR="008C19E3" w:rsidRPr="00B5030F">
        <w:rPr>
          <w:spacing w:val="-2"/>
        </w:rPr>
        <w:t xml:space="preserve"> </w:t>
      </w:r>
      <w:r w:rsidR="008C19E3" w:rsidRPr="00B5030F">
        <w:rPr>
          <w:b/>
          <w:bCs/>
          <w:spacing w:val="-2"/>
        </w:rPr>
        <w:t>Transformación digital para la resiliencia</w:t>
      </w:r>
      <w:r w:rsidR="008C19E3" w:rsidRPr="00B5030F">
        <w:rPr>
          <w:spacing w:val="-2"/>
        </w:rPr>
        <w:t>: El objetivo de esta iniciativa es facilitar los procesos de digitalización de los servicios en diferentes sectores (por ejemplo, agricultura, salud, gobierno, educación), incluidos los de las administraciones públicas, con el fin de garantizar una mayor resiliencia en la respuesta a situaciones críticas, incluidos los desafíos planteados por pandemias, peligros naturales o crisis introducidas por el hombre.</w:t>
      </w:r>
    </w:p>
    <w:p w14:paraId="2BD1038C" w14:textId="52E93FFA" w:rsidR="008C19E3" w:rsidRPr="00A267B0" w:rsidRDefault="007924FF" w:rsidP="00120250">
      <w:pPr>
        <w:pStyle w:val="enumlev1"/>
      </w:pPr>
      <w:r w:rsidRPr="00A267B0">
        <w:t>•</w:t>
      </w:r>
      <w:r w:rsidRPr="00A267B0">
        <w:tab/>
      </w:r>
      <w:r w:rsidR="008C19E3" w:rsidRPr="00A267B0">
        <w:rPr>
          <w:b/>
          <w:bCs/>
        </w:rPr>
        <w:t>EUR 3: Inclusión digital y desarrollo de competencias</w:t>
      </w:r>
      <w:r w:rsidR="008C19E3" w:rsidRPr="00A267B0">
        <w:t>: El objetivo de esta iniciativa es facilitar el acceso equitativo a las tecnologías de la información y la comunicación (TIC) y a las competencias digitales necesarias para todos los grupos de la sociedad, incluidas las personas con discapacidad y las personas con necesidades especiales, así como las mujeres y los jóvenes, a fin de aprovechar las ventajas de las telecomunicaciones/TIC.</w:t>
      </w:r>
    </w:p>
    <w:p w14:paraId="0C81E303" w14:textId="079735C2" w:rsidR="008C19E3" w:rsidRPr="00A267B0" w:rsidRDefault="007924FF" w:rsidP="00120250">
      <w:pPr>
        <w:pStyle w:val="enumlev1"/>
      </w:pPr>
      <w:r w:rsidRPr="00A267B0">
        <w:t>•</w:t>
      </w:r>
      <w:r w:rsidRPr="00A267B0">
        <w:tab/>
      </w:r>
      <w:r w:rsidR="008C19E3" w:rsidRPr="00A267B0">
        <w:rPr>
          <w:b/>
          <w:bCs/>
        </w:rPr>
        <w:t>EUR 4:</w:t>
      </w:r>
      <w:r w:rsidR="008C19E3" w:rsidRPr="00A267B0">
        <w:t xml:space="preserve"> </w:t>
      </w:r>
      <w:r w:rsidR="008C19E3" w:rsidRPr="00A267B0">
        <w:rPr>
          <w:b/>
          <w:bCs/>
        </w:rPr>
        <w:t>Confianza y seguridad en la utilización de las telecomunicaciones/tecnologías de la información y la comunicación</w:t>
      </w:r>
      <w:r w:rsidR="008C19E3" w:rsidRPr="00A267B0">
        <w:t xml:space="preserve">: El objetivo de esta iniciativa es apoyar el despliegue de infraestructuras resilientes y telecomunicaciones/TIC seguras que permitan a todos los ciudadanos, especialmente a los niños, utilizar las </w:t>
      </w:r>
      <w:r w:rsidR="008C19E3" w:rsidRPr="00A267B0">
        <w:lastRenderedPageBreak/>
        <w:t>telecomunicaciones/tecnologías de la información y la comunicación (TIC) en su vida cotidiana con confianza.</w:t>
      </w:r>
    </w:p>
    <w:p w14:paraId="6DEE92B3" w14:textId="0CC0FB20" w:rsidR="008C19E3" w:rsidRPr="00A267B0" w:rsidRDefault="007924FF" w:rsidP="00120250">
      <w:pPr>
        <w:pStyle w:val="enumlev1"/>
      </w:pPr>
      <w:r w:rsidRPr="00A267B0">
        <w:t>•</w:t>
      </w:r>
      <w:r w:rsidRPr="00A267B0">
        <w:tab/>
      </w:r>
      <w:r w:rsidR="008C19E3" w:rsidRPr="00A267B0">
        <w:rPr>
          <w:b/>
          <w:bCs/>
        </w:rPr>
        <w:t>EUR 5:</w:t>
      </w:r>
      <w:r w:rsidR="008C19E3" w:rsidRPr="00A267B0">
        <w:t xml:space="preserve"> </w:t>
      </w:r>
      <w:r w:rsidR="008C19E3" w:rsidRPr="00A267B0">
        <w:rPr>
          <w:b/>
          <w:bCs/>
        </w:rPr>
        <w:t>Ecosistemas de innovación digital</w:t>
      </w:r>
      <w:r w:rsidR="008C19E3" w:rsidRPr="00A267B0">
        <w:t>: El objetivo de esta iniciativa es fomentar entornos propicios para la innovación y el emprendimiento a través de enfoques sistémicos basados en las telecomunicaciones/tecnologías de la información y la comunicación (TIC) digitales, con el fin de cerrar la creciente brecha de innovación digital en la región.</w:t>
      </w:r>
    </w:p>
    <w:p w14:paraId="747EC819" w14:textId="007E05C6" w:rsidR="008C19E3" w:rsidRPr="00A267B0" w:rsidRDefault="008C19E3" w:rsidP="00120250">
      <w:pPr>
        <w:jc w:val="both"/>
      </w:pPr>
      <w:r w:rsidRPr="00A267B0">
        <w:t>4.12</w:t>
      </w:r>
      <w:r w:rsidRPr="00A267B0">
        <w:tab/>
        <w:t>La BDT organizó la</w:t>
      </w:r>
      <w:r w:rsidRPr="00A267B0">
        <w:rPr>
          <w:b/>
          <w:bCs/>
        </w:rPr>
        <w:t xml:space="preserve"> </w:t>
      </w:r>
      <w:proofErr w:type="spellStart"/>
      <w:r w:rsidRPr="00A267B0">
        <w:rPr>
          <w:b/>
          <w:bCs/>
        </w:rPr>
        <w:t>RPR</w:t>
      </w:r>
      <w:proofErr w:type="spellEnd"/>
      <w:r w:rsidRPr="00A267B0">
        <w:rPr>
          <w:b/>
          <w:bCs/>
        </w:rPr>
        <w:t xml:space="preserve"> para la región de Asia y el Pacífico (</w:t>
      </w:r>
      <w:proofErr w:type="spellStart"/>
      <w:r w:rsidRPr="00A267B0">
        <w:rPr>
          <w:b/>
          <w:bCs/>
        </w:rPr>
        <w:t>RPR</w:t>
      </w:r>
      <w:proofErr w:type="spellEnd"/>
      <w:r w:rsidRPr="00A267B0">
        <w:rPr>
          <w:b/>
          <w:bCs/>
        </w:rPr>
        <w:t>-ASP)</w:t>
      </w:r>
      <w:r w:rsidRPr="00A267B0">
        <w:t xml:space="preserve"> los días 20 y 21</w:t>
      </w:r>
      <w:r w:rsidR="008A50E8" w:rsidRPr="00A267B0">
        <w:t> </w:t>
      </w:r>
      <w:r w:rsidRPr="00A267B0">
        <w:t>de marzo de 2025 en Bangkok (Tailandia), bajo los auspicios de la Comisión Nacional de Radiodifusión y Telecomunicaciones (</w:t>
      </w:r>
      <w:proofErr w:type="spellStart"/>
      <w:r w:rsidRPr="00A267B0">
        <w:t>NBTC</w:t>
      </w:r>
      <w:proofErr w:type="spellEnd"/>
      <w:r w:rsidRPr="00A267B0">
        <w:t>) de Tailandia.</w:t>
      </w:r>
    </w:p>
    <w:p w14:paraId="3ECF56A7" w14:textId="77777777" w:rsidR="008C19E3" w:rsidRPr="00A267B0" w:rsidRDefault="008C19E3" w:rsidP="00120250">
      <w:pPr>
        <w:jc w:val="both"/>
      </w:pPr>
      <w:r w:rsidRPr="00A267B0">
        <w:t>4.13</w:t>
      </w:r>
      <w:r w:rsidRPr="00A267B0">
        <w:tab/>
        <w:t>Se creó un Grupo de Redacción sobre las IR de la Región de Asia y el Pacífico para el ciclo de ejecución 2026-2029, sobre la base de las contribuciones recibidas de los Estados Miembros. A la sazón, se adoptaron las siguientes IR:</w:t>
      </w:r>
    </w:p>
    <w:p w14:paraId="333C09FA" w14:textId="22F7F39B" w:rsidR="008C19E3" w:rsidRPr="00A267B0" w:rsidRDefault="007924FF" w:rsidP="00120250">
      <w:pPr>
        <w:pStyle w:val="enumlev1"/>
      </w:pPr>
      <w:r w:rsidRPr="00A267B0">
        <w:t>•</w:t>
      </w:r>
      <w:r w:rsidRPr="00A267B0">
        <w:tab/>
      </w:r>
      <w:r w:rsidR="008C19E3" w:rsidRPr="00A267B0">
        <w:rPr>
          <w:b/>
          <w:bCs/>
        </w:rPr>
        <w:t>ASP 1</w:t>
      </w:r>
      <w:r w:rsidR="008C19E3" w:rsidRPr="00A267B0">
        <w:t>: Abordar las necesidades específicas de los países menos adelantados, los pequeños Estados insulares en desarrollo, incluidos los países insulares del Pacífico, y los países en desarrollo sin litoral.</w:t>
      </w:r>
    </w:p>
    <w:p w14:paraId="21579656" w14:textId="0EE4C97E" w:rsidR="008C19E3" w:rsidRPr="00A267B0" w:rsidRDefault="006F3D0E" w:rsidP="00120250">
      <w:pPr>
        <w:pStyle w:val="enumlev1"/>
      </w:pPr>
      <w:r w:rsidRPr="00A267B0">
        <w:t>•</w:t>
      </w:r>
      <w:r w:rsidRPr="00A267B0">
        <w:tab/>
      </w:r>
      <w:r w:rsidR="008C19E3" w:rsidRPr="00A267B0">
        <w:rPr>
          <w:b/>
          <w:bCs/>
        </w:rPr>
        <w:t>ASP 2</w:t>
      </w:r>
      <w:r w:rsidR="008C19E3" w:rsidRPr="00A267B0">
        <w:t>: Aprovechar las telecomunicaciones/TIC en pro de una transformación digital inclusiva y sostenible.</w:t>
      </w:r>
    </w:p>
    <w:p w14:paraId="382F24E7" w14:textId="6F2BA816" w:rsidR="008C19E3" w:rsidRPr="00A267B0" w:rsidRDefault="006F3D0E" w:rsidP="00120250">
      <w:pPr>
        <w:pStyle w:val="enumlev1"/>
      </w:pPr>
      <w:r w:rsidRPr="00A267B0">
        <w:t>•</w:t>
      </w:r>
      <w:r w:rsidRPr="00A267B0">
        <w:tab/>
      </w:r>
      <w:r w:rsidR="008C19E3" w:rsidRPr="00A267B0">
        <w:rPr>
          <w:b/>
          <w:bCs/>
        </w:rPr>
        <w:t>ASP 3</w:t>
      </w:r>
      <w:r w:rsidR="008C19E3" w:rsidRPr="00A267B0">
        <w:t>: Fomentar el desarrollo de infraestructuras para mejorar la conectividad digital y conectar a los que no lo están.</w:t>
      </w:r>
    </w:p>
    <w:p w14:paraId="03A78C96" w14:textId="6988169E" w:rsidR="008C19E3" w:rsidRPr="00A267B0" w:rsidRDefault="006F3D0E" w:rsidP="00120250">
      <w:pPr>
        <w:pStyle w:val="enumlev1"/>
      </w:pPr>
      <w:r w:rsidRPr="00A267B0">
        <w:t>•</w:t>
      </w:r>
      <w:r w:rsidRPr="00A267B0">
        <w:tab/>
      </w:r>
      <w:r w:rsidR="008C19E3" w:rsidRPr="00A267B0">
        <w:rPr>
          <w:b/>
          <w:bCs/>
        </w:rPr>
        <w:t>ASP 4</w:t>
      </w:r>
      <w:r w:rsidR="008C19E3" w:rsidRPr="00A267B0">
        <w:t>: Propiciar un sector de las telecomunicaciones/TIC innovador y sostenible.</w:t>
      </w:r>
    </w:p>
    <w:p w14:paraId="33540EFE" w14:textId="6E194033" w:rsidR="008C19E3" w:rsidRPr="00A267B0" w:rsidRDefault="006F3D0E" w:rsidP="00120250">
      <w:pPr>
        <w:pStyle w:val="enumlev1"/>
      </w:pPr>
      <w:r w:rsidRPr="00A267B0">
        <w:t>•</w:t>
      </w:r>
      <w:r w:rsidRPr="00A267B0">
        <w:tab/>
      </w:r>
      <w:r w:rsidR="008C19E3" w:rsidRPr="00A267B0">
        <w:rPr>
          <w:b/>
          <w:bCs/>
        </w:rPr>
        <w:t>ASP 5</w:t>
      </w:r>
      <w:r w:rsidR="008C19E3" w:rsidRPr="00A267B0">
        <w:t>: Apoyar un entorno de telecomunicaciones/TIC seguro, protegido y resiliente.</w:t>
      </w:r>
    </w:p>
    <w:p w14:paraId="3ACFF89F" w14:textId="77777777" w:rsidR="008C19E3" w:rsidRPr="00A267B0" w:rsidRDefault="008C19E3" w:rsidP="00120250">
      <w:pPr>
        <w:jc w:val="both"/>
      </w:pPr>
      <w:r w:rsidRPr="00A267B0">
        <w:t>4.14</w:t>
      </w:r>
      <w:r w:rsidRPr="00A267B0">
        <w:tab/>
        <w:t>La BDT organizó la</w:t>
      </w:r>
      <w:r w:rsidRPr="00A267B0">
        <w:rPr>
          <w:b/>
          <w:bCs/>
        </w:rPr>
        <w:t xml:space="preserve"> </w:t>
      </w:r>
      <w:proofErr w:type="spellStart"/>
      <w:r w:rsidRPr="00A267B0">
        <w:rPr>
          <w:b/>
          <w:bCs/>
        </w:rPr>
        <w:t>RPR</w:t>
      </w:r>
      <w:proofErr w:type="spellEnd"/>
      <w:r w:rsidRPr="00A267B0">
        <w:rPr>
          <w:b/>
          <w:bCs/>
        </w:rPr>
        <w:t xml:space="preserve"> para la región de las Américas (</w:t>
      </w:r>
      <w:proofErr w:type="spellStart"/>
      <w:r w:rsidRPr="00A267B0">
        <w:rPr>
          <w:b/>
          <w:bCs/>
        </w:rPr>
        <w:t>RPR-AMS</w:t>
      </w:r>
      <w:proofErr w:type="spellEnd"/>
      <w:r w:rsidRPr="00A267B0">
        <w:rPr>
          <w:b/>
          <w:bCs/>
        </w:rPr>
        <w:t>)</w:t>
      </w:r>
      <w:r w:rsidRPr="00A267B0">
        <w:t xml:space="preserve"> los días 1 y 2 de abril de 2025 en Asunción (Paraguay), bajo los auspicios de la Comisión Nacional de Telecomunicaciones (</w:t>
      </w:r>
      <w:proofErr w:type="spellStart"/>
      <w:r w:rsidRPr="00A267B0">
        <w:t>CONATEL</w:t>
      </w:r>
      <w:proofErr w:type="spellEnd"/>
      <w:r w:rsidRPr="00A267B0">
        <w:t>) de Paraguay.</w:t>
      </w:r>
    </w:p>
    <w:p w14:paraId="5781B723" w14:textId="77777777" w:rsidR="008C19E3" w:rsidRPr="00A267B0" w:rsidRDefault="008C19E3" w:rsidP="00120250">
      <w:pPr>
        <w:jc w:val="both"/>
      </w:pPr>
      <w:r w:rsidRPr="00A267B0">
        <w:t>4.15</w:t>
      </w:r>
      <w:r w:rsidRPr="00A267B0">
        <w:tab/>
        <w:t>Se creó un Grupo de Redacción sobre las IR de la Región de las Américas para el ciclo de ejecución 2026-2029, sobre la base de las contribuciones recibidas de los Estados Miembros. A la sazón, se adoptaron las siguientes IR:</w:t>
      </w:r>
    </w:p>
    <w:p w14:paraId="265BAF94" w14:textId="59C0E09B" w:rsidR="008C19E3" w:rsidRPr="00A267B0" w:rsidRDefault="006F3D0E" w:rsidP="00120250">
      <w:pPr>
        <w:pStyle w:val="enumlev1"/>
      </w:pPr>
      <w:r w:rsidRPr="00A267B0">
        <w:t>•</w:t>
      </w:r>
      <w:r w:rsidRPr="00A267B0">
        <w:tab/>
      </w:r>
      <w:proofErr w:type="spellStart"/>
      <w:r w:rsidR="008C19E3" w:rsidRPr="00A267B0">
        <w:rPr>
          <w:b/>
          <w:bCs/>
        </w:rPr>
        <w:t>AMS</w:t>
      </w:r>
      <w:proofErr w:type="spellEnd"/>
      <w:r w:rsidR="008C19E3" w:rsidRPr="00A267B0">
        <w:rPr>
          <w:b/>
          <w:bCs/>
        </w:rPr>
        <w:t xml:space="preserve"> 1</w:t>
      </w:r>
      <w:r w:rsidR="008C19E3" w:rsidRPr="00A267B0">
        <w:t xml:space="preserve">: Facilitar infraestructuras resilientes que permitan el despliegue de una conectividad </w:t>
      </w:r>
      <w:r w:rsidR="008C19E3" w:rsidRPr="00120250">
        <w:t>universal</w:t>
      </w:r>
      <w:r w:rsidR="008C19E3" w:rsidRPr="00A267B0">
        <w:t xml:space="preserve"> y efectiva.</w:t>
      </w:r>
    </w:p>
    <w:p w14:paraId="266B8FE4" w14:textId="5E5F9019" w:rsidR="008C19E3" w:rsidRPr="00A267B0" w:rsidRDefault="006F3D0E" w:rsidP="00120250">
      <w:pPr>
        <w:pStyle w:val="enumlev1"/>
      </w:pPr>
      <w:r w:rsidRPr="00A267B0">
        <w:t>•</w:t>
      </w:r>
      <w:r w:rsidRPr="00A267B0">
        <w:tab/>
      </w:r>
      <w:proofErr w:type="spellStart"/>
      <w:r w:rsidR="008C19E3" w:rsidRPr="00A267B0">
        <w:rPr>
          <w:b/>
          <w:bCs/>
        </w:rPr>
        <w:t>AMS</w:t>
      </w:r>
      <w:proofErr w:type="spellEnd"/>
      <w:r w:rsidR="008C19E3" w:rsidRPr="00A267B0">
        <w:rPr>
          <w:b/>
          <w:bCs/>
        </w:rPr>
        <w:t xml:space="preserve"> 2</w:t>
      </w:r>
      <w:r w:rsidR="008C19E3" w:rsidRPr="00A267B0">
        <w:t>: Inclusión digital, habilidades/competencias digitales.</w:t>
      </w:r>
    </w:p>
    <w:p w14:paraId="077BF07A" w14:textId="11330604" w:rsidR="008C19E3" w:rsidRPr="00A267B0" w:rsidRDefault="006F3D0E" w:rsidP="00120250">
      <w:pPr>
        <w:pStyle w:val="enumlev1"/>
      </w:pPr>
      <w:r w:rsidRPr="00A267B0">
        <w:t>•</w:t>
      </w:r>
      <w:r w:rsidRPr="00A267B0">
        <w:tab/>
      </w:r>
      <w:proofErr w:type="spellStart"/>
      <w:r w:rsidR="008C19E3" w:rsidRPr="00A267B0">
        <w:rPr>
          <w:b/>
          <w:bCs/>
        </w:rPr>
        <w:t>AMS</w:t>
      </w:r>
      <w:proofErr w:type="spellEnd"/>
      <w:r w:rsidR="008C19E3" w:rsidRPr="00A267B0">
        <w:rPr>
          <w:b/>
          <w:bCs/>
        </w:rPr>
        <w:t xml:space="preserve"> 3</w:t>
      </w:r>
      <w:r w:rsidR="008C19E3" w:rsidRPr="00A267B0">
        <w:t>: Apoyo a los ecosistemas digitales innovadores y a la adopción y utilización de tecnologías incipientes.</w:t>
      </w:r>
    </w:p>
    <w:p w14:paraId="38C53935" w14:textId="59E65A06" w:rsidR="008C19E3" w:rsidRPr="00A267B0" w:rsidRDefault="006F3D0E" w:rsidP="00120250">
      <w:pPr>
        <w:pStyle w:val="enumlev1"/>
      </w:pPr>
      <w:r w:rsidRPr="00A267B0">
        <w:t>•</w:t>
      </w:r>
      <w:r w:rsidRPr="00A267B0">
        <w:tab/>
      </w:r>
      <w:proofErr w:type="spellStart"/>
      <w:r w:rsidR="008C19E3" w:rsidRPr="00A267B0">
        <w:rPr>
          <w:b/>
          <w:bCs/>
        </w:rPr>
        <w:t>AMS</w:t>
      </w:r>
      <w:proofErr w:type="spellEnd"/>
      <w:r w:rsidR="008C19E3" w:rsidRPr="00A267B0">
        <w:rPr>
          <w:b/>
          <w:bCs/>
        </w:rPr>
        <w:t xml:space="preserve"> 4</w:t>
      </w:r>
      <w:r w:rsidR="008C19E3" w:rsidRPr="00A267B0">
        <w:t>: Promoción de la ciberresiliencia y la capacitación en ciberseguridad y ciberresiliencia.</w:t>
      </w:r>
    </w:p>
    <w:p w14:paraId="01308BA3" w14:textId="2673F39B" w:rsidR="008C19E3" w:rsidRPr="00A267B0" w:rsidRDefault="006F3D0E" w:rsidP="00120250">
      <w:pPr>
        <w:pStyle w:val="enumlev1"/>
      </w:pPr>
      <w:r w:rsidRPr="00A267B0">
        <w:t>•</w:t>
      </w:r>
      <w:r w:rsidRPr="00A267B0">
        <w:tab/>
      </w:r>
      <w:proofErr w:type="spellStart"/>
      <w:r w:rsidR="008C19E3" w:rsidRPr="00A267B0">
        <w:rPr>
          <w:b/>
          <w:bCs/>
        </w:rPr>
        <w:t>AMS</w:t>
      </w:r>
      <w:proofErr w:type="spellEnd"/>
      <w:r w:rsidR="008C19E3" w:rsidRPr="00A267B0">
        <w:rPr>
          <w:b/>
          <w:bCs/>
        </w:rPr>
        <w:t xml:space="preserve"> 5</w:t>
      </w:r>
      <w:r w:rsidR="008C19E3" w:rsidRPr="00A267B0">
        <w:t>: Gobernanza y marcos reglamentarios propicios para una transformación digital sostenible.</w:t>
      </w:r>
    </w:p>
    <w:p w14:paraId="3E69967A" w14:textId="77777777" w:rsidR="008C19E3" w:rsidRPr="00A267B0" w:rsidRDefault="008C19E3" w:rsidP="00697951">
      <w:pPr>
        <w:jc w:val="both"/>
      </w:pPr>
      <w:r w:rsidRPr="00A267B0">
        <w:t>4.16</w:t>
      </w:r>
      <w:r w:rsidRPr="00A267B0">
        <w:tab/>
        <w:t xml:space="preserve">La BDT organizó la </w:t>
      </w:r>
      <w:proofErr w:type="spellStart"/>
      <w:r w:rsidRPr="00A267B0">
        <w:rPr>
          <w:b/>
          <w:bCs/>
        </w:rPr>
        <w:t>RPR</w:t>
      </w:r>
      <w:proofErr w:type="spellEnd"/>
      <w:r w:rsidRPr="00A267B0">
        <w:rPr>
          <w:b/>
          <w:bCs/>
        </w:rPr>
        <w:t xml:space="preserve"> de África para la </w:t>
      </w:r>
      <w:proofErr w:type="spellStart"/>
      <w:r w:rsidRPr="00A267B0">
        <w:rPr>
          <w:b/>
          <w:bCs/>
        </w:rPr>
        <w:t>CMDT</w:t>
      </w:r>
      <w:proofErr w:type="spellEnd"/>
      <w:r w:rsidRPr="00A267B0">
        <w:rPr>
          <w:b/>
          <w:bCs/>
        </w:rPr>
        <w:t>-25 (</w:t>
      </w:r>
      <w:proofErr w:type="spellStart"/>
      <w:r w:rsidRPr="00A267B0">
        <w:rPr>
          <w:b/>
          <w:bCs/>
        </w:rPr>
        <w:t>RPR-AFR</w:t>
      </w:r>
      <w:proofErr w:type="spellEnd"/>
      <w:r w:rsidRPr="00A267B0">
        <w:rPr>
          <w:b/>
          <w:bCs/>
        </w:rPr>
        <w:t xml:space="preserve">) </w:t>
      </w:r>
      <w:r w:rsidRPr="00A267B0">
        <w:t>los días 8 y 9 de abril de 2025 en Nairobi (</w:t>
      </w:r>
      <w:proofErr w:type="spellStart"/>
      <w:r w:rsidRPr="00A267B0">
        <w:t>Kenya</w:t>
      </w:r>
      <w:proofErr w:type="spellEnd"/>
      <w:r w:rsidRPr="00A267B0">
        <w:t xml:space="preserve">), bajo los auspicios de la Autoridad de Comunicaciones (CA) de </w:t>
      </w:r>
      <w:proofErr w:type="spellStart"/>
      <w:r w:rsidRPr="00A267B0">
        <w:t>Kenya</w:t>
      </w:r>
      <w:proofErr w:type="spellEnd"/>
      <w:r w:rsidRPr="00A267B0">
        <w:t>.</w:t>
      </w:r>
    </w:p>
    <w:p w14:paraId="73BE8AE1" w14:textId="68B9F46C" w:rsidR="008C19E3" w:rsidRPr="00A267B0" w:rsidRDefault="008C19E3" w:rsidP="00697951">
      <w:pPr>
        <w:jc w:val="both"/>
      </w:pPr>
      <w:r w:rsidRPr="00A267B0">
        <w:t>4.17</w:t>
      </w:r>
      <w:r w:rsidRPr="00A267B0">
        <w:tab/>
        <w:t>Se creó un Grupo de Redacción sobre las IR de África para el ciclo de ejecución 2026</w:t>
      </w:r>
      <w:r w:rsidR="008A50E8" w:rsidRPr="00A267B0">
        <w:noBreakHyphen/>
      </w:r>
      <w:r w:rsidRPr="00A267B0">
        <w:t>2029, sobre la base de las contribuciones recibidas de los Estados Miembros. A la sazón, se adoptaron las siguientes IR:</w:t>
      </w:r>
    </w:p>
    <w:p w14:paraId="6FE2C6C2" w14:textId="54DE3D2A" w:rsidR="008C19E3" w:rsidRPr="00A267B0" w:rsidRDefault="006F3D0E" w:rsidP="00697951">
      <w:pPr>
        <w:pStyle w:val="enumlev1"/>
      </w:pPr>
      <w:r w:rsidRPr="00A267B0">
        <w:lastRenderedPageBreak/>
        <w:t>•</w:t>
      </w:r>
      <w:r w:rsidRPr="00A267B0">
        <w:tab/>
      </w:r>
      <w:proofErr w:type="spellStart"/>
      <w:r w:rsidR="008C19E3" w:rsidRPr="00A267B0">
        <w:rPr>
          <w:b/>
          <w:bCs/>
        </w:rPr>
        <w:t>AFR</w:t>
      </w:r>
      <w:proofErr w:type="spellEnd"/>
      <w:r w:rsidR="008C19E3" w:rsidRPr="00A267B0">
        <w:rPr>
          <w:b/>
          <w:bCs/>
        </w:rPr>
        <w:t xml:space="preserve"> 1</w:t>
      </w:r>
      <w:r w:rsidR="008C19E3" w:rsidRPr="00A267B0">
        <w:t>: Conectividad efectiva e infraestructura resiliente para el desarrollo sostenible, incluidas las telecomunicaciones de emergencia y los sistemas de alerta temprana contra amenazas múltiples en la región de África.</w:t>
      </w:r>
    </w:p>
    <w:p w14:paraId="69EFE567" w14:textId="74248DB7" w:rsidR="008C19E3" w:rsidRPr="00A267B0" w:rsidRDefault="006F3D0E" w:rsidP="00697951">
      <w:pPr>
        <w:pStyle w:val="enumlev1"/>
      </w:pPr>
      <w:r w:rsidRPr="00A267B0">
        <w:t>•</w:t>
      </w:r>
      <w:r w:rsidRPr="00A267B0">
        <w:tab/>
      </w:r>
      <w:proofErr w:type="spellStart"/>
      <w:r w:rsidR="008C19E3" w:rsidRPr="00A267B0">
        <w:rPr>
          <w:b/>
          <w:bCs/>
        </w:rPr>
        <w:t>AFR</w:t>
      </w:r>
      <w:proofErr w:type="spellEnd"/>
      <w:r w:rsidR="008C19E3" w:rsidRPr="00A267B0">
        <w:rPr>
          <w:b/>
          <w:bCs/>
        </w:rPr>
        <w:t xml:space="preserve"> 2</w:t>
      </w:r>
      <w:r w:rsidR="008C19E3" w:rsidRPr="00A267B0">
        <w:t>: Desarrollo de un ecosistema inclusivo y fiable de IA en África para el desarrollo socioeconómico.</w:t>
      </w:r>
    </w:p>
    <w:p w14:paraId="33409409" w14:textId="43F0EE13" w:rsidR="008C19E3" w:rsidRPr="00A267B0" w:rsidRDefault="006F3D0E" w:rsidP="00697951">
      <w:pPr>
        <w:pStyle w:val="enumlev1"/>
      </w:pPr>
      <w:r w:rsidRPr="00A267B0">
        <w:t>•</w:t>
      </w:r>
      <w:r w:rsidRPr="00A267B0">
        <w:tab/>
      </w:r>
      <w:proofErr w:type="spellStart"/>
      <w:r w:rsidR="008C19E3" w:rsidRPr="00A267B0">
        <w:rPr>
          <w:b/>
          <w:bCs/>
        </w:rPr>
        <w:t>AFR</w:t>
      </w:r>
      <w:proofErr w:type="spellEnd"/>
      <w:r w:rsidR="008C19E3" w:rsidRPr="00A267B0">
        <w:rPr>
          <w:b/>
          <w:bCs/>
        </w:rPr>
        <w:t xml:space="preserve"> 3</w:t>
      </w:r>
      <w:r w:rsidR="008C19E3" w:rsidRPr="00A267B0">
        <w:t>: Creación de confianza, seguridad y protección en la utilización de las telecomunicaciones/tecnologías de la información y la comunicación y protección de datos y privacidad.</w:t>
      </w:r>
    </w:p>
    <w:p w14:paraId="4F7BDB29" w14:textId="3CA962B5" w:rsidR="008C19E3" w:rsidRPr="00A267B0" w:rsidRDefault="006F3D0E" w:rsidP="00697951">
      <w:pPr>
        <w:pStyle w:val="enumlev1"/>
      </w:pPr>
      <w:r w:rsidRPr="00A267B0">
        <w:t>•</w:t>
      </w:r>
      <w:r w:rsidRPr="00A267B0">
        <w:tab/>
      </w:r>
      <w:proofErr w:type="spellStart"/>
      <w:r w:rsidR="008C19E3" w:rsidRPr="00A267B0">
        <w:rPr>
          <w:b/>
          <w:bCs/>
        </w:rPr>
        <w:t>AFR</w:t>
      </w:r>
      <w:proofErr w:type="spellEnd"/>
      <w:r w:rsidR="008C19E3" w:rsidRPr="00A267B0">
        <w:rPr>
          <w:b/>
          <w:bCs/>
        </w:rPr>
        <w:t xml:space="preserve"> 4</w:t>
      </w:r>
      <w:r w:rsidR="008C19E3" w:rsidRPr="00A267B0">
        <w:t>: Aplicaciones de infraestructura digital, desarrollo de pymes y ecosistemas de innovación y tecnologías incipientes.</w:t>
      </w:r>
    </w:p>
    <w:p w14:paraId="5D938F15" w14:textId="51AC2F70" w:rsidR="008C19E3" w:rsidRPr="00A267B0" w:rsidRDefault="006F3D0E" w:rsidP="00697951">
      <w:pPr>
        <w:pStyle w:val="enumlev1"/>
      </w:pPr>
      <w:r w:rsidRPr="00A267B0">
        <w:t>•</w:t>
      </w:r>
      <w:r w:rsidRPr="00A267B0">
        <w:tab/>
      </w:r>
      <w:proofErr w:type="spellStart"/>
      <w:r w:rsidR="008C19E3" w:rsidRPr="00A267B0">
        <w:rPr>
          <w:b/>
          <w:bCs/>
        </w:rPr>
        <w:t>AFR</w:t>
      </w:r>
      <w:proofErr w:type="spellEnd"/>
      <w:r w:rsidR="008C19E3" w:rsidRPr="00A267B0">
        <w:rPr>
          <w:b/>
          <w:bCs/>
        </w:rPr>
        <w:t xml:space="preserve"> 5</w:t>
      </w:r>
      <w:r w:rsidR="008C19E3" w:rsidRPr="00A267B0">
        <w:t>: Mecanismos de financiación sostenibles para la transformación digital de África.</w:t>
      </w:r>
    </w:p>
    <w:p w14:paraId="00E4F4A5" w14:textId="77777777" w:rsidR="008C19E3" w:rsidRPr="00A267B0" w:rsidRDefault="008C19E3" w:rsidP="00697951">
      <w:pPr>
        <w:jc w:val="both"/>
      </w:pPr>
      <w:r w:rsidRPr="00A267B0">
        <w:t>4.18</w:t>
      </w:r>
      <w:r w:rsidRPr="00A267B0">
        <w:tab/>
        <w:t xml:space="preserve">La BDT organizó la </w:t>
      </w:r>
      <w:proofErr w:type="spellStart"/>
      <w:r w:rsidRPr="00A267B0">
        <w:rPr>
          <w:b/>
          <w:bCs/>
        </w:rPr>
        <w:t>RPR</w:t>
      </w:r>
      <w:proofErr w:type="spellEnd"/>
      <w:r w:rsidRPr="00A267B0">
        <w:rPr>
          <w:b/>
          <w:bCs/>
        </w:rPr>
        <w:t xml:space="preserve"> para la región de la CEI (</w:t>
      </w:r>
      <w:proofErr w:type="spellStart"/>
      <w:r w:rsidRPr="00A267B0">
        <w:rPr>
          <w:b/>
          <w:bCs/>
        </w:rPr>
        <w:t>RPR</w:t>
      </w:r>
      <w:proofErr w:type="spellEnd"/>
      <w:r w:rsidRPr="00A267B0">
        <w:rPr>
          <w:b/>
          <w:bCs/>
        </w:rPr>
        <w:t>-CEI)</w:t>
      </w:r>
      <w:r w:rsidRPr="00A267B0">
        <w:t xml:space="preserve"> los días 24 y 25 de abril de 2025 en Bishkek (República Kirguisa), bajo los auspicios del Ministerio de Desarrollo Digital y Tecnologías Innovadoras de la República Kirguisa.</w:t>
      </w:r>
    </w:p>
    <w:p w14:paraId="6A8A1383" w14:textId="551BEC4B" w:rsidR="008C19E3" w:rsidRPr="00A267B0" w:rsidRDefault="008C19E3" w:rsidP="00697951">
      <w:pPr>
        <w:jc w:val="both"/>
      </w:pPr>
      <w:r w:rsidRPr="00A267B0">
        <w:t>4.19</w:t>
      </w:r>
      <w:r w:rsidRPr="00A267B0">
        <w:tab/>
        <w:t>Se creó un Grupo de Redacción sobre las IR de la CEI para el ciclo de ejecución 2026</w:t>
      </w:r>
      <w:r w:rsidR="008A50E8" w:rsidRPr="00A267B0">
        <w:noBreakHyphen/>
      </w:r>
      <w:r w:rsidRPr="00A267B0">
        <w:t>2029, sobre la base de las contribuciones recibidas de los Estados Miembros. A la sazón, se adoptaron las siguientes IR:</w:t>
      </w:r>
    </w:p>
    <w:p w14:paraId="4E1B83EC" w14:textId="0B1C6B03" w:rsidR="008C19E3" w:rsidRPr="00A267B0" w:rsidRDefault="006F3D0E" w:rsidP="00697951">
      <w:pPr>
        <w:pStyle w:val="enumlev1"/>
      </w:pPr>
      <w:r w:rsidRPr="00A267B0">
        <w:t>•</w:t>
      </w:r>
      <w:r w:rsidRPr="00A267B0">
        <w:tab/>
      </w:r>
      <w:r w:rsidR="008C19E3" w:rsidRPr="00A267B0">
        <w:rPr>
          <w:b/>
          <w:bCs/>
        </w:rPr>
        <w:t>CEI 1</w:t>
      </w:r>
      <w:r w:rsidR="008C19E3" w:rsidRPr="00A267B0">
        <w:t>: Introducción de sistemas y redes de telecomunicaciones/TIC nuevos e incipientes.</w:t>
      </w:r>
    </w:p>
    <w:p w14:paraId="10A0D94B" w14:textId="07EEE04D" w:rsidR="008C19E3" w:rsidRPr="00A267B0" w:rsidRDefault="006F3D0E" w:rsidP="00697951">
      <w:pPr>
        <w:pStyle w:val="enumlev1"/>
      </w:pPr>
      <w:r w:rsidRPr="00A267B0">
        <w:t>•</w:t>
      </w:r>
      <w:r w:rsidRPr="00A267B0">
        <w:tab/>
      </w:r>
      <w:r w:rsidR="008C19E3" w:rsidRPr="00A267B0">
        <w:rPr>
          <w:b/>
          <w:bCs/>
        </w:rPr>
        <w:t>CEI 2</w:t>
      </w:r>
      <w:r w:rsidR="008C19E3" w:rsidRPr="00A267B0">
        <w:t>: Educación y competencias en materia de telecomunicaciones/TIC, incluidas las de las personas con discapacidad y necesidades específicas.</w:t>
      </w:r>
    </w:p>
    <w:p w14:paraId="05BCBC96" w14:textId="4C4D17F2" w:rsidR="008C19E3" w:rsidRPr="00A267B0" w:rsidRDefault="006F3D0E" w:rsidP="00697951">
      <w:pPr>
        <w:pStyle w:val="enumlev1"/>
      </w:pPr>
      <w:r w:rsidRPr="00A267B0">
        <w:t>•</w:t>
      </w:r>
      <w:r w:rsidRPr="00A267B0">
        <w:tab/>
      </w:r>
      <w:r w:rsidR="008C19E3" w:rsidRPr="00A267B0">
        <w:rPr>
          <w:b/>
          <w:bCs/>
        </w:rPr>
        <w:t>CEI 3</w:t>
      </w:r>
      <w:r w:rsidR="008C19E3" w:rsidRPr="00A267B0">
        <w:t>: Seguridad en la utilización de las telecomunicaciones/TIC, incluida la lucha contra el fraude.</w:t>
      </w:r>
    </w:p>
    <w:p w14:paraId="349B6BA8" w14:textId="638EFB25" w:rsidR="008C19E3" w:rsidRPr="00A267B0" w:rsidRDefault="006F3D0E" w:rsidP="00697951">
      <w:pPr>
        <w:pStyle w:val="enumlev1"/>
      </w:pPr>
      <w:r w:rsidRPr="00A267B0">
        <w:t>•</w:t>
      </w:r>
      <w:r w:rsidRPr="00A267B0">
        <w:tab/>
      </w:r>
      <w:r w:rsidR="008C19E3" w:rsidRPr="00A267B0">
        <w:rPr>
          <w:b/>
          <w:bCs/>
        </w:rPr>
        <w:t>CEI 4</w:t>
      </w:r>
      <w:r w:rsidR="008C19E3" w:rsidRPr="00A267B0">
        <w:t>: Creación de un entorno propicio y reglamentación de las telecomunicaciones/TIC.</w:t>
      </w:r>
    </w:p>
    <w:p w14:paraId="497DE977" w14:textId="66A7AD2E" w:rsidR="008C19E3" w:rsidRPr="00A267B0" w:rsidRDefault="006F3D0E" w:rsidP="00697951">
      <w:pPr>
        <w:pStyle w:val="enumlev1"/>
      </w:pPr>
      <w:r w:rsidRPr="00A267B0">
        <w:t>•</w:t>
      </w:r>
      <w:r w:rsidRPr="00A267B0">
        <w:tab/>
      </w:r>
      <w:r w:rsidR="008C19E3" w:rsidRPr="00A267B0">
        <w:rPr>
          <w:b/>
          <w:bCs/>
        </w:rPr>
        <w:t>CEI 5</w:t>
      </w:r>
      <w:r w:rsidR="008C19E3" w:rsidRPr="00A267B0">
        <w:t>: Desarrollo y despliegue de tecnologías de inteligencia artificial.</w:t>
      </w:r>
    </w:p>
    <w:p w14:paraId="7E726779" w14:textId="312E3053" w:rsidR="008C19E3" w:rsidRPr="00A267B0" w:rsidRDefault="008C19E3" w:rsidP="00697951">
      <w:pPr>
        <w:jc w:val="both"/>
      </w:pPr>
      <w:r w:rsidRPr="00A267B0">
        <w:t>4.20</w:t>
      </w:r>
      <w:r w:rsidRPr="00A267B0">
        <w:tab/>
        <w:t xml:space="preserve">Todos los documentos relativos a cada </w:t>
      </w:r>
      <w:proofErr w:type="spellStart"/>
      <w:r w:rsidRPr="00A267B0">
        <w:t>RPR</w:t>
      </w:r>
      <w:proofErr w:type="spellEnd"/>
      <w:r w:rsidRPr="00A267B0">
        <w:t xml:space="preserve">, incluidas las invitaciones, los órdenes del día de las reuniones, las contribuciones recibidas y los informes de las reuniones, están disponibles en el sitio web de cada evento en </w:t>
      </w:r>
      <w:hyperlink r:id="rId49" w:anchor="/es" w:history="1">
        <w:r w:rsidRPr="00A267B0">
          <w:rPr>
            <w:rStyle w:val="Hyperlink"/>
          </w:rPr>
          <w:t>https://www.itu.int/itu-d/meetings/wtdc25/rpm/home</w:t>
        </w:r>
      </w:hyperlink>
      <w:r w:rsidRPr="00A267B0">
        <w:t>.</w:t>
      </w:r>
    </w:p>
    <w:p w14:paraId="05F886B8" w14:textId="77777777" w:rsidR="008C19E3" w:rsidRPr="00A267B0" w:rsidRDefault="008C19E3" w:rsidP="00697951">
      <w:pPr>
        <w:jc w:val="both"/>
      </w:pPr>
      <w:r w:rsidRPr="00A267B0">
        <w:t>4.21</w:t>
      </w:r>
      <w:r w:rsidRPr="00A267B0">
        <w:tab/>
        <w:t>El 12 de mayo de 2025 se celebrará presencialmente una</w:t>
      </w:r>
      <w:r w:rsidRPr="00A267B0">
        <w:rPr>
          <w:b/>
          <w:bCs/>
        </w:rPr>
        <w:t xml:space="preserve"> </w:t>
      </w:r>
      <w:r w:rsidRPr="00A267B0">
        <w:t>reunión de coordinación de las </w:t>
      </w:r>
      <w:proofErr w:type="spellStart"/>
      <w:r w:rsidRPr="00A267B0">
        <w:t>RPR</w:t>
      </w:r>
      <w:proofErr w:type="spellEnd"/>
      <w:r w:rsidRPr="00A267B0">
        <w:t xml:space="preserve"> para examinar los informes de las seis </w:t>
      </w:r>
      <w:proofErr w:type="spellStart"/>
      <w:r w:rsidRPr="00A267B0">
        <w:t>RPR</w:t>
      </w:r>
      <w:proofErr w:type="spellEnd"/>
      <w:r w:rsidRPr="00A267B0">
        <w:t xml:space="preserve"> y presentar un informe consolidado para la aprobación del </w:t>
      </w:r>
      <w:proofErr w:type="spellStart"/>
      <w:r w:rsidRPr="00A267B0">
        <w:t>GADT</w:t>
      </w:r>
      <w:proofErr w:type="spellEnd"/>
      <w:r w:rsidRPr="00A267B0">
        <w:t>, de conformidad con la Resolución 31 (Rev. Kigali, 2022) de la CMDT.</w:t>
      </w:r>
    </w:p>
    <w:p w14:paraId="2A54FAC4" w14:textId="77777777" w:rsidR="008C19E3" w:rsidRPr="00A267B0" w:rsidRDefault="008C19E3" w:rsidP="00697951">
      <w:pPr>
        <w:jc w:val="both"/>
      </w:pPr>
      <w:r w:rsidRPr="00A267B0">
        <w:t>4.22</w:t>
      </w:r>
      <w:r w:rsidRPr="00A267B0">
        <w:tab/>
        <w:t xml:space="preserve">Sobre la base de la práctica establecida, se espera que el </w:t>
      </w:r>
      <w:proofErr w:type="spellStart"/>
      <w:r w:rsidRPr="00A267B0">
        <w:t>GADT</w:t>
      </w:r>
      <w:proofErr w:type="spellEnd"/>
      <w:r w:rsidRPr="00A267B0">
        <w:t>-25 apoye la celebración de dos Reuniones Interregionales (</w:t>
      </w:r>
      <w:proofErr w:type="spellStart"/>
      <w:r w:rsidRPr="00A267B0">
        <w:t>RIR</w:t>
      </w:r>
      <w:proofErr w:type="spellEnd"/>
      <w:r w:rsidRPr="00A267B0">
        <w:t>) programadas como se indica a continuación para preparar la </w:t>
      </w:r>
      <w:proofErr w:type="spellStart"/>
      <w:r w:rsidRPr="00A267B0">
        <w:t>CMDT</w:t>
      </w:r>
      <w:proofErr w:type="spellEnd"/>
      <w:r w:rsidRPr="00A267B0">
        <w:t>, a saber:</w:t>
      </w:r>
    </w:p>
    <w:p w14:paraId="1924F457" w14:textId="60CD601E" w:rsidR="008C19E3" w:rsidRPr="00A267B0" w:rsidRDefault="006F3D0E" w:rsidP="00697951">
      <w:pPr>
        <w:pStyle w:val="enumlev1"/>
      </w:pPr>
      <w:r w:rsidRPr="00A267B0">
        <w:t>•</w:t>
      </w:r>
      <w:r w:rsidRPr="00A267B0">
        <w:tab/>
      </w:r>
      <w:proofErr w:type="spellStart"/>
      <w:r w:rsidR="008C19E3" w:rsidRPr="00A267B0">
        <w:rPr>
          <w:b/>
          <w:bCs/>
        </w:rPr>
        <w:t>RIR</w:t>
      </w:r>
      <w:proofErr w:type="spellEnd"/>
      <w:r w:rsidR="008C19E3" w:rsidRPr="00A267B0">
        <w:rPr>
          <w:b/>
          <w:bCs/>
        </w:rPr>
        <w:t>-1</w:t>
      </w:r>
      <w:r w:rsidR="008C19E3" w:rsidRPr="00A267B0">
        <w:t>: 14-15 de julio de 2025 (virtual)</w:t>
      </w:r>
      <w:r w:rsidR="00A267B0" w:rsidRPr="00A267B0">
        <w:t>;</w:t>
      </w:r>
      <w:r w:rsidR="008C19E3" w:rsidRPr="00A267B0">
        <w:t xml:space="preserve"> y</w:t>
      </w:r>
    </w:p>
    <w:p w14:paraId="39BE7DDB" w14:textId="22D2174C" w:rsidR="008C19E3" w:rsidRPr="00A267B0" w:rsidRDefault="006F3D0E" w:rsidP="00697951">
      <w:pPr>
        <w:pStyle w:val="enumlev1"/>
      </w:pPr>
      <w:r w:rsidRPr="00A267B0">
        <w:t>•</w:t>
      </w:r>
      <w:r w:rsidRPr="00A267B0">
        <w:tab/>
      </w:r>
      <w:proofErr w:type="spellStart"/>
      <w:r w:rsidR="008C19E3" w:rsidRPr="00A267B0">
        <w:rPr>
          <w:b/>
          <w:bCs/>
        </w:rPr>
        <w:t>RIR</w:t>
      </w:r>
      <w:proofErr w:type="spellEnd"/>
      <w:r w:rsidR="008C19E3" w:rsidRPr="00A267B0">
        <w:rPr>
          <w:b/>
          <w:bCs/>
        </w:rPr>
        <w:t>-2</w:t>
      </w:r>
      <w:r w:rsidR="008C19E3" w:rsidRPr="00A267B0">
        <w:t>: 29-30 de septiembre de 2025 (virtual).</w:t>
      </w:r>
    </w:p>
    <w:p w14:paraId="5BEF02A3" w14:textId="77777777" w:rsidR="008C19E3" w:rsidRPr="00A267B0" w:rsidRDefault="008C19E3" w:rsidP="00697951">
      <w:pPr>
        <w:jc w:val="both"/>
      </w:pPr>
      <w:r w:rsidRPr="00A267B0">
        <w:t>4.23</w:t>
      </w:r>
      <w:r w:rsidRPr="00A267B0">
        <w:tab/>
        <w:t xml:space="preserve">Las </w:t>
      </w:r>
      <w:proofErr w:type="spellStart"/>
      <w:r w:rsidRPr="00A267B0">
        <w:t>RIR</w:t>
      </w:r>
      <w:proofErr w:type="spellEnd"/>
      <w:r w:rsidRPr="00A267B0">
        <w:t xml:space="preserve"> están abiertas a todos los Miembros del UIT-D. Se alienta a los Estados Miembros a incluir en sus delegaciones a representantes de reguladores, responsables políticos, la sociedad civil, las instituciones académicas, la comunidad técnica de Internet, la juventud, las organizaciones de igualdad de género y otros.</w:t>
      </w:r>
    </w:p>
    <w:p w14:paraId="7B451D60" w14:textId="77777777" w:rsidR="008C19E3" w:rsidRPr="00A267B0" w:rsidRDefault="008C19E3" w:rsidP="00697951">
      <w:pPr>
        <w:jc w:val="both"/>
      </w:pPr>
      <w:r w:rsidRPr="00A267B0">
        <w:lastRenderedPageBreak/>
        <w:t>4.24</w:t>
      </w:r>
      <w:r w:rsidRPr="00A267B0">
        <w:tab/>
        <w:t xml:space="preserve">Los órdenes del día de las </w:t>
      </w:r>
      <w:proofErr w:type="spellStart"/>
      <w:r w:rsidRPr="00A267B0">
        <w:t>RIR</w:t>
      </w:r>
      <w:proofErr w:type="spellEnd"/>
      <w:r w:rsidRPr="00A267B0">
        <w:t xml:space="preserve"> se articulan en torno a los debates clave que tuvieron lugar durante las </w:t>
      </w:r>
      <w:proofErr w:type="spellStart"/>
      <w:r w:rsidRPr="00A267B0">
        <w:t>RPR</w:t>
      </w:r>
      <w:proofErr w:type="spellEnd"/>
      <w:r w:rsidRPr="00A267B0">
        <w:t xml:space="preserve"> y pueden incluir propuestas de Estados Miembros, Miembros de Sector, organizaciones regionales de telecomunicaciones (</w:t>
      </w:r>
      <w:proofErr w:type="spellStart"/>
      <w:r w:rsidRPr="00A267B0">
        <w:t>ORT</w:t>
      </w:r>
      <w:proofErr w:type="spellEnd"/>
      <w:r w:rsidRPr="00A267B0">
        <w:t>), la BDT y otras partes interesadas. Los debates se centran en temas clave que requieren coordinación y consenso entre las diferentes regiones.</w:t>
      </w:r>
    </w:p>
    <w:p w14:paraId="2584D6E0" w14:textId="77777777" w:rsidR="008C19E3" w:rsidRPr="00A267B0" w:rsidRDefault="008C19E3" w:rsidP="00697951">
      <w:pPr>
        <w:jc w:val="both"/>
      </w:pPr>
      <w:r w:rsidRPr="00A267B0">
        <w:t>4.25</w:t>
      </w:r>
      <w:r w:rsidRPr="00A267B0">
        <w:tab/>
        <w:t xml:space="preserve">Siguiendo las recomendaciones del </w:t>
      </w:r>
      <w:proofErr w:type="spellStart"/>
      <w:r w:rsidRPr="00A267B0">
        <w:t>GADT</w:t>
      </w:r>
      <w:proofErr w:type="spellEnd"/>
      <w:r w:rsidRPr="00A267B0">
        <w:t>, se nombrará al Presidente designado de la </w:t>
      </w:r>
      <w:proofErr w:type="spellStart"/>
      <w:r w:rsidRPr="00A267B0">
        <w:t>CMDT</w:t>
      </w:r>
      <w:proofErr w:type="spellEnd"/>
      <w:r w:rsidRPr="00A267B0">
        <w:t xml:space="preserve"> para presidir las dos </w:t>
      </w:r>
      <w:proofErr w:type="spellStart"/>
      <w:r w:rsidRPr="00A267B0">
        <w:t>RIR</w:t>
      </w:r>
      <w:proofErr w:type="spellEnd"/>
      <w:r w:rsidRPr="00A267B0">
        <w:t xml:space="preserve">, y se nombrarán seis Vicepresidentes, uno designado por cada una de las respectivas </w:t>
      </w:r>
      <w:proofErr w:type="spellStart"/>
      <w:r w:rsidRPr="00A267B0">
        <w:t>ORT</w:t>
      </w:r>
      <w:proofErr w:type="spellEnd"/>
      <w:r w:rsidRPr="00A267B0">
        <w:t xml:space="preserve">. También se invitará a cada </w:t>
      </w:r>
      <w:proofErr w:type="spellStart"/>
      <w:r w:rsidRPr="00A267B0">
        <w:t>ORT</w:t>
      </w:r>
      <w:proofErr w:type="spellEnd"/>
      <w:r w:rsidRPr="00A267B0">
        <w:t xml:space="preserve"> a que identifique al representante o representantes de su elección para hablar en nombre de su región.</w:t>
      </w:r>
    </w:p>
    <w:p w14:paraId="74341189" w14:textId="77777777" w:rsidR="008C19E3" w:rsidRPr="00A267B0" w:rsidRDefault="008C19E3" w:rsidP="00697951">
      <w:pPr>
        <w:jc w:val="both"/>
      </w:pPr>
      <w:r w:rsidRPr="00A267B0">
        <w:t>4.26</w:t>
      </w:r>
      <w:r w:rsidRPr="00A267B0">
        <w:tab/>
        <w:t xml:space="preserve">El proyecto de estructura de la </w:t>
      </w:r>
      <w:proofErr w:type="spellStart"/>
      <w:r w:rsidRPr="00A267B0">
        <w:t>CMDT</w:t>
      </w:r>
      <w:proofErr w:type="spellEnd"/>
      <w:r w:rsidRPr="00A267B0">
        <w:t xml:space="preserve">-25 se sometió a la aprobación del </w:t>
      </w:r>
      <w:proofErr w:type="spellStart"/>
      <w:r w:rsidRPr="00A267B0">
        <w:t>GADT</w:t>
      </w:r>
      <w:proofErr w:type="spellEnd"/>
      <w:r w:rsidRPr="00A267B0">
        <w:t xml:space="preserve">-25 por conducto del Documento </w:t>
      </w:r>
      <w:hyperlink r:id="rId50" w:history="1">
        <w:proofErr w:type="spellStart"/>
        <w:r w:rsidRPr="00A267B0">
          <w:rPr>
            <w:rStyle w:val="Hyperlink"/>
          </w:rPr>
          <w:t>TDAG</w:t>
        </w:r>
        <w:proofErr w:type="spellEnd"/>
        <w:r w:rsidRPr="00A267B0">
          <w:rPr>
            <w:rStyle w:val="Hyperlink"/>
          </w:rPr>
          <w:t>-25/17</w:t>
        </w:r>
      </w:hyperlink>
      <w:r w:rsidRPr="00A267B0">
        <w:t>.</w:t>
      </w:r>
    </w:p>
    <w:p w14:paraId="0C919D86" w14:textId="77777777" w:rsidR="008C19E3" w:rsidRPr="00A267B0" w:rsidRDefault="008C19E3" w:rsidP="00697951">
      <w:pPr>
        <w:pStyle w:val="Heading1"/>
        <w:jc w:val="both"/>
      </w:pPr>
      <w:r w:rsidRPr="00A267B0">
        <w:t>5</w:t>
      </w:r>
      <w:r w:rsidRPr="00A267B0">
        <w:tab/>
        <w:t>Segmento de declaraciones de política</w:t>
      </w:r>
    </w:p>
    <w:p w14:paraId="4954CEC2" w14:textId="77777777" w:rsidR="008C19E3" w:rsidRPr="00A267B0" w:rsidRDefault="008C19E3" w:rsidP="00697951">
      <w:pPr>
        <w:jc w:val="both"/>
      </w:pPr>
      <w:r w:rsidRPr="00A267B0">
        <w:t xml:space="preserve">El segmento de declaraciones de política de la </w:t>
      </w:r>
      <w:proofErr w:type="spellStart"/>
      <w:r w:rsidRPr="00A267B0">
        <w:t>CMDT</w:t>
      </w:r>
      <w:proofErr w:type="spellEnd"/>
      <w:r w:rsidRPr="00A267B0">
        <w:t xml:space="preserve"> ofrece una plataforma única para que altos funcionarios de los Estados Miembros expresen sus puntos de vista sobre nuevas tendencias y asuntos de importancia estratégica para el desarrollo del sector de las telecomunicaciones y las TIC. Se sugiere que, en la </w:t>
      </w:r>
      <w:proofErr w:type="spellStart"/>
      <w:r w:rsidRPr="00A267B0">
        <w:t>CMDT</w:t>
      </w:r>
      <w:proofErr w:type="spellEnd"/>
      <w:r w:rsidRPr="00A267B0">
        <w:t>-25, las declaraciones de política se limiten a los ministros, viceministros, ministros adjuntos o secretarios del gabinete y que el tiempo de intervención sea de tres minutos como máximo, en el entendimiento de que las declaraciones completas se publicarán en el sitio web de la conferencia.</w:t>
      </w:r>
    </w:p>
    <w:p w14:paraId="558CC157" w14:textId="77777777" w:rsidR="008C19E3" w:rsidRPr="00A267B0" w:rsidRDefault="008C19E3" w:rsidP="00697951">
      <w:pPr>
        <w:pStyle w:val="Heading1"/>
        <w:jc w:val="both"/>
      </w:pPr>
      <w:r w:rsidRPr="00A267B0">
        <w:t>6</w:t>
      </w:r>
      <w:r w:rsidRPr="00A267B0">
        <w:tab/>
        <w:t>Eventos paralelos</w:t>
      </w:r>
    </w:p>
    <w:p w14:paraId="13E210C8" w14:textId="77777777" w:rsidR="008C19E3" w:rsidRPr="00A267B0" w:rsidRDefault="008C19E3" w:rsidP="00697951">
      <w:pPr>
        <w:jc w:val="both"/>
      </w:pPr>
      <w:r w:rsidRPr="00A267B0">
        <w:t xml:space="preserve">No se ha previsto celebrar eventos paralelos a la </w:t>
      </w:r>
      <w:proofErr w:type="spellStart"/>
      <w:r w:rsidRPr="00A267B0">
        <w:t>CMDT</w:t>
      </w:r>
      <w:proofErr w:type="spellEnd"/>
      <w:r w:rsidRPr="00A267B0">
        <w:t>-25 para evitar perjudicar a las delegaciones pequeñas, que tal vez no puedan cubrir los debates de la conferencia y los eventos paralelos que se celebren al mismo tiempo.</w:t>
      </w:r>
    </w:p>
    <w:p w14:paraId="62AA8AE4" w14:textId="77777777" w:rsidR="008C19E3" w:rsidRPr="00A267B0" w:rsidRDefault="008C19E3" w:rsidP="00697951">
      <w:pPr>
        <w:pStyle w:val="Heading1"/>
        <w:jc w:val="both"/>
      </w:pPr>
      <w:r w:rsidRPr="00A267B0">
        <w:t>7</w:t>
      </w:r>
      <w:r w:rsidRPr="00A267B0">
        <w:tab/>
        <w:t xml:space="preserve">Celebración de la juventud en la </w:t>
      </w:r>
      <w:proofErr w:type="spellStart"/>
      <w:r w:rsidRPr="00A267B0">
        <w:t>CMDT</w:t>
      </w:r>
      <w:proofErr w:type="spellEnd"/>
      <w:r w:rsidRPr="00A267B0">
        <w:t>-25</w:t>
      </w:r>
    </w:p>
    <w:p w14:paraId="439F3C8C" w14:textId="77777777" w:rsidR="008C19E3" w:rsidRPr="00A267B0" w:rsidRDefault="008C19E3" w:rsidP="00697951">
      <w:pPr>
        <w:jc w:val="both"/>
      </w:pPr>
      <w:r w:rsidRPr="00A267B0">
        <w:t>7.1</w:t>
      </w:r>
      <w:r w:rsidRPr="00A267B0">
        <w:tab/>
        <w:t xml:space="preserve">El 16 de noviembre de 2025, antes de la </w:t>
      </w:r>
      <w:proofErr w:type="spellStart"/>
      <w:r w:rsidRPr="00A267B0">
        <w:t>CMDT</w:t>
      </w:r>
      <w:proofErr w:type="spellEnd"/>
      <w:r w:rsidRPr="00A267B0">
        <w:t>-25, tendrá lugar una Celebración de la Juventud en Bakú. La celebración incluirá diálogos intergeneracionales, charlas inspiradoras y actividades diseñadas para destacar el papel de los jóvenes en el desarrollo digital. Los jóvenes participantes interactuarán directamente con responsables políticos y partes interesadas en el evento, fomentando la colaboración y haciendo hincapié en que los jóvenes son socios en la transformación digital. El país anfitrión organizará visitas para los jóvenes.</w:t>
      </w:r>
    </w:p>
    <w:p w14:paraId="4EE29A07" w14:textId="77777777" w:rsidR="008C19E3" w:rsidRPr="00A267B0" w:rsidRDefault="008C19E3" w:rsidP="00697951">
      <w:pPr>
        <w:jc w:val="both"/>
      </w:pPr>
      <w:r w:rsidRPr="00A267B0">
        <w:t>Este evento de celebración no producirá un documento de resultados formal, sino que tratará de aprovechar el éxito de la Cumbre Mundial de la Juventud que se celebró en Varadero (Cuba) en 2025. Este evento tiene por objeto demostrar el compromiso constante de la UIT de empoderar a la próxima generación de líderes digitales y consolidar las voces de los jóvenes en el marco de la agenda mundial de telecomunicaciones y desarrollo digital.</w:t>
      </w:r>
    </w:p>
    <w:p w14:paraId="663BF035" w14:textId="7AB63C24" w:rsidR="008C19E3" w:rsidRPr="00A267B0" w:rsidRDefault="008C19E3" w:rsidP="00120250">
      <w:pPr>
        <w:pStyle w:val="Heading1"/>
      </w:pPr>
      <w:r w:rsidRPr="00A267B0">
        <w:t>8</w:t>
      </w:r>
      <w:r w:rsidRPr="00A267B0">
        <w:tab/>
        <w:t>Conclusión</w:t>
      </w:r>
    </w:p>
    <w:p w14:paraId="1BFBEF41" w14:textId="247B1026" w:rsidR="00F92BED" w:rsidRPr="00A267B0" w:rsidRDefault="008C19E3" w:rsidP="00697951">
      <w:pPr>
        <w:jc w:val="both"/>
      </w:pPr>
      <w:r w:rsidRPr="00A267B0">
        <w:t xml:space="preserve">Continúa la labor a nivel de la Secretaría para garantizar un proceso preparatorio eficiente y eficaz que dé como resultado una conferencia fructífera. Se invita al Consejo a tomar nota de los preparativos para la </w:t>
      </w:r>
      <w:proofErr w:type="spellStart"/>
      <w:r w:rsidRPr="00A267B0">
        <w:t>CMDT</w:t>
      </w:r>
      <w:proofErr w:type="spellEnd"/>
      <w:r w:rsidRPr="00A267B0">
        <w:t>-25.</w:t>
      </w:r>
    </w:p>
    <w:p w14:paraId="125B5FB8" w14:textId="77777777" w:rsidR="00F92BED" w:rsidRPr="00F92BED" w:rsidRDefault="00F92BED" w:rsidP="00F92BED">
      <w:pPr>
        <w:jc w:val="center"/>
      </w:pPr>
      <w:r w:rsidRPr="00A267B0">
        <w:t>______________</w:t>
      </w:r>
    </w:p>
    <w:sectPr w:rsidR="00F92BED" w:rsidRPr="00F92BED" w:rsidSect="00C538FC">
      <w:headerReference w:type="first" r:id="rId51"/>
      <w:footerReference w:type="first" r:id="rId5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27B88" w14:textId="77777777" w:rsidR="008C19E3" w:rsidRDefault="008C19E3">
      <w:r>
        <w:separator/>
      </w:r>
    </w:p>
  </w:endnote>
  <w:endnote w:type="continuationSeparator" w:id="0">
    <w:p w14:paraId="29B6C0E2" w14:textId="77777777" w:rsidR="008C19E3" w:rsidRDefault="008C1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187C7EE3" w14:textId="77777777" w:rsidTr="00E31DCE">
      <w:trPr>
        <w:jc w:val="center"/>
      </w:trPr>
      <w:tc>
        <w:tcPr>
          <w:tcW w:w="1803" w:type="dxa"/>
          <w:vAlign w:val="center"/>
        </w:tcPr>
        <w:p w14:paraId="473CF59D" w14:textId="77777777" w:rsidR="00F24B71" w:rsidRPr="002946E2" w:rsidRDefault="002946E2" w:rsidP="00F24B71">
          <w:pPr>
            <w:pStyle w:val="Header"/>
            <w:jc w:val="left"/>
            <w:rPr>
              <w:noProof/>
            </w:rPr>
          </w:pPr>
          <w:hyperlink r:id="rId1" w:history="1">
            <w:r w:rsidRPr="002946E2">
              <w:rPr>
                <w:rStyle w:val="Hyperlink"/>
                <w:noProof/>
                <w:color w:val="4F81BD" w:themeColor="accent1"/>
                <w:u w:val="none"/>
              </w:rPr>
              <w:t>council.itu.int/2025</w:t>
            </w:r>
          </w:hyperlink>
          <w:r w:rsidRPr="002946E2">
            <w:rPr>
              <w:noProof/>
            </w:rPr>
            <w:t xml:space="preserve"> </w:t>
          </w:r>
        </w:p>
      </w:tc>
      <w:tc>
        <w:tcPr>
          <w:tcW w:w="8261" w:type="dxa"/>
        </w:tcPr>
        <w:p w14:paraId="08A7628D" w14:textId="77261146" w:rsidR="00F24B71" w:rsidRPr="00E06FD5" w:rsidRDefault="00F24B71" w:rsidP="00B060DF">
          <w:pPr>
            <w:pStyle w:val="Header"/>
            <w:tabs>
              <w:tab w:val="left" w:pos="6731"/>
              <w:tab w:val="right" w:pos="8505"/>
              <w:tab w:val="right" w:pos="9639"/>
            </w:tabs>
            <w:jc w:val="left"/>
            <w:rPr>
              <w:rFonts w:ascii="Arial" w:hAnsi="Arial" w:cs="Arial"/>
              <w:b/>
              <w:bCs/>
              <w:szCs w:val="18"/>
            </w:rPr>
          </w:pPr>
          <w:r>
            <w:rPr>
              <w:bCs/>
            </w:rPr>
            <w:tab/>
          </w:r>
          <w:proofErr w:type="spellStart"/>
          <w:r w:rsidRPr="00623AE3">
            <w:rPr>
              <w:bCs/>
            </w:rPr>
            <w:t>C</w:t>
          </w:r>
          <w:r>
            <w:rPr>
              <w:bCs/>
            </w:rPr>
            <w:t>2</w:t>
          </w:r>
          <w:r w:rsidR="00BB6FD8">
            <w:rPr>
              <w:bCs/>
            </w:rPr>
            <w:t>5</w:t>
          </w:r>
          <w:proofErr w:type="spellEnd"/>
          <w:r w:rsidRPr="00623AE3">
            <w:rPr>
              <w:bCs/>
            </w:rPr>
            <w:t>/</w:t>
          </w:r>
          <w:r w:rsidR="008C19E3">
            <w:rPr>
              <w:bCs/>
            </w:rPr>
            <w:t>30</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7B1C7EC3"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3C160" w14:textId="77777777" w:rsidR="008C19E3" w:rsidRDefault="008C19E3">
      <w:r>
        <w:t>____________________</w:t>
      </w:r>
    </w:p>
  </w:footnote>
  <w:footnote w:type="continuationSeparator" w:id="0">
    <w:p w14:paraId="57654FD8" w14:textId="77777777" w:rsidR="008C19E3" w:rsidRDefault="008C1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666D09" w:rsidRPr="00784011" w14:paraId="005A75F3" w14:textId="77777777" w:rsidTr="00666D09">
      <w:trPr>
        <w:trHeight w:val="1104"/>
        <w:jc w:val="center"/>
      </w:trPr>
      <w:tc>
        <w:tcPr>
          <w:tcW w:w="5998" w:type="dxa"/>
          <w:vAlign w:val="center"/>
        </w:tcPr>
        <w:p w14:paraId="63091586" w14:textId="77777777" w:rsidR="00666D09" w:rsidRDefault="00666D09" w:rsidP="001559F5">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3E0D4B69" wp14:editId="1F12C267">
                <wp:extent cx="3672000" cy="612867"/>
                <wp:effectExtent l="0" t="0" r="0" b="0"/>
                <wp:docPr id="1200703869"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703869" name="Picture 1" descr="A black background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672000" cy="612867"/>
                        </a:xfrm>
                        <a:prstGeom prst="rect">
                          <a:avLst/>
                        </a:prstGeom>
                      </pic:spPr>
                    </pic:pic>
                  </a:graphicData>
                </a:graphic>
              </wp:inline>
            </w:drawing>
          </w:r>
        </w:p>
      </w:tc>
      <w:tc>
        <w:tcPr>
          <w:tcW w:w="4022" w:type="dxa"/>
        </w:tcPr>
        <w:p w14:paraId="6E8BB2E2" w14:textId="77777777" w:rsidR="00666D09" w:rsidRDefault="00666D09" w:rsidP="001559F5">
          <w:pPr>
            <w:pStyle w:val="Header"/>
            <w:jc w:val="right"/>
            <w:rPr>
              <w:rFonts w:ascii="Arial" w:hAnsi="Arial" w:cs="Arial"/>
              <w:b/>
              <w:bCs/>
              <w:color w:val="009CD6"/>
              <w:szCs w:val="18"/>
            </w:rPr>
          </w:pPr>
        </w:p>
      </w:tc>
    </w:tr>
  </w:tbl>
  <w:p w14:paraId="296BA9D8"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DB8B94B" wp14:editId="22A93DDA">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23EFE"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252D2"/>
    <w:multiLevelType w:val="hybridMultilevel"/>
    <w:tmpl w:val="F1C818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F64413"/>
    <w:multiLevelType w:val="hybridMultilevel"/>
    <w:tmpl w:val="AD761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9806D7"/>
    <w:multiLevelType w:val="multilevel"/>
    <w:tmpl w:val="24C0502A"/>
    <w:lvl w:ilvl="0">
      <w:start w:val="1"/>
      <w:numFmt w:val="decimal"/>
      <w:lvlText w:val="%1"/>
      <w:lvlJc w:val="left"/>
      <w:pPr>
        <w:ind w:left="3763" w:hanging="360"/>
      </w:pPr>
      <w:rPr>
        <w:rFonts w:cs="Times New Roman" w:hint="default"/>
      </w:rPr>
    </w:lvl>
    <w:lvl w:ilvl="1">
      <w:start w:val="1"/>
      <w:numFmt w:val="decimal"/>
      <w:lvlText w:val="%1.%2"/>
      <w:lvlJc w:val="left"/>
      <w:pPr>
        <w:ind w:left="6030" w:hanging="360"/>
      </w:pPr>
      <w:rPr>
        <w:rFonts w:cs="Times New Roman" w:hint="default"/>
        <w:i w:val="0"/>
        <w:iCs/>
      </w:rPr>
    </w:lvl>
    <w:lvl w:ilvl="2">
      <w:start w:val="1"/>
      <w:numFmt w:val="decimal"/>
      <w:lvlText w:val="%1.%2.%3"/>
      <w:lvlJc w:val="left"/>
      <w:pPr>
        <w:ind w:left="4123" w:hanging="720"/>
      </w:pPr>
      <w:rPr>
        <w:rFonts w:cs="Times New Roman" w:hint="default"/>
      </w:rPr>
    </w:lvl>
    <w:lvl w:ilvl="3">
      <w:start w:val="1"/>
      <w:numFmt w:val="decimal"/>
      <w:lvlText w:val="%1.%2.%3.%4"/>
      <w:lvlJc w:val="left"/>
      <w:pPr>
        <w:ind w:left="4123" w:hanging="720"/>
      </w:pPr>
      <w:rPr>
        <w:rFonts w:cs="Times New Roman" w:hint="default"/>
      </w:rPr>
    </w:lvl>
    <w:lvl w:ilvl="4">
      <w:start w:val="1"/>
      <w:numFmt w:val="decimal"/>
      <w:lvlText w:val="%1.%2.%3.%4.%5"/>
      <w:lvlJc w:val="left"/>
      <w:pPr>
        <w:ind w:left="4483" w:hanging="1080"/>
      </w:pPr>
      <w:rPr>
        <w:rFonts w:cs="Times New Roman" w:hint="default"/>
      </w:rPr>
    </w:lvl>
    <w:lvl w:ilvl="5">
      <w:start w:val="1"/>
      <w:numFmt w:val="decimal"/>
      <w:lvlText w:val="%1.%2.%3.%4.%5.%6"/>
      <w:lvlJc w:val="left"/>
      <w:pPr>
        <w:ind w:left="4483" w:hanging="1080"/>
      </w:pPr>
      <w:rPr>
        <w:rFonts w:cs="Times New Roman" w:hint="default"/>
      </w:rPr>
    </w:lvl>
    <w:lvl w:ilvl="6">
      <w:start w:val="1"/>
      <w:numFmt w:val="decimal"/>
      <w:lvlText w:val="%1.%2.%3.%4.%5.%6.%7"/>
      <w:lvlJc w:val="left"/>
      <w:pPr>
        <w:ind w:left="4843" w:hanging="1440"/>
      </w:pPr>
      <w:rPr>
        <w:rFonts w:cs="Times New Roman" w:hint="default"/>
      </w:rPr>
    </w:lvl>
    <w:lvl w:ilvl="7">
      <w:start w:val="1"/>
      <w:numFmt w:val="decimal"/>
      <w:lvlText w:val="%1.%2.%3.%4.%5.%6.%7.%8"/>
      <w:lvlJc w:val="left"/>
      <w:pPr>
        <w:ind w:left="4843" w:hanging="1440"/>
      </w:pPr>
      <w:rPr>
        <w:rFonts w:cs="Times New Roman" w:hint="default"/>
      </w:rPr>
    </w:lvl>
    <w:lvl w:ilvl="8">
      <w:start w:val="1"/>
      <w:numFmt w:val="decimal"/>
      <w:lvlText w:val="%1.%2.%3.%4.%5.%6.%7.%8.%9"/>
      <w:lvlJc w:val="left"/>
      <w:pPr>
        <w:ind w:left="4843" w:hanging="1440"/>
      </w:pPr>
      <w:rPr>
        <w:rFonts w:cs="Times New Roman" w:hint="default"/>
      </w:rPr>
    </w:lvl>
  </w:abstractNum>
  <w:abstractNum w:abstractNumId="3" w15:restartNumberingAfterBreak="0">
    <w:nsid w:val="40E37AA4"/>
    <w:multiLevelType w:val="hybridMultilevel"/>
    <w:tmpl w:val="7FDC9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DF77C8"/>
    <w:multiLevelType w:val="hybridMultilevel"/>
    <w:tmpl w:val="0916D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7F50D5"/>
    <w:multiLevelType w:val="hybridMultilevel"/>
    <w:tmpl w:val="952C4A9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75854451"/>
    <w:multiLevelType w:val="hybridMultilevel"/>
    <w:tmpl w:val="14BA81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75202843">
    <w:abstractNumId w:val="2"/>
  </w:num>
  <w:num w:numId="2" w16cid:durableId="779689066">
    <w:abstractNumId w:val="1"/>
  </w:num>
  <w:num w:numId="3" w16cid:durableId="669451654">
    <w:abstractNumId w:val="6"/>
  </w:num>
  <w:num w:numId="4" w16cid:durableId="1713843262">
    <w:abstractNumId w:val="3"/>
  </w:num>
  <w:num w:numId="5" w16cid:durableId="1098529257">
    <w:abstractNumId w:val="4"/>
  </w:num>
  <w:num w:numId="6" w16cid:durableId="1318653145">
    <w:abstractNumId w:val="5"/>
  </w:num>
  <w:num w:numId="7" w16cid:durableId="1528332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9E3"/>
    <w:rsid w:val="000007D1"/>
    <w:rsid w:val="0006007D"/>
    <w:rsid w:val="00093EEB"/>
    <w:rsid w:val="000B0D00"/>
    <w:rsid w:val="000B7C15"/>
    <w:rsid w:val="000D1D0F"/>
    <w:rsid w:val="000E3F07"/>
    <w:rsid w:val="000F5290"/>
    <w:rsid w:val="0010165C"/>
    <w:rsid w:val="00120250"/>
    <w:rsid w:val="00146BFB"/>
    <w:rsid w:val="001559F5"/>
    <w:rsid w:val="00157AC4"/>
    <w:rsid w:val="0016169C"/>
    <w:rsid w:val="001B6E2B"/>
    <w:rsid w:val="001F14A2"/>
    <w:rsid w:val="002801AA"/>
    <w:rsid w:val="002946E2"/>
    <w:rsid w:val="002C3F32"/>
    <w:rsid w:val="002C4676"/>
    <w:rsid w:val="002C70B0"/>
    <w:rsid w:val="002F3CC4"/>
    <w:rsid w:val="003032E2"/>
    <w:rsid w:val="0031300A"/>
    <w:rsid w:val="003273A4"/>
    <w:rsid w:val="0034796E"/>
    <w:rsid w:val="00473962"/>
    <w:rsid w:val="004848F1"/>
    <w:rsid w:val="004B5D49"/>
    <w:rsid w:val="004D3A3C"/>
    <w:rsid w:val="00513630"/>
    <w:rsid w:val="00560125"/>
    <w:rsid w:val="00585553"/>
    <w:rsid w:val="005B34D9"/>
    <w:rsid w:val="005D0CCF"/>
    <w:rsid w:val="005F3BCB"/>
    <w:rsid w:val="005F410F"/>
    <w:rsid w:val="0060149A"/>
    <w:rsid w:val="00601924"/>
    <w:rsid w:val="006447EA"/>
    <w:rsid w:val="0064481D"/>
    <w:rsid w:val="00646095"/>
    <w:rsid w:val="0064731F"/>
    <w:rsid w:val="00664572"/>
    <w:rsid w:val="00666D09"/>
    <w:rsid w:val="006710F6"/>
    <w:rsid w:val="00677A97"/>
    <w:rsid w:val="00697951"/>
    <w:rsid w:val="006C1B56"/>
    <w:rsid w:val="006D4761"/>
    <w:rsid w:val="006F3D0E"/>
    <w:rsid w:val="00726872"/>
    <w:rsid w:val="00760F1C"/>
    <w:rsid w:val="007657F0"/>
    <w:rsid w:val="0077110E"/>
    <w:rsid w:val="0077252D"/>
    <w:rsid w:val="007924FF"/>
    <w:rsid w:val="007955DA"/>
    <w:rsid w:val="007E5DD3"/>
    <w:rsid w:val="007F350B"/>
    <w:rsid w:val="00820BE4"/>
    <w:rsid w:val="008451E8"/>
    <w:rsid w:val="00883428"/>
    <w:rsid w:val="008A50E8"/>
    <w:rsid w:val="008C19E3"/>
    <w:rsid w:val="008F6ABC"/>
    <w:rsid w:val="00913B9C"/>
    <w:rsid w:val="009250D7"/>
    <w:rsid w:val="00927F93"/>
    <w:rsid w:val="00956E77"/>
    <w:rsid w:val="009A338E"/>
    <w:rsid w:val="009F4811"/>
    <w:rsid w:val="00A267B0"/>
    <w:rsid w:val="00A94438"/>
    <w:rsid w:val="00AA390C"/>
    <w:rsid w:val="00B0200A"/>
    <w:rsid w:val="00B060DF"/>
    <w:rsid w:val="00B5030F"/>
    <w:rsid w:val="00B574DB"/>
    <w:rsid w:val="00B826C2"/>
    <w:rsid w:val="00B8298E"/>
    <w:rsid w:val="00BB6FD8"/>
    <w:rsid w:val="00BD0723"/>
    <w:rsid w:val="00BD2518"/>
    <w:rsid w:val="00BF1D1C"/>
    <w:rsid w:val="00C20C59"/>
    <w:rsid w:val="00C2727F"/>
    <w:rsid w:val="00C538FC"/>
    <w:rsid w:val="00C55B1F"/>
    <w:rsid w:val="00CF1A67"/>
    <w:rsid w:val="00D2750E"/>
    <w:rsid w:val="00D363AB"/>
    <w:rsid w:val="00D375E0"/>
    <w:rsid w:val="00D50A36"/>
    <w:rsid w:val="00D62446"/>
    <w:rsid w:val="00DA4EA2"/>
    <w:rsid w:val="00DC3D3E"/>
    <w:rsid w:val="00DE2C90"/>
    <w:rsid w:val="00DE3B24"/>
    <w:rsid w:val="00E06947"/>
    <w:rsid w:val="00E11319"/>
    <w:rsid w:val="00E21444"/>
    <w:rsid w:val="00E25355"/>
    <w:rsid w:val="00E34072"/>
    <w:rsid w:val="00E3592D"/>
    <w:rsid w:val="00E50D76"/>
    <w:rsid w:val="00E8018B"/>
    <w:rsid w:val="00E92DE8"/>
    <w:rsid w:val="00EB1212"/>
    <w:rsid w:val="00ED65AB"/>
    <w:rsid w:val="00F12850"/>
    <w:rsid w:val="00F24B71"/>
    <w:rsid w:val="00F33BF4"/>
    <w:rsid w:val="00F7105E"/>
    <w:rsid w:val="00F75F57"/>
    <w:rsid w:val="00F82FEE"/>
    <w:rsid w:val="00F92BED"/>
    <w:rsid w:val="00FA6A68"/>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14F0EB"/>
  <w15:docId w15:val="{68F0D92E-6419-4339-B3DD-96C4FC370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2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120250"/>
    <w:pPr>
      <w:keepNext/>
      <w:keepLines/>
      <w:spacing w:before="24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120250"/>
    <w:pPr>
      <w:spacing w:before="80"/>
      <w:ind w:left="567" w:hanging="567"/>
      <w:jc w:val="both"/>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120250"/>
    <w:rPr>
      <w:color w:val="0070C0"/>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B5030F"/>
    <w:pPr>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Subtitle">
    <w:name w:val="Sub_title"/>
    <w:basedOn w:val="Title1"/>
    <w:qFormat/>
    <w:rsid w:val="00F92BED"/>
    <w:pPr>
      <w:framePr w:hSpace="181" w:wrap="around" w:vAnchor="page" w:hAnchor="page" w:x="1821" w:y="2314"/>
      <w:spacing w:before="120" w:after="160"/>
      <w:jc w:val="left"/>
    </w:pPr>
    <w:rPr>
      <w:rFonts w:cstheme="minorHAnsi"/>
      <w:caps w:val="0"/>
      <w:sz w:val="32"/>
      <w:szCs w:val="32"/>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6FD8"/>
    <w:rPr>
      <w:color w:val="666666"/>
    </w:rPr>
  </w:style>
  <w:style w:type="character" w:styleId="UnresolvedMention">
    <w:name w:val="Unresolved Mention"/>
    <w:basedOn w:val="DefaultParagraphFont"/>
    <w:uiPriority w:val="99"/>
    <w:semiHidden/>
    <w:unhideWhenUsed/>
    <w:rsid w:val="002946E2"/>
    <w:rPr>
      <w:color w:val="605E5C"/>
      <w:shd w:val="clear" w:color="auto" w:fill="E1DFDD"/>
    </w:rPr>
  </w:style>
  <w:style w:type="paragraph" w:customStyle="1" w:styleId="Tablefin">
    <w:name w:val="Table_fin"/>
    <w:basedOn w:val="Tabletext"/>
    <w:rsid w:val="00120250"/>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3-SG-CIR-0051/es" TargetMode="External"/><Relationship Id="rId18" Type="http://schemas.openxmlformats.org/officeDocument/2006/relationships/hyperlink" Target="https://www.itu.int/md/S24-CL-C-0030/es" TargetMode="External"/><Relationship Id="rId26" Type="http://schemas.openxmlformats.org/officeDocument/2006/relationships/hyperlink" Target="https://www.itu.int/es/ITU-D/Conferences/TDAG/Pages/2024/default.aspx" TargetMode="External"/><Relationship Id="rId39" Type="http://schemas.openxmlformats.org/officeDocument/2006/relationships/hyperlink" Target="https://www.itu.int/md/D22-RPMASP-C-0018/es" TargetMode="External"/><Relationship Id="rId21" Type="http://schemas.openxmlformats.org/officeDocument/2006/relationships/hyperlink" Target="https://www.itu.int/itu-d/meetings/wtdc25/documents/invitation-letters/" TargetMode="External"/><Relationship Id="rId34" Type="http://schemas.openxmlformats.org/officeDocument/2006/relationships/hyperlink" Target="https://www.itu.int/md/D22-TDAG32-C-0022/es" TargetMode="External"/><Relationship Id="rId42" Type="http://schemas.openxmlformats.org/officeDocument/2006/relationships/hyperlink" Target="https://youtu.be/0Q1A-_uFb2U?feature=shared" TargetMode="External"/><Relationship Id="rId47" Type="http://schemas.openxmlformats.org/officeDocument/2006/relationships/hyperlink" Target="https://www.itu.int/itu-d/reports/statistics/sddt/" TargetMode="External"/><Relationship Id="rId50" Type="http://schemas.openxmlformats.org/officeDocument/2006/relationships/hyperlink" Target="https://www.itu.int/md/D22-TDAG32-C-0017/es" TargetMode="External"/><Relationship Id="rId7" Type="http://schemas.openxmlformats.org/officeDocument/2006/relationships/hyperlink" Target="https://www.itu.int/en/council/Documents/basic-texts/Constitution-S.pdf" TargetMode="External"/><Relationship Id="rId2" Type="http://schemas.openxmlformats.org/officeDocument/2006/relationships/styles" Target="styles.xml"/><Relationship Id="rId16" Type="http://schemas.openxmlformats.org/officeDocument/2006/relationships/hyperlink" Target="https://www.itu.int/md/D22-TDAG31-C-0024/es" TargetMode="External"/><Relationship Id="rId29" Type="http://schemas.openxmlformats.org/officeDocument/2006/relationships/hyperlink" Target="https://www.itu.int/es/ITU-D/Conferences/TDAG/Pages/2024/TDAG_ICG_GYS.aspx" TargetMode="External"/><Relationship Id="rId11" Type="http://schemas.openxmlformats.org/officeDocument/2006/relationships/hyperlink" Target="https://www.itu.int/pub/D-RES-D.31-2022/es" TargetMode="External"/><Relationship Id="rId24" Type="http://schemas.openxmlformats.org/officeDocument/2006/relationships/hyperlink" Target="https://www.itu.int/es/ITU-D/Conferences/TDAG/Pages/2024/TDAG_WG_futureSGQ.aspx" TargetMode="External"/><Relationship Id="rId32" Type="http://schemas.openxmlformats.org/officeDocument/2006/relationships/hyperlink" Target="https://www.itu.int/md/D22-TDAG32-C-0021/es" TargetMode="External"/><Relationship Id="rId37" Type="http://schemas.openxmlformats.org/officeDocument/2006/relationships/hyperlink" Target="https://www.itu.int/md/D22-RPMEUR-C-0030/es" TargetMode="External"/><Relationship Id="rId40" Type="http://schemas.openxmlformats.org/officeDocument/2006/relationships/hyperlink" Target="https://youtu.be/n-9xwzs0i9I?feature=shared" TargetMode="External"/><Relationship Id="rId45" Type="http://schemas.openxmlformats.org/officeDocument/2006/relationships/hyperlink" Target="https://www.itu.int/md/D22-RPMCIS-C-0018/es"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itu.int/en/council/Documents/basic-texts-2023/RES-077-S.pdf" TargetMode="External"/><Relationship Id="rId19" Type="http://schemas.openxmlformats.org/officeDocument/2006/relationships/hyperlink" Target="https://www.itu.int/md/S24-SG-CIR-0038/es" TargetMode="External"/><Relationship Id="rId31" Type="http://schemas.openxmlformats.org/officeDocument/2006/relationships/hyperlink" Target="https://www.itu.int/md/D22-TDAG32-C-0020/es" TargetMode="External"/><Relationship Id="rId44" Type="http://schemas.openxmlformats.org/officeDocument/2006/relationships/hyperlink" Target="https://youtu.be/TQMlkFoVHQ4?feature=shared"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tu.int/en/council/Documents/basic-texts/General-Rules-S.pdf" TargetMode="External"/><Relationship Id="rId14" Type="http://schemas.openxmlformats.org/officeDocument/2006/relationships/hyperlink" Target="https://www.itu.int/md/S24-CL-C-0030/es" TargetMode="External"/><Relationship Id="rId22" Type="http://schemas.openxmlformats.org/officeDocument/2006/relationships/hyperlink" Target="https://www.itu.int/itu-d/meetings/wtdc25/participation/registration/" TargetMode="External"/><Relationship Id="rId27" Type="http://schemas.openxmlformats.org/officeDocument/2006/relationships/hyperlink" Target="https://www.itu.int/es/ITU-D/Conferences/TDAG/Pages/2024/TDAG_WG_ITUDP.aspx" TargetMode="External"/><Relationship Id="rId30" Type="http://schemas.openxmlformats.org/officeDocument/2006/relationships/hyperlink" Target="https://www.itu.int/md/D22-TDAG32-C-0019/es" TargetMode="External"/><Relationship Id="rId35" Type="http://schemas.openxmlformats.org/officeDocument/2006/relationships/hyperlink" Target="https://www.itu.int/md/D22-RPMARB-C-0020/es" TargetMode="External"/><Relationship Id="rId43" Type="http://schemas.openxmlformats.org/officeDocument/2006/relationships/hyperlink" Target="https://www.itu.int/md/D22-RPMAFR-C-0019/es" TargetMode="External"/><Relationship Id="rId48" Type="http://schemas.openxmlformats.org/officeDocument/2006/relationships/hyperlink" Target="https://www.itu.int/itu-d/meetings/rdf/" TargetMode="External"/><Relationship Id="rId8" Type="http://schemas.openxmlformats.org/officeDocument/2006/relationships/hyperlink" Target="https://www.itu.int/en/council/Documents/basic-texts/Convention-S.pdf" TargetMode="External"/><Relationship Id="rId5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www.itu.int/md/S24-SG-CIR-0061/es" TargetMode="External"/><Relationship Id="rId17" Type="http://schemas.openxmlformats.org/officeDocument/2006/relationships/hyperlink" Target="https://www.itu.int/md/S24-CL-C-0124/es" TargetMode="External"/><Relationship Id="rId25" Type="http://schemas.openxmlformats.org/officeDocument/2006/relationships/hyperlink" Target="https://www.itu.int/es/ITU-D/Conferences/TDAG/Pages/2024/TDAG_WG_SR.aspx" TargetMode="External"/><Relationship Id="rId33" Type="http://schemas.openxmlformats.org/officeDocument/2006/relationships/hyperlink" Target="https://www.itu.int/md/D22-TDAG32-C-0018/es" TargetMode="External"/><Relationship Id="rId38" Type="http://schemas.openxmlformats.org/officeDocument/2006/relationships/hyperlink" Target="https://youtu.be/KbGUKDoOwoU?feature=shared" TargetMode="External"/><Relationship Id="rId46" Type="http://schemas.openxmlformats.org/officeDocument/2006/relationships/hyperlink" Target="https://youtu.be/lWymn4RNG0I?feature=shared" TargetMode="External"/><Relationship Id="rId20" Type="http://schemas.openxmlformats.org/officeDocument/2006/relationships/hyperlink" Target="https://www.itu.int/md/S24-SG-CIR-0061/es" TargetMode="External"/><Relationship Id="rId41" Type="http://schemas.openxmlformats.org/officeDocument/2006/relationships/hyperlink" Target="https://www.itu.int/md/D22-RPMAMS-C-0021/es"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itu.int/md/S24-CL-C-0030/es" TargetMode="External"/><Relationship Id="rId23" Type="http://schemas.openxmlformats.org/officeDocument/2006/relationships/hyperlink" Target="https://www.itu.int/es/ITU-D/Conferences/TDAG/Pages/2023/default.aspx" TargetMode="External"/><Relationship Id="rId28" Type="http://schemas.openxmlformats.org/officeDocument/2006/relationships/hyperlink" Target="https://www.itu.int/es/ITU-D/Conferences/TDAG/Pages/2024/TDAG_WG_DEC.aspx" TargetMode="External"/><Relationship Id="rId36" Type="http://schemas.openxmlformats.org/officeDocument/2006/relationships/hyperlink" Target="https://youtu.be/_TmRrANEy9Y?feature=shared" TargetMode="External"/><Relationship Id="rId49" Type="http://schemas.openxmlformats.org/officeDocument/2006/relationships/hyperlink" Target="https://www.itu.int/itu-d/meetings/wtdc25/rpm/hom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GS\PS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PS_Council25.dotx</Template>
  <TotalTime>1</TotalTime>
  <Pages>8</Pages>
  <Words>3467</Words>
  <Characters>21616</Characters>
  <Application>Microsoft Office Word</Application>
  <DocSecurity>0</DocSecurity>
  <Lines>407</Lines>
  <Paragraphs>216</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24867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sobre los preparativos para la Conferencia Mundial de Desarrollo de las Telecomunicaciones de 2025</dc:title>
  <dc:subject>Consejo 2025 de la UIT</dc:subject>
  <cp:keywords>C2025, C25, Council-25</cp:keywords>
  <dc:description/>
  <cp:lastPrinted>2006-03-24T09:51:00Z</cp:lastPrinted>
  <dcterms:created xsi:type="dcterms:W3CDTF">2025-05-29T13:25:00Z</dcterms:created>
  <dcterms:modified xsi:type="dcterms:W3CDTF">2025-05-29T13:25:00Z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GrammarlyDocumentId">
    <vt:lpwstr>5c03a5c9b91678b956e25536f0296632c716f66cf9a10e87f22af88ff3e788b1</vt:lpwstr>
  </property>
</Properties>
</file>