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D5A85" w14:paraId="78D6D3FD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D6763CD" w14:textId="7E6DB3EF" w:rsidR="00796BD3" w:rsidRPr="002D5A85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D5A85">
              <w:rPr>
                <w:b/>
                <w:lang w:val="ru-RU"/>
              </w:rPr>
              <w:t>Пункт повестки дня</w:t>
            </w:r>
            <w:r w:rsidRPr="002D5A85">
              <w:rPr>
                <w:bCs/>
                <w:lang w:val="ru-RU"/>
              </w:rPr>
              <w:t>:</w:t>
            </w:r>
            <w:r w:rsidR="00AC6326" w:rsidRPr="002D5A85">
              <w:rPr>
                <w:bCs/>
                <w:lang w:val="ru-RU"/>
              </w:rPr>
              <w:t xml:space="preserve"> </w:t>
            </w:r>
            <w:proofErr w:type="spellStart"/>
            <w:r w:rsidR="00AC6326" w:rsidRPr="002D5A85">
              <w:rPr>
                <w:b/>
                <w:lang w:val="ru-RU"/>
              </w:rPr>
              <w:t>PL</w:t>
            </w:r>
            <w:proofErr w:type="spellEnd"/>
            <w:r w:rsidR="002D5A85">
              <w:rPr>
                <w:b/>
                <w:lang w:val="ru-RU"/>
              </w:rPr>
              <w:t xml:space="preserve"> </w:t>
            </w:r>
            <w:r w:rsidR="00AC6326" w:rsidRPr="002D5A85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626C8929" w14:textId="0D386579" w:rsidR="00796BD3" w:rsidRPr="002D5A85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5A85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2D5A85">
              <w:rPr>
                <w:b/>
                <w:lang w:val="ru-RU"/>
              </w:rPr>
              <w:t>C2</w:t>
            </w:r>
            <w:r w:rsidR="00D631AA" w:rsidRPr="002D5A85">
              <w:rPr>
                <w:b/>
                <w:lang w:val="ru-RU"/>
              </w:rPr>
              <w:t>5</w:t>
            </w:r>
            <w:proofErr w:type="spellEnd"/>
            <w:r w:rsidR="00796BD3" w:rsidRPr="002D5A85">
              <w:rPr>
                <w:b/>
                <w:lang w:val="ru-RU"/>
              </w:rPr>
              <w:t>/</w:t>
            </w:r>
            <w:r w:rsidR="00AC6326" w:rsidRPr="002D5A85">
              <w:rPr>
                <w:b/>
                <w:lang w:val="ru-RU"/>
              </w:rPr>
              <w:t>29</w:t>
            </w:r>
            <w:r w:rsidR="00796BD3" w:rsidRPr="002D5A85">
              <w:rPr>
                <w:b/>
                <w:lang w:val="ru-RU"/>
              </w:rPr>
              <w:t>-R</w:t>
            </w:r>
          </w:p>
        </w:tc>
      </w:tr>
      <w:tr w:rsidR="00796BD3" w:rsidRPr="002D5A85" w14:paraId="6AF0CA24" w14:textId="77777777" w:rsidTr="00DA770A">
        <w:trPr>
          <w:cantSplit/>
        </w:trPr>
        <w:tc>
          <w:tcPr>
            <w:tcW w:w="3969" w:type="dxa"/>
            <w:vMerge/>
          </w:tcPr>
          <w:p w14:paraId="648F98E7" w14:textId="77777777" w:rsidR="00796BD3" w:rsidRPr="002D5A8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3E9C9D4" w14:textId="6B3B8C79" w:rsidR="00796BD3" w:rsidRPr="002D5A85" w:rsidRDefault="00AC6326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D5A85">
              <w:rPr>
                <w:b/>
                <w:lang w:val="ru-RU"/>
              </w:rPr>
              <w:t>16 мая 2025 года</w:t>
            </w:r>
          </w:p>
        </w:tc>
      </w:tr>
      <w:tr w:rsidR="00796BD3" w:rsidRPr="002D5A85" w14:paraId="3048522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287B84C" w14:textId="77777777" w:rsidR="00796BD3" w:rsidRPr="002D5A8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BB600C5" w14:textId="77777777" w:rsidR="00796BD3" w:rsidRPr="002D5A85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5A85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D5A85" w14:paraId="0D14E4BF" w14:textId="77777777" w:rsidTr="00DA770A">
        <w:trPr>
          <w:cantSplit/>
          <w:trHeight w:val="23"/>
        </w:trPr>
        <w:tc>
          <w:tcPr>
            <w:tcW w:w="3969" w:type="dxa"/>
          </w:tcPr>
          <w:p w14:paraId="61842158" w14:textId="77777777" w:rsidR="00796BD3" w:rsidRPr="002D5A85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50006E2" w14:textId="77777777" w:rsidR="00796BD3" w:rsidRPr="002D5A85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D5A85" w14:paraId="686865D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98224A" w14:textId="77777777" w:rsidR="00796BD3" w:rsidRPr="002D5A85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D5A8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828E4" w14:paraId="1B7D696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817FE24" w14:textId="411E0A70" w:rsidR="00796BD3" w:rsidRPr="002D5A85" w:rsidRDefault="00AC6326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D5A85">
              <w:rPr>
                <w:rFonts w:cstheme="minorHAnsi"/>
                <w:sz w:val="32"/>
                <w:szCs w:val="32"/>
                <w:lang w:val="ru-RU"/>
              </w:rPr>
              <w:t>Руководящие указания по согласованию Резолюций и Решений Полномочной конференции</w:t>
            </w:r>
          </w:p>
        </w:tc>
      </w:tr>
      <w:tr w:rsidR="00796BD3" w:rsidRPr="005828E4" w14:paraId="101326C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5420C82" w14:textId="77777777" w:rsidR="00796BD3" w:rsidRPr="002D5A8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5A8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E69A83" w14:textId="50E42D8C" w:rsidR="00796BD3" w:rsidRPr="002D5A85" w:rsidRDefault="00AC6326" w:rsidP="00DA770A">
            <w:pPr>
              <w:rPr>
                <w:lang w:val="ru-RU"/>
              </w:rPr>
            </w:pPr>
            <w:r w:rsidRPr="002D5A85">
              <w:rPr>
                <w:lang w:val="ru-RU"/>
              </w:rPr>
              <w:t xml:space="preserve">В настоящем документе изложены предлагаемые руководящие указания для согласования итоговых Резолюций и Решений Полномочной конференции, обсуждавшиеся и согласованные Рабочей группой Совета по разработке Стратегического и Финансового планов на </w:t>
            </w:r>
            <w:proofErr w:type="gramStart"/>
            <w:r w:rsidRPr="002D5A85">
              <w:rPr>
                <w:lang w:val="ru-RU"/>
              </w:rPr>
              <w:t>2028−2031</w:t>
            </w:r>
            <w:proofErr w:type="gramEnd"/>
            <w:r w:rsidRPr="002D5A85">
              <w:rPr>
                <w:lang w:val="ru-RU"/>
              </w:rPr>
              <w:t> годы (РГС-</w:t>
            </w:r>
            <w:proofErr w:type="spellStart"/>
            <w:r w:rsidRPr="002D5A85">
              <w:rPr>
                <w:lang w:val="ru-RU"/>
              </w:rPr>
              <w:t>СФП</w:t>
            </w:r>
            <w:proofErr w:type="spellEnd"/>
            <w:r w:rsidRPr="002D5A85">
              <w:rPr>
                <w:lang w:val="ru-RU"/>
              </w:rPr>
              <w:t>). Настоящие руководящие указания призваны помочь Государствам-Членам при подготовке их вкладов для Полномочной конференции в 2026 году.</w:t>
            </w:r>
          </w:p>
          <w:p w14:paraId="46C271C6" w14:textId="77777777" w:rsidR="00796BD3" w:rsidRPr="002D5A8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5A8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C939F22" w14:textId="44DF63EA" w:rsidR="00796BD3" w:rsidRPr="002D5A85" w:rsidRDefault="00AC6326" w:rsidP="00DA770A">
            <w:pPr>
              <w:rPr>
                <w:lang w:val="ru-RU"/>
              </w:rPr>
            </w:pPr>
            <w:r w:rsidRPr="002D5A85">
              <w:rPr>
                <w:lang w:val="ru-RU"/>
              </w:rPr>
              <w:t xml:space="preserve">Совету предлагается </w:t>
            </w:r>
            <w:r w:rsidRPr="002D5A85">
              <w:rPr>
                <w:b/>
                <w:bCs/>
                <w:lang w:val="ru-RU"/>
              </w:rPr>
              <w:t>рассмотреть</w:t>
            </w:r>
            <w:r w:rsidRPr="002D5A85">
              <w:rPr>
                <w:lang w:val="ru-RU"/>
              </w:rPr>
              <w:t xml:space="preserve"> предлагаемые руководящие указания.</w:t>
            </w:r>
          </w:p>
          <w:p w14:paraId="364CABE7" w14:textId="77777777" w:rsidR="00796BD3" w:rsidRPr="002D5A8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5A8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66B7A83" w14:textId="375E0970" w:rsidR="00796BD3" w:rsidRPr="002D5A85" w:rsidRDefault="00AC6326" w:rsidP="00DA770A">
            <w:pPr>
              <w:rPr>
                <w:lang w:val="ru-RU"/>
              </w:rPr>
            </w:pPr>
            <w:r w:rsidRPr="002D5A85">
              <w:rPr>
                <w:lang w:val="ru-RU"/>
              </w:rPr>
              <w:t>Организационная эффективность.</w:t>
            </w:r>
          </w:p>
          <w:p w14:paraId="5447B2E7" w14:textId="77777777" w:rsidR="00796BD3" w:rsidRPr="002D5A8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5A85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DA7346A" w14:textId="2198464B" w:rsidR="00345D2A" w:rsidRPr="002D5A85" w:rsidRDefault="00AC6326" w:rsidP="00DA770A">
            <w:pPr>
              <w:spacing w:before="160"/>
              <w:rPr>
                <w:szCs w:val="22"/>
                <w:lang w:val="ru-RU"/>
              </w:rPr>
            </w:pPr>
            <w:r w:rsidRPr="002D5A85">
              <w:rPr>
                <w:szCs w:val="22"/>
                <w:lang w:val="ru-RU"/>
              </w:rPr>
              <w:t>В рамках выделенного бюджета на 2026–2027 годы.</w:t>
            </w:r>
          </w:p>
          <w:p w14:paraId="7292A0F2" w14:textId="77777777" w:rsidR="00796BD3" w:rsidRPr="002D5A8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D5A85">
              <w:rPr>
                <w:sz w:val="20"/>
                <w:szCs w:val="18"/>
                <w:lang w:val="ru-RU"/>
              </w:rPr>
              <w:t>__________________</w:t>
            </w:r>
          </w:p>
          <w:p w14:paraId="7E3546F7" w14:textId="77777777" w:rsidR="00796BD3" w:rsidRPr="002D5A8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D5A8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CF07707" w14:textId="375B57B5" w:rsidR="00796BD3" w:rsidRPr="002D5A85" w:rsidRDefault="00AC6326" w:rsidP="00DA770A">
            <w:pPr>
              <w:spacing w:after="16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828E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28E4">
              <w:rPr>
                <w:lang w:val="ru-RU"/>
              </w:rPr>
              <w:instrText>://</w:instrText>
            </w:r>
            <w:r>
              <w:instrText>www</w:instrText>
            </w:r>
            <w:r w:rsidRPr="005828E4">
              <w:rPr>
                <w:lang w:val="ru-RU"/>
              </w:rPr>
              <w:instrText>.</w:instrText>
            </w:r>
            <w:r>
              <w:instrText>itu</w:instrText>
            </w:r>
            <w:r w:rsidRPr="005828E4">
              <w:rPr>
                <w:lang w:val="ru-RU"/>
              </w:rPr>
              <w:instrText>.</w:instrText>
            </w:r>
            <w:r>
              <w:instrText>int</w:instrText>
            </w:r>
            <w:r w:rsidRPr="005828E4">
              <w:rPr>
                <w:lang w:val="ru-RU"/>
              </w:rPr>
              <w:instrText>/</w:instrText>
            </w:r>
            <w:r>
              <w:instrText>en</w:instrText>
            </w:r>
            <w:r w:rsidRPr="005828E4">
              <w:rPr>
                <w:lang w:val="ru-RU"/>
              </w:rPr>
              <w:instrText>/</w:instrText>
            </w:r>
            <w:r>
              <w:instrText>council</w:instrText>
            </w:r>
            <w:r w:rsidRPr="005828E4">
              <w:rPr>
                <w:lang w:val="ru-RU"/>
              </w:rPr>
              <w:instrText>/</w:instrText>
            </w:r>
            <w:r>
              <w:instrText>CWG</w:instrText>
            </w:r>
            <w:r w:rsidRPr="005828E4">
              <w:rPr>
                <w:lang w:val="ru-RU"/>
              </w:rPr>
              <w:instrText>-</w:instrText>
            </w:r>
            <w:r>
              <w:instrText>SFP</w:instrText>
            </w:r>
            <w:r w:rsidRPr="005828E4">
              <w:rPr>
                <w:lang w:val="ru-RU"/>
              </w:rPr>
              <w:instrText>-2028-2031/</w:instrText>
            </w:r>
            <w:r>
              <w:instrText>Pages</w:instrText>
            </w:r>
            <w:r w:rsidRPr="005828E4">
              <w:rPr>
                <w:lang w:val="ru-RU"/>
              </w:rPr>
              <w:instrText>/</w:instrText>
            </w:r>
            <w:r>
              <w:instrText>default</w:instrText>
            </w:r>
            <w:r w:rsidRPr="005828E4">
              <w:rPr>
                <w:lang w:val="ru-RU"/>
              </w:rPr>
              <w:instrText>.</w:instrText>
            </w:r>
            <w:r>
              <w:instrText>aspx</w:instrText>
            </w:r>
            <w:r w:rsidRPr="005828E4">
              <w:rPr>
                <w:lang w:val="ru-RU"/>
              </w:rPr>
              <w:instrText>"</w:instrText>
            </w:r>
            <w:r>
              <w:fldChar w:fldCharType="separate"/>
            </w:r>
            <w:r w:rsidRPr="002D5A85">
              <w:rPr>
                <w:rStyle w:val="Hyperlink"/>
                <w:i/>
                <w:iCs/>
                <w:lang w:val="ru-RU"/>
              </w:rPr>
              <w:t>Веб-сайт РГС-</w:t>
            </w:r>
            <w:proofErr w:type="spellStart"/>
            <w:r w:rsidRPr="002D5A85">
              <w:rPr>
                <w:rStyle w:val="Hyperlink"/>
                <w:i/>
                <w:iCs/>
                <w:lang w:val="ru-RU"/>
              </w:rPr>
              <w:t>СФП</w:t>
            </w:r>
            <w:proofErr w:type="spellEnd"/>
            <w:r>
              <w:fldChar w:fldCharType="end"/>
            </w:r>
            <w:r w:rsidRPr="002D5A85">
              <w:rPr>
                <w:i/>
                <w:iCs/>
                <w:color w:val="000000"/>
                <w:lang w:val="ru-RU"/>
              </w:rPr>
              <w:t>;</w:t>
            </w:r>
            <w:r w:rsidRPr="002D5A8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5828E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28E4">
              <w:rPr>
                <w:lang w:val="ru-RU"/>
              </w:rPr>
              <w:instrText>://</w:instrText>
            </w:r>
            <w:r>
              <w:instrText>www</w:instrText>
            </w:r>
            <w:r w:rsidRPr="005828E4">
              <w:rPr>
                <w:lang w:val="ru-RU"/>
              </w:rPr>
              <w:instrText>.</w:instrText>
            </w:r>
            <w:r>
              <w:instrText>itu</w:instrText>
            </w:r>
            <w:r w:rsidRPr="005828E4">
              <w:rPr>
                <w:lang w:val="ru-RU"/>
              </w:rPr>
              <w:instrText>.</w:instrText>
            </w:r>
            <w:r>
              <w:instrText>int</w:instrText>
            </w:r>
            <w:r w:rsidRPr="005828E4">
              <w:rPr>
                <w:lang w:val="ru-RU"/>
              </w:rPr>
              <w:instrText>/</w:instrText>
            </w:r>
            <w:r>
              <w:instrText>md</w:instrText>
            </w:r>
            <w:r w:rsidRPr="005828E4">
              <w:rPr>
                <w:lang w:val="ru-RU"/>
              </w:rPr>
              <w:instrText>/</w:instrText>
            </w:r>
            <w:r>
              <w:instrText>S</w:instrText>
            </w:r>
            <w:r w:rsidRPr="005828E4">
              <w:rPr>
                <w:lang w:val="ru-RU"/>
              </w:rPr>
              <w:instrText>24-</w:instrText>
            </w:r>
            <w:r>
              <w:instrText>CL</w:instrText>
            </w:r>
            <w:r w:rsidRPr="005828E4">
              <w:rPr>
                <w:lang w:val="ru-RU"/>
              </w:rPr>
              <w:instrText>-</w:instrText>
            </w:r>
            <w:r>
              <w:instrText>C</w:instrText>
            </w:r>
            <w:r w:rsidRPr="005828E4">
              <w:rPr>
                <w:lang w:val="ru-RU"/>
              </w:rPr>
              <w:instrText>-0139/</w:instrText>
            </w:r>
            <w:r>
              <w:instrText>en</w:instrText>
            </w:r>
            <w:r w:rsidRPr="005828E4">
              <w:rPr>
                <w:lang w:val="ru-RU"/>
              </w:rPr>
              <w:instrText>"</w:instrText>
            </w:r>
            <w:r>
              <w:fldChar w:fldCharType="separate"/>
            </w:r>
            <w:r w:rsidRPr="002D5A85">
              <w:rPr>
                <w:rStyle w:val="Hyperlink"/>
                <w:i/>
                <w:iCs/>
                <w:lang w:val="ru-RU"/>
              </w:rPr>
              <w:t>Резолюция 1428 (</w:t>
            </w:r>
            <w:proofErr w:type="spellStart"/>
            <w:r w:rsidRPr="002D5A85">
              <w:rPr>
                <w:rStyle w:val="Hyperlink"/>
                <w:i/>
                <w:iCs/>
                <w:lang w:val="ru-RU"/>
              </w:rPr>
              <w:t>С24</w:t>
            </w:r>
            <w:proofErr w:type="spellEnd"/>
            <w:r w:rsidRPr="002D5A85">
              <w:rPr>
                <w:rStyle w:val="Hyperlink"/>
                <w:i/>
                <w:iCs/>
                <w:lang w:val="ru-RU"/>
              </w:rPr>
              <w:t>)</w:t>
            </w:r>
            <w:r>
              <w:fldChar w:fldCharType="end"/>
            </w:r>
          </w:p>
        </w:tc>
      </w:tr>
      <w:bookmarkEnd w:id="2"/>
      <w:bookmarkEnd w:id="6"/>
    </w:tbl>
    <w:p w14:paraId="49C374F6" w14:textId="77777777" w:rsidR="00796BD3" w:rsidRPr="002D5A85" w:rsidRDefault="00796BD3" w:rsidP="00796BD3">
      <w:pPr>
        <w:rPr>
          <w:lang w:val="ru-RU"/>
        </w:rPr>
      </w:pPr>
    </w:p>
    <w:p w14:paraId="6A6AE4F2" w14:textId="77777777" w:rsidR="00165D06" w:rsidRPr="002D5A8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5A85">
        <w:rPr>
          <w:lang w:val="ru-RU"/>
        </w:rPr>
        <w:br w:type="page"/>
      </w:r>
    </w:p>
    <w:p w14:paraId="6E2A95E8" w14:textId="77777777" w:rsidR="00AC6326" w:rsidRPr="00AC6326" w:rsidRDefault="00AC6326" w:rsidP="002D5A85">
      <w:pPr>
        <w:pStyle w:val="Heading1"/>
        <w:rPr>
          <w:lang w:val="ru-RU"/>
        </w:rPr>
      </w:pPr>
      <w:r w:rsidRPr="00AC6326">
        <w:rPr>
          <w:lang w:val="ru-RU"/>
        </w:rPr>
        <w:lastRenderedPageBreak/>
        <w:t>1</w:t>
      </w:r>
      <w:r w:rsidRPr="00AC6326">
        <w:rPr>
          <w:lang w:val="ru-RU"/>
        </w:rPr>
        <w:tab/>
        <w:t>Введение</w:t>
      </w:r>
    </w:p>
    <w:p w14:paraId="72C5E27C" w14:textId="51CA034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 xml:space="preserve">В соответствии с </w:t>
      </w:r>
      <w:r>
        <w:fldChar w:fldCharType="begin"/>
      </w:r>
      <w:r>
        <w:instrText>HYPERLINK</w:instrText>
      </w:r>
      <w:r w:rsidRPr="005828E4">
        <w:rPr>
          <w:lang w:val="ru-RU"/>
        </w:rPr>
        <w:instrText xml:space="preserve"> "</w:instrText>
      </w:r>
      <w:r>
        <w:instrText>https</w:instrText>
      </w:r>
      <w:r w:rsidRPr="005828E4">
        <w:rPr>
          <w:lang w:val="ru-RU"/>
        </w:rPr>
        <w:instrText>://</w:instrText>
      </w:r>
      <w:r>
        <w:instrText>www</w:instrText>
      </w:r>
      <w:r w:rsidRPr="005828E4">
        <w:rPr>
          <w:lang w:val="ru-RU"/>
        </w:rPr>
        <w:instrText>.</w:instrText>
      </w:r>
      <w:r>
        <w:instrText>itu</w:instrText>
      </w:r>
      <w:r w:rsidRPr="005828E4">
        <w:rPr>
          <w:lang w:val="ru-RU"/>
        </w:rPr>
        <w:instrText>.</w:instrText>
      </w:r>
      <w:r>
        <w:instrText>int</w:instrText>
      </w:r>
      <w:r w:rsidRPr="005828E4">
        <w:rPr>
          <w:lang w:val="ru-RU"/>
        </w:rPr>
        <w:instrText>/</w:instrText>
      </w:r>
      <w:r>
        <w:instrText>md</w:instrText>
      </w:r>
      <w:r w:rsidRPr="005828E4">
        <w:rPr>
          <w:lang w:val="ru-RU"/>
        </w:rPr>
        <w:instrText>/</w:instrText>
      </w:r>
      <w:r>
        <w:instrText>S</w:instrText>
      </w:r>
      <w:r w:rsidRPr="005828E4">
        <w:rPr>
          <w:lang w:val="ru-RU"/>
        </w:rPr>
        <w:instrText>24-</w:instrText>
      </w:r>
      <w:r>
        <w:instrText>CL</w:instrText>
      </w:r>
      <w:r w:rsidRPr="005828E4">
        <w:rPr>
          <w:lang w:val="ru-RU"/>
        </w:rPr>
        <w:instrText>-</w:instrText>
      </w:r>
      <w:r>
        <w:instrText>C</w:instrText>
      </w:r>
      <w:r w:rsidRPr="005828E4">
        <w:rPr>
          <w:lang w:val="ru-RU"/>
        </w:rPr>
        <w:instrText>-0139/</w:instrText>
      </w:r>
      <w:r>
        <w:instrText>en</w:instrText>
      </w:r>
      <w:r w:rsidRPr="005828E4">
        <w:rPr>
          <w:lang w:val="ru-RU"/>
        </w:rPr>
        <w:instrText>"</w:instrText>
      </w:r>
      <w:r>
        <w:fldChar w:fldCharType="separate"/>
      </w:r>
      <w:r w:rsidRPr="00AC6326">
        <w:rPr>
          <w:rStyle w:val="Hyperlink"/>
          <w:lang w:val="ru-RU"/>
        </w:rPr>
        <w:t>Резолюцией 1428 (</w:t>
      </w:r>
      <w:proofErr w:type="spellStart"/>
      <w:r w:rsidRPr="00AC6326">
        <w:rPr>
          <w:rStyle w:val="Hyperlink"/>
          <w:lang w:val="ru-RU"/>
        </w:rPr>
        <w:t>C24</w:t>
      </w:r>
      <w:proofErr w:type="spellEnd"/>
      <w:r w:rsidRPr="00AC6326">
        <w:rPr>
          <w:rStyle w:val="Hyperlink"/>
          <w:lang w:val="ru-RU"/>
        </w:rPr>
        <w:t>)</w:t>
      </w:r>
      <w:r>
        <w:fldChar w:fldCharType="end"/>
      </w:r>
      <w:r w:rsidRPr="00AC6326">
        <w:rPr>
          <w:lang w:val="ru-RU"/>
        </w:rPr>
        <w:t xml:space="preserve"> </w:t>
      </w:r>
      <w:r w:rsidR="002D5A85">
        <w:rPr>
          <w:lang w:val="ru-RU"/>
        </w:rPr>
        <w:t xml:space="preserve">Совета </w:t>
      </w:r>
      <w:r w:rsidRPr="00AC6326">
        <w:rPr>
          <w:lang w:val="ru-RU"/>
        </w:rPr>
        <w:t>была создана Рабочая группа Совета по</w:t>
      </w:r>
      <w:r w:rsidR="002D5A85">
        <w:rPr>
          <w:lang w:val="ru-RU"/>
        </w:rPr>
        <w:t> </w:t>
      </w:r>
      <w:r w:rsidRPr="00AC6326">
        <w:rPr>
          <w:lang w:val="ru-RU"/>
        </w:rPr>
        <w:t>разработке Стратегического и Финансового планов на 2028–2031 годы (РГС-</w:t>
      </w:r>
      <w:proofErr w:type="spellStart"/>
      <w:r w:rsidRPr="00AC6326">
        <w:rPr>
          <w:lang w:val="ru-RU"/>
        </w:rPr>
        <w:t>СФП</w:t>
      </w:r>
      <w:proofErr w:type="spellEnd"/>
      <w:r w:rsidRPr="00AC6326">
        <w:rPr>
          <w:lang w:val="ru-RU"/>
        </w:rPr>
        <w:t>) и</w:t>
      </w:r>
      <w:r w:rsidR="002D5A85">
        <w:rPr>
          <w:lang w:val="ru-RU"/>
        </w:rPr>
        <w:t> </w:t>
      </w:r>
      <w:r w:rsidRPr="00AC6326">
        <w:rPr>
          <w:lang w:val="ru-RU"/>
        </w:rPr>
        <w:t>определен ее круг ведения. Ее задачи включают, в частности, продолжение работы по</w:t>
      </w:r>
      <w:r w:rsidR="002D5A85">
        <w:rPr>
          <w:lang w:val="ru-RU"/>
        </w:rPr>
        <w:t> </w:t>
      </w:r>
      <w:r w:rsidRPr="00AC6326">
        <w:rPr>
          <w:lang w:val="ru-RU"/>
        </w:rPr>
        <w:t>сопоставлению Резолюций и Решений с целью согласования итогов Полномочной конференции (ПК).</w:t>
      </w:r>
    </w:p>
    <w:p w14:paraId="2C8E9CF8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 xml:space="preserve">Таблица сопоставления Резолюций, которая иллюстрирует увязку между Резолюциями всемирных конференций и ассамблей МСЭ, доступна на веб-странице </w:t>
      </w:r>
      <w:r>
        <w:fldChar w:fldCharType="begin"/>
      </w:r>
      <w:r>
        <w:instrText>HYPERLINK</w:instrText>
      </w:r>
      <w:r w:rsidRPr="005828E4">
        <w:rPr>
          <w:lang w:val="ru-RU"/>
        </w:rPr>
        <w:instrText xml:space="preserve"> "</w:instrText>
      </w:r>
      <w:r>
        <w:instrText>https</w:instrText>
      </w:r>
      <w:r w:rsidRPr="005828E4">
        <w:rPr>
          <w:lang w:val="ru-RU"/>
        </w:rPr>
        <w:instrText>://</w:instrText>
      </w:r>
      <w:r>
        <w:instrText>www</w:instrText>
      </w:r>
      <w:r w:rsidRPr="005828E4">
        <w:rPr>
          <w:lang w:val="ru-RU"/>
        </w:rPr>
        <w:instrText>.</w:instrText>
      </w:r>
      <w:r>
        <w:instrText>itu</w:instrText>
      </w:r>
      <w:r w:rsidRPr="005828E4">
        <w:rPr>
          <w:lang w:val="ru-RU"/>
        </w:rPr>
        <w:instrText>.</w:instrText>
      </w:r>
      <w:r>
        <w:instrText>int</w:instrText>
      </w:r>
      <w:r w:rsidRPr="005828E4">
        <w:rPr>
          <w:lang w:val="ru-RU"/>
        </w:rPr>
        <w:instrText>/</w:instrText>
      </w:r>
      <w:r>
        <w:instrText>en</w:instrText>
      </w:r>
      <w:r w:rsidRPr="005828E4">
        <w:rPr>
          <w:lang w:val="ru-RU"/>
        </w:rPr>
        <w:instrText>/</w:instrText>
      </w:r>
      <w:r>
        <w:instrText>general</w:instrText>
      </w:r>
      <w:r w:rsidRPr="005828E4">
        <w:rPr>
          <w:lang w:val="ru-RU"/>
        </w:rPr>
        <w:instrText>-</w:instrText>
      </w:r>
      <w:r>
        <w:instrText>secretariat</w:instrText>
      </w:r>
      <w:r w:rsidRPr="005828E4">
        <w:rPr>
          <w:lang w:val="ru-RU"/>
        </w:rPr>
        <w:instrText>/</w:instrText>
      </w:r>
      <w:r>
        <w:instrText>Pages</w:instrText>
      </w:r>
      <w:r w:rsidRPr="005828E4">
        <w:rPr>
          <w:lang w:val="ru-RU"/>
        </w:rPr>
        <w:instrText>/</w:instrText>
      </w:r>
      <w:r>
        <w:instrText>intersectoral</w:instrText>
      </w:r>
      <w:r w:rsidRPr="005828E4">
        <w:rPr>
          <w:lang w:val="ru-RU"/>
        </w:rPr>
        <w:instrText>-</w:instrText>
      </w:r>
      <w:r>
        <w:instrText>coordination</w:instrText>
      </w:r>
      <w:r w:rsidRPr="005828E4">
        <w:rPr>
          <w:lang w:val="ru-RU"/>
        </w:rPr>
        <w:instrText>.</w:instrText>
      </w:r>
      <w:r>
        <w:instrText>aspx</w:instrText>
      </w:r>
      <w:r w:rsidRPr="005828E4">
        <w:rPr>
          <w:lang w:val="ru-RU"/>
        </w:rPr>
        <w:instrText>"</w:instrText>
      </w:r>
      <w:r>
        <w:fldChar w:fldCharType="separate"/>
      </w:r>
      <w:proofErr w:type="spellStart"/>
      <w:r w:rsidRPr="00AC6326">
        <w:rPr>
          <w:rStyle w:val="Hyperlink"/>
          <w:lang w:val="ru-RU"/>
        </w:rPr>
        <w:t>Межсекторальной</w:t>
      </w:r>
      <w:proofErr w:type="spellEnd"/>
      <w:r w:rsidRPr="00AC6326">
        <w:rPr>
          <w:rStyle w:val="Hyperlink"/>
          <w:lang w:val="ru-RU"/>
        </w:rPr>
        <w:t xml:space="preserve"> координации</w:t>
      </w:r>
      <w:r>
        <w:fldChar w:fldCharType="end"/>
      </w:r>
      <w:r w:rsidRPr="00AC6326">
        <w:rPr>
          <w:lang w:val="ru-RU"/>
        </w:rPr>
        <w:t>.</w:t>
      </w:r>
    </w:p>
    <w:p w14:paraId="76289B8D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Что касается согласования результатов этих Резолюций и Решений, то на своем втором собрании (</w:t>
      </w:r>
      <w:proofErr w:type="gramStart"/>
      <w:r w:rsidRPr="00AC6326">
        <w:rPr>
          <w:lang w:val="ru-RU"/>
        </w:rPr>
        <w:t>20−21</w:t>
      </w:r>
      <w:proofErr w:type="gramEnd"/>
      <w:r w:rsidRPr="00AC6326">
        <w:rPr>
          <w:lang w:val="ru-RU"/>
        </w:rPr>
        <w:t xml:space="preserve"> февраля 2025 г.) РГС-</w:t>
      </w:r>
      <w:proofErr w:type="spellStart"/>
      <w:r w:rsidRPr="00AC6326">
        <w:rPr>
          <w:lang w:val="ru-RU"/>
        </w:rPr>
        <w:t>СФП</w:t>
      </w:r>
      <w:proofErr w:type="spellEnd"/>
      <w:r w:rsidRPr="00AC6326">
        <w:rPr>
          <w:lang w:val="ru-RU"/>
        </w:rPr>
        <w:t xml:space="preserve"> обсудила и приняла решение предложить руководящие указания для Государств-Членов. Эти руководящие указания призваны помочь при рассмотрении существующих Резолюций и Решений, а также при разработке новых Резолюций и Решений при подготовке к ПК-26.</w:t>
      </w:r>
    </w:p>
    <w:p w14:paraId="0EE458AD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Предлагаемые руководящие указания представляются Совету-25 для рассмотрения и принятия мер, если это будет сочтено необходимым.</w:t>
      </w:r>
    </w:p>
    <w:p w14:paraId="692AA06A" w14:textId="777F739E" w:rsidR="00AC6326" w:rsidRPr="00AC6326" w:rsidRDefault="00AC6326" w:rsidP="002D5A85">
      <w:pPr>
        <w:pStyle w:val="Heading1"/>
        <w:rPr>
          <w:lang w:val="ru-RU"/>
        </w:rPr>
      </w:pPr>
      <w:r w:rsidRPr="00AC6326">
        <w:rPr>
          <w:lang w:val="ru-RU"/>
        </w:rPr>
        <w:t>2</w:t>
      </w:r>
      <w:r w:rsidRPr="00AC6326">
        <w:rPr>
          <w:lang w:val="ru-RU"/>
        </w:rPr>
        <w:tab/>
        <w:t>Руководящие указания по согласованию результатов Резолюций и</w:t>
      </w:r>
      <w:r w:rsidR="002D5A85">
        <w:rPr>
          <w:lang w:val="ru-RU"/>
        </w:rPr>
        <w:t> </w:t>
      </w:r>
      <w:r w:rsidRPr="00AC6326">
        <w:rPr>
          <w:lang w:val="ru-RU"/>
        </w:rPr>
        <w:t>Решений ПК</w:t>
      </w:r>
    </w:p>
    <w:p w14:paraId="2358EBDC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В целях согласования итогов ПК-26 предлагаются следующие варианты первого рассмотрения Резолюций и Решений:</w:t>
      </w:r>
    </w:p>
    <w:p w14:paraId="255D193C" w14:textId="23ED6805" w:rsidR="00AC6326" w:rsidRPr="00AC6326" w:rsidRDefault="00AC6326" w:rsidP="005828E4">
      <w:pPr>
        <w:pStyle w:val="Headingb"/>
        <w:jc w:val="both"/>
        <w:rPr>
          <w:lang w:val="ru-RU"/>
        </w:rPr>
      </w:pPr>
      <w:r w:rsidRPr="00AC6326">
        <w:rPr>
          <w:lang w:val="ru-RU"/>
        </w:rPr>
        <w:t>Внесение изменений</w:t>
      </w:r>
    </w:p>
    <w:p w14:paraId="7F9DE31E" w14:textId="452CC139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 xml:space="preserve">Резолюция/Решение могут быть </w:t>
      </w:r>
      <w:r w:rsidRPr="00AC6326">
        <w:rPr>
          <w:b/>
          <w:bCs/>
          <w:i/>
          <w:iCs/>
          <w:lang w:val="ru-RU"/>
        </w:rPr>
        <w:t>изменены</w:t>
      </w:r>
      <w:r w:rsidRPr="00AC6326">
        <w:rPr>
          <w:lang w:val="ru-RU"/>
        </w:rPr>
        <w:t xml:space="preserve"> (</w:t>
      </w:r>
      <w:proofErr w:type="spellStart"/>
      <w:r w:rsidRPr="00AC6326">
        <w:rPr>
          <w:lang w:val="ru-RU"/>
        </w:rPr>
        <w:t>MOD</w:t>
      </w:r>
      <w:proofErr w:type="spellEnd"/>
      <w:r w:rsidRPr="00AC6326">
        <w:rPr>
          <w:lang w:val="ru-RU"/>
        </w:rPr>
        <w:t xml:space="preserve"> или (</w:t>
      </w:r>
      <w:proofErr w:type="spellStart"/>
      <w:r w:rsidRPr="00AC6326">
        <w:rPr>
          <w:lang w:val="ru-RU"/>
        </w:rPr>
        <w:t>MOD</w:t>
      </w:r>
      <w:proofErr w:type="spellEnd"/>
      <w:r w:rsidRPr="00AC6326">
        <w:rPr>
          <w:lang w:val="ru-RU"/>
        </w:rPr>
        <w:t>)) с целью обновления, улучшения, или внесения технических правок путем:</w:t>
      </w:r>
    </w:p>
    <w:p w14:paraId="671EEB4F" w14:textId="2DE3E26F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ab/>
      </w:r>
      <w:r w:rsidRPr="00AC6326">
        <w:rPr>
          <w:b/>
          <w:bCs/>
          <w:i/>
          <w:iCs/>
          <w:lang w:val="ru-RU"/>
        </w:rPr>
        <w:t>упрощения</w:t>
      </w:r>
      <w:r w:rsidRPr="00AC6326">
        <w:rPr>
          <w:lang w:val="ru-RU"/>
        </w:rPr>
        <w:t xml:space="preserve"> там, где это возможно или целесообразно, при сохранении достаточного количества необходимой информации, а также повышении краткости, простоты и</w:t>
      </w:r>
      <w:r w:rsidR="0017455F">
        <w:rPr>
          <w:lang w:val="en-US"/>
        </w:rPr>
        <w:t> </w:t>
      </w:r>
      <w:r w:rsidRPr="00AC6326">
        <w:rPr>
          <w:lang w:val="ru-RU"/>
        </w:rPr>
        <w:t>легкости понимания текстов, с тем чтобы их регулярное обновление и ведение требовали меньше усилий, с учетом затрат на обеспечение перевода, так как все Резолюции/Решения публикуются на шести (6) официальных языках Союза; или</w:t>
      </w:r>
    </w:p>
    <w:p w14:paraId="283627D1" w14:textId="7142DC1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ab/>
      </w:r>
      <w:r w:rsidRPr="00AC6326">
        <w:rPr>
          <w:b/>
          <w:bCs/>
          <w:i/>
          <w:iCs/>
          <w:lang w:val="ru-RU"/>
        </w:rPr>
        <w:t>согласования</w:t>
      </w:r>
      <w:r w:rsidRPr="00AC6326">
        <w:rPr>
          <w:lang w:val="ru-RU"/>
        </w:rPr>
        <w:t xml:space="preserve"> с другими Резолюциями/Решениями, когда речь идет о общих вопросах, таких как доступность, гендерные аспекты, устойчивость, молодежь и т. д., включая Резолюции Совета или Резолюции других всемирных конференций и ассамблей МСЭ, с</w:t>
      </w:r>
      <w:r w:rsidR="0017455F">
        <w:rPr>
          <w:lang w:val="en-US"/>
        </w:rPr>
        <w:t> </w:t>
      </w:r>
      <w:r w:rsidRPr="00AC6326">
        <w:rPr>
          <w:lang w:val="ru-RU"/>
        </w:rPr>
        <w:t>тем чтобы обеспечить их надлежащую ориентированность, избежать дублирования или повторов; или</w:t>
      </w:r>
    </w:p>
    <w:p w14:paraId="40A248E7" w14:textId="1A727FEA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ab/>
      </w:r>
      <w:r w:rsidRPr="00AC6326">
        <w:rPr>
          <w:b/>
          <w:bCs/>
          <w:i/>
          <w:iCs/>
          <w:lang w:val="ru-RU"/>
        </w:rPr>
        <w:t>объединения</w:t>
      </w:r>
      <w:r w:rsidRPr="00AC6326">
        <w:rPr>
          <w:lang w:val="ru-RU"/>
        </w:rPr>
        <w:t xml:space="preserve"> (для Резолюций/Решений, тематически связанных с одной категорией/субъектом, или Резолюций/Решений, относящихся к одной категории/одному субъекту) с целью сократить повторы или совпадения, в том числе объединение разрозненной информации, содержащейся в различных Резолюциях/Решениях, в одну Резолюцию/одно Решение;</w:t>
      </w:r>
    </w:p>
    <w:p w14:paraId="2CD3A6CD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или</w:t>
      </w:r>
    </w:p>
    <w:p w14:paraId="4EB2DAFE" w14:textId="77777777" w:rsidR="00AC6326" w:rsidRPr="00AC6326" w:rsidRDefault="00AC6326" w:rsidP="005828E4">
      <w:pPr>
        <w:pStyle w:val="Headingb"/>
        <w:jc w:val="both"/>
        <w:rPr>
          <w:lang w:val="ru-RU"/>
        </w:rPr>
      </w:pPr>
      <w:r w:rsidRPr="00AC6326">
        <w:rPr>
          <w:lang w:val="ru-RU"/>
        </w:rPr>
        <w:t>Исключение</w:t>
      </w:r>
    </w:p>
    <w:p w14:paraId="3E8817EB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 xml:space="preserve">Резолюция/Решение могут быть </w:t>
      </w:r>
      <w:r w:rsidRPr="00AC6326">
        <w:rPr>
          <w:b/>
          <w:bCs/>
          <w:i/>
          <w:iCs/>
          <w:lang w:val="ru-RU"/>
        </w:rPr>
        <w:t>исключены</w:t>
      </w:r>
      <w:r w:rsidRPr="00AC6326">
        <w:rPr>
          <w:lang w:val="ru-RU"/>
        </w:rPr>
        <w:t xml:space="preserve"> (</w:t>
      </w:r>
      <w:proofErr w:type="spellStart"/>
      <w:r w:rsidRPr="00AC6326">
        <w:rPr>
          <w:lang w:val="ru-RU"/>
        </w:rPr>
        <w:t>SUP</w:t>
      </w:r>
      <w:proofErr w:type="spellEnd"/>
      <w:r w:rsidRPr="00AC6326">
        <w:rPr>
          <w:lang w:val="ru-RU"/>
        </w:rPr>
        <w:t xml:space="preserve"> или </w:t>
      </w:r>
      <w:proofErr w:type="spellStart"/>
      <w:r w:rsidRPr="00AC6326">
        <w:rPr>
          <w:lang w:val="ru-RU"/>
        </w:rPr>
        <w:t>SUP</w:t>
      </w:r>
      <w:proofErr w:type="spellEnd"/>
      <w:r w:rsidRPr="00AC6326">
        <w:rPr>
          <w:lang w:val="ru-RU"/>
        </w:rPr>
        <w:t xml:space="preserve">*), если указанные в них сроки или этапы будут установлены как неактуальные, они завершены и не требуют дальнейших действий либо если в отношении них отсутствует информация о принятых мерах. Механизм отчетности о таких мерах может быть проверен с помощью веб-платформы, предназначенной для отчетности </w:t>
      </w:r>
      <w:r w:rsidRPr="00AC6326">
        <w:rPr>
          <w:lang w:val="ru-RU"/>
        </w:rPr>
        <w:lastRenderedPageBreak/>
        <w:t>о выполнении Резолюций ПК, которая связана с отчетом о выполнении Стратегического плана и о деятельности Союза (Документ 35 Совета).</w:t>
      </w:r>
    </w:p>
    <w:p w14:paraId="060A5D74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Кроме того, при подготовке вкладов для Полномочной конференции, прежде чем предлагать для обсуждения и утверждения новые Резолюции/Решения, Государствам-Членам следует сначала провести обзор уже действующих Резолюций/Решений, с тем чтобы оценить, можно ли их усовершенствовать. Можно также рассмотреть новые темы для включения в существующие Резолюции или Решения.</w:t>
      </w:r>
    </w:p>
    <w:p w14:paraId="56AFDEC4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 xml:space="preserve">Помимо этого, при разработке проектов Резолюций/Решений ПК существуют и другие варианты. Список символов, которые следует использовать, можно найти </w:t>
      </w:r>
      <w:r>
        <w:fldChar w:fldCharType="begin"/>
      </w:r>
      <w:r>
        <w:instrText>HYPERLINK</w:instrText>
      </w:r>
      <w:r w:rsidRPr="005828E4">
        <w:rPr>
          <w:lang w:val="ru-RU"/>
        </w:rPr>
        <w:instrText xml:space="preserve"> "</w:instrText>
      </w:r>
      <w:r>
        <w:instrText>https</w:instrText>
      </w:r>
      <w:r w:rsidRPr="005828E4">
        <w:rPr>
          <w:lang w:val="ru-RU"/>
        </w:rPr>
        <w:instrText>://</w:instrText>
      </w:r>
      <w:r>
        <w:instrText>pp</w:instrText>
      </w:r>
      <w:r w:rsidRPr="005828E4">
        <w:rPr>
          <w:lang w:val="ru-RU"/>
        </w:rPr>
        <w:instrText>22.</w:instrText>
      </w:r>
      <w:r>
        <w:instrText>itu</w:instrText>
      </w:r>
      <w:r w:rsidRPr="005828E4">
        <w:rPr>
          <w:lang w:val="ru-RU"/>
        </w:rPr>
        <w:instrText>.</w:instrText>
      </w:r>
      <w:r>
        <w:instrText>int</w:instrText>
      </w:r>
      <w:r w:rsidRPr="005828E4">
        <w:rPr>
          <w:lang w:val="ru-RU"/>
        </w:rPr>
        <w:instrText>/</w:instrText>
      </w:r>
      <w:r>
        <w:instrText>en</w:instrText>
      </w:r>
      <w:r w:rsidRPr="005828E4">
        <w:rPr>
          <w:lang w:val="ru-RU"/>
        </w:rPr>
        <w:instrText>/</w:instrText>
      </w:r>
      <w:r>
        <w:instrText>en</w:instrText>
      </w:r>
      <w:r w:rsidRPr="005828E4">
        <w:rPr>
          <w:lang w:val="ru-RU"/>
        </w:rPr>
        <w:instrText>/</w:instrText>
      </w:r>
      <w:r>
        <w:instrText>documents</w:instrText>
      </w:r>
      <w:r w:rsidRPr="005828E4">
        <w:rPr>
          <w:lang w:val="ru-RU"/>
        </w:rPr>
        <w:instrText>/</w:instrText>
      </w:r>
      <w:r>
        <w:instrText>submission</w:instrText>
      </w:r>
      <w:r w:rsidRPr="005828E4">
        <w:rPr>
          <w:lang w:val="ru-RU"/>
        </w:rPr>
        <w:instrText>-</w:instrText>
      </w:r>
      <w:r>
        <w:instrText>of</w:instrText>
      </w:r>
      <w:r w:rsidRPr="005828E4">
        <w:rPr>
          <w:lang w:val="ru-RU"/>
        </w:rPr>
        <w:instrText>-</w:instrText>
      </w:r>
      <w:r>
        <w:instrText>proposals</w:instrText>
      </w:r>
      <w:r w:rsidRPr="005828E4">
        <w:rPr>
          <w:lang w:val="ru-RU"/>
        </w:rPr>
        <w:instrText>/"</w:instrText>
      </w:r>
      <w:r>
        <w:fldChar w:fldCharType="separate"/>
      </w:r>
      <w:r w:rsidRPr="00AC6326">
        <w:rPr>
          <w:rStyle w:val="Hyperlink"/>
          <w:lang w:val="ru-RU"/>
        </w:rPr>
        <w:t>здесь</w:t>
      </w:r>
      <w:r>
        <w:fldChar w:fldCharType="end"/>
      </w:r>
      <w:r w:rsidRPr="00AC6326">
        <w:rPr>
          <w:lang w:val="ru-RU"/>
        </w:rPr>
        <w:t>.</w:t>
      </w:r>
    </w:p>
    <w:p w14:paraId="3401E4D0" w14:textId="192976C5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Кроме того, при рассмотрении Резолюций и Решений Государства-Члены могут учитывать:</w:t>
      </w:r>
    </w:p>
    <w:p w14:paraId="47B3D0B6" w14:textId="1B80B690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1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Обзор и анализ действующих Резолюций/Решений, включая отчеты и ход их выполнения.</w:t>
      </w:r>
    </w:p>
    <w:p w14:paraId="585AA517" w14:textId="0DB9383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2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Изучение Резолюций/Решений с целью недопущения повторов и дублирования текстов.</w:t>
      </w:r>
    </w:p>
    <w:p w14:paraId="287C4E6E" w14:textId="29C561C9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3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Обеспечение того, чтобы Резолюции/Решения были краткими, соответствующим образом ориентированы, выполнимы, эффективны и соответствовали изменениям в</w:t>
      </w:r>
      <w:r w:rsidR="0017455F">
        <w:rPr>
          <w:lang w:val="en-US"/>
        </w:rPr>
        <w:t> </w:t>
      </w:r>
      <w:r w:rsidRPr="00AC6326">
        <w:rPr>
          <w:lang w:val="ru-RU"/>
        </w:rPr>
        <w:t>области информационно-коммуникационных технологий (ИКТ).</w:t>
      </w:r>
    </w:p>
    <w:p w14:paraId="43D99B17" w14:textId="531F03A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4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Применение следующих принципов:</w:t>
      </w:r>
    </w:p>
    <w:p w14:paraId="0E1FA5FD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a)</w:t>
      </w:r>
      <w:r w:rsidRPr="00AC6326">
        <w:rPr>
          <w:lang w:val="ru-RU"/>
        </w:rPr>
        <w:tab/>
        <w:t>согласованность и последовательность: соответствует ли Резолюция/Решение миссии и концепции МСЭ;</w:t>
      </w:r>
    </w:p>
    <w:p w14:paraId="6F2F8C36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b)</w:t>
      </w:r>
      <w:r w:rsidRPr="00AC6326">
        <w:rPr>
          <w:lang w:val="ru-RU"/>
        </w:rPr>
        <w:tab/>
        <w:t>частичное совпадение и дублирование – отражены ли уже цели Резолюции/Решения в Стратегическом плане МСЭ или других Резолюциях/Решениях ПК;</w:t>
      </w:r>
    </w:p>
    <w:p w14:paraId="0E22E164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c)</w:t>
      </w:r>
      <w:r w:rsidRPr="00AC6326">
        <w:rPr>
          <w:lang w:val="ru-RU"/>
        </w:rPr>
        <w:tab/>
        <w:t>необходимость: необходима ли Резолюция/Решение в качестве отдельного документа? Было ли уже завершено выполнение Резолюции? Существуют ли какие-либо меры, которые были предписаны в Резолюции, но которые были признаны неосуществимыми?</w:t>
      </w:r>
    </w:p>
    <w:p w14:paraId="6B2D70D9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d)</w:t>
      </w:r>
      <w:r w:rsidRPr="00AC6326">
        <w:rPr>
          <w:lang w:val="ru-RU"/>
        </w:rPr>
        <w:tab/>
        <w:t>ориентация на конкретные действия и подотчетность: предусматривает ли Резолюция/Решение конкретное действие или результат? Имеется ли в Резолюции/Решении конкретное положение, касающееся подотчетности, или информация об ответственном субъекте?</w:t>
      </w:r>
    </w:p>
    <w:p w14:paraId="494F2586" w14:textId="3AA3B376" w:rsidR="00AC6326" w:rsidRPr="002D5A85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5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Все схожие или связанные вопросы следует по мере возможности рассматривать в</w:t>
      </w:r>
      <w:r w:rsidR="0017455F">
        <w:rPr>
          <w:lang w:val="en-US"/>
        </w:rPr>
        <w:t> </w:t>
      </w:r>
      <w:r w:rsidRPr="00AC6326">
        <w:rPr>
          <w:lang w:val="ru-RU"/>
        </w:rPr>
        <w:t>одной Резолюции/одном Решении ("принцип отдельности"). В целом предпочтительнее упорядочивать действующие Резолюции/Решения, а не добавлять новую Резолюцию/новое Решение.</w:t>
      </w:r>
    </w:p>
    <w:p w14:paraId="7C5F66B5" w14:textId="6FBC28D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6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Если в содержание Резолюции/Решения не будет внесено никаких изменений, то</w:t>
      </w:r>
      <w:r w:rsidR="0017455F">
        <w:rPr>
          <w:lang w:val="en-US"/>
        </w:rPr>
        <w:t> </w:t>
      </w:r>
      <w:r w:rsidRPr="00AC6326">
        <w:rPr>
          <w:lang w:val="ru-RU"/>
        </w:rPr>
        <w:t xml:space="preserve">редакционные обновления (например, даты или места проведения конференции) также производиться не будут, т. е. Резолюцию/Решение следует оставить в прежнем виде, т. е. без изменений (NOC и </w:t>
      </w:r>
      <w:r w:rsidRPr="00AC6326">
        <w:rPr>
          <w:u w:val="single"/>
          <w:lang w:val="ru-RU"/>
        </w:rPr>
        <w:t>NOC</w:t>
      </w:r>
      <w:r w:rsidRPr="00AC6326">
        <w:rPr>
          <w:lang w:val="ru-RU"/>
        </w:rPr>
        <w:t>).</w:t>
      </w:r>
    </w:p>
    <w:p w14:paraId="72F43692" w14:textId="5B3871EE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8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Редакционные изменения следует сводить к минимуму или ограничиваться только такими, которые абсолютно необходимы для обеспечения их эффективного выполнения.</w:t>
      </w:r>
    </w:p>
    <w:p w14:paraId="1DDE72F5" w14:textId="1DD3E7E1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9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Если для Резолюции/Решения требуется только редакционное обновление, Полномочная конференция могла бы поручить внесение необходимых редакционных поправок Редакционному комитету до опубликования Резолюции/Решения.</w:t>
      </w:r>
    </w:p>
    <w:p w14:paraId="79ECD47A" w14:textId="6997FB4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10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 xml:space="preserve">Для рассмотрения Резолюций и Решений ПК при подготовке к конференции рекомендуется использовать региональные подготовительные собрания и, когда это </w:t>
      </w:r>
      <w:r w:rsidRPr="00AC6326">
        <w:rPr>
          <w:lang w:val="ru-RU"/>
        </w:rPr>
        <w:lastRenderedPageBreak/>
        <w:t>возможно, межрегиональные координационные собрания. Секретариат может предоставить список Резолюций и Решений, предложенных для обзора, с целью дальнейшего рассмотрения Государствами-Членами.</w:t>
      </w:r>
    </w:p>
    <w:p w14:paraId="0DA0445C" w14:textId="77777777" w:rsidR="00AC6326" w:rsidRPr="00AC6326" w:rsidRDefault="00AC6326" w:rsidP="005828E4">
      <w:pPr>
        <w:jc w:val="both"/>
        <w:rPr>
          <w:lang w:val="ru-RU"/>
        </w:rPr>
      </w:pPr>
      <w:r w:rsidRPr="00AC6326">
        <w:rPr>
          <w:lang w:val="ru-RU"/>
        </w:rPr>
        <w:t>В случае если признано, что в Резолюцию/Решение ПК необходимо внести изменения, Государства-Члены при ее/его разработке могут придерживаться следующих руководящих указаний:</w:t>
      </w:r>
    </w:p>
    <w:p w14:paraId="586B3099" w14:textId="78CC8D7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1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 xml:space="preserve">Предпочтительно, чтобы текст Резолюции/Решения не превышал четырех страниц формата </w:t>
      </w:r>
      <w:proofErr w:type="spellStart"/>
      <w:r w:rsidRPr="00AC6326">
        <w:rPr>
          <w:lang w:val="ru-RU"/>
        </w:rPr>
        <w:t>А4</w:t>
      </w:r>
      <w:proofErr w:type="spellEnd"/>
      <w:r w:rsidRPr="00AC6326">
        <w:rPr>
          <w:lang w:val="ru-RU"/>
        </w:rPr>
        <w:t xml:space="preserve">. </w:t>
      </w:r>
    </w:p>
    <w:p w14:paraId="233439BF" w14:textId="088A857A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2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 xml:space="preserve">Преамбула Резолюции/Решения должна быть максимально краткой и содержать основные доводы, обосновывающие ее необходимость. Предпочтительно, чтобы объем преамбулы не превышал одной страницы формата </w:t>
      </w:r>
      <w:proofErr w:type="spellStart"/>
      <w:r w:rsidRPr="00AC6326">
        <w:rPr>
          <w:lang w:val="ru-RU"/>
        </w:rPr>
        <w:t>А4</w:t>
      </w:r>
      <w:proofErr w:type="spellEnd"/>
      <w:r w:rsidRPr="00AC6326">
        <w:rPr>
          <w:lang w:val="ru-RU"/>
        </w:rPr>
        <w:t>. Любые дополнительные разъяснения и обоснования, например подробная хроника событий, библиография, предыдущая деятельность и достижения, могут быть представлены во вкладе в качестве справочного материала, однако при этом следует избегать их включения в принятый окончательный текст Резолюции/Решения.</w:t>
      </w:r>
    </w:p>
    <w:p w14:paraId="259817E6" w14:textId="124F14AE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3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Перекрестные ссылки на другие Резолюции МСЭ следует свести к необходимому минимуму ("принцип минимальных перекрестных ссылок"), обеспечивая при этом баланс во избежание включения материалов, скопированных из других документов.</w:t>
      </w:r>
    </w:p>
    <w:p w14:paraId="56D99F48" w14:textId="2076F2B5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4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При наличии ссылки на Резолюцию/Решение по тому же или связанному вопросу следует свести к минимуму использование одинаковых обоснований, при этом в данную Резолюцию / данное Решение может быть добавлено дополнительное специфичное обоснование ("принцип отсутствия повторений").</w:t>
      </w:r>
    </w:p>
    <w:p w14:paraId="75C066FE" w14:textId="252794D1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5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В тех случаях, когда ссылка на вывод или результат какого-либо события считается необходимой, она должна носить предметный и содержательный характер, указывающий на значимость этого события, при этом следует избегать простого упоминания события как такового ("принцип отсутствия хроники событий").</w:t>
      </w:r>
    </w:p>
    <w:p w14:paraId="713C164E" w14:textId="2ADAB8B2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6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Любые ссылки на документы должны носить предметный и содержательный характер, указывающий на их актуальность для цели Резолюции/Решения ("принцип отсутствия библиографии").</w:t>
      </w:r>
    </w:p>
    <w:p w14:paraId="2930AE3E" w14:textId="5651DE37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7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При составлении постановляющей части Резолюции/Решения следует иметь в виду, что она должна:</w:t>
      </w:r>
    </w:p>
    <w:p w14:paraId="4B993666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a)</w:t>
      </w:r>
      <w:r w:rsidRPr="00AC6326">
        <w:rPr>
          <w:lang w:val="ru-RU"/>
        </w:rPr>
        <w:tab/>
        <w:t>содержать подходящий глагол, указывающий на действие, которое должно выполняться соответствующим органом на основании его надлежащего мандата ("принцип определенного органа и конкретного действия");</w:t>
      </w:r>
    </w:p>
    <w:p w14:paraId="4FC8B188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b)</w:t>
      </w:r>
      <w:r w:rsidRPr="00AC6326">
        <w:rPr>
          <w:lang w:val="ru-RU"/>
        </w:rPr>
        <w:tab/>
        <w:t>содержать описание ожидаемого результата (или результатов) с тем, чтобы достижения в реализации данного действия можно было в максимально возможной степени измерить с помощью объективных методик измерения ("принцип измеримого результата");</w:t>
      </w:r>
    </w:p>
    <w:p w14:paraId="614F9D60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c)</w:t>
      </w:r>
      <w:r w:rsidRPr="00AC6326">
        <w:rPr>
          <w:lang w:val="ru-RU"/>
        </w:rPr>
        <w:tab/>
        <w:t>содержать план или рекомендации по выполнению действий с указанием этапов и/или контрольных точек, в зависимости от случая ("принцип планирования");</w:t>
      </w:r>
    </w:p>
    <w:p w14:paraId="46554617" w14:textId="4009B9CB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d)</w:t>
      </w:r>
      <w:r w:rsidRPr="00AC6326">
        <w:rPr>
          <w:lang w:val="ru-RU"/>
        </w:rPr>
        <w:tab/>
        <w:t>содержать описание механизма отчетности и истечения срока действия, в</w:t>
      </w:r>
      <w:r w:rsidR="0017455F">
        <w:rPr>
          <w:lang w:val="en-US"/>
        </w:rPr>
        <w:t> </w:t>
      </w:r>
      <w:r w:rsidRPr="00AC6326">
        <w:rPr>
          <w:lang w:val="ru-RU"/>
        </w:rPr>
        <w:t>зависимости от случая ("принцип отчетности/истечения срока действия"); и</w:t>
      </w:r>
    </w:p>
    <w:p w14:paraId="506EAE81" w14:textId="77777777" w:rsidR="00AC6326" w:rsidRPr="00AC6326" w:rsidRDefault="00AC6326" w:rsidP="005828E4">
      <w:pPr>
        <w:pStyle w:val="enumlev2"/>
        <w:jc w:val="both"/>
        <w:rPr>
          <w:lang w:val="ru-RU"/>
        </w:rPr>
      </w:pPr>
      <w:r w:rsidRPr="00AC6326">
        <w:rPr>
          <w:lang w:val="ru-RU"/>
        </w:rPr>
        <w:t>e)</w:t>
      </w:r>
      <w:r w:rsidRPr="00AC6326">
        <w:rPr>
          <w:lang w:val="ru-RU"/>
        </w:rPr>
        <w:tab/>
        <w:t>при необходимости содержать конкретные поручения соответствующим действующим лицам по выполнению Резолюции/Решения.</w:t>
      </w:r>
    </w:p>
    <w:p w14:paraId="41297603" w14:textId="3AAAC068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t>8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Следует принять во внимание, что указания, данные Членам, не имеют обязательной силы.</w:t>
      </w:r>
    </w:p>
    <w:p w14:paraId="6EA12130" w14:textId="02CA9B0A" w:rsidR="00AC6326" w:rsidRPr="00AC6326" w:rsidRDefault="00AC6326" w:rsidP="005828E4">
      <w:pPr>
        <w:pStyle w:val="enumlev1"/>
        <w:jc w:val="both"/>
        <w:rPr>
          <w:lang w:val="ru-RU"/>
        </w:rPr>
      </w:pPr>
      <w:r w:rsidRPr="00AC6326">
        <w:rPr>
          <w:lang w:val="ru-RU"/>
        </w:rPr>
        <w:lastRenderedPageBreak/>
        <w:t>9</w:t>
      </w:r>
      <w:r w:rsidR="0017455F" w:rsidRPr="005828E4">
        <w:rPr>
          <w:lang w:val="ru-RU"/>
        </w:rPr>
        <w:t>)</w:t>
      </w:r>
      <w:r w:rsidRPr="00AC6326">
        <w:rPr>
          <w:lang w:val="ru-RU"/>
        </w:rPr>
        <w:tab/>
        <w:t>Государствам-Членам предлагается использовать Интерфейс подготовки предложений для конференции (</w:t>
      </w:r>
      <w:proofErr w:type="spellStart"/>
      <w:r w:rsidRPr="00AC6326">
        <w:rPr>
          <w:lang w:val="ru-RU"/>
        </w:rPr>
        <w:t>CPI</w:t>
      </w:r>
      <w:proofErr w:type="spellEnd"/>
      <w:r w:rsidRPr="00AC6326">
        <w:rPr>
          <w:lang w:val="ru-RU"/>
        </w:rPr>
        <w:t>) для создания основы своего(их) вклада(</w:t>
      </w:r>
      <w:proofErr w:type="spellStart"/>
      <w:r w:rsidRPr="00AC6326">
        <w:rPr>
          <w:lang w:val="ru-RU"/>
        </w:rPr>
        <w:t>ов</w:t>
      </w:r>
      <w:proofErr w:type="spellEnd"/>
      <w:r w:rsidRPr="00AC6326">
        <w:rPr>
          <w:lang w:val="ru-RU"/>
        </w:rPr>
        <w:t>), главным образом</w:t>
      </w:r>
      <w:r w:rsidR="0017455F" w:rsidRPr="005828E4">
        <w:rPr>
          <w:lang w:val="ru-RU"/>
        </w:rPr>
        <w:t>,</w:t>
      </w:r>
      <w:r w:rsidRPr="00AC6326">
        <w:rPr>
          <w:lang w:val="ru-RU"/>
        </w:rPr>
        <w:t xml:space="preserve"> потому что он содержит правильные "стили" (т. е. номер приложения, название приложения и т. д.).</w:t>
      </w:r>
    </w:p>
    <w:p w14:paraId="36830EF2" w14:textId="77777777" w:rsidR="00AC6326" w:rsidRPr="00AC6326" w:rsidRDefault="00AC6326" w:rsidP="00E93D4C">
      <w:pPr>
        <w:jc w:val="both"/>
        <w:rPr>
          <w:lang w:val="ru-RU"/>
        </w:rPr>
      </w:pPr>
      <w:r w:rsidRPr="00AC6326">
        <w:rPr>
          <w:lang w:val="ru-RU"/>
        </w:rPr>
        <w:t xml:space="preserve">Более подробную информацию о том, как составлять проекты Резолюций/Решений, можно получить на веб-сайтах </w:t>
      </w:r>
      <w:hyperlink r:id="rId7" w:history="1">
        <w:r w:rsidRPr="00AC6326">
          <w:rPr>
            <w:rStyle w:val="Hyperlink"/>
            <w:lang w:val="ru-RU"/>
          </w:rPr>
          <w:t>Полномочной конференции МСЭ</w:t>
        </w:r>
      </w:hyperlink>
      <w:r w:rsidRPr="00AC6326">
        <w:rPr>
          <w:lang w:val="ru-RU"/>
        </w:rPr>
        <w:t xml:space="preserve"> и </w:t>
      </w:r>
      <w:hyperlink r:id="rId8" w:history="1">
        <w:r w:rsidRPr="00AC6326">
          <w:rPr>
            <w:rStyle w:val="Hyperlink"/>
            <w:lang w:val="ru-RU"/>
          </w:rPr>
          <w:t>языковых инструментов МСЭ</w:t>
        </w:r>
      </w:hyperlink>
      <w:r w:rsidRPr="00AC6326">
        <w:rPr>
          <w:lang w:val="ru-RU"/>
        </w:rPr>
        <w:t>.</w:t>
      </w:r>
    </w:p>
    <w:p w14:paraId="3AF4A5FF" w14:textId="77777777" w:rsidR="00796BD3" w:rsidRPr="002D5A85" w:rsidRDefault="00C462C5" w:rsidP="00AC6326">
      <w:pPr>
        <w:spacing w:before="720"/>
        <w:jc w:val="center"/>
        <w:rPr>
          <w:lang w:val="ru-RU"/>
        </w:rPr>
      </w:pPr>
      <w:r w:rsidRPr="002D5A85">
        <w:rPr>
          <w:lang w:val="ru-RU"/>
        </w:rPr>
        <w:t>______________</w:t>
      </w:r>
    </w:p>
    <w:sectPr w:rsidR="00796BD3" w:rsidRPr="002D5A85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0A7B" w14:textId="77777777" w:rsidR="00AC6326" w:rsidRDefault="00AC6326">
      <w:r>
        <w:separator/>
      </w:r>
    </w:p>
  </w:endnote>
  <w:endnote w:type="continuationSeparator" w:id="0">
    <w:p w14:paraId="64CD8196" w14:textId="77777777" w:rsidR="00AC6326" w:rsidRDefault="00A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21C161A" w14:textId="77777777" w:rsidTr="00E31DCE">
      <w:trPr>
        <w:jc w:val="center"/>
      </w:trPr>
      <w:tc>
        <w:tcPr>
          <w:tcW w:w="1803" w:type="dxa"/>
          <w:vAlign w:val="center"/>
        </w:tcPr>
        <w:p w14:paraId="50E04813" w14:textId="1979CAA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739DE90" w14:textId="0C2F9BD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AC6326">
            <w:rPr>
              <w:bCs/>
              <w:lang w:val="ru-RU"/>
            </w:rPr>
            <w:t>29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88AA7A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4AA7DDD" w14:textId="77777777" w:rsidTr="00E31DCE">
      <w:trPr>
        <w:jc w:val="center"/>
      </w:trPr>
      <w:tc>
        <w:tcPr>
          <w:tcW w:w="1803" w:type="dxa"/>
          <w:vAlign w:val="center"/>
        </w:tcPr>
        <w:p w14:paraId="36B2AFB2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00B1829" w14:textId="1FFD3D0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AC6326">
            <w:rPr>
              <w:bCs/>
              <w:lang w:val="ru-RU"/>
            </w:rPr>
            <w:t>29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AB5E2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F5F0" w14:textId="77777777" w:rsidR="00AC6326" w:rsidRDefault="00AC6326">
      <w:r>
        <w:t>____________________</w:t>
      </w:r>
    </w:p>
  </w:footnote>
  <w:footnote w:type="continuationSeparator" w:id="0">
    <w:p w14:paraId="01701481" w14:textId="77777777" w:rsidR="00AC6326" w:rsidRDefault="00AC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40C0CA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65D3DA2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3E9E136" wp14:editId="6E71D7F7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2125322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D4F3412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7089B" wp14:editId="1191EF1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5C17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6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7455F"/>
    <w:rsid w:val="00192B41"/>
    <w:rsid w:val="001B7B09"/>
    <w:rsid w:val="001E6719"/>
    <w:rsid w:val="001E7F50"/>
    <w:rsid w:val="00225368"/>
    <w:rsid w:val="00227FF0"/>
    <w:rsid w:val="002470A1"/>
    <w:rsid w:val="00291EB6"/>
    <w:rsid w:val="002C3F32"/>
    <w:rsid w:val="002D2F57"/>
    <w:rsid w:val="002D48C5"/>
    <w:rsid w:val="002D5A8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828E4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7636E"/>
    <w:rsid w:val="00AC6326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93D4C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199BBC"/>
  <w15:docId w15:val="{15F1CE78-69F6-4FB6-B726-038BA7D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828E4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C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general-secretariat/multilingualism/Pages/language-tool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22.itu.int/en/en/documents/submission-of-proposa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5</Pages>
  <Words>1226</Words>
  <Characters>9372</Characters>
  <Application>Microsoft Office Word</Application>
  <DocSecurity>0</DocSecurity>
  <Lines>183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harmonizing plenipotentiary conference resolutions and decisions</vt:lpstr>
    </vt:vector>
  </TitlesOfParts>
  <Manager>General Secretariat - Pool</Manager>
  <Company>International Telecommunication Union (ITU)</Company>
  <LinksUpToDate>false</LinksUpToDate>
  <CharactersWithSpaces>10521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harmonizing plenipotentiary conference resolutions and decisions</dc:title>
  <dc:subject>ITU Council 2025</dc:subject>
  <cp:keywords>C2025, C25, Council-25</cp:keywords>
  <dc:description/>
  <cp:lastPrinted>2006-03-28T16:12:00Z</cp:lastPrinted>
  <dcterms:created xsi:type="dcterms:W3CDTF">2025-05-23T15:29:00Z</dcterms:created>
  <dcterms:modified xsi:type="dcterms:W3CDTF">2025-05-23T15:29:00Z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