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837C3B2" w14:textId="77777777" w:rsidTr="00F363FE">
        <w:tc>
          <w:tcPr>
            <w:tcW w:w="6512" w:type="dxa"/>
          </w:tcPr>
          <w:p w14:paraId="32B45FF1" w14:textId="0A6D482C"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117695" w:rsidRPr="00F62B95">
              <w:rPr>
                <w:b/>
                <w:bCs/>
                <w:color w:val="000000"/>
                <w:rtl/>
              </w:rPr>
              <w:t xml:space="preserve"> PL-3</w:t>
            </w:r>
          </w:p>
        </w:tc>
        <w:tc>
          <w:tcPr>
            <w:tcW w:w="3117" w:type="dxa"/>
          </w:tcPr>
          <w:p w14:paraId="4CD165B6" w14:textId="6D4B8CE9"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B2098B">
              <w:rPr>
                <w:b/>
                <w:bCs/>
                <w:lang w:bidi="ar-EG"/>
              </w:rPr>
              <w:t>29</w:t>
            </w:r>
            <w:r w:rsidRPr="007B0AA0">
              <w:rPr>
                <w:b/>
                <w:bCs/>
                <w:lang w:bidi="ar-EG"/>
              </w:rPr>
              <w:t>-A</w:t>
            </w:r>
          </w:p>
        </w:tc>
      </w:tr>
      <w:tr w:rsidR="007B0AA0" w14:paraId="58AF447F" w14:textId="77777777" w:rsidTr="00F363FE">
        <w:tc>
          <w:tcPr>
            <w:tcW w:w="6512" w:type="dxa"/>
          </w:tcPr>
          <w:p w14:paraId="2E5B4F91" w14:textId="77777777" w:rsidR="007B0AA0" w:rsidRPr="007B0AA0" w:rsidRDefault="007B0AA0" w:rsidP="00F363FE">
            <w:pPr>
              <w:spacing w:before="60" w:after="60" w:line="260" w:lineRule="exact"/>
              <w:rPr>
                <w:b/>
                <w:bCs/>
                <w:rtl/>
                <w:lang w:bidi="ar-EG"/>
              </w:rPr>
            </w:pPr>
          </w:p>
        </w:tc>
        <w:tc>
          <w:tcPr>
            <w:tcW w:w="3117" w:type="dxa"/>
          </w:tcPr>
          <w:p w14:paraId="00084798" w14:textId="0CE1B249" w:rsidR="007B0AA0" w:rsidRPr="007B0AA0" w:rsidRDefault="00461EBB" w:rsidP="00F363FE">
            <w:pPr>
              <w:spacing w:before="60" w:after="60" w:line="260" w:lineRule="exact"/>
              <w:rPr>
                <w:b/>
                <w:bCs/>
                <w:rtl/>
                <w:lang w:bidi="ar-EG"/>
              </w:rPr>
            </w:pPr>
            <w:r>
              <w:rPr>
                <w:rFonts w:hint="cs"/>
                <w:b/>
                <w:bCs/>
                <w:rtl/>
                <w:lang w:bidi="ar-EG"/>
              </w:rPr>
              <w:t>16</w:t>
            </w:r>
            <w:r w:rsidR="00117695" w:rsidRPr="00117695">
              <w:rPr>
                <w:b/>
                <w:bCs/>
                <w:rtl/>
                <w:lang w:bidi="ar-EG"/>
              </w:rPr>
              <w:t xml:space="preserve"> </w:t>
            </w:r>
            <w:r>
              <w:rPr>
                <w:rFonts w:hint="cs"/>
                <w:b/>
                <w:bCs/>
                <w:rtl/>
                <w:lang w:bidi="ar-EG"/>
              </w:rPr>
              <w:t>مايو</w:t>
            </w:r>
            <w:r w:rsidR="00117695" w:rsidRPr="00117695">
              <w:rPr>
                <w:b/>
                <w:bCs/>
                <w:rtl/>
                <w:lang w:bidi="ar-EG"/>
              </w:rPr>
              <w:t xml:space="preserve"> 2025</w:t>
            </w:r>
          </w:p>
        </w:tc>
      </w:tr>
      <w:tr w:rsidR="007B0AA0" w14:paraId="1708CD4C" w14:textId="77777777" w:rsidTr="00F363FE">
        <w:tc>
          <w:tcPr>
            <w:tcW w:w="6512" w:type="dxa"/>
          </w:tcPr>
          <w:p w14:paraId="56E39168" w14:textId="77777777" w:rsidR="007B0AA0" w:rsidRPr="007B0AA0" w:rsidRDefault="007B0AA0" w:rsidP="00F363FE">
            <w:pPr>
              <w:spacing w:before="60" w:after="60" w:line="260" w:lineRule="exact"/>
              <w:rPr>
                <w:b/>
                <w:bCs/>
                <w:rtl/>
                <w:lang w:bidi="ar-EG"/>
              </w:rPr>
            </w:pPr>
          </w:p>
        </w:tc>
        <w:tc>
          <w:tcPr>
            <w:tcW w:w="3117" w:type="dxa"/>
          </w:tcPr>
          <w:p w14:paraId="734E1F04"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CA56519" w14:textId="77777777" w:rsidTr="00F363FE">
        <w:tc>
          <w:tcPr>
            <w:tcW w:w="6512" w:type="dxa"/>
          </w:tcPr>
          <w:p w14:paraId="47B8A55D" w14:textId="77777777" w:rsidR="007B0AA0" w:rsidRDefault="007B0AA0" w:rsidP="00F363FE">
            <w:pPr>
              <w:spacing w:before="60" w:after="60" w:line="260" w:lineRule="exact"/>
              <w:rPr>
                <w:lang w:bidi="ar-EG"/>
              </w:rPr>
            </w:pPr>
          </w:p>
        </w:tc>
        <w:tc>
          <w:tcPr>
            <w:tcW w:w="3117" w:type="dxa"/>
          </w:tcPr>
          <w:p w14:paraId="11ACC8F0" w14:textId="77777777" w:rsidR="007B0AA0" w:rsidRDefault="007B0AA0" w:rsidP="00F363FE">
            <w:pPr>
              <w:spacing w:before="60" w:after="60" w:line="260" w:lineRule="exact"/>
              <w:rPr>
                <w:rtl/>
                <w:lang w:bidi="ar-EG"/>
              </w:rPr>
            </w:pPr>
          </w:p>
        </w:tc>
      </w:tr>
      <w:tr w:rsidR="007B0AA0" w14:paraId="6829B774" w14:textId="77777777" w:rsidTr="00EE7446">
        <w:tc>
          <w:tcPr>
            <w:tcW w:w="9629" w:type="dxa"/>
            <w:gridSpan w:val="2"/>
          </w:tcPr>
          <w:p w14:paraId="6024359D" w14:textId="77777777" w:rsidR="007B0AA0" w:rsidRDefault="001D64C7" w:rsidP="007B0AA0">
            <w:pPr>
              <w:pStyle w:val="Source"/>
              <w:jc w:val="left"/>
              <w:rPr>
                <w:lang w:bidi="ar-EG"/>
              </w:rPr>
            </w:pPr>
            <w:r>
              <w:rPr>
                <w:rFonts w:hint="cs"/>
                <w:rtl/>
                <w:lang w:bidi="ar-EG"/>
              </w:rPr>
              <w:t>تقرير من الأمينة العامة</w:t>
            </w:r>
          </w:p>
        </w:tc>
      </w:tr>
      <w:tr w:rsidR="007B0AA0" w14:paraId="105E2643" w14:textId="77777777" w:rsidTr="007B0AA0">
        <w:tc>
          <w:tcPr>
            <w:tcW w:w="9629" w:type="dxa"/>
            <w:gridSpan w:val="2"/>
            <w:tcBorders>
              <w:bottom w:val="single" w:sz="4" w:space="0" w:color="auto"/>
            </w:tcBorders>
          </w:tcPr>
          <w:p w14:paraId="236FBACE" w14:textId="4996A8B0" w:rsidR="007B0AA0" w:rsidRPr="005546CF" w:rsidRDefault="00117695" w:rsidP="00117695">
            <w:pPr>
              <w:pStyle w:val="Subtitle0"/>
              <w:rPr>
                <w:sz w:val="32"/>
                <w:szCs w:val="32"/>
              </w:rPr>
            </w:pPr>
            <w:r w:rsidRPr="00117695">
              <w:rPr>
                <w:sz w:val="32"/>
                <w:szCs w:val="32"/>
                <w:rtl/>
                <w:lang w:bidi="ar-SA"/>
              </w:rPr>
              <w:t>مبادئ توجيهية لتنسيق قرارات ومقررات مؤتمر المندوبين المفوضين</w:t>
            </w:r>
          </w:p>
        </w:tc>
      </w:tr>
      <w:tr w:rsidR="007B0AA0" w14:paraId="2D7C502A" w14:textId="77777777" w:rsidTr="007B0AA0">
        <w:tc>
          <w:tcPr>
            <w:tcW w:w="9629" w:type="dxa"/>
            <w:gridSpan w:val="2"/>
            <w:tcBorders>
              <w:top w:val="single" w:sz="4" w:space="0" w:color="auto"/>
              <w:bottom w:val="single" w:sz="4" w:space="0" w:color="auto"/>
            </w:tcBorders>
          </w:tcPr>
          <w:p w14:paraId="06EE9F60" w14:textId="4827241F" w:rsidR="007B0AA0" w:rsidRPr="007B0AA0" w:rsidRDefault="007B0AA0" w:rsidP="007B0AA0">
            <w:pPr>
              <w:rPr>
                <w:b/>
                <w:bCs/>
                <w:rtl/>
              </w:rPr>
            </w:pPr>
            <w:r w:rsidRPr="00515971">
              <w:rPr>
                <w:rFonts w:hint="cs"/>
                <w:b/>
                <w:bCs/>
                <w:rtl/>
              </w:rPr>
              <w:t>الغرض</w:t>
            </w:r>
          </w:p>
          <w:p w14:paraId="0B64E0D9" w14:textId="398605F9" w:rsidR="007B0AA0" w:rsidRPr="00515971" w:rsidRDefault="00117695" w:rsidP="00515971">
            <w:pPr>
              <w:rPr>
                <w:spacing w:val="-2"/>
                <w:rtl/>
              </w:rPr>
            </w:pPr>
            <w:r w:rsidRPr="00117695">
              <w:rPr>
                <w:spacing w:val="-2"/>
                <w:rtl/>
              </w:rPr>
              <w:t>توجز هذه الوثيقة المبادئ التوجيهية المقترحة لتنسيق نتائج قرارات ومقررات مؤتمر المندوبين المفوضين، على النحو المناقش والموافق عليه في فريق العمل التابع للمجلس والمعني بالخطتين الاستراتيجية والمالية للفترة 2028-2031. وتهدف هذه المبادئ التوجيهية إلى مساعدة الدول الأعضاء في إعداد مساهماتها المقدمة إلى مؤتمر المندوبين المفوضين في عام 2026.</w:t>
            </w:r>
          </w:p>
          <w:p w14:paraId="3812966F" w14:textId="77777777" w:rsidR="007B0AA0" w:rsidRPr="007B0AA0" w:rsidRDefault="007B0AA0" w:rsidP="007B0AA0">
            <w:pPr>
              <w:rPr>
                <w:b/>
                <w:bCs/>
                <w:rtl/>
              </w:rPr>
            </w:pPr>
            <w:r w:rsidRPr="007B0AA0">
              <w:rPr>
                <w:rFonts w:hint="cs"/>
                <w:b/>
                <w:bCs/>
                <w:rtl/>
              </w:rPr>
              <w:t>الإجراء المطلوب من المجلس</w:t>
            </w:r>
          </w:p>
          <w:p w14:paraId="706A2B90" w14:textId="77777777" w:rsidR="00117695" w:rsidRPr="00117695" w:rsidRDefault="00117695" w:rsidP="00117695">
            <w:r w:rsidRPr="00117695">
              <w:rPr>
                <w:rtl/>
              </w:rPr>
              <w:t xml:space="preserve">يُدعى المجلس إلى </w:t>
            </w:r>
            <w:r w:rsidRPr="00117695">
              <w:rPr>
                <w:b/>
                <w:bCs/>
                <w:rtl/>
              </w:rPr>
              <w:t xml:space="preserve">النظر </w:t>
            </w:r>
            <w:r w:rsidRPr="00117695">
              <w:rPr>
                <w:rtl/>
              </w:rPr>
              <w:t>في المبادئ التوجيهية المقترحة.</w:t>
            </w:r>
          </w:p>
          <w:p w14:paraId="7FF11EA2" w14:textId="206B145A" w:rsidR="007B0AA0" w:rsidRPr="007B0AA0" w:rsidRDefault="00C62604" w:rsidP="007B0AA0">
            <w:pPr>
              <w:rPr>
                <w:b/>
                <w:bCs/>
                <w:rtl/>
              </w:rPr>
            </w:pPr>
            <w:r>
              <w:rPr>
                <w:rFonts w:hint="cs"/>
                <w:b/>
                <w:bCs/>
                <w:rtl/>
              </w:rPr>
              <w:t>الروابط ذات الصلة بالخطة الاستراتيجية</w:t>
            </w:r>
          </w:p>
          <w:p w14:paraId="60311813" w14:textId="21376E86" w:rsidR="007B0AA0" w:rsidRDefault="00117695" w:rsidP="00117695">
            <w:pPr>
              <w:rPr>
                <w:rtl/>
              </w:rPr>
            </w:pPr>
            <w:r w:rsidRPr="00117695">
              <w:rPr>
                <w:rtl/>
              </w:rPr>
              <w:t>التميز التنظيمي.</w:t>
            </w:r>
          </w:p>
          <w:p w14:paraId="5675680B" w14:textId="77777777" w:rsidR="007B0AA0" w:rsidRDefault="007B0AA0" w:rsidP="00B97F32">
            <w:pPr>
              <w:rPr>
                <w:b/>
                <w:bCs/>
              </w:rPr>
            </w:pPr>
            <w:r w:rsidRPr="007B0AA0">
              <w:rPr>
                <w:rFonts w:hint="cs"/>
                <w:b/>
                <w:bCs/>
                <w:rtl/>
              </w:rPr>
              <w:t>الآثار المالية</w:t>
            </w:r>
          </w:p>
          <w:p w14:paraId="71255159" w14:textId="0599D7B4" w:rsidR="006F363C" w:rsidRPr="005546CF" w:rsidRDefault="00461EBB" w:rsidP="00117695">
            <w:pPr>
              <w:rPr>
                <w:rtl/>
              </w:rPr>
            </w:pPr>
            <w:r>
              <w:rPr>
                <w:rFonts w:hint="cs"/>
                <w:rtl/>
              </w:rPr>
              <w:t>ضمن الميزانية المخصصة للفترة 2026-2027</w:t>
            </w:r>
            <w:r w:rsidR="00117695" w:rsidRPr="00117695">
              <w:rPr>
                <w:rtl/>
              </w:rPr>
              <w:t>.</w:t>
            </w:r>
          </w:p>
          <w:p w14:paraId="3FAEBDFD" w14:textId="14C98DCD" w:rsidR="007B0AA0" w:rsidRPr="00515971" w:rsidRDefault="00515971" w:rsidP="007B0AA0">
            <w:pPr>
              <w:rPr>
                <w:sz w:val="30"/>
                <w:szCs w:val="30"/>
                <w:rtl/>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p w14:paraId="2DBB7A16" w14:textId="77777777" w:rsidR="007B0AA0" w:rsidRPr="007B0AA0" w:rsidRDefault="007B0AA0" w:rsidP="007B0AA0">
            <w:pPr>
              <w:rPr>
                <w:b/>
                <w:bCs/>
                <w:rtl/>
              </w:rPr>
            </w:pPr>
            <w:r w:rsidRPr="007B0AA0">
              <w:rPr>
                <w:rFonts w:hint="cs"/>
                <w:b/>
                <w:bCs/>
                <w:rtl/>
              </w:rPr>
              <w:t>المراجع</w:t>
            </w:r>
          </w:p>
          <w:p w14:paraId="0C477C68" w14:textId="7E97221E" w:rsidR="007B0AA0" w:rsidRPr="005546CF" w:rsidRDefault="00117695" w:rsidP="00076E3F">
            <w:pPr>
              <w:spacing w:after="120"/>
              <w:rPr>
                <w:i/>
                <w:iCs/>
                <w:rtl/>
              </w:rPr>
            </w:pPr>
            <w:hyperlink r:id="rId8" w:anchor="/ar" w:history="1">
              <w:r w:rsidRPr="00515971">
                <w:rPr>
                  <w:rStyle w:val="Hyperlink"/>
                  <w:rFonts w:ascii="Dubai" w:eastAsiaTheme="minorEastAsia" w:hAnsi="Dubai" w:cs="Dubai"/>
                  <w:i/>
                  <w:iCs/>
                  <w:noProof w:val="0"/>
                  <w:sz w:val="22"/>
                  <w:rtl/>
                  <w:lang w:val="ar-SA" w:eastAsia="zh-TW"/>
                </w:rPr>
                <w:t xml:space="preserve">الموقع الإلكتروني لفريق العمل </w:t>
              </w:r>
              <w:r w:rsidRPr="00515971">
                <w:rPr>
                  <w:rStyle w:val="Hyperlink"/>
                  <w:rFonts w:ascii="Dubai" w:eastAsiaTheme="minorEastAsia" w:hAnsi="Dubai" w:cs="Dubai"/>
                  <w:i/>
                  <w:iCs/>
                  <w:noProof w:val="0"/>
                  <w:sz w:val="22"/>
                  <w:lang w:val="ar-SA" w:eastAsia="zh-TW"/>
                </w:rPr>
                <w:t>CWG-SFP</w:t>
              </w:r>
            </w:hyperlink>
            <w:r>
              <w:rPr>
                <w:i/>
                <w:iCs/>
                <w:rtl/>
                <w:lang w:val="ar-SA" w:eastAsia="zh-TW"/>
              </w:rPr>
              <w:t>؛</w:t>
            </w:r>
            <w:hyperlink r:id="rId9" w:history="1">
              <w:r w:rsidRPr="00515971">
                <w:rPr>
                  <w:rStyle w:val="Hyperlink"/>
                  <w:rFonts w:ascii="Dubai" w:eastAsiaTheme="minorEastAsia" w:hAnsi="Dubai" w:cs="Dubai"/>
                  <w:i/>
                  <w:iCs/>
                  <w:noProof w:val="0"/>
                  <w:sz w:val="22"/>
                  <w:rtl/>
                  <w:lang w:val="ar-SA" w:eastAsia="zh-TW"/>
                </w:rPr>
                <w:t xml:space="preserve"> القرار 1428 (دورة المجلس لعام 2024</w:t>
              </w:r>
            </w:hyperlink>
            <w:r w:rsidRPr="00F62B95">
              <w:rPr>
                <w:i/>
                <w:iCs/>
                <w:u w:val="single"/>
                <w:rtl/>
                <w:lang w:val="ar-SA" w:eastAsia="zh-TW"/>
              </w:rPr>
              <w:t>)</w:t>
            </w:r>
          </w:p>
        </w:tc>
      </w:tr>
    </w:tbl>
    <w:p w14:paraId="151C1F72" w14:textId="77777777" w:rsidR="00E61BE8" w:rsidRDefault="00E61BE8" w:rsidP="00E61BE8">
      <w:pPr>
        <w:rPr>
          <w:rtl/>
          <w:lang w:bidi="ar-EG"/>
        </w:rPr>
      </w:pPr>
    </w:p>
    <w:p w14:paraId="72EF1720" w14:textId="77777777" w:rsidR="00F50E3F" w:rsidRDefault="00F50E3F" w:rsidP="0043260A">
      <w:pPr>
        <w:rPr>
          <w:rtl/>
          <w:lang w:bidi="ar-EG"/>
        </w:rPr>
      </w:pPr>
      <w:r>
        <w:rPr>
          <w:rtl/>
          <w:lang w:bidi="ar-EG"/>
        </w:rPr>
        <w:br w:type="page"/>
      </w:r>
    </w:p>
    <w:p w14:paraId="3EA6A933" w14:textId="1482E581" w:rsidR="00117695" w:rsidRPr="00F62B95" w:rsidRDefault="00515971" w:rsidP="00515971">
      <w:pPr>
        <w:pStyle w:val="Heading1"/>
        <w:rPr>
          <w:lang w:val="ar-SA" w:eastAsia="zh-TW" w:bidi="en-GB"/>
        </w:rPr>
      </w:pPr>
      <w:r>
        <w:lastRenderedPageBreak/>
        <w:t>1</w:t>
      </w:r>
      <w:r w:rsidR="00117695" w:rsidRPr="00F62B95">
        <w:rPr>
          <w:rtl/>
        </w:rPr>
        <w:tab/>
        <w:t>مقدمة</w:t>
      </w:r>
    </w:p>
    <w:p w14:paraId="1AB5E039" w14:textId="7C521B9E" w:rsidR="00117695" w:rsidRPr="00F62B95" w:rsidRDefault="00117695" w:rsidP="00117695">
      <w:pPr>
        <w:textDirection w:val="tbRlV"/>
        <w:rPr>
          <w:lang w:val="ar-SA" w:eastAsia="zh-TW" w:bidi="en-GB"/>
        </w:rPr>
      </w:pPr>
      <w:r w:rsidRPr="00F62B95">
        <w:rPr>
          <w:rtl/>
        </w:rPr>
        <w:t>أ</w:t>
      </w:r>
      <w:r w:rsidR="00BB400D">
        <w:rPr>
          <w:rFonts w:hint="cs"/>
          <w:rtl/>
        </w:rPr>
        <w:t>ُ</w:t>
      </w:r>
      <w:r w:rsidRPr="00F62B95">
        <w:rPr>
          <w:rtl/>
        </w:rPr>
        <w:t xml:space="preserve">نشئ فريق العمل التابع للمجلس والمعني بالخطتين الاستراتيجية والمالية للفترة 2028-2031 (CWG-SFP) وحُددت </w:t>
      </w:r>
      <w:r w:rsidRPr="00747D4C">
        <w:rPr>
          <w:rtl/>
        </w:rPr>
        <w:t xml:space="preserve">اختصاصاته بموجب </w:t>
      </w:r>
      <w:hyperlink r:id="rId10" w:history="1">
        <w:r w:rsidRPr="00747D4C">
          <w:rPr>
            <w:rStyle w:val="Hyperlink"/>
            <w:rFonts w:ascii="Dubai" w:eastAsiaTheme="minorEastAsia" w:hAnsi="Dubai" w:cs="Dubai"/>
            <w:noProof w:val="0"/>
            <w:sz w:val="22"/>
            <w:rtl/>
            <w:lang w:val="en-US" w:eastAsia="zh-CN"/>
          </w:rPr>
          <w:t>القرار 1428 الصادر عن المجلس (دورة 2024)</w:t>
        </w:r>
      </w:hyperlink>
      <w:r w:rsidRPr="00747D4C">
        <w:rPr>
          <w:u w:val="single"/>
          <w:rtl/>
        </w:rPr>
        <w:t>.</w:t>
      </w:r>
      <w:r w:rsidRPr="00F62B95">
        <w:rPr>
          <w:rtl/>
        </w:rPr>
        <w:t xml:space="preserve"> وتشمل مهام فريق العمل مواصلة عملية تحديد أوجه التقابل بين القرارات والمقررات لتنسيق نتائج مؤتمر المندوبين المفوضين (</w:t>
      </w:r>
      <w:r w:rsidRPr="00F62B95">
        <w:t>PP</w:t>
      </w:r>
      <w:r w:rsidRPr="00F62B95">
        <w:rPr>
          <w:rtl/>
        </w:rPr>
        <w:t>).</w:t>
      </w:r>
    </w:p>
    <w:p w14:paraId="4E67A440" w14:textId="53CC774B" w:rsidR="00117695" w:rsidRPr="00F62B95" w:rsidRDefault="00117695" w:rsidP="00117695">
      <w:pPr>
        <w:textDirection w:val="tbRlV"/>
        <w:rPr>
          <w:lang w:val="ar-SA" w:eastAsia="zh-TW" w:bidi="en-GB"/>
        </w:rPr>
      </w:pPr>
      <w:r w:rsidRPr="00F62B95">
        <w:rPr>
          <w:rtl/>
        </w:rPr>
        <w:t xml:space="preserve">ويمكن الاطلاع على تقابل القرارات، الذي يوضح الصلة بين قرارات مؤتمرات الاتحاد وجمعياته العالمية، على الصفحة الإلكترونية الخاصة </w:t>
      </w:r>
      <w:hyperlink r:id="rId11" w:anchor="/ar" w:history="1">
        <w:r w:rsidRPr="00076E3F">
          <w:rPr>
            <w:rStyle w:val="Hyperlink"/>
            <w:rFonts w:ascii="Dubai" w:eastAsiaTheme="minorEastAsia" w:hAnsi="Dubai" w:cs="Dubai"/>
            <w:noProof w:val="0"/>
            <w:sz w:val="22"/>
            <w:rtl/>
            <w:lang w:val="en-US" w:eastAsia="zh-CN"/>
          </w:rPr>
          <w:t>بالتنسيق بين القطاعات</w:t>
        </w:r>
      </w:hyperlink>
      <w:r w:rsidRPr="00F62B95">
        <w:rPr>
          <w:rtl/>
        </w:rPr>
        <w:t>.</w:t>
      </w:r>
    </w:p>
    <w:p w14:paraId="79151844" w14:textId="77777777" w:rsidR="00117695" w:rsidRPr="00F62B95" w:rsidRDefault="00117695" w:rsidP="00117695">
      <w:pPr>
        <w:textDirection w:val="tbRlV"/>
        <w:rPr>
          <w:lang w:val="ar-SA" w:eastAsia="zh-TW" w:bidi="en-GB"/>
        </w:rPr>
      </w:pPr>
      <w:r w:rsidRPr="00F62B95">
        <w:rPr>
          <w:rtl/>
        </w:rPr>
        <w:t>وفيما يتعلق بتنسيق نتائج هذه القرارات والمقررات، ناقش فريق العمل خلال اجتماعه الثاني (</w:t>
      </w:r>
      <w:r>
        <w:rPr>
          <w:rtl/>
        </w:rPr>
        <w:t>20</w:t>
      </w:r>
      <w:r w:rsidRPr="00F62B95">
        <w:rPr>
          <w:rtl/>
        </w:rPr>
        <w:t>-</w:t>
      </w:r>
      <w:r>
        <w:rPr>
          <w:rtl/>
        </w:rPr>
        <w:t>21</w:t>
      </w:r>
      <w:r w:rsidRPr="00F62B95">
        <w:rPr>
          <w:rtl/>
        </w:rPr>
        <w:t xml:space="preserve"> فبراير 2025) المبادئ التوجيهية واتفق على اقتراحها على الدول الأعضاء. وتهدف هذه المبادئ التوجيهية إلى المساعدة في استعراض القرارات والمقررات القائمة، وفي صياغة قرارات ومقررات جديدة، تحضيراً لمؤتمر المندوبين المفوضين لعام 2026.</w:t>
      </w:r>
    </w:p>
    <w:p w14:paraId="3950F3EC" w14:textId="77777777" w:rsidR="00117695" w:rsidRPr="00F62B95" w:rsidRDefault="00117695" w:rsidP="00117695">
      <w:pPr>
        <w:textDirection w:val="tbRlV"/>
        <w:rPr>
          <w:lang w:val="ar-SA" w:eastAsia="zh-TW" w:bidi="en-GB"/>
        </w:rPr>
      </w:pPr>
      <w:r w:rsidRPr="00F62B95">
        <w:rPr>
          <w:rtl/>
        </w:rPr>
        <w:t>وستُعرض المبادئ التوجيهية المقترحة على المجلس في دورته لعام 2025 للنظر فيها واتخاذ إجراء بشأنها، إذا لزم الأمر.</w:t>
      </w:r>
    </w:p>
    <w:p w14:paraId="71AA6B17" w14:textId="77777777" w:rsidR="00117695" w:rsidRPr="00F62B95" w:rsidRDefault="00117695" w:rsidP="00515971">
      <w:pPr>
        <w:pStyle w:val="Heading1"/>
        <w:rPr>
          <w:lang w:val="ar-SA" w:eastAsia="zh-TW" w:bidi="en-GB"/>
        </w:rPr>
      </w:pPr>
      <w:r w:rsidRPr="00F62B95">
        <w:rPr>
          <w:rtl/>
        </w:rPr>
        <w:t>2</w:t>
      </w:r>
      <w:r w:rsidRPr="00F62B95">
        <w:rPr>
          <w:rtl/>
        </w:rPr>
        <w:tab/>
        <w:t>مبادئ توجيهية لتنسيق نتائج قرارات ومقررات مؤتمر المندوبين المفوضين</w:t>
      </w:r>
    </w:p>
    <w:p w14:paraId="31DB40B3" w14:textId="77777777" w:rsidR="00117695" w:rsidRPr="00F62B95" w:rsidRDefault="00117695" w:rsidP="00117695">
      <w:pPr>
        <w:textDirection w:val="tbRlV"/>
        <w:rPr>
          <w:lang w:val="ar-SA" w:eastAsia="zh-TW" w:bidi="en-GB"/>
        </w:rPr>
      </w:pPr>
      <w:r w:rsidRPr="00F62B95">
        <w:rPr>
          <w:rtl/>
        </w:rPr>
        <w:t>في ضوء تنسيق نتائج مؤتمر المندوبين المفوضين لعام 2026، تتبين عند استعراض القرارات والمقررات لأول مرة بعض الخيارات، وهي:</w:t>
      </w:r>
    </w:p>
    <w:p w14:paraId="434DE9DF" w14:textId="4D10C3BF" w:rsidR="00117695" w:rsidRPr="00F62B95" w:rsidRDefault="00117695" w:rsidP="00117695">
      <w:pPr>
        <w:keepNext/>
        <w:keepLines/>
        <w:spacing w:before="160"/>
        <w:ind w:left="567" w:hanging="567"/>
        <w:textDirection w:val="tbRlV"/>
        <w:outlineLvl w:val="0"/>
        <w:rPr>
          <w:b/>
          <w:lang w:val="ar-SA" w:eastAsia="zh-TW" w:bidi="en-GB"/>
        </w:rPr>
      </w:pPr>
      <w:r w:rsidRPr="00F62B95">
        <w:rPr>
          <w:b/>
          <w:bCs/>
          <w:rtl/>
        </w:rPr>
        <w:t>التعديل</w:t>
      </w:r>
    </w:p>
    <w:p w14:paraId="1F11D77F" w14:textId="41E1765E" w:rsidR="00117695" w:rsidRPr="00F62B95" w:rsidRDefault="00117695" w:rsidP="00117695">
      <w:pPr>
        <w:textDirection w:val="tbRlV"/>
        <w:rPr>
          <w:lang w:val="ar-SA" w:eastAsia="zh-TW" w:bidi="en-GB"/>
        </w:rPr>
      </w:pPr>
      <w:r w:rsidRPr="00F62B95">
        <w:rPr>
          <w:rtl/>
        </w:rPr>
        <w:t xml:space="preserve">يمكن </w:t>
      </w:r>
      <w:r w:rsidRPr="00F62B95">
        <w:rPr>
          <w:b/>
          <w:bCs/>
          <w:i/>
          <w:iCs/>
          <w:rtl/>
        </w:rPr>
        <w:t xml:space="preserve">تعديل </w:t>
      </w:r>
      <w:r w:rsidR="00BB400D">
        <w:rPr>
          <w:rFonts w:hint="cs"/>
          <w:rtl/>
        </w:rPr>
        <w:t>(</w:t>
      </w:r>
      <w:r w:rsidR="00BB400D">
        <w:t>MOD</w:t>
      </w:r>
      <w:r w:rsidRPr="00F62B95">
        <w:rPr>
          <w:rtl/>
        </w:rPr>
        <w:t xml:space="preserve"> أو (</w:t>
      </w:r>
      <w:r w:rsidRPr="00F62B95">
        <w:t>MOD</w:t>
      </w:r>
      <w:r w:rsidRPr="00F62B95">
        <w:rPr>
          <w:rtl/>
        </w:rPr>
        <w:t>)) قرار/مقرر لتحديثه، أو تحسينه، أو لأغراض الإدارة الداخلية، من خلال</w:t>
      </w:r>
      <w:r w:rsidRPr="00F62B95">
        <w:t>:</w:t>
      </w:r>
    </w:p>
    <w:p w14:paraId="0A84E18E" w14:textId="40E32C5B" w:rsidR="00117695" w:rsidRPr="00F62B95" w:rsidRDefault="00117695" w:rsidP="00515971">
      <w:pPr>
        <w:pStyle w:val="enumlev1"/>
        <w:rPr>
          <w:lang w:val="ar-SA" w:eastAsia="zh-TW" w:bidi="en-GB"/>
        </w:rPr>
      </w:pPr>
      <w:r w:rsidRPr="00F62B95">
        <w:rPr>
          <w:rtl/>
        </w:rPr>
        <w:tab/>
      </w:r>
      <w:r w:rsidRPr="00F62B95">
        <w:rPr>
          <w:b/>
          <w:bCs/>
          <w:i/>
          <w:iCs/>
          <w:rtl/>
        </w:rPr>
        <w:t xml:space="preserve">تبسيطه </w:t>
      </w:r>
      <w:r w:rsidRPr="00F62B95">
        <w:rPr>
          <w:rtl/>
        </w:rPr>
        <w:t>حيثما كان ذلك ممكناً أو معقولاً مع الاحتفاظ بالمعلومات الأساسية الكافية، وجعل النصوص أكثر إيجازاً وبساطة وأسهل في الفهم، وتتطلب جهودا</w:t>
      </w:r>
      <w:r w:rsidR="00BB400D">
        <w:rPr>
          <w:rFonts w:hint="cs"/>
          <w:rtl/>
        </w:rPr>
        <w:t>ً</w:t>
      </w:r>
      <w:r w:rsidRPr="00F62B95">
        <w:rPr>
          <w:rtl/>
        </w:rPr>
        <w:t xml:space="preserve"> أقل للتحديث والصيانة بانتظام، ومع مراعاة تكاليف الترجمة لأن جميع القرارات/المقررات تُنشر باللغات الرسمية الست (6) للاتحاد؛ أو</w:t>
      </w:r>
    </w:p>
    <w:p w14:paraId="26CDC3D4" w14:textId="77777777" w:rsidR="00117695" w:rsidRPr="00F62B95" w:rsidRDefault="00117695" w:rsidP="00515971">
      <w:pPr>
        <w:pStyle w:val="enumlev1"/>
        <w:rPr>
          <w:lang w:val="ar-SA" w:eastAsia="zh-TW" w:bidi="en-GB"/>
        </w:rPr>
      </w:pPr>
      <w:r w:rsidRPr="00F62B95">
        <w:rPr>
          <w:rtl/>
        </w:rPr>
        <w:tab/>
      </w:r>
      <w:r w:rsidRPr="00F62B95">
        <w:rPr>
          <w:b/>
          <w:bCs/>
          <w:i/>
          <w:iCs/>
          <w:rtl/>
        </w:rPr>
        <w:t xml:space="preserve">مواءمته </w:t>
      </w:r>
      <w:r w:rsidRPr="00F62B95">
        <w:rPr>
          <w:rtl/>
        </w:rPr>
        <w:t>مع القرارات/المقررات الأخرى عند الإشارة إلى مواضيع عامة من قبيل: إمكانية النفاذ، والمساواة بين الجنسين، والاستدامة، والشباب، وما إلى ذلك، بما في ذلك قرارات المجلس أو قرارات مؤتمرات الاتحاد وجمعياته العالمية الأخرى، التي ستكون محور التركيز، وتجنب الازدواجية أو التكرار؛ أو</w:t>
      </w:r>
    </w:p>
    <w:p w14:paraId="3EDE5B2E" w14:textId="02839CFC" w:rsidR="00117695" w:rsidRPr="00515971" w:rsidRDefault="00117695" w:rsidP="00515971">
      <w:pPr>
        <w:pStyle w:val="enumlev1"/>
        <w:rPr>
          <w:spacing w:val="-2"/>
          <w:lang w:val="ar-SA" w:eastAsia="zh-TW" w:bidi="en-GB"/>
        </w:rPr>
      </w:pPr>
      <w:r w:rsidRPr="00F62B95">
        <w:rPr>
          <w:rtl/>
        </w:rPr>
        <w:tab/>
      </w:r>
      <w:r w:rsidRPr="00515971">
        <w:rPr>
          <w:b/>
          <w:bCs/>
          <w:spacing w:val="-2"/>
          <w:rtl/>
        </w:rPr>
        <w:t xml:space="preserve">دمجه </w:t>
      </w:r>
      <w:r w:rsidRPr="00515971">
        <w:rPr>
          <w:spacing w:val="-2"/>
          <w:rtl/>
        </w:rPr>
        <w:t>فيما يتعلق بالقرارات/المقررات المترابطة مواضيعها، أو القرارات/المقررات من نفس الفئة/الموضوع، للحد من التكرار أو التداخل، بما في ذلك تجميع المعلومات المتناثرة الموجودة في</w:t>
      </w:r>
      <w:r w:rsidR="00515971">
        <w:rPr>
          <w:spacing w:val="-2"/>
        </w:rPr>
        <w:t> </w:t>
      </w:r>
      <w:r w:rsidRPr="00515971">
        <w:rPr>
          <w:spacing w:val="-2"/>
          <w:rtl/>
        </w:rPr>
        <w:t>قرارات/مقررات مختلفة في قرار/مقرر واحد؛</w:t>
      </w:r>
    </w:p>
    <w:p w14:paraId="735CD245" w14:textId="77777777" w:rsidR="00117695" w:rsidRPr="00F62B95" w:rsidRDefault="00117695" w:rsidP="00117695">
      <w:pPr>
        <w:spacing w:before="86"/>
        <w:ind w:left="567" w:hanging="567"/>
        <w:textDirection w:val="tbRlV"/>
        <w:rPr>
          <w:lang w:val="ar-SA" w:eastAsia="zh-TW" w:bidi="en-GB"/>
        </w:rPr>
      </w:pPr>
      <w:r w:rsidRPr="00F62B95">
        <w:rPr>
          <w:rtl/>
        </w:rPr>
        <w:t>أو</w:t>
      </w:r>
    </w:p>
    <w:p w14:paraId="4AFB83BF" w14:textId="77777777" w:rsidR="00117695" w:rsidRPr="00BB400D" w:rsidRDefault="00117695" w:rsidP="00BB400D">
      <w:pPr>
        <w:rPr>
          <w:b/>
          <w:bCs/>
          <w:lang w:val="ar-SA" w:eastAsia="zh-TW" w:bidi="en-GB"/>
        </w:rPr>
      </w:pPr>
      <w:r w:rsidRPr="00BB400D">
        <w:rPr>
          <w:b/>
          <w:bCs/>
          <w:rtl/>
        </w:rPr>
        <w:t>الإلغاء</w:t>
      </w:r>
    </w:p>
    <w:p w14:paraId="2DFA18C5" w14:textId="0533F775" w:rsidR="00117695" w:rsidRPr="00F62B95" w:rsidRDefault="00117695" w:rsidP="00117695">
      <w:pPr>
        <w:textDirection w:val="tbRlV"/>
        <w:rPr>
          <w:spacing w:val="-2"/>
          <w:lang w:val="ar-SA" w:eastAsia="zh-TW" w:bidi="en-GB"/>
        </w:rPr>
      </w:pPr>
      <w:r w:rsidRPr="00F62B95">
        <w:rPr>
          <w:rtl/>
        </w:rPr>
        <w:t xml:space="preserve">يمكن </w:t>
      </w:r>
      <w:r w:rsidRPr="00F62B95">
        <w:rPr>
          <w:b/>
          <w:bCs/>
          <w:i/>
          <w:iCs/>
          <w:rtl/>
        </w:rPr>
        <w:t>إلغاء</w:t>
      </w:r>
      <w:r w:rsidRPr="00F62B95">
        <w:rPr>
          <w:rtl/>
        </w:rPr>
        <w:t> (</w:t>
      </w:r>
      <w:r w:rsidRPr="00F62B95">
        <w:t>SUP</w:t>
      </w:r>
      <w:r w:rsidRPr="00F62B95">
        <w:rPr>
          <w:rtl/>
        </w:rPr>
        <w:t xml:space="preserve"> أو </w:t>
      </w:r>
      <w:r w:rsidRPr="00F62B95">
        <w:t>SUP</w:t>
      </w:r>
      <w:r w:rsidR="00076E3F">
        <w:t>*</w:t>
      </w:r>
      <w:r w:rsidRPr="00F62B95">
        <w:rPr>
          <w:rtl/>
        </w:rPr>
        <w:t>) قرار/مقرر إذا تبين أنه متقادم من حيث التوقيت أو الأحداث الرئيسية، أو أنه نُفِّذ دون ضرورة اتخاذ أي إجراء آخر بشأنه، أو لم يُبلّ</w:t>
      </w:r>
      <w:r>
        <w:rPr>
          <w:rtl/>
        </w:rPr>
        <w:t>َ</w:t>
      </w:r>
      <w:r w:rsidRPr="00F62B95">
        <w:rPr>
          <w:rtl/>
        </w:rPr>
        <w:t>غ عن أي إجراء بشأنه. ويمكن التحقق من آلية الإبلاغ عن هذا الإجراء الأخير باستخدام المنصة الإلكترونية المصممة للإبلاغ عن تنفيذ قرارات مؤتمر المندوبين المفوضين، المرتبطة بالتقرير المتعلق بتنفيذ الخطة الاستراتيجية للاتحاد وأنشطة الاتحاد (الوثيقة 35 للمجلس).</w:t>
      </w:r>
    </w:p>
    <w:p w14:paraId="6E9503FF" w14:textId="77777777" w:rsidR="00117695" w:rsidRPr="00F62B95" w:rsidRDefault="00117695" w:rsidP="00117695">
      <w:pPr>
        <w:textDirection w:val="tbRlV"/>
        <w:rPr>
          <w:lang w:val="ar-SA" w:eastAsia="zh-TW" w:bidi="en-GB"/>
        </w:rPr>
      </w:pPr>
      <w:r w:rsidRPr="00F62B95">
        <w:rPr>
          <w:rtl/>
        </w:rPr>
        <w:t>وبالإضافة إلى ذلك، ينبغي للدول الأعضاء عند إعدادها مساهمات لمؤتمر المندوبين المفوضين،</w:t>
      </w:r>
      <w:r>
        <w:rPr>
          <w:rtl/>
        </w:rPr>
        <w:t xml:space="preserve"> </w:t>
      </w:r>
      <w:r w:rsidRPr="00F62B95">
        <w:rPr>
          <w:rtl/>
        </w:rPr>
        <w:t>أن تقوم أولاً، قبل اقتراح قرارات/مقررات جديدة لمناقشتها والموافقة عليها، باستعراض القرارات القائمة لتقييم مدى إمكانية تحسينها. ويمكن أيضاً النظر في إدراج مواضيع جديدة في القرارات أو المقررات القائمة.</w:t>
      </w:r>
    </w:p>
    <w:p w14:paraId="65C743F2" w14:textId="4752033A" w:rsidR="00117695" w:rsidRPr="00F62B95" w:rsidRDefault="00117695" w:rsidP="00117695">
      <w:pPr>
        <w:textDirection w:val="tbRlV"/>
        <w:rPr>
          <w:lang w:val="ar-SA" w:eastAsia="zh-TW" w:bidi="en-GB"/>
        </w:rPr>
      </w:pPr>
      <w:r w:rsidRPr="00F62B95">
        <w:rPr>
          <w:rtl/>
        </w:rPr>
        <w:t>وعلاوة</w:t>
      </w:r>
      <w:r w:rsidR="008250C4">
        <w:rPr>
          <w:rFonts w:hint="cs"/>
          <w:rtl/>
        </w:rPr>
        <w:t>ً</w:t>
      </w:r>
      <w:r w:rsidRPr="00F62B95">
        <w:rPr>
          <w:rtl/>
        </w:rPr>
        <w:t xml:space="preserve"> على ذلك، لا تزال خيارات أخرى متاحة عند صياغة قرارات/مقررات مؤتمر المندوبين المفوضين. ويمكن الاطلاع </w:t>
      </w:r>
      <w:hyperlink r:id="rId12" w:history="1">
        <w:r w:rsidRPr="00903D57">
          <w:rPr>
            <w:rStyle w:val="Hyperlink"/>
            <w:rFonts w:ascii="Dubai" w:eastAsiaTheme="minorEastAsia" w:hAnsi="Dubai" w:cs="Dubai"/>
            <w:noProof w:val="0"/>
            <w:sz w:val="22"/>
            <w:rtl/>
            <w:lang w:val="en-US" w:eastAsia="zh-CN"/>
          </w:rPr>
          <w:t>هنا</w:t>
        </w:r>
      </w:hyperlink>
      <w:r w:rsidRPr="00F62B95">
        <w:rPr>
          <w:rtl/>
        </w:rPr>
        <w:t xml:space="preserve"> على قائمة بالرموز التي سيتم استخدامها.</w:t>
      </w:r>
    </w:p>
    <w:p w14:paraId="288693ED" w14:textId="28A9FBA0" w:rsidR="00117695" w:rsidRPr="00F62B95" w:rsidRDefault="00117695" w:rsidP="00117695">
      <w:pPr>
        <w:textDirection w:val="tbRlV"/>
        <w:rPr>
          <w:lang w:val="ar-SA" w:eastAsia="zh-TW" w:bidi="en-GB"/>
        </w:rPr>
      </w:pPr>
      <w:r w:rsidRPr="00F62B95">
        <w:rPr>
          <w:rtl/>
        </w:rPr>
        <w:t>وبالإضافة إلى ذلك، يمكن أن تنظر الدول الأعضاء، عند استعراض القرارات والمقررات، في ما يلي</w:t>
      </w:r>
      <w:r w:rsidRPr="00F62B95">
        <w:t>:</w:t>
      </w:r>
    </w:p>
    <w:p w14:paraId="4DE5ABFC" w14:textId="77777777" w:rsidR="00117695" w:rsidRPr="00F62B95" w:rsidRDefault="00117695" w:rsidP="00903D57">
      <w:pPr>
        <w:pStyle w:val="enumlev1"/>
        <w:rPr>
          <w:lang w:val="ar-SA" w:eastAsia="zh-TW" w:bidi="en-GB"/>
        </w:rPr>
      </w:pPr>
      <w:r w:rsidRPr="00F62B95">
        <w:rPr>
          <w:rtl/>
        </w:rPr>
        <w:t>1</w:t>
      </w:r>
      <w:r w:rsidRPr="00F62B95">
        <w:rPr>
          <w:rtl/>
        </w:rPr>
        <w:tab/>
        <w:t>استعراض ودراسة القرارات/المقررات السارية، بما يشمل التقارير وحالة تنفيذها.</w:t>
      </w:r>
    </w:p>
    <w:p w14:paraId="7F03C7EC" w14:textId="77777777" w:rsidR="00117695" w:rsidRPr="00F62B95" w:rsidRDefault="00117695" w:rsidP="00903D57">
      <w:pPr>
        <w:pStyle w:val="enumlev1"/>
        <w:rPr>
          <w:lang w:val="ar-SA" w:eastAsia="zh-TW" w:bidi="en-GB"/>
        </w:rPr>
      </w:pPr>
      <w:r w:rsidRPr="00F62B95">
        <w:rPr>
          <w:rtl/>
        </w:rPr>
        <w:t>2</w:t>
      </w:r>
      <w:r w:rsidRPr="00F62B95">
        <w:rPr>
          <w:rtl/>
        </w:rPr>
        <w:tab/>
        <w:t>دراسة القرارات/المقررات بغية تجنب تكرار النصوص وازدواجيتها.</w:t>
      </w:r>
    </w:p>
    <w:p w14:paraId="4F199FB8" w14:textId="77777777" w:rsidR="00117695" w:rsidRPr="00F62B95" w:rsidRDefault="00117695" w:rsidP="00903D57">
      <w:pPr>
        <w:pStyle w:val="enumlev1"/>
        <w:rPr>
          <w:lang w:val="ar-SA" w:eastAsia="zh-TW" w:bidi="en-GB"/>
        </w:rPr>
      </w:pPr>
      <w:r w:rsidRPr="00F62B95">
        <w:rPr>
          <w:rtl/>
        </w:rPr>
        <w:lastRenderedPageBreak/>
        <w:t>3</w:t>
      </w:r>
      <w:r w:rsidRPr="00F62B95">
        <w:rPr>
          <w:rtl/>
        </w:rPr>
        <w:tab/>
      </w:r>
      <w:r w:rsidRPr="00903D57">
        <w:rPr>
          <w:spacing w:val="-6"/>
          <w:rtl/>
        </w:rPr>
        <w:t xml:space="preserve">جعل القرارات/المقررات موجزة ومركزة وقابلة للتنفيذ وفعالة ومواكبة لتطور تكنولوجيا المعلومات والاتصالات </w:t>
      </w:r>
      <w:r w:rsidRPr="00903D57">
        <w:rPr>
          <w:spacing w:val="-6"/>
        </w:rPr>
        <w:t>ICT)</w:t>
      </w:r>
      <w:r w:rsidRPr="00903D57">
        <w:rPr>
          <w:spacing w:val="-6"/>
          <w:rtl/>
        </w:rPr>
        <w:t>).</w:t>
      </w:r>
    </w:p>
    <w:p w14:paraId="251140C5" w14:textId="77777777" w:rsidR="00117695" w:rsidRPr="00F62B95" w:rsidRDefault="00117695" w:rsidP="00903D57">
      <w:pPr>
        <w:pStyle w:val="enumlev1"/>
        <w:rPr>
          <w:lang w:val="ar-SA" w:eastAsia="zh-TW" w:bidi="en-GB"/>
        </w:rPr>
      </w:pPr>
      <w:r w:rsidRPr="00F62B95">
        <w:rPr>
          <w:rtl/>
        </w:rPr>
        <w:t>4</w:t>
      </w:r>
      <w:r w:rsidRPr="00F62B95">
        <w:rPr>
          <w:rtl/>
        </w:rPr>
        <w:tab/>
        <w:t>تطبيق المبادئ التالية:</w:t>
      </w:r>
    </w:p>
    <w:p w14:paraId="21EE80C3" w14:textId="4A820974" w:rsidR="00117695" w:rsidRPr="00F62B95" w:rsidRDefault="00180B0E" w:rsidP="00903D57">
      <w:pPr>
        <w:pStyle w:val="enumlev2"/>
        <w:rPr>
          <w:lang w:val="ar-SA" w:eastAsia="zh-TW" w:bidi="en-GB"/>
        </w:rPr>
      </w:pPr>
      <w:r>
        <w:rPr>
          <w:rFonts w:hint="eastAsia"/>
          <w:rtl/>
          <w:lang w:bidi="ar-EG"/>
        </w:rPr>
        <w:t> </w:t>
      </w:r>
      <w:r w:rsidR="00117695" w:rsidRPr="00F62B95">
        <w:rPr>
          <w:rtl/>
        </w:rPr>
        <w:t>أ</w:t>
      </w:r>
      <w:r>
        <w:rPr>
          <w:rFonts w:hint="cs"/>
          <w:rtl/>
        </w:rPr>
        <w:t> </w:t>
      </w:r>
      <w:r w:rsidR="00117695" w:rsidRPr="00F62B95">
        <w:rPr>
          <w:rtl/>
        </w:rPr>
        <w:t>)</w:t>
      </w:r>
      <w:r w:rsidR="00117695" w:rsidRPr="00F62B95">
        <w:rPr>
          <w:rtl/>
        </w:rPr>
        <w:tab/>
        <w:t>التماسك والاتساق: هل يتسق القرار/المقرر مع رسالة الاتحاد ورؤيته؛</w:t>
      </w:r>
    </w:p>
    <w:p w14:paraId="55CE7F59" w14:textId="1DE4A9B3" w:rsidR="00117695" w:rsidRPr="00F62B95" w:rsidRDefault="00117695" w:rsidP="00903D57">
      <w:pPr>
        <w:pStyle w:val="enumlev2"/>
        <w:rPr>
          <w:lang w:val="ar-SA" w:eastAsia="zh-TW" w:bidi="en-GB"/>
        </w:rPr>
      </w:pPr>
      <w:r w:rsidRPr="00F62B95">
        <w:rPr>
          <w:rtl/>
        </w:rPr>
        <w:t>ب)</w:t>
      </w:r>
      <w:r w:rsidRPr="00F62B95">
        <w:rPr>
          <w:rtl/>
        </w:rPr>
        <w:tab/>
      </w:r>
      <w:r w:rsidRPr="00903D57">
        <w:rPr>
          <w:spacing w:val="-2"/>
          <w:rtl/>
        </w:rPr>
        <w:t>التداخل والازدواجية: هل أهداف القرار/المقرر واردة بالفعل في الخطة الاستراتيجية للاتحاد أو</w:t>
      </w:r>
      <w:r w:rsidR="00180B0E">
        <w:rPr>
          <w:rFonts w:hint="cs"/>
          <w:spacing w:val="-2"/>
          <w:rtl/>
        </w:rPr>
        <w:t> </w:t>
      </w:r>
      <w:r w:rsidRPr="00903D57">
        <w:rPr>
          <w:spacing w:val="-2"/>
          <w:rtl/>
        </w:rPr>
        <w:t>في</w:t>
      </w:r>
      <w:r w:rsidR="00903D57">
        <w:rPr>
          <w:spacing w:val="-2"/>
        </w:rPr>
        <w:t> </w:t>
      </w:r>
      <w:r w:rsidRPr="00903D57">
        <w:rPr>
          <w:spacing w:val="-2"/>
          <w:rtl/>
        </w:rPr>
        <w:t>قرارات/مقررات أخرى لمؤتمر المندوبين المفوضين؛</w:t>
      </w:r>
    </w:p>
    <w:p w14:paraId="6DF8503F" w14:textId="77777777" w:rsidR="00117695" w:rsidRPr="00F62B95" w:rsidRDefault="00117695" w:rsidP="00903D57">
      <w:pPr>
        <w:pStyle w:val="enumlev2"/>
        <w:rPr>
          <w:lang w:val="ar-SA" w:eastAsia="zh-TW" w:bidi="en-GB"/>
        </w:rPr>
      </w:pPr>
      <w:r w:rsidRPr="00F62B95">
        <w:rPr>
          <w:rtl/>
        </w:rPr>
        <w:t>ج)</w:t>
      </w:r>
      <w:r w:rsidRPr="00F62B95">
        <w:rPr>
          <w:rtl/>
        </w:rPr>
        <w:tab/>
        <w:t>الضرورة: هل القرار/المقرر ضروري كقرار قائم بذاته؛ وهل اكتمل بالفعل تنفيذ القرار؛ وهل ينص القرار على أي إجراء يُعتبر غير قابل للتنفيذ؛</w:t>
      </w:r>
    </w:p>
    <w:p w14:paraId="6A2B75B3" w14:textId="2A2C692B" w:rsidR="00117695" w:rsidRPr="00F62B95" w:rsidRDefault="00117695" w:rsidP="00903D57">
      <w:pPr>
        <w:pStyle w:val="enumlev2"/>
        <w:rPr>
          <w:lang w:val="ar-SA" w:eastAsia="zh-TW" w:bidi="en-GB"/>
        </w:rPr>
      </w:pPr>
      <w:r w:rsidRPr="00F62B95">
        <w:rPr>
          <w:rtl/>
        </w:rPr>
        <w:t>د</w:t>
      </w:r>
      <w:r w:rsidR="00180B0E">
        <w:rPr>
          <w:rFonts w:hint="cs"/>
          <w:rtl/>
        </w:rPr>
        <w:t> </w:t>
      </w:r>
      <w:r w:rsidRPr="00F62B95">
        <w:rPr>
          <w:rtl/>
        </w:rPr>
        <w:t>)</w:t>
      </w:r>
      <w:r w:rsidRPr="00F62B95">
        <w:rPr>
          <w:rtl/>
        </w:rPr>
        <w:tab/>
        <w:t>التوجه نحو العمل والمساءلة: هل يدعو القرار/المقرر إلى اتخاذ إجراء محدد أو تحقيق ناتج محدد؛ وهل ينص القرار/المقرر على نهج واضح للمساءلة أو جهة فاعلة مسؤولة.</w:t>
      </w:r>
    </w:p>
    <w:p w14:paraId="204F34C3" w14:textId="56B44D65" w:rsidR="00117695" w:rsidRPr="00180B0E" w:rsidRDefault="00117695" w:rsidP="00903D57">
      <w:pPr>
        <w:pStyle w:val="enumlev1"/>
        <w:rPr>
          <w:color w:val="2F2F2F"/>
          <w:lang w:val="ar-SA" w:eastAsia="zh-TW" w:bidi="en-GB"/>
        </w:rPr>
      </w:pPr>
      <w:r w:rsidRPr="00F62B95">
        <w:rPr>
          <w:rtl/>
        </w:rPr>
        <w:t>5</w:t>
      </w:r>
      <w:r w:rsidRPr="00F62B95">
        <w:rPr>
          <w:rtl/>
        </w:rPr>
        <w:tab/>
        <w:t>ينبغي معالجة جميع المواضيع المتشابهة أو المترابطة في قرار/مقرر واحد قدر الإمكان ("مبدأ الاستقلالية"). وبوجه عام، يفضل تبسيط القرارات/المقررات السارية بدلاً من إضافة قرار/مقرر جديد.</w:t>
      </w:r>
    </w:p>
    <w:p w14:paraId="19A7E36D" w14:textId="77777777" w:rsidR="00117695" w:rsidRPr="00F62B95" w:rsidRDefault="00117695" w:rsidP="00903D57">
      <w:pPr>
        <w:pStyle w:val="enumlev1"/>
        <w:rPr>
          <w:lang w:val="ar-SA" w:eastAsia="zh-TW" w:bidi="en-GB"/>
        </w:rPr>
      </w:pPr>
      <w:r w:rsidRPr="00F62B95">
        <w:rPr>
          <w:rtl/>
        </w:rPr>
        <w:t>6</w:t>
      </w:r>
      <w:r w:rsidRPr="00F62B95">
        <w:rPr>
          <w:rtl/>
        </w:rPr>
        <w:tab/>
        <w:t>إذا لم تدع الضرورة إلى إدخال أي تعديل على جوهر القرار/المقرر، لن تُدخَل أي تعديلات صياغية (من قبيل تاريخ المؤتمر أو مكان انعقاده) على القرار/المقرر، أي ينبغي أن يظل كما هو، بدون تغيير</w:t>
      </w:r>
      <w:r>
        <w:rPr>
          <w:rtl/>
        </w:rPr>
        <w:t xml:space="preserve"> (</w:t>
      </w:r>
      <w:r w:rsidRPr="00F62B95">
        <w:t>NOC</w:t>
      </w:r>
      <w:r w:rsidRPr="00F62B95">
        <w:rPr>
          <w:rtl/>
        </w:rPr>
        <w:t xml:space="preserve"> و</w:t>
      </w:r>
      <w:r w:rsidRPr="00F62B95">
        <w:rPr>
          <w:u w:val="single"/>
        </w:rPr>
        <w:t>NOC</w:t>
      </w:r>
      <w:r w:rsidRPr="00F62B95">
        <w:rPr>
          <w:rtl/>
        </w:rPr>
        <w:t>).</w:t>
      </w:r>
    </w:p>
    <w:p w14:paraId="58CC841E" w14:textId="77777777" w:rsidR="00117695" w:rsidRPr="00F62B95" w:rsidRDefault="00117695" w:rsidP="00903D57">
      <w:pPr>
        <w:pStyle w:val="enumlev1"/>
        <w:rPr>
          <w:lang w:val="ar-SA" w:eastAsia="zh-TW" w:bidi="en-GB"/>
        </w:rPr>
      </w:pPr>
      <w:r w:rsidRPr="00F62B95">
        <w:rPr>
          <w:rtl/>
        </w:rPr>
        <w:t>8</w:t>
      </w:r>
      <w:r w:rsidRPr="00F62B95">
        <w:rPr>
          <w:rtl/>
        </w:rPr>
        <w:tab/>
        <w:t>ينبغي إبقاء التعديلات الصياغية عند أدنى حد ممكن أو الاكتفاء بما يكون ضرورياً حتماً لتنفيذها بكفاءة.</w:t>
      </w:r>
    </w:p>
    <w:p w14:paraId="38F56397" w14:textId="77777777" w:rsidR="00117695" w:rsidRPr="00F62B95" w:rsidRDefault="00117695" w:rsidP="00903D57">
      <w:pPr>
        <w:pStyle w:val="enumlev1"/>
        <w:rPr>
          <w:lang w:val="ar-SA" w:eastAsia="zh-TW" w:bidi="en-GB"/>
        </w:rPr>
      </w:pPr>
      <w:r w:rsidRPr="00F62B95">
        <w:rPr>
          <w:rtl/>
        </w:rPr>
        <w:t>9</w:t>
      </w:r>
      <w:r w:rsidRPr="00F62B95">
        <w:rPr>
          <w:rtl/>
        </w:rPr>
        <w:tab/>
        <w:t>إذا اقتضى الأمر إدخال تحديثات صياغية فقط على قرار/مقرر، يمكن أن يعهد مؤتمر المندوبين المفوضين بالتعديلات الصياغية اللازمة إلى لجنة الصياغة قبل نشر القرار/المقرر.</w:t>
      </w:r>
    </w:p>
    <w:p w14:paraId="38FA78E3" w14:textId="77777777" w:rsidR="00117695" w:rsidRPr="00F62B95" w:rsidRDefault="00117695" w:rsidP="00903D57">
      <w:pPr>
        <w:pStyle w:val="enumlev1"/>
        <w:rPr>
          <w:lang w:val="ar-SA" w:eastAsia="zh-TW" w:bidi="en-GB"/>
        </w:rPr>
      </w:pPr>
      <w:r w:rsidRPr="00F62B95">
        <w:rPr>
          <w:rtl/>
        </w:rPr>
        <w:t>10</w:t>
      </w:r>
      <w:r w:rsidRPr="00F62B95">
        <w:rPr>
          <w:rtl/>
        </w:rPr>
        <w:tab/>
        <w:t>يوصى باستخدام الاجتماعات التحضيرية الإقليمية، واجتماعات التنسيق الأقاليمية حيثما أمكن، لاستعراض قرارات ومقررات مؤتمر المندوبين المفوضين في إطار التحضير للمؤتمر. ويمكن أن تقدم الأمانة قائمة بالقرارات والمقررات المقترح استعراضها لكي تواصل الدول الأعضاء النظر فيها.</w:t>
      </w:r>
    </w:p>
    <w:p w14:paraId="7BFC7EEB" w14:textId="77777777" w:rsidR="00117695" w:rsidRPr="00F62B95" w:rsidRDefault="00117695" w:rsidP="00117695">
      <w:pPr>
        <w:textDirection w:val="tbRlV"/>
        <w:rPr>
          <w:lang w:val="ar-SA" w:eastAsia="zh-TW" w:bidi="en-GB"/>
        </w:rPr>
      </w:pPr>
      <w:r w:rsidRPr="00F62B95">
        <w:rPr>
          <w:rtl/>
        </w:rPr>
        <w:t>وإذا اعتُبر أن قراراً/مقرراً لمؤتمر المندوبين المفوضين يحتاج إلى تعديل، يمكن للدول الأعضاء، عند صياغة التعديل، اتباع المبادئ التوجيهية التالية:</w:t>
      </w:r>
    </w:p>
    <w:p w14:paraId="209DF123" w14:textId="4C7562CA" w:rsidR="00117695" w:rsidRPr="00F62B95" w:rsidRDefault="00117695" w:rsidP="00903D57">
      <w:pPr>
        <w:pStyle w:val="enumlev1"/>
        <w:rPr>
          <w:lang w:val="ar-SA" w:eastAsia="zh-TW" w:bidi="en-GB"/>
        </w:rPr>
      </w:pPr>
      <w:r w:rsidRPr="00F62B95">
        <w:rPr>
          <w:rtl/>
        </w:rPr>
        <w:t>1</w:t>
      </w:r>
      <w:r w:rsidRPr="00F62B95">
        <w:rPr>
          <w:rtl/>
        </w:rPr>
        <w:tab/>
        <w:t>يفضَّل ألا يتجاوز القرار/المقرر أربع صفحات بمقاس A4.</w:t>
      </w:r>
    </w:p>
    <w:p w14:paraId="6638979D" w14:textId="77777777" w:rsidR="00117695" w:rsidRPr="00F62B95" w:rsidRDefault="00117695" w:rsidP="00903D57">
      <w:pPr>
        <w:pStyle w:val="enumlev1"/>
        <w:rPr>
          <w:lang w:val="ar-SA" w:eastAsia="zh-TW" w:bidi="en-GB"/>
        </w:rPr>
      </w:pPr>
      <w:r w:rsidRPr="00F62B95">
        <w:rPr>
          <w:rtl/>
        </w:rPr>
        <w:t>2</w:t>
      </w:r>
      <w:r w:rsidRPr="00F62B95">
        <w:rPr>
          <w:rtl/>
        </w:rPr>
        <w:tab/>
        <w:t xml:space="preserve">ينبغي أن يكون جزء "الديباجة" من القرار/المقرر مقتضباً قدر الإمكان، ويلخص الأسس المنطقية الرئيسية للمسوغات. ويفضَّل ألا يتجاوز جزء "الديباجة" صفحة واحدة بمقاس A4. وفي حين يمكن تقديم أي تفسيرات ومسوغات إضافية مثل سرد مفصل للأحداث وقائمة </w:t>
      </w:r>
      <w:r w:rsidRPr="00180B0E">
        <w:rPr>
          <w:rtl/>
        </w:rPr>
        <w:t>البيبليوغرافيا</w:t>
      </w:r>
      <w:r w:rsidRPr="00F62B95">
        <w:rPr>
          <w:rtl/>
        </w:rPr>
        <w:t xml:space="preserve"> وسجل الأنشطة والإنجازات كمعلومات أساسية في المساهمة، ينبغي تجنب إدراجها في النص النهائي المعتمد للقرار/المقرر.</w:t>
      </w:r>
    </w:p>
    <w:p w14:paraId="241D6250" w14:textId="171B86C7" w:rsidR="00117695" w:rsidRPr="00F62B95" w:rsidRDefault="00117695" w:rsidP="00903D57">
      <w:pPr>
        <w:pStyle w:val="enumlev1"/>
        <w:rPr>
          <w:lang w:val="ar-SA" w:eastAsia="zh-TW" w:bidi="en-GB"/>
        </w:rPr>
      </w:pPr>
      <w:r w:rsidRPr="00F62B95">
        <w:rPr>
          <w:rtl/>
        </w:rPr>
        <w:t>3</w:t>
      </w:r>
      <w:r w:rsidRPr="00F62B95">
        <w:rPr>
          <w:rtl/>
        </w:rPr>
        <w:tab/>
        <w:t>ينبغي إبقاء الإحالات المرجعية إلى قرارات الاتحاد الأخرى عند أدنى حد ممكن ("مبدأ الحد الأدنى للإحال</w:t>
      </w:r>
      <w:r w:rsidR="00461EBB">
        <w:rPr>
          <w:rFonts w:hint="cs"/>
          <w:rtl/>
        </w:rPr>
        <w:t>ة</w:t>
      </w:r>
      <w:r w:rsidRPr="00F62B95">
        <w:rPr>
          <w:rtl/>
        </w:rPr>
        <w:t xml:space="preserve"> المرجعية")، مع تحقيق التوازن لتجنب إدراج المواد المنسوخة من صكوك أخرى.</w:t>
      </w:r>
    </w:p>
    <w:p w14:paraId="16516FB5" w14:textId="1DBBCDB9" w:rsidR="00117695" w:rsidRPr="00F62B95" w:rsidRDefault="00117695" w:rsidP="00903D57">
      <w:pPr>
        <w:pStyle w:val="enumlev1"/>
        <w:rPr>
          <w:lang w:val="ar-SA" w:eastAsia="zh-TW" w:bidi="en-GB"/>
        </w:rPr>
      </w:pPr>
      <w:r w:rsidRPr="00F62B95">
        <w:rPr>
          <w:rtl/>
        </w:rPr>
        <w:t>4</w:t>
      </w:r>
      <w:r w:rsidRPr="00F62B95">
        <w:rPr>
          <w:rtl/>
        </w:rPr>
        <w:tab/>
        <w:t>عند الإشارة إلى قرار/مقرر بشأن الموضوع نفسه أو موضوع ذي صلة، ينبغي التقليل من أي مسوغات أو</w:t>
      </w:r>
      <w:r w:rsidR="008250C4">
        <w:rPr>
          <w:rFonts w:hint="cs"/>
          <w:rtl/>
        </w:rPr>
        <w:t> </w:t>
      </w:r>
      <w:r w:rsidRPr="00F62B95">
        <w:rPr>
          <w:rtl/>
        </w:rPr>
        <w:t>أسس منطقية متطابقة من حيث النص، في حين يمكن إضافة مسوغات أو منطقية إضافية محددة إلى هذا القرار/المقرر ("مبدأ عدم التكرار").</w:t>
      </w:r>
    </w:p>
    <w:p w14:paraId="57131EFE" w14:textId="38C56B2C" w:rsidR="00117695" w:rsidRPr="00F62B95" w:rsidRDefault="00461EBB" w:rsidP="00903D57">
      <w:pPr>
        <w:pStyle w:val="enumlev1"/>
        <w:rPr>
          <w:lang w:val="ar-SA" w:eastAsia="zh-TW" w:bidi="en-GB"/>
        </w:rPr>
      </w:pPr>
      <w:r>
        <w:rPr>
          <w:rFonts w:hint="cs"/>
          <w:rtl/>
        </w:rPr>
        <w:t>5</w:t>
      </w:r>
      <w:r w:rsidR="00117695" w:rsidRPr="00F62B95">
        <w:rPr>
          <w:rtl/>
        </w:rPr>
        <w:tab/>
        <w:t>عندما تعتبر الإشارة إلى استنتاج أو ناتج حدث ما ضرورية، ينبغي أن تكون الإشارة ذات مغزى وجوهرية لتحديد أهميتها، مع تجنب مجرد ذكر الحدث في حد ذاته ("مبدأ عدم سرد الأحداث").</w:t>
      </w:r>
    </w:p>
    <w:p w14:paraId="1398E4DF" w14:textId="222717BE" w:rsidR="00117695" w:rsidRPr="00F62B95" w:rsidRDefault="00461EBB" w:rsidP="00903D57">
      <w:pPr>
        <w:pStyle w:val="enumlev1"/>
        <w:rPr>
          <w:lang w:val="ar-SA" w:eastAsia="zh-TW" w:bidi="en-GB"/>
        </w:rPr>
      </w:pPr>
      <w:r>
        <w:rPr>
          <w:rFonts w:hint="cs"/>
          <w:rtl/>
        </w:rPr>
        <w:t>6</w:t>
      </w:r>
      <w:r w:rsidR="00117695" w:rsidRPr="00F62B95">
        <w:rPr>
          <w:rtl/>
        </w:rPr>
        <w:tab/>
        <w:t xml:space="preserve">ينبغي أن تكون أي إشارة إلى الوثائق ذات مغزى وجوهرية لتحديد صلتها بغرض القرار/المقرر ("مبدأ عدم وجود قائمة </w:t>
      </w:r>
      <w:proofErr w:type="spellStart"/>
      <w:r w:rsidR="00117695" w:rsidRPr="00F62B95">
        <w:rPr>
          <w:rtl/>
        </w:rPr>
        <w:t>بال</w:t>
      </w:r>
      <w:r>
        <w:rPr>
          <w:rFonts w:hint="cs"/>
          <w:rtl/>
        </w:rPr>
        <w:t>ب</w:t>
      </w:r>
      <w:r>
        <w:rPr>
          <w:rFonts w:hint="cs"/>
          <w:rtl/>
          <w:lang w:bidi="ar-SA"/>
        </w:rPr>
        <w:t>يبليوغرافيا</w:t>
      </w:r>
      <w:proofErr w:type="spellEnd"/>
      <w:r w:rsidR="00117695" w:rsidRPr="00F62B95">
        <w:rPr>
          <w:rtl/>
        </w:rPr>
        <w:t>").</w:t>
      </w:r>
    </w:p>
    <w:p w14:paraId="6B90F662" w14:textId="6BEA03ED" w:rsidR="00117695" w:rsidRPr="00F62B95" w:rsidRDefault="00461EBB" w:rsidP="00903D57">
      <w:pPr>
        <w:pStyle w:val="enumlev1"/>
        <w:rPr>
          <w:lang w:val="ar-SA" w:eastAsia="zh-TW" w:bidi="en-GB"/>
        </w:rPr>
      </w:pPr>
      <w:r>
        <w:rPr>
          <w:rFonts w:hint="cs"/>
          <w:rtl/>
        </w:rPr>
        <w:t>7</w:t>
      </w:r>
      <w:r w:rsidR="00117695" w:rsidRPr="00F62B95">
        <w:rPr>
          <w:rtl/>
        </w:rPr>
        <w:tab/>
        <w:t>عند صياغة جزء "منطوق" قرار/مقرر، ينبغي مراعاة ما يلي:</w:t>
      </w:r>
    </w:p>
    <w:p w14:paraId="3348F05C" w14:textId="14388A8B" w:rsidR="00117695" w:rsidRPr="00F62B95" w:rsidRDefault="008250C4" w:rsidP="00903D57">
      <w:pPr>
        <w:pStyle w:val="enumlev2"/>
        <w:rPr>
          <w:lang w:val="ar-SA" w:eastAsia="zh-TW" w:bidi="en-GB"/>
        </w:rPr>
      </w:pPr>
      <w:r>
        <w:rPr>
          <w:rFonts w:hint="cs"/>
          <w:rtl/>
        </w:rPr>
        <w:t> </w:t>
      </w:r>
      <w:r w:rsidR="00117695" w:rsidRPr="00F62B95">
        <w:rPr>
          <w:rtl/>
        </w:rPr>
        <w:t>أ</w:t>
      </w:r>
      <w:r>
        <w:rPr>
          <w:rFonts w:hint="cs"/>
          <w:rtl/>
        </w:rPr>
        <w:t> </w:t>
      </w:r>
      <w:r w:rsidR="00117695" w:rsidRPr="00F62B95">
        <w:rPr>
          <w:rtl/>
        </w:rPr>
        <w:t>)</w:t>
      </w:r>
      <w:r w:rsidR="00117695" w:rsidRPr="00F62B95">
        <w:rPr>
          <w:rtl/>
        </w:rPr>
        <w:tab/>
        <w:t>استخدام فعل مناسب لتحديد إجراء قابل للتنفيذ من جانب كيان معني وفقاً للولاية المسندة إليه ("مبدأ الكيان المعرَّف والإجراء المحدد")؛</w:t>
      </w:r>
    </w:p>
    <w:p w14:paraId="1039BC7C" w14:textId="77777777" w:rsidR="00117695" w:rsidRPr="00F62B95" w:rsidRDefault="00117695" w:rsidP="00903D57">
      <w:pPr>
        <w:pStyle w:val="enumlev2"/>
        <w:rPr>
          <w:lang w:val="ar-SA" w:eastAsia="zh-TW" w:bidi="en-GB"/>
        </w:rPr>
      </w:pPr>
      <w:r w:rsidRPr="00F62B95">
        <w:rPr>
          <w:rtl/>
        </w:rPr>
        <w:t>ب)</w:t>
      </w:r>
      <w:r w:rsidRPr="00F62B95">
        <w:rPr>
          <w:rtl/>
        </w:rPr>
        <w:tab/>
        <w:t>تحديد نتيجة (نتائج) متوقعة بحيث يمكن قياس الإنجاز في تنفيذ هذا الإجراء قدر الإمكان باستخدام منهجيات القياس الموضوعية ("مبدأ النتيجة القابلة للقياس")؛</w:t>
      </w:r>
    </w:p>
    <w:p w14:paraId="1200AA54" w14:textId="10A2E704" w:rsidR="00117695" w:rsidRPr="00F62B95" w:rsidRDefault="00117695" w:rsidP="00903D57">
      <w:pPr>
        <w:pStyle w:val="enumlev2"/>
        <w:rPr>
          <w:lang w:val="ar-SA" w:eastAsia="zh-TW" w:bidi="en-GB"/>
        </w:rPr>
      </w:pPr>
      <w:r w:rsidRPr="00F62B95">
        <w:rPr>
          <w:rtl/>
        </w:rPr>
        <w:lastRenderedPageBreak/>
        <w:t>ج)</w:t>
      </w:r>
      <w:r w:rsidRPr="00F62B95">
        <w:rPr>
          <w:rtl/>
        </w:rPr>
        <w:tab/>
        <w:t>تخطيط مسارات عمل مع مراحل رئيسية و/أو نقاط تحقق، أو التوصية بها، حسب الاقتضاء ("مبدأ</w:t>
      </w:r>
      <w:r w:rsidR="00903D57">
        <w:t> </w:t>
      </w:r>
      <w:r w:rsidRPr="00F62B95">
        <w:rPr>
          <w:rtl/>
        </w:rPr>
        <w:t>التخطيط")؛</w:t>
      </w:r>
    </w:p>
    <w:p w14:paraId="3E9324B8" w14:textId="3D7100A0" w:rsidR="00117695" w:rsidRPr="00F62B95" w:rsidRDefault="00117695" w:rsidP="00903D57">
      <w:pPr>
        <w:pStyle w:val="enumlev2"/>
        <w:rPr>
          <w:lang w:val="ar-SA" w:eastAsia="zh-TW" w:bidi="en-GB"/>
        </w:rPr>
      </w:pPr>
      <w:r w:rsidRPr="00F62B95">
        <w:rPr>
          <w:rtl/>
        </w:rPr>
        <w:t>د</w:t>
      </w:r>
      <w:r w:rsidR="004A58D2">
        <w:rPr>
          <w:rFonts w:hint="cs"/>
          <w:rtl/>
        </w:rPr>
        <w:t> </w:t>
      </w:r>
      <w:r w:rsidRPr="00F62B95">
        <w:rPr>
          <w:rtl/>
        </w:rPr>
        <w:t>)</w:t>
      </w:r>
      <w:r w:rsidRPr="00F62B95">
        <w:rPr>
          <w:rtl/>
        </w:rPr>
        <w:tab/>
        <w:t>تحديد آلية الإبلاغ وانتهاء الصلاحية حسب الاقتضاء ("مبدأ الإبلاغ/انتهاء الصلاحية")؛</w:t>
      </w:r>
    </w:p>
    <w:p w14:paraId="2DF47645" w14:textId="3331BFCF" w:rsidR="00117695" w:rsidRPr="00F62B95" w:rsidRDefault="00117695" w:rsidP="00903D57">
      <w:pPr>
        <w:pStyle w:val="enumlev2"/>
        <w:rPr>
          <w:lang w:val="ar-SA" w:eastAsia="zh-TW" w:bidi="en-GB"/>
        </w:rPr>
      </w:pPr>
      <w:r w:rsidRPr="00F62B95">
        <w:rPr>
          <w:rtl/>
        </w:rPr>
        <w:t>هـ</w:t>
      </w:r>
      <w:r w:rsidR="004A58D2">
        <w:rPr>
          <w:rFonts w:hint="cs"/>
          <w:rtl/>
        </w:rPr>
        <w:t> </w:t>
      </w:r>
      <w:r w:rsidRPr="00F62B95">
        <w:rPr>
          <w:rtl/>
        </w:rPr>
        <w:t>)</w:t>
      </w:r>
      <w:r w:rsidRPr="00F62B95">
        <w:rPr>
          <w:rtl/>
        </w:rPr>
        <w:tab/>
        <w:t>تحديد تعليمات ملموسة للجهات الفاعلة ذات الصلة لتنفيذ القرار/المقرر، إذا لزم الأمر.</w:t>
      </w:r>
    </w:p>
    <w:p w14:paraId="1669FD3A" w14:textId="6B1B6C87" w:rsidR="00117695" w:rsidRPr="00F62B95" w:rsidRDefault="00461EBB" w:rsidP="00903D57">
      <w:pPr>
        <w:pStyle w:val="enumlev1"/>
        <w:rPr>
          <w:lang w:val="ar-SA" w:eastAsia="zh-TW" w:bidi="en-GB"/>
        </w:rPr>
      </w:pPr>
      <w:r>
        <w:rPr>
          <w:rFonts w:hint="cs"/>
          <w:rtl/>
        </w:rPr>
        <w:t>8</w:t>
      </w:r>
      <w:r w:rsidR="00117695" w:rsidRPr="00F62B95">
        <w:rPr>
          <w:rtl/>
        </w:rPr>
        <w:tab/>
        <w:t>مراعاة أن التعليمات المقدمة إلى الأعضاء غير ملزِمة.</w:t>
      </w:r>
    </w:p>
    <w:p w14:paraId="7B244A79" w14:textId="4E4E7328" w:rsidR="00117695" w:rsidRPr="00F62B95" w:rsidRDefault="00461EBB" w:rsidP="00903D57">
      <w:pPr>
        <w:pStyle w:val="enumlev1"/>
        <w:rPr>
          <w:lang w:val="ar-SA" w:eastAsia="zh-TW" w:bidi="en-GB"/>
        </w:rPr>
      </w:pPr>
      <w:r>
        <w:rPr>
          <w:rFonts w:hint="cs"/>
          <w:rtl/>
        </w:rPr>
        <w:t>9</w:t>
      </w:r>
      <w:r w:rsidR="00117695" w:rsidRPr="00F62B95">
        <w:rPr>
          <w:rtl/>
        </w:rPr>
        <w:tab/>
      </w:r>
      <w:r w:rsidR="00117695" w:rsidRPr="00903D57">
        <w:rPr>
          <w:spacing w:val="-2"/>
          <w:rtl/>
        </w:rPr>
        <w:t>ي</w:t>
      </w:r>
      <w:r w:rsidR="008250C4">
        <w:rPr>
          <w:rFonts w:hint="cs"/>
          <w:spacing w:val="-2"/>
          <w:rtl/>
        </w:rPr>
        <w:t>ُ</w:t>
      </w:r>
      <w:r w:rsidR="00117695" w:rsidRPr="00903D57">
        <w:rPr>
          <w:spacing w:val="-2"/>
          <w:rtl/>
        </w:rPr>
        <w:t xml:space="preserve">رجى من الدول الأعضاء استخدام واجهة مقترحات المؤتمر </w:t>
      </w:r>
      <w:r w:rsidR="00117695" w:rsidRPr="00903D57">
        <w:rPr>
          <w:spacing w:val="-2"/>
        </w:rPr>
        <w:t>CPI)</w:t>
      </w:r>
      <w:r w:rsidR="00117695" w:rsidRPr="00903D57">
        <w:rPr>
          <w:spacing w:val="-2"/>
          <w:rtl/>
        </w:rPr>
        <w:t>) لإنشاء هيكل مساهمتها (مساهماتها)، والسبب الأساسي في ذلك هو احتوائها على "الأنماط" الصحيحة (أي رقم الملحق وعنوان الملحق وما إلى ذلك).</w:t>
      </w:r>
    </w:p>
    <w:p w14:paraId="3A49EAD6" w14:textId="0DA447C5" w:rsidR="00117695" w:rsidRPr="00F62B95" w:rsidRDefault="00117695" w:rsidP="00117695">
      <w:pPr>
        <w:textDirection w:val="tbRlV"/>
        <w:rPr>
          <w:lang w:val="ar-SA" w:eastAsia="zh-TW" w:bidi="en-GB"/>
        </w:rPr>
      </w:pPr>
      <w:r w:rsidRPr="00F62B95">
        <w:rPr>
          <w:rtl/>
        </w:rPr>
        <w:t>ولمزيد من المعلومات عن كيفية صياغة القرارات/المقررات، ي</w:t>
      </w:r>
      <w:r w:rsidR="008250C4">
        <w:rPr>
          <w:rFonts w:hint="cs"/>
          <w:rtl/>
        </w:rPr>
        <w:t>ُ</w:t>
      </w:r>
      <w:r w:rsidRPr="00F62B95">
        <w:rPr>
          <w:rtl/>
        </w:rPr>
        <w:t xml:space="preserve">رجى زيارة الموقع الإلكتروني لكلٍّ من </w:t>
      </w:r>
      <w:hyperlink r:id="rId13" w:history="1">
        <w:r w:rsidRPr="00903D57">
          <w:rPr>
            <w:rStyle w:val="Hyperlink"/>
            <w:rFonts w:ascii="Dubai" w:eastAsiaTheme="minorEastAsia" w:hAnsi="Dubai" w:cs="Dubai"/>
            <w:noProof w:val="0"/>
            <w:sz w:val="22"/>
            <w:rtl/>
            <w:lang w:val="en-US" w:eastAsia="zh-CN"/>
          </w:rPr>
          <w:t>مؤتمر المندوبين المفوضين</w:t>
        </w:r>
      </w:hyperlink>
      <w:r w:rsidRPr="00F62B95">
        <w:rPr>
          <w:rtl/>
        </w:rPr>
        <w:t xml:space="preserve"> للاتحاد و</w:t>
      </w:r>
      <w:hyperlink r:id="rId14" w:history="1">
        <w:r w:rsidRPr="000F384D">
          <w:rPr>
            <w:rStyle w:val="Hyperlink"/>
            <w:rFonts w:ascii="Dubai" w:eastAsiaTheme="minorEastAsia" w:hAnsi="Dubai" w:cs="Dubai"/>
            <w:noProof w:val="0"/>
            <w:sz w:val="22"/>
            <w:rtl/>
            <w:lang w:val="en-US" w:eastAsia="zh-CN"/>
          </w:rPr>
          <w:t>أدوات الاتحاد الخاصة باللغات</w:t>
        </w:r>
      </w:hyperlink>
      <w:r w:rsidRPr="00F62B95">
        <w:rPr>
          <w:rtl/>
        </w:rPr>
        <w:t>.</w:t>
      </w:r>
    </w:p>
    <w:p w14:paraId="5403F156"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5"/>
      <w:headerReference w:type="first" r:id="rId16"/>
      <w:footerReference w:type="first" r:id="rId17"/>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3EBB" w14:textId="77777777" w:rsidR="00B2098B" w:rsidRDefault="00B2098B" w:rsidP="006C3242">
      <w:pPr>
        <w:spacing w:before="0" w:line="240" w:lineRule="auto"/>
      </w:pPr>
      <w:r>
        <w:separator/>
      </w:r>
    </w:p>
  </w:endnote>
  <w:endnote w:type="continuationSeparator" w:id="0">
    <w:p w14:paraId="1DED3D3A" w14:textId="77777777" w:rsidR="00B2098B" w:rsidRDefault="00B2098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A0638D4" w14:textId="77777777" w:rsidTr="00A67F05">
      <w:trPr>
        <w:jc w:val="center"/>
      </w:trPr>
      <w:tc>
        <w:tcPr>
          <w:tcW w:w="868" w:type="pct"/>
          <w:vAlign w:val="center"/>
        </w:tcPr>
        <w:p w14:paraId="3B817555" w14:textId="13EB0AF8" w:rsidR="00F50E3F" w:rsidRPr="007B0AA0" w:rsidRDefault="00B51161"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B51161">
            <w:rPr>
              <w:rFonts w:ascii="Calibri" w:hAnsi="Calibri" w:cs="Arial"/>
              <w:sz w:val="18"/>
              <w:szCs w:val="14"/>
            </w:rPr>
            <w:t>2501096</w:t>
          </w:r>
        </w:p>
      </w:tc>
      <w:tc>
        <w:tcPr>
          <w:tcW w:w="3912" w:type="pct"/>
        </w:tcPr>
        <w:p w14:paraId="707F085B" w14:textId="4520B29D"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903D57">
            <w:rPr>
              <w:rFonts w:ascii="Calibri" w:hAnsi="Calibri" w:cs="Arial"/>
              <w:bCs/>
              <w:color w:val="7F7F7F"/>
              <w:sz w:val="18"/>
            </w:rPr>
            <w:t>29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4707A07"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BBF187F"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75C64CD7" w14:textId="77777777" w:rsidTr="00A67F05">
      <w:trPr>
        <w:jc w:val="center"/>
      </w:trPr>
      <w:tc>
        <w:tcPr>
          <w:tcW w:w="1013" w:type="pct"/>
          <w:vAlign w:val="center"/>
        </w:tcPr>
        <w:p w14:paraId="4D87B12B"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69A4AABE" w14:textId="79C36A02"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117695">
            <w:rPr>
              <w:rFonts w:ascii="Calibri" w:hAnsi="Calibri" w:cs="Arial"/>
              <w:bCs/>
              <w:color w:val="7F7F7F"/>
              <w:sz w:val="18"/>
            </w:rPr>
            <w:t>29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D3718FB"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37ED774"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DDC75" w14:textId="77777777" w:rsidR="00B2098B" w:rsidRDefault="00B2098B" w:rsidP="006C3242">
      <w:pPr>
        <w:spacing w:before="0" w:line="240" w:lineRule="auto"/>
      </w:pPr>
      <w:r>
        <w:separator/>
      </w:r>
    </w:p>
  </w:footnote>
  <w:footnote w:type="continuationSeparator" w:id="0">
    <w:p w14:paraId="7A5DF339" w14:textId="77777777" w:rsidR="00B2098B" w:rsidRDefault="00B2098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C6BB"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76DAB8D" wp14:editId="055B11E6">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610DA"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1CA5796" wp14:editId="1A8EBD5B">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8B"/>
    <w:rsid w:val="0006468A"/>
    <w:rsid w:val="00076E3F"/>
    <w:rsid w:val="00090574"/>
    <w:rsid w:val="000C1C0E"/>
    <w:rsid w:val="000C548A"/>
    <w:rsid w:val="000F384D"/>
    <w:rsid w:val="00117695"/>
    <w:rsid w:val="00180B0E"/>
    <w:rsid w:val="00191059"/>
    <w:rsid w:val="001B6E2B"/>
    <w:rsid w:val="001C0169"/>
    <w:rsid w:val="001C0C21"/>
    <w:rsid w:val="001D1D50"/>
    <w:rsid w:val="001D64C7"/>
    <w:rsid w:val="001D6745"/>
    <w:rsid w:val="001E446E"/>
    <w:rsid w:val="002154EE"/>
    <w:rsid w:val="002276D2"/>
    <w:rsid w:val="0023283D"/>
    <w:rsid w:val="00233F0E"/>
    <w:rsid w:val="002470A1"/>
    <w:rsid w:val="00254393"/>
    <w:rsid w:val="0026373E"/>
    <w:rsid w:val="00271C43"/>
    <w:rsid w:val="00290728"/>
    <w:rsid w:val="002917B6"/>
    <w:rsid w:val="002978F4"/>
    <w:rsid w:val="002B028D"/>
    <w:rsid w:val="002C3F32"/>
    <w:rsid w:val="002E6541"/>
    <w:rsid w:val="00334924"/>
    <w:rsid w:val="003409BC"/>
    <w:rsid w:val="00357185"/>
    <w:rsid w:val="00383829"/>
    <w:rsid w:val="003F4B29"/>
    <w:rsid w:val="00420F8A"/>
    <w:rsid w:val="0042686F"/>
    <w:rsid w:val="004317D8"/>
    <w:rsid w:val="0043260A"/>
    <w:rsid w:val="00434183"/>
    <w:rsid w:val="00443869"/>
    <w:rsid w:val="00447F32"/>
    <w:rsid w:val="00461EBB"/>
    <w:rsid w:val="0046716B"/>
    <w:rsid w:val="00491BA9"/>
    <w:rsid w:val="004A4701"/>
    <w:rsid w:val="004A58D2"/>
    <w:rsid w:val="004B7334"/>
    <w:rsid w:val="004E11DC"/>
    <w:rsid w:val="004E3CA7"/>
    <w:rsid w:val="005130DE"/>
    <w:rsid w:val="00513157"/>
    <w:rsid w:val="00515971"/>
    <w:rsid w:val="00525DDD"/>
    <w:rsid w:val="005409AC"/>
    <w:rsid w:val="005434E0"/>
    <w:rsid w:val="005546CF"/>
    <w:rsid w:val="0055516A"/>
    <w:rsid w:val="00557A6D"/>
    <w:rsid w:val="0058491B"/>
    <w:rsid w:val="00592EA5"/>
    <w:rsid w:val="005A3170"/>
    <w:rsid w:val="00660DEA"/>
    <w:rsid w:val="00677396"/>
    <w:rsid w:val="0069200F"/>
    <w:rsid w:val="006A65CB"/>
    <w:rsid w:val="006B12E5"/>
    <w:rsid w:val="006C3242"/>
    <w:rsid w:val="006C7CC0"/>
    <w:rsid w:val="006F363C"/>
    <w:rsid w:val="006F63F7"/>
    <w:rsid w:val="007025C7"/>
    <w:rsid w:val="00706D7A"/>
    <w:rsid w:val="00722F0D"/>
    <w:rsid w:val="0074420E"/>
    <w:rsid w:val="00747D4C"/>
    <w:rsid w:val="007648A6"/>
    <w:rsid w:val="0077110E"/>
    <w:rsid w:val="00783E26"/>
    <w:rsid w:val="007A6684"/>
    <w:rsid w:val="007B0AA0"/>
    <w:rsid w:val="007C3BC7"/>
    <w:rsid w:val="007C3BCD"/>
    <w:rsid w:val="007D4ACF"/>
    <w:rsid w:val="007F0787"/>
    <w:rsid w:val="00810B7B"/>
    <w:rsid w:val="0082358A"/>
    <w:rsid w:val="008235CD"/>
    <w:rsid w:val="008247DE"/>
    <w:rsid w:val="008250C4"/>
    <w:rsid w:val="0082619B"/>
    <w:rsid w:val="008339C0"/>
    <w:rsid w:val="00840B10"/>
    <w:rsid w:val="008513CB"/>
    <w:rsid w:val="008567A3"/>
    <w:rsid w:val="00874E9F"/>
    <w:rsid w:val="008A7F84"/>
    <w:rsid w:val="00903D57"/>
    <w:rsid w:val="0091702E"/>
    <w:rsid w:val="00923B0C"/>
    <w:rsid w:val="00924F46"/>
    <w:rsid w:val="00935AAC"/>
    <w:rsid w:val="0094021C"/>
    <w:rsid w:val="00952F86"/>
    <w:rsid w:val="00982B28"/>
    <w:rsid w:val="009D313F"/>
    <w:rsid w:val="00A27601"/>
    <w:rsid w:val="00A47A5A"/>
    <w:rsid w:val="00A63AE6"/>
    <w:rsid w:val="00A6683B"/>
    <w:rsid w:val="00A67F05"/>
    <w:rsid w:val="00A97F94"/>
    <w:rsid w:val="00AA7EA2"/>
    <w:rsid w:val="00AB5A56"/>
    <w:rsid w:val="00B03099"/>
    <w:rsid w:val="00B05BC8"/>
    <w:rsid w:val="00B2098B"/>
    <w:rsid w:val="00B30F5E"/>
    <w:rsid w:val="00B51161"/>
    <w:rsid w:val="00B64B47"/>
    <w:rsid w:val="00B64B4D"/>
    <w:rsid w:val="00B95654"/>
    <w:rsid w:val="00B97F32"/>
    <w:rsid w:val="00BA04B2"/>
    <w:rsid w:val="00BB400D"/>
    <w:rsid w:val="00C002DE"/>
    <w:rsid w:val="00C0602B"/>
    <w:rsid w:val="00C224DA"/>
    <w:rsid w:val="00C34418"/>
    <w:rsid w:val="00C53BF8"/>
    <w:rsid w:val="00C62604"/>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F16DC"/>
    <w:rsid w:val="00E45211"/>
    <w:rsid w:val="00E473C5"/>
    <w:rsid w:val="00E61BE8"/>
    <w:rsid w:val="00E83FF1"/>
    <w:rsid w:val="00E92863"/>
    <w:rsid w:val="00E979B2"/>
    <w:rsid w:val="00EB796D"/>
    <w:rsid w:val="00ED6630"/>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5528B"/>
  <w15:chartTrackingRefBased/>
  <w15:docId w15:val="{E01A3A71-5BF2-468A-AA0A-1AA54942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BB400D"/>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SFP-2028-2031/Pages/default.aspx" TargetMode="External"/><Relationship Id="rId13" Type="http://schemas.openxmlformats.org/officeDocument/2006/relationships/hyperlink" Target="https://pp.itu.int/2022/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p.itu.int/2022/a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intersectoral-coordination.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4-CL-C-013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4-CL-C-0139/en" TargetMode="External"/><Relationship Id="rId14" Type="http://schemas.openxmlformats.org/officeDocument/2006/relationships/hyperlink" Target="https://www.itu.int/ar/general-secretariat/multilingualism/Pages/language-tool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6645</Characters>
  <Application>Microsoft Office Word</Application>
  <DocSecurity>0</DocSecurity>
  <Lines>114</Lines>
  <Paragraphs>65</Paragraphs>
  <ScaleCrop>false</ScaleCrop>
  <HeadingPairs>
    <vt:vector size="2" baseType="variant">
      <vt:variant>
        <vt:lpstr>Title</vt:lpstr>
      </vt:variant>
      <vt:variant>
        <vt:i4>1</vt:i4>
      </vt:variant>
    </vt:vector>
  </HeadingPairs>
  <TitlesOfParts>
    <vt:vector size="1" baseType="lpstr">
      <vt:lpstr>Guidelines for harmonizing plenipotentiary conference resolutions and decisions</vt:lpstr>
    </vt:vector>
  </TitlesOfParts>
  <Company>International Telecommunication Union</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harmonizing plenipotentiary conference resolutions and decisions</dc:title>
  <dc:subject>ITU Council 2025</dc:subject>
  <cp:keywords>C2025, C25, Council-25</cp:keywords>
  <dc:description/>
  <dcterms:created xsi:type="dcterms:W3CDTF">2025-05-23T15:15:00Z</dcterms:created>
  <dcterms:modified xsi:type="dcterms:W3CDTF">2025-05-23T15:15:00Z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