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3E1C2769" w14:textId="77777777" w:rsidTr="056D79E0">
        <w:trPr>
          <w:cantSplit/>
          <w:trHeight w:val="23"/>
        </w:trPr>
        <w:tc>
          <w:tcPr>
            <w:tcW w:w="3969" w:type="dxa"/>
            <w:vMerge w:val="restart"/>
            <w:tcMar>
              <w:left w:w="0" w:type="dxa"/>
            </w:tcMar>
          </w:tcPr>
          <w:p w14:paraId="7147B863" w14:textId="2B151BD5"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C0458D">
              <w:rPr>
                <w:b/>
              </w:rPr>
              <w:t xml:space="preserve">Agenda item: </w:t>
            </w:r>
            <w:r w:rsidR="00FD547D">
              <w:rPr>
                <w:b/>
              </w:rPr>
              <w:t>PL</w:t>
            </w:r>
            <w:r w:rsidR="003109A9">
              <w:rPr>
                <w:b/>
              </w:rPr>
              <w:t xml:space="preserve"> </w:t>
            </w:r>
            <w:r w:rsidR="000F1EA5">
              <w:rPr>
                <w:b/>
              </w:rPr>
              <w:t>2</w:t>
            </w:r>
          </w:p>
        </w:tc>
        <w:tc>
          <w:tcPr>
            <w:tcW w:w="5245" w:type="dxa"/>
          </w:tcPr>
          <w:p w14:paraId="6779937E" w14:textId="2C7C2056" w:rsidR="00AD3606" w:rsidRPr="00C0458D" w:rsidRDefault="498A2A6F" w:rsidP="056D79E0">
            <w:pPr>
              <w:tabs>
                <w:tab w:val="left" w:pos="851"/>
              </w:tabs>
              <w:spacing w:before="0" w:line="240" w:lineRule="atLeast"/>
              <w:jc w:val="right"/>
              <w:rPr>
                <w:b/>
                <w:bCs/>
              </w:rPr>
            </w:pPr>
            <w:r w:rsidRPr="056D79E0">
              <w:rPr>
                <w:b/>
                <w:bCs/>
              </w:rPr>
              <w:t>Document C2</w:t>
            </w:r>
            <w:r w:rsidR="60DAF033" w:rsidRPr="056D79E0">
              <w:rPr>
                <w:b/>
                <w:bCs/>
              </w:rPr>
              <w:t>5</w:t>
            </w:r>
            <w:r w:rsidRPr="056D79E0">
              <w:rPr>
                <w:b/>
                <w:bCs/>
              </w:rPr>
              <w:t>/</w:t>
            </w:r>
            <w:r w:rsidR="72CA0CD6" w:rsidRPr="056D79E0">
              <w:rPr>
                <w:b/>
                <w:bCs/>
              </w:rPr>
              <w:t>27</w:t>
            </w:r>
            <w:r w:rsidRPr="056D79E0">
              <w:rPr>
                <w:b/>
                <w:bCs/>
              </w:rPr>
              <w:t>-E</w:t>
            </w:r>
          </w:p>
        </w:tc>
      </w:tr>
      <w:tr w:rsidR="00AD3606" w:rsidRPr="00C0458D" w14:paraId="3E3F9DA5" w14:textId="77777777" w:rsidTr="056D79E0">
        <w:trPr>
          <w:cantSplit/>
        </w:trPr>
        <w:tc>
          <w:tcPr>
            <w:tcW w:w="3969" w:type="dxa"/>
            <w:vMerge/>
          </w:tcPr>
          <w:p w14:paraId="5920AA6E"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072AF062" w:rsidR="00AD3606" w:rsidRPr="00C0458D" w:rsidRDefault="00B13107" w:rsidP="00AD3606">
            <w:pPr>
              <w:tabs>
                <w:tab w:val="left" w:pos="851"/>
              </w:tabs>
              <w:spacing w:before="0"/>
              <w:jc w:val="right"/>
              <w:rPr>
                <w:b/>
              </w:rPr>
            </w:pPr>
            <w:r>
              <w:rPr>
                <w:b/>
              </w:rPr>
              <w:t>30 April</w:t>
            </w:r>
            <w:r w:rsidR="00435ED8">
              <w:rPr>
                <w:b/>
              </w:rPr>
              <w:t xml:space="preserve"> 2025</w:t>
            </w:r>
          </w:p>
        </w:tc>
      </w:tr>
      <w:tr w:rsidR="00AD3606" w:rsidRPr="00C0458D" w14:paraId="75730376" w14:textId="77777777" w:rsidTr="056D79E0">
        <w:trPr>
          <w:cantSplit/>
          <w:trHeight w:val="23"/>
        </w:trPr>
        <w:tc>
          <w:tcPr>
            <w:tcW w:w="3969" w:type="dxa"/>
            <w:vMerge/>
          </w:tcPr>
          <w:p w14:paraId="298F937E"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041A065E" w14:textId="77777777" w:rsidR="00AD3606" w:rsidRPr="00C0458D" w:rsidRDefault="00AD3606" w:rsidP="00AD3606">
            <w:pPr>
              <w:tabs>
                <w:tab w:val="left" w:pos="851"/>
              </w:tabs>
              <w:spacing w:before="0" w:line="240" w:lineRule="atLeast"/>
              <w:jc w:val="right"/>
              <w:rPr>
                <w:b/>
              </w:rPr>
            </w:pPr>
            <w:r w:rsidRPr="00C0458D">
              <w:rPr>
                <w:b/>
              </w:rPr>
              <w:t>Original: English</w:t>
            </w:r>
          </w:p>
        </w:tc>
      </w:tr>
      <w:tr w:rsidR="00472BAD" w:rsidRPr="00C0458D" w14:paraId="14DA91C4" w14:textId="77777777" w:rsidTr="056D79E0">
        <w:trPr>
          <w:cantSplit/>
          <w:trHeight w:val="23"/>
        </w:trPr>
        <w:tc>
          <w:tcPr>
            <w:tcW w:w="3969" w:type="dxa"/>
          </w:tcPr>
          <w:p w14:paraId="5858B25D" w14:textId="77777777" w:rsidR="00472BAD" w:rsidRPr="00C0458D" w:rsidRDefault="00472BAD" w:rsidP="00AD3606">
            <w:pPr>
              <w:tabs>
                <w:tab w:val="left" w:pos="851"/>
              </w:tabs>
              <w:spacing w:line="240" w:lineRule="atLeast"/>
              <w:rPr>
                <w:b/>
              </w:rPr>
            </w:pPr>
          </w:p>
        </w:tc>
        <w:tc>
          <w:tcPr>
            <w:tcW w:w="5245" w:type="dxa"/>
          </w:tcPr>
          <w:p w14:paraId="5DBF7439" w14:textId="77777777" w:rsidR="00472BAD" w:rsidRPr="00C0458D" w:rsidRDefault="00472BAD" w:rsidP="00AD3606">
            <w:pPr>
              <w:tabs>
                <w:tab w:val="left" w:pos="851"/>
              </w:tabs>
              <w:spacing w:before="0" w:line="240" w:lineRule="atLeast"/>
              <w:jc w:val="right"/>
              <w:rPr>
                <w:b/>
              </w:rPr>
            </w:pPr>
          </w:p>
        </w:tc>
      </w:tr>
      <w:tr w:rsidR="00AD3606" w:rsidRPr="00C0458D" w14:paraId="2481FF59" w14:textId="77777777" w:rsidTr="056D79E0">
        <w:trPr>
          <w:cantSplit/>
        </w:trPr>
        <w:tc>
          <w:tcPr>
            <w:tcW w:w="9214" w:type="dxa"/>
            <w:gridSpan w:val="2"/>
            <w:tcMar>
              <w:left w:w="0" w:type="dxa"/>
            </w:tcMar>
          </w:tcPr>
          <w:p w14:paraId="2016C4A0" w14:textId="7BA96E3D" w:rsidR="00AD3606" w:rsidRPr="000F7289" w:rsidRDefault="00AD3606" w:rsidP="000F7289">
            <w:pPr>
              <w:pStyle w:val="Source"/>
              <w:framePr w:hSpace="0" w:wrap="auto" w:vAnchor="margin" w:hAnchor="text" w:xAlign="left" w:yAlign="inline"/>
            </w:pPr>
            <w:bookmarkStart w:id="8" w:name="dsource" w:colFirst="0" w:colLast="0"/>
            <w:bookmarkEnd w:id="7"/>
            <w:r w:rsidRPr="000F7289">
              <w:t xml:space="preserve">Report by the </w:t>
            </w:r>
            <w:r w:rsidR="000F1EA5">
              <w:t>Secretary-General</w:t>
            </w:r>
          </w:p>
        </w:tc>
      </w:tr>
      <w:tr w:rsidR="00AD3606" w:rsidRPr="00C0458D" w14:paraId="3A759762" w14:textId="77777777" w:rsidTr="056D79E0">
        <w:trPr>
          <w:cantSplit/>
        </w:trPr>
        <w:tc>
          <w:tcPr>
            <w:tcW w:w="9214" w:type="dxa"/>
            <w:gridSpan w:val="2"/>
            <w:tcMar>
              <w:left w:w="0" w:type="dxa"/>
            </w:tcMar>
          </w:tcPr>
          <w:p w14:paraId="2A2DCF47" w14:textId="09027919" w:rsidR="00AD3606" w:rsidRPr="00B60AE1" w:rsidRDefault="00B60AE1" w:rsidP="000F7289">
            <w:pPr>
              <w:pStyle w:val="Subtitle"/>
              <w:framePr w:hSpace="0" w:wrap="auto" w:xAlign="left" w:yAlign="inline"/>
              <w:rPr>
                <w:caps/>
              </w:rPr>
            </w:pPr>
            <w:bookmarkStart w:id="9" w:name="dtitle1" w:colFirst="0" w:colLast="0"/>
            <w:bookmarkEnd w:id="8"/>
            <w:r w:rsidRPr="00B60AE1">
              <w:rPr>
                <w:caps/>
              </w:rPr>
              <w:t>Strategy for the coordination of efforts among the three Sectors of the Unio</w:t>
            </w:r>
            <w:r>
              <w:rPr>
                <w:caps/>
              </w:rPr>
              <w:t>N</w:t>
            </w:r>
          </w:p>
        </w:tc>
      </w:tr>
      <w:tr w:rsidR="00AD3606" w:rsidRPr="00C0458D" w14:paraId="72B25568" w14:textId="77777777" w:rsidTr="056D79E0">
        <w:trPr>
          <w:cantSplit/>
        </w:trPr>
        <w:tc>
          <w:tcPr>
            <w:tcW w:w="9214" w:type="dxa"/>
            <w:gridSpan w:val="2"/>
            <w:tcBorders>
              <w:top w:val="single" w:sz="4" w:space="0" w:color="auto"/>
              <w:bottom w:val="single" w:sz="4" w:space="0" w:color="auto"/>
            </w:tcBorders>
            <w:tcMar>
              <w:left w:w="0" w:type="dxa"/>
            </w:tcMar>
          </w:tcPr>
          <w:p w14:paraId="4C3D541B" w14:textId="1024FD2F" w:rsidR="00AD3606" w:rsidRPr="00C0458D" w:rsidRDefault="00F16BAB" w:rsidP="00F16BAB">
            <w:pPr>
              <w:spacing w:before="160"/>
              <w:rPr>
                <w:b/>
                <w:bCs/>
                <w:sz w:val="26"/>
                <w:szCs w:val="26"/>
              </w:rPr>
            </w:pPr>
            <w:r w:rsidRPr="00C0458D">
              <w:rPr>
                <w:b/>
                <w:bCs/>
                <w:sz w:val="26"/>
                <w:szCs w:val="26"/>
              </w:rPr>
              <w:t>Purpose</w:t>
            </w:r>
          </w:p>
          <w:p w14:paraId="67D070EA" w14:textId="14F60088" w:rsidR="00AD3606" w:rsidRPr="00C0458D" w:rsidRDefault="002E78FA" w:rsidP="007C2486">
            <w:pPr>
              <w:jc w:val="both"/>
            </w:pPr>
            <w:r w:rsidRPr="002E78FA">
              <w:t>This document presents a report on the implementation of Resolution 191 (Rev. Bucharest</w:t>
            </w:r>
            <w:r w:rsidR="003226E6">
              <w:t>,</w:t>
            </w:r>
            <w:r w:rsidRPr="002E78FA">
              <w:t xml:space="preserve"> 2022) of the Plenipotentiary Conference on the strategy for the coordination of efforts among the three Sectors of the Union and the General Secretariat.</w:t>
            </w:r>
          </w:p>
          <w:p w14:paraId="4288AA6F" w14:textId="77777777" w:rsidR="00AD3606" w:rsidRDefault="00AD3606" w:rsidP="00F16BAB">
            <w:pPr>
              <w:spacing w:before="160"/>
              <w:rPr>
                <w:b/>
                <w:bCs/>
                <w:sz w:val="26"/>
                <w:szCs w:val="26"/>
              </w:rPr>
            </w:pPr>
            <w:r w:rsidRPr="00C0458D">
              <w:rPr>
                <w:b/>
                <w:bCs/>
                <w:sz w:val="26"/>
                <w:szCs w:val="26"/>
              </w:rPr>
              <w:t>Action required</w:t>
            </w:r>
            <w:r w:rsidR="00F16BAB" w:rsidRPr="00C0458D">
              <w:rPr>
                <w:b/>
                <w:bCs/>
                <w:sz w:val="26"/>
                <w:szCs w:val="26"/>
              </w:rPr>
              <w:t xml:space="preserve"> by the Council</w:t>
            </w:r>
          </w:p>
          <w:p w14:paraId="0FFF2D9B" w14:textId="15320458" w:rsidR="00722551" w:rsidRDefault="00E62788" w:rsidP="00722551">
            <w:r>
              <w:t xml:space="preserve">Council is invited </w:t>
            </w:r>
            <w:r w:rsidRPr="002029F4">
              <w:rPr>
                <w:b/>
                <w:bCs/>
              </w:rPr>
              <w:t xml:space="preserve">to </w:t>
            </w:r>
            <w:r w:rsidR="00A5207C">
              <w:rPr>
                <w:b/>
                <w:bCs/>
              </w:rPr>
              <w:t>note</w:t>
            </w:r>
            <w:r>
              <w:t xml:space="preserve"> the </w:t>
            </w:r>
            <w:r w:rsidR="00A51467">
              <w:t>report</w:t>
            </w:r>
            <w:r w:rsidR="002029F4">
              <w:t>.</w:t>
            </w:r>
          </w:p>
          <w:p w14:paraId="4B855F83" w14:textId="3501E763" w:rsidR="00722551" w:rsidRDefault="00722551" w:rsidP="00722551">
            <w:pPr>
              <w:spacing w:before="160"/>
              <w:rPr>
                <w:b/>
                <w:bCs/>
                <w:sz w:val="26"/>
                <w:szCs w:val="26"/>
              </w:rPr>
            </w:pPr>
            <w:r>
              <w:rPr>
                <w:b/>
                <w:bCs/>
                <w:sz w:val="26"/>
                <w:szCs w:val="26"/>
              </w:rPr>
              <w:t>Relevant link</w:t>
            </w:r>
            <w:r w:rsidR="004B25A1">
              <w:rPr>
                <w:b/>
                <w:bCs/>
                <w:sz w:val="26"/>
                <w:szCs w:val="26"/>
              </w:rPr>
              <w:t>(s)</w:t>
            </w:r>
            <w:r>
              <w:rPr>
                <w:b/>
                <w:bCs/>
                <w:sz w:val="26"/>
                <w:szCs w:val="26"/>
              </w:rPr>
              <w:t xml:space="preserve"> with the Strategic Plan</w:t>
            </w:r>
          </w:p>
          <w:p w14:paraId="56ADF403" w14:textId="6DD1BF5B" w:rsidR="00722551" w:rsidRPr="005E5B88" w:rsidRDefault="00A1004A" w:rsidP="00722551">
            <w:r w:rsidRPr="00A1004A">
              <w:t>Excellence in human resources and organizational innovation</w:t>
            </w:r>
            <w:r w:rsidR="00DB043E" w:rsidRPr="005E5B88">
              <w:t>.</w:t>
            </w:r>
          </w:p>
          <w:p w14:paraId="6A77059B" w14:textId="270D1307" w:rsidR="00722551" w:rsidRPr="005E5B88" w:rsidRDefault="00722551" w:rsidP="00722551">
            <w:pPr>
              <w:spacing w:before="160"/>
              <w:rPr>
                <w:b/>
                <w:bCs/>
                <w:sz w:val="26"/>
                <w:szCs w:val="26"/>
              </w:rPr>
            </w:pPr>
            <w:r w:rsidRPr="005E5B88">
              <w:rPr>
                <w:b/>
                <w:bCs/>
                <w:sz w:val="26"/>
                <w:szCs w:val="26"/>
              </w:rPr>
              <w:t>Financial implications</w:t>
            </w:r>
          </w:p>
          <w:p w14:paraId="731F0870" w14:textId="61B16838" w:rsidR="00453079" w:rsidRPr="00083F5D" w:rsidRDefault="00D23085" w:rsidP="00F16BAB">
            <w:pPr>
              <w:spacing w:before="160"/>
              <w:rPr>
                <w:szCs w:val="24"/>
              </w:rPr>
            </w:pPr>
            <w:r w:rsidRPr="00D23085">
              <w:rPr>
                <w:szCs w:val="24"/>
              </w:rPr>
              <w:t>Within the allocated budget 2024-2025</w:t>
            </w:r>
            <w:r w:rsidR="00614979" w:rsidRPr="00D23085">
              <w:rPr>
                <w:szCs w:val="24"/>
              </w:rPr>
              <w:t>.</w:t>
            </w:r>
          </w:p>
          <w:p w14:paraId="08939791" w14:textId="77777777" w:rsidR="00C0458D" w:rsidRPr="00083F5D" w:rsidRDefault="00C0458D">
            <w:r w:rsidRPr="00083F5D">
              <w:t>_______________</w:t>
            </w:r>
          </w:p>
          <w:p w14:paraId="212A584A" w14:textId="77777777" w:rsidR="00AD3606" w:rsidRPr="00C0458D" w:rsidRDefault="00AD3606" w:rsidP="00F16BAB">
            <w:pPr>
              <w:spacing w:before="160"/>
              <w:rPr>
                <w:b/>
                <w:bCs/>
                <w:sz w:val="26"/>
                <w:szCs w:val="26"/>
              </w:rPr>
            </w:pPr>
            <w:r w:rsidRPr="00C0458D">
              <w:rPr>
                <w:b/>
                <w:bCs/>
                <w:sz w:val="26"/>
                <w:szCs w:val="26"/>
              </w:rPr>
              <w:t>References</w:t>
            </w:r>
          </w:p>
          <w:p w14:paraId="7089D4B7" w14:textId="1CD2BEB0" w:rsidR="00AD3606" w:rsidRPr="001752C5" w:rsidRDefault="00F92957" w:rsidP="00F16BAB">
            <w:pPr>
              <w:spacing w:after="160"/>
              <w:rPr>
                <w:i/>
                <w:iCs/>
                <w:sz w:val="22"/>
                <w:szCs w:val="22"/>
              </w:rPr>
            </w:pPr>
            <w:hyperlink r:id="rId11" w:history="1">
              <w:r w:rsidRPr="001752C5">
                <w:rPr>
                  <w:i/>
                  <w:iCs/>
                  <w:color w:val="0563C1"/>
                  <w:sz w:val="22"/>
                  <w:szCs w:val="22"/>
                  <w:u w:val="single"/>
                </w:rPr>
                <w:t>Resolution 71</w:t>
              </w:r>
            </w:hyperlink>
            <w:r w:rsidRPr="001752C5">
              <w:rPr>
                <w:i/>
                <w:iCs/>
                <w:sz w:val="22"/>
                <w:szCs w:val="22"/>
              </w:rPr>
              <w:t xml:space="preserve"> (Rev. Bucharest, 2022), Resolution </w:t>
            </w:r>
            <w:hyperlink r:id="rId12" w:history="1">
              <w:r w:rsidRPr="001752C5">
                <w:rPr>
                  <w:i/>
                  <w:iCs/>
                  <w:color w:val="0563C1"/>
                  <w:sz w:val="22"/>
                  <w:szCs w:val="22"/>
                  <w:u w:val="single"/>
                </w:rPr>
                <w:t>191</w:t>
              </w:r>
            </w:hyperlink>
            <w:r w:rsidRPr="001752C5">
              <w:rPr>
                <w:i/>
                <w:iCs/>
                <w:sz w:val="22"/>
                <w:szCs w:val="22"/>
              </w:rPr>
              <w:t xml:space="preserve"> (Rev. Bucharest, 2022), and </w:t>
            </w:r>
            <w:hyperlink r:id="rId13" w:history="1">
              <w:r w:rsidRPr="001752C5">
                <w:rPr>
                  <w:i/>
                  <w:iCs/>
                  <w:color w:val="0563C1"/>
                  <w:sz w:val="22"/>
                  <w:szCs w:val="22"/>
                  <w:u w:val="single"/>
                </w:rPr>
                <w:t>Decision 5</w:t>
              </w:r>
            </w:hyperlink>
            <w:r w:rsidRPr="001752C5">
              <w:rPr>
                <w:i/>
                <w:iCs/>
                <w:sz w:val="22"/>
                <w:szCs w:val="22"/>
              </w:rPr>
              <w:t xml:space="preserve"> (Rev. Bucharest, 2022) of the Plenipotentiary Conference</w:t>
            </w:r>
            <w:r w:rsidRPr="001752C5">
              <w:rPr>
                <w:rStyle w:val="eop"/>
                <w:rFonts w:cs="Calibri"/>
                <w:color w:val="000000"/>
                <w:sz w:val="22"/>
                <w:szCs w:val="22"/>
                <w:shd w:val="clear" w:color="auto" w:fill="FFFFFF"/>
              </w:rPr>
              <w:t xml:space="preserve"> </w:t>
            </w:r>
            <w:r w:rsidR="007D6851" w:rsidRPr="001752C5">
              <w:rPr>
                <w:rStyle w:val="eop"/>
                <w:rFonts w:cs="Calibri"/>
                <w:color w:val="000000"/>
                <w:sz w:val="22"/>
                <w:szCs w:val="22"/>
                <w:shd w:val="clear" w:color="auto" w:fill="FFFFFF"/>
              </w:rPr>
              <w:t> </w:t>
            </w:r>
          </w:p>
        </w:tc>
      </w:tr>
    </w:tbl>
    <w:p w14:paraId="3E836A65" w14:textId="1CC3F014" w:rsidR="003109A9" w:rsidRDefault="003109A9">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p w14:paraId="23DDEF55" w14:textId="77777777" w:rsidR="003109A9" w:rsidRDefault="003109A9">
      <w:pPr>
        <w:tabs>
          <w:tab w:val="clear" w:pos="567"/>
          <w:tab w:val="clear" w:pos="1134"/>
          <w:tab w:val="clear" w:pos="1701"/>
          <w:tab w:val="clear" w:pos="2268"/>
          <w:tab w:val="clear" w:pos="2835"/>
        </w:tabs>
        <w:overflowPunct/>
        <w:autoSpaceDE/>
        <w:autoSpaceDN/>
        <w:adjustRightInd/>
        <w:spacing w:before="0"/>
        <w:textAlignment w:val="auto"/>
      </w:pPr>
      <w:r>
        <w:br w:type="page"/>
      </w:r>
    </w:p>
    <w:bookmarkEnd w:id="3"/>
    <w:bookmarkEnd w:id="4"/>
    <w:bookmarkEnd w:id="5"/>
    <w:bookmarkEnd w:id="10"/>
    <w:p w14:paraId="080962C8" w14:textId="7D4F8256" w:rsidR="00820389" w:rsidRPr="00820389" w:rsidRDefault="00716ADF" w:rsidP="00091CEA">
      <w:pPr>
        <w:pStyle w:val="ListParagraph"/>
        <w:keepNext/>
        <w:keepLines/>
        <w:numPr>
          <w:ilvl w:val="0"/>
          <w:numId w:val="11"/>
        </w:numPr>
        <w:tabs>
          <w:tab w:val="clear" w:pos="567"/>
          <w:tab w:val="clear" w:pos="1134"/>
          <w:tab w:val="clear" w:pos="1701"/>
          <w:tab w:val="clear" w:pos="2268"/>
          <w:tab w:val="clear" w:pos="2835"/>
        </w:tabs>
        <w:spacing w:before="480"/>
        <w:ind w:left="709" w:hanging="709"/>
        <w:outlineLvl w:val="0"/>
        <w:rPr>
          <w:b/>
          <w:bCs/>
          <w:szCs w:val="24"/>
        </w:rPr>
      </w:pPr>
      <w:r w:rsidRPr="652CDA6D">
        <w:rPr>
          <w:b/>
          <w:bCs/>
          <w:sz w:val="28"/>
          <w:szCs w:val="28"/>
        </w:rPr>
        <w:lastRenderedPageBreak/>
        <w:t>Background</w:t>
      </w:r>
    </w:p>
    <w:p w14:paraId="17CE01A5" w14:textId="77777777" w:rsidR="000A3362" w:rsidRPr="00A94482" w:rsidRDefault="000A3362" w:rsidP="000A3362">
      <w:p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cs="Calibri"/>
          <w:b/>
          <w:lang w:eastAsia="en-GB"/>
        </w:rPr>
      </w:pPr>
      <w:r w:rsidRPr="602F19C6">
        <w:rPr>
          <w:rStyle w:val="normaltextrun"/>
          <w:rFonts w:cs="Calibri"/>
          <w:lang w:eastAsia="en-GB"/>
        </w:rPr>
        <w:t>The 2022 Plenipotentiary Conference (PP-22), through Resolution 191 (Rev. Bucharest, 2022), instructs the Secretary-General to continue enhancing a coordination and cooperation strategy for effective and efficient efforts in areas of mutual interest to the three Sectors and the General Secretariat, to avoid duplication of effort and optimize the use of resources of the Union.</w:t>
      </w:r>
      <w:r>
        <w:t xml:space="preserve"> </w:t>
      </w:r>
      <w:r w:rsidRPr="602F19C6">
        <w:rPr>
          <w:rStyle w:val="normaltextrun"/>
          <w:rFonts w:cs="Calibri"/>
          <w:lang w:eastAsia="en-GB"/>
        </w:rPr>
        <w:t>Furthermore, the Secretary-General is instructed to identify all forms and examples of overlapping functions and activities among the Sectors as well as the General Secretariat, and to propose solutions to address them.</w:t>
      </w:r>
    </w:p>
    <w:p w14:paraId="60DC4D6E" w14:textId="452EE11A" w:rsidR="00867B4C" w:rsidRDefault="6A2C01A9" w:rsidP="00867B4C">
      <w:pPr>
        <w:jc w:val="both"/>
        <w:rPr>
          <w:lang w:val="en-US"/>
        </w:rPr>
      </w:pPr>
      <w:r w:rsidRPr="056D79E0">
        <w:rPr>
          <w:lang w:val="en-US"/>
        </w:rPr>
        <w:t>The Secretary-</w:t>
      </w:r>
      <w:r w:rsidRPr="056D79E0">
        <w:rPr>
          <w:lang w:val="en-US"/>
        </w:rPr>
        <w:t>General delegated to the Deputy Secretary-General the implementation of intersectoral coordination strategies.</w:t>
      </w:r>
    </w:p>
    <w:p w14:paraId="09C84F8B" w14:textId="1A9A9B9E" w:rsidR="00867B4C" w:rsidRPr="00867B4C" w:rsidRDefault="00867B4C" w:rsidP="007920DB">
      <w:pPr>
        <w:jc w:val="both"/>
        <w:rPr>
          <w:rStyle w:val="normaltextrun"/>
          <w:rFonts w:cs="Calibri"/>
          <w:lang w:val="en-US" w:eastAsia="en-GB"/>
        </w:rPr>
      </w:pPr>
      <w:r>
        <w:rPr>
          <w:lang w:val="en-US"/>
        </w:rPr>
        <w:t xml:space="preserve">In 2024, </w:t>
      </w:r>
      <w:r w:rsidR="00EA7665">
        <w:rPr>
          <w:lang w:val="en-US"/>
        </w:rPr>
        <w:t xml:space="preserve">the Service Order that created the </w:t>
      </w:r>
      <w:r>
        <w:rPr>
          <w:lang w:val="en-US"/>
        </w:rPr>
        <w:t>Inter-Sectoral Coordination Task Force (ISC-TF)</w:t>
      </w:r>
      <w:r w:rsidR="005B124E">
        <w:rPr>
          <w:lang w:val="en-US"/>
        </w:rPr>
        <w:t xml:space="preserve"> was reviewed (see </w:t>
      </w:r>
      <w:hyperlink r:id="rId14" w:history="1">
        <w:r w:rsidR="005B124E" w:rsidRPr="00C81AEF">
          <w:rPr>
            <w:rStyle w:val="Hyperlink"/>
            <w:lang w:val="en-US"/>
          </w:rPr>
          <w:t>SO 24/06</w:t>
        </w:r>
      </w:hyperlink>
      <w:r w:rsidR="005B124E">
        <w:t xml:space="preserve">) </w:t>
      </w:r>
      <w:r w:rsidR="00683E22">
        <w:t xml:space="preserve">and established that, under the </w:t>
      </w:r>
      <w:r w:rsidR="00683E22">
        <w:t xml:space="preserve">direction of the Coordination Committee (CoCo), the role of the ISC-TF is to enhance the coordination and collaboration among the three Bureaux and the General Secretariat, with a view to avoid internal </w:t>
      </w:r>
      <w:r w:rsidR="007920DB">
        <w:t>d</w:t>
      </w:r>
      <w:r w:rsidR="00683E22">
        <w:t xml:space="preserve">uplication of effort and optimize the use of resources. </w:t>
      </w:r>
    </w:p>
    <w:p w14:paraId="1DB28021" w14:textId="3C307AEB" w:rsidR="00820389" w:rsidRPr="00820389" w:rsidRDefault="00442295" w:rsidP="00091CEA">
      <w:pPr>
        <w:pStyle w:val="ListParagraph"/>
        <w:keepNext/>
        <w:keepLines/>
        <w:numPr>
          <w:ilvl w:val="0"/>
          <w:numId w:val="10"/>
        </w:numPr>
        <w:tabs>
          <w:tab w:val="clear" w:pos="567"/>
          <w:tab w:val="clear" w:pos="1134"/>
          <w:tab w:val="clear" w:pos="1701"/>
          <w:tab w:val="clear" w:pos="2268"/>
          <w:tab w:val="clear" w:pos="2835"/>
        </w:tabs>
        <w:spacing w:before="480"/>
        <w:ind w:left="709" w:hanging="709"/>
        <w:outlineLvl w:val="0"/>
        <w:rPr>
          <w:b/>
          <w:bCs/>
          <w:szCs w:val="24"/>
        </w:rPr>
      </w:pPr>
      <w:r w:rsidRPr="652CDA6D">
        <w:rPr>
          <w:b/>
          <w:bCs/>
          <w:sz w:val="28"/>
          <w:szCs w:val="28"/>
        </w:rPr>
        <w:t>Coordination within the secretariat - Inter-Sectoral Coordination Task Force (ISC-TF)</w:t>
      </w:r>
    </w:p>
    <w:p w14:paraId="3944BDC0" w14:textId="60A8572A" w:rsidR="00A33118" w:rsidRDefault="00A33118" w:rsidP="009C3584">
      <w:pPr>
        <w:tabs>
          <w:tab w:val="clear" w:pos="567"/>
          <w:tab w:val="clear" w:pos="1134"/>
          <w:tab w:val="clear" w:pos="1701"/>
          <w:tab w:val="clear" w:pos="2268"/>
          <w:tab w:val="clear" w:pos="2835"/>
        </w:tabs>
        <w:overflowPunct/>
        <w:autoSpaceDE/>
        <w:autoSpaceDN/>
        <w:adjustRightInd/>
        <w:spacing w:after="120"/>
        <w:jc w:val="both"/>
        <w:textAlignment w:val="auto"/>
        <w:rPr>
          <w:rFonts w:cs="Calibri"/>
          <w:szCs w:val="24"/>
          <w:lang w:eastAsia="en-GB"/>
        </w:rPr>
      </w:pPr>
      <w:r w:rsidRPr="00BA2771">
        <w:rPr>
          <w:rStyle w:val="normaltextrun"/>
          <w:rFonts w:cs="Calibri"/>
          <w:lang w:eastAsia="en-GB"/>
        </w:rPr>
        <w:t>The ISC-TF is the body that coordinates within the secretariat, and that liaises with the Inter-Sector Coordination Group (ISCG) to identify the membership’s needs and provide options to improve cooperation and coordination across ITU</w:t>
      </w:r>
      <w:r>
        <w:rPr>
          <w:rStyle w:val="normaltextrun"/>
          <w:rFonts w:cs="Calibri"/>
          <w:lang w:eastAsia="en-GB"/>
        </w:rPr>
        <w:t>.</w:t>
      </w:r>
    </w:p>
    <w:p w14:paraId="4A7992F4" w14:textId="388ABC23" w:rsidR="009C3584" w:rsidRPr="009C3584" w:rsidRDefault="009C3584" w:rsidP="009C3584">
      <w:pPr>
        <w:tabs>
          <w:tab w:val="clear" w:pos="567"/>
          <w:tab w:val="clear" w:pos="1134"/>
          <w:tab w:val="clear" w:pos="1701"/>
          <w:tab w:val="clear" w:pos="2268"/>
          <w:tab w:val="clear" w:pos="2835"/>
        </w:tabs>
        <w:overflowPunct/>
        <w:autoSpaceDE/>
        <w:autoSpaceDN/>
        <w:adjustRightInd/>
        <w:spacing w:after="120"/>
        <w:jc w:val="both"/>
        <w:textAlignment w:val="auto"/>
        <w:rPr>
          <w:rFonts w:cs="Calibri"/>
          <w:szCs w:val="24"/>
          <w:lang w:eastAsia="en-GB"/>
        </w:rPr>
      </w:pPr>
      <w:r w:rsidRPr="009C3584">
        <w:rPr>
          <w:rFonts w:cs="Calibri"/>
          <w:szCs w:val="24"/>
          <w:lang w:eastAsia="en-GB"/>
        </w:rPr>
        <w:t>Since the report presented to</w:t>
      </w:r>
      <w:r w:rsidR="00A14BEE">
        <w:rPr>
          <w:rFonts w:cs="Calibri"/>
          <w:szCs w:val="24"/>
          <w:lang w:eastAsia="en-GB"/>
        </w:rPr>
        <w:t xml:space="preserve"> the</w:t>
      </w:r>
      <w:r w:rsidRPr="009C3584">
        <w:rPr>
          <w:rFonts w:cs="Calibri"/>
          <w:szCs w:val="24"/>
          <w:lang w:eastAsia="en-GB"/>
        </w:rPr>
        <w:t xml:space="preserve"> Council last year, the </w:t>
      </w:r>
      <w:r w:rsidR="00A33118">
        <w:rPr>
          <w:rFonts w:cs="Calibri"/>
          <w:szCs w:val="24"/>
          <w:lang w:eastAsia="en-GB"/>
        </w:rPr>
        <w:t xml:space="preserve">ISC-TF </w:t>
      </w:r>
      <w:r w:rsidR="00BA2771">
        <w:rPr>
          <w:rFonts w:cs="Calibri"/>
          <w:szCs w:val="24"/>
          <w:lang w:eastAsia="en-GB"/>
        </w:rPr>
        <w:t>secretariat</w:t>
      </w:r>
      <w:r w:rsidRPr="009C3584">
        <w:rPr>
          <w:rFonts w:cs="Calibri"/>
          <w:szCs w:val="24"/>
          <w:lang w:eastAsia="en-GB"/>
        </w:rPr>
        <w:t xml:space="preserve"> continues to work to organize and find the best way to ensure the governance of the intersectoral coordination. These efforts include:</w:t>
      </w:r>
    </w:p>
    <w:p w14:paraId="35077DFF" w14:textId="0166D889" w:rsidR="009C3584" w:rsidRPr="009C3584" w:rsidRDefault="009C3584" w:rsidP="009C3584">
      <w:pPr>
        <w:numPr>
          <w:ilvl w:val="0"/>
          <w:numId w:val="8"/>
        </w:numPr>
        <w:tabs>
          <w:tab w:val="clear" w:pos="567"/>
          <w:tab w:val="clear" w:pos="1134"/>
          <w:tab w:val="clear" w:pos="1701"/>
          <w:tab w:val="clear" w:pos="2268"/>
          <w:tab w:val="clear" w:pos="2835"/>
        </w:tabs>
        <w:overflowPunct/>
        <w:autoSpaceDE/>
        <w:autoSpaceDN/>
        <w:adjustRightInd/>
        <w:spacing w:after="120"/>
        <w:ind w:left="714" w:hanging="357"/>
        <w:jc w:val="both"/>
        <w:textAlignment w:val="auto"/>
        <w:rPr>
          <w:rFonts w:eastAsia="Calibri" w:cs="Calibri"/>
          <w:szCs w:val="24"/>
        </w:rPr>
      </w:pPr>
      <w:r w:rsidRPr="009C3584">
        <w:rPr>
          <w:rFonts w:eastAsia="Calibri" w:cs="Calibri"/>
          <w:szCs w:val="24"/>
        </w:rPr>
        <w:t xml:space="preserve">Improvement of the </w:t>
      </w:r>
      <w:hyperlink r:id="rId15" w:history="1">
        <w:r w:rsidRPr="00164C86">
          <w:rPr>
            <w:rStyle w:val="Hyperlink"/>
            <w:rFonts w:eastAsia="Calibri" w:cs="Calibri"/>
            <w:szCs w:val="24"/>
          </w:rPr>
          <w:t>Intersectoral coordination webpage</w:t>
        </w:r>
      </w:hyperlink>
      <w:r w:rsidRPr="00164C86">
        <w:rPr>
          <w:rFonts w:eastAsia="Calibri" w:cs="Calibri"/>
          <w:szCs w:val="24"/>
        </w:rPr>
        <w:t xml:space="preserve"> </w:t>
      </w:r>
      <w:r w:rsidRPr="009C3584">
        <w:rPr>
          <w:rFonts w:eastAsia="Calibri" w:cs="Calibri"/>
          <w:szCs w:val="24"/>
        </w:rPr>
        <w:t>under the General Secretariat and in coordination with the ISCG</w:t>
      </w:r>
      <w:r w:rsidRPr="009C3584">
        <w:rPr>
          <w:rFonts w:cs="Calibri"/>
          <w:lang w:eastAsia="en-GB"/>
        </w:rPr>
        <w:t>.</w:t>
      </w:r>
    </w:p>
    <w:p w14:paraId="7B7973EE" w14:textId="3983C04B" w:rsidR="009C3584" w:rsidRPr="009C3584" w:rsidRDefault="009C3584" w:rsidP="009C3584">
      <w:pPr>
        <w:numPr>
          <w:ilvl w:val="0"/>
          <w:numId w:val="8"/>
        </w:numPr>
        <w:tabs>
          <w:tab w:val="clear" w:pos="567"/>
          <w:tab w:val="clear" w:pos="1134"/>
          <w:tab w:val="clear" w:pos="1701"/>
          <w:tab w:val="clear" w:pos="2268"/>
          <w:tab w:val="clear" w:pos="2835"/>
        </w:tabs>
        <w:overflowPunct/>
        <w:autoSpaceDE/>
        <w:autoSpaceDN/>
        <w:adjustRightInd/>
        <w:spacing w:after="120"/>
        <w:ind w:left="714" w:hanging="357"/>
        <w:jc w:val="both"/>
        <w:textAlignment w:val="auto"/>
        <w:rPr>
          <w:rFonts w:cs="Calibri"/>
          <w:lang w:eastAsia="en-GB"/>
        </w:rPr>
      </w:pPr>
      <w:hyperlink r:id="rId16" w:history="1">
        <w:r w:rsidRPr="00687636">
          <w:rPr>
            <w:rStyle w:val="Hyperlink"/>
            <w:rFonts w:cs="Calibri"/>
            <w:lang w:eastAsia="en-GB"/>
          </w:rPr>
          <w:t>Mapping of resolutions</w:t>
        </w:r>
      </w:hyperlink>
      <w:r w:rsidRPr="009C3584">
        <w:rPr>
          <w:rFonts w:cs="Calibri"/>
          <w:lang w:eastAsia="en-GB"/>
        </w:rPr>
        <w:t xml:space="preserve">, from main ITU </w:t>
      </w:r>
      <w:r w:rsidR="00CD398E">
        <w:rPr>
          <w:rFonts w:cs="Calibri"/>
          <w:lang w:eastAsia="en-GB"/>
        </w:rPr>
        <w:t>c</w:t>
      </w:r>
      <w:r w:rsidRPr="009C3584">
        <w:rPr>
          <w:rFonts w:cs="Calibri"/>
          <w:lang w:eastAsia="en-GB"/>
        </w:rPr>
        <w:t>onferences/</w:t>
      </w:r>
      <w:r w:rsidR="00CD398E">
        <w:rPr>
          <w:rFonts w:cs="Calibri"/>
          <w:lang w:eastAsia="en-GB"/>
        </w:rPr>
        <w:t>a</w:t>
      </w:r>
      <w:r w:rsidRPr="009C3584">
        <w:rPr>
          <w:rFonts w:cs="Calibri"/>
          <w:lang w:eastAsia="en-GB"/>
        </w:rPr>
        <w:t>ssemblies</w:t>
      </w:r>
      <w:r w:rsidR="00F45509">
        <w:rPr>
          <w:rFonts w:cs="Calibri"/>
          <w:lang w:eastAsia="en-GB"/>
        </w:rPr>
        <w:t xml:space="preserve"> (last </w:t>
      </w:r>
      <w:r w:rsidRPr="009C3584">
        <w:rPr>
          <w:rFonts w:cs="Calibri"/>
          <w:lang w:eastAsia="en-GB"/>
        </w:rPr>
        <w:t xml:space="preserve">updated after </w:t>
      </w:r>
      <w:r w:rsidR="00F45509">
        <w:rPr>
          <w:rFonts w:cs="Calibri"/>
          <w:lang w:eastAsia="en-GB"/>
        </w:rPr>
        <w:t>WTSA-24</w:t>
      </w:r>
      <w:r w:rsidRPr="009C3584">
        <w:rPr>
          <w:rFonts w:cs="Calibri"/>
          <w:lang w:eastAsia="en-GB"/>
        </w:rPr>
        <w:t>).</w:t>
      </w:r>
    </w:p>
    <w:p w14:paraId="7D61588F" w14:textId="34D82E9E" w:rsidR="009C3584" w:rsidRPr="009C3584" w:rsidRDefault="009C3584" w:rsidP="009C3584">
      <w:pPr>
        <w:numPr>
          <w:ilvl w:val="0"/>
          <w:numId w:val="8"/>
        </w:numPr>
        <w:tabs>
          <w:tab w:val="clear" w:pos="567"/>
          <w:tab w:val="clear" w:pos="1134"/>
          <w:tab w:val="clear" w:pos="1701"/>
          <w:tab w:val="clear" w:pos="2268"/>
          <w:tab w:val="clear" w:pos="2835"/>
        </w:tabs>
        <w:overflowPunct/>
        <w:autoSpaceDE/>
        <w:autoSpaceDN/>
        <w:adjustRightInd/>
        <w:spacing w:after="120"/>
        <w:ind w:left="714" w:hanging="357"/>
        <w:jc w:val="both"/>
        <w:textAlignment w:val="auto"/>
        <w:rPr>
          <w:rFonts w:cs="Calibri"/>
          <w:lang w:eastAsia="en-GB"/>
        </w:rPr>
      </w:pPr>
      <w:r w:rsidRPr="009C3584">
        <w:rPr>
          <w:rFonts w:cs="Calibri"/>
          <w:lang w:eastAsia="en-GB"/>
        </w:rPr>
        <w:t xml:space="preserve">Update of the </w:t>
      </w:r>
      <w:hyperlink r:id="rId17" w:history="1">
        <w:r w:rsidRPr="009C0B01">
          <w:rPr>
            <w:rStyle w:val="Hyperlink"/>
            <w:rFonts w:cs="Calibri"/>
            <w:lang w:eastAsia="en-GB"/>
          </w:rPr>
          <w:t>list of themes</w:t>
        </w:r>
      </w:hyperlink>
      <w:r w:rsidRPr="009C3584">
        <w:rPr>
          <w:rFonts w:cs="Calibri"/>
          <w:lang w:eastAsia="en-GB"/>
        </w:rPr>
        <w:t xml:space="preserve"> calling for intersectoral coordination together with the Focal Points appointed by the Sectors and the General Secretariat published on the webpage.</w:t>
      </w:r>
    </w:p>
    <w:p w14:paraId="78E5979A" w14:textId="052D7291" w:rsidR="00567C22" w:rsidRDefault="00B20539" w:rsidP="00567C22">
      <w:pPr>
        <w:jc w:val="both"/>
        <w:rPr>
          <w:lang w:val="en-US"/>
        </w:rPr>
      </w:pPr>
      <w:r>
        <w:rPr>
          <w:lang w:val="en-US"/>
        </w:rPr>
        <w:t xml:space="preserve">In 2024, the ISC-TF, chaired by the </w:t>
      </w:r>
      <w:r w:rsidRPr="00E30748">
        <w:rPr>
          <w:lang w:val="en-US"/>
        </w:rPr>
        <w:t xml:space="preserve">Deputy Secretary-General </w:t>
      </w:r>
      <w:r>
        <w:rPr>
          <w:lang w:val="en-US"/>
        </w:rPr>
        <w:t>and composed of the D2s and Regional Directors, met five (5) times</w:t>
      </w:r>
      <w:r w:rsidR="00D635D3">
        <w:rPr>
          <w:lang w:val="en-US"/>
        </w:rPr>
        <w:t xml:space="preserve"> with the objectives to:</w:t>
      </w:r>
    </w:p>
    <w:p w14:paraId="290E17E0" w14:textId="3975AE10" w:rsidR="00567C22" w:rsidRDefault="0366DD6C" w:rsidP="00164C86">
      <w:pPr>
        <w:pStyle w:val="ListParagraph"/>
        <w:numPr>
          <w:ilvl w:val="0"/>
          <w:numId w:val="6"/>
        </w:numPr>
        <w:tabs>
          <w:tab w:val="clear" w:pos="567"/>
        </w:tabs>
        <w:jc w:val="both"/>
        <w:rPr>
          <w:lang w:val="en-US"/>
        </w:rPr>
      </w:pPr>
      <w:r w:rsidRPr="056D79E0">
        <w:rPr>
          <w:lang w:val="en-US"/>
        </w:rPr>
        <w:t>p</w:t>
      </w:r>
      <w:r w:rsidR="05DECDC2" w:rsidRPr="056D79E0">
        <w:rPr>
          <w:lang w:val="en-US"/>
        </w:rPr>
        <w:t xml:space="preserve">romote coordinated work in </w:t>
      </w:r>
      <w:r w:rsidR="05DECDC2" w:rsidRPr="056D79E0">
        <w:rPr>
          <w:lang w:val="en-US"/>
        </w:rPr>
        <w:t xml:space="preserve">the areas of mutual interest to the three ITU Sectors and the General Secretariat, promoting synergies and efficiencies </w:t>
      </w:r>
      <w:r w:rsidR="3EA31317" w:rsidRPr="056D79E0">
        <w:rPr>
          <w:lang w:val="en-US"/>
        </w:rPr>
        <w:t xml:space="preserve">as well as </w:t>
      </w:r>
      <w:r w:rsidR="05DECDC2" w:rsidRPr="056D79E0">
        <w:rPr>
          <w:lang w:val="en-US"/>
        </w:rPr>
        <w:t xml:space="preserve">savings in the use of the ITU resources; </w:t>
      </w:r>
    </w:p>
    <w:p w14:paraId="4B0ABD73" w14:textId="078AD474" w:rsidR="00567C22" w:rsidRDefault="00AF1766" w:rsidP="00164C86">
      <w:pPr>
        <w:pStyle w:val="ListParagraph"/>
        <w:numPr>
          <w:ilvl w:val="0"/>
          <w:numId w:val="6"/>
        </w:numPr>
        <w:tabs>
          <w:tab w:val="clear" w:pos="567"/>
        </w:tabs>
        <w:jc w:val="both"/>
        <w:rPr>
          <w:lang w:val="en-US"/>
        </w:rPr>
      </w:pPr>
      <w:r>
        <w:rPr>
          <w:lang w:val="en-US"/>
        </w:rPr>
        <w:t>f</w:t>
      </w:r>
      <w:r w:rsidR="00432715" w:rsidRPr="00567C22">
        <w:rPr>
          <w:lang w:val="en-US"/>
        </w:rPr>
        <w:t>ollow-up on the progress and results achieved in each area; and</w:t>
      </w:r>
    </w:p>
    <w:p w14:paraId="1CF02159" w14:textId="3BF07C1D" w:rsidR="00D635D3" w:rsidRDefault="00AF1766" w:rsidP="00164C86">
      <w:pPr>
        <w:pStyle w:val="ListParagraph"/>
        <w:numPr>
          <w:ilvl w:val="0"/>
          <w:numId w:val="6"/>
        </w:numPr>
        <w:tabs>
          <w:tab w:val="clear" w:pos="567"/>
        </w:tabs>
        <w:jc w:val="both"/>
        <w:rPr>
          <w:lang w:val="en-US"/>
        </w:rPr>
      </w:pPr>
      <w:r>
        <w:rPr>
          <w:lang w:val="en-US"/>
        </w:rPr>
        <w:t>i</w:t>
      </w:r>
      <w:r w:rsidR="00432715" w:rsidRPr="00567C22">
        <w:rPr>
          <w:lang w:val="en-US"/>
        </w:rPr>
        <w:t>dentify and propose any measures and mechanisms, with a view to increas</w:t>
      </w:r>
      <w:r w:rsidR="003E3361">
        <w:rPr>
          <w:lang w:val="en-US"/>
        </w:rPr>
        <w:t>ing</w:t>
      </w:r>
      <w:r w:rsidR="00432715" w:rsidRPr="00567C22">
        <w:rPr>
          <w:lang w:val="en-US"/>
        </w:rPr>
        <w:t xml:space="preserve"> efficiency and effectiveness</w:t>
      </w:r>
      <w:r w:rsidR="00D71F0D">
        <w:rPr>
          <w:lang w:val="en-US"/>
        </w:rPr>
        <w:t>.</w:t>
      </w:r>
    </w:p>
    <w:p w14:paraId="5395CC16" w14:textId="303C6EC8" w:rsidR="00D50634" w:rsidRPr="008C2B13" w:rsidRDefault="00D50634" w:rsidP="00AC3A52">
      <w:pPr>
        <w:jc w:val="both"/>
        <w:rPr>
          <w:lang w:val="en-US"/>
        </w:rPr>
      </w:pPr>
      <w:r>
        <w:rPr>
          <w:lang w:val="en-US"/>
        </w:rPr>
        <w:t>The themes that reported to the ISC-TF were: A</w:t>
      </w:r>
      <w:r w:rsidRPr="00205994">
        <w:rPr>
          <w:lang w:val="en-US"/>
        </w:rPr>
        <w:t>ccessibility</w:t>
      </w:r>
      <w:r>
        <w:rPr>
          <w:lang w:val="en-US"/>
        </w:rPr>
        <w:t xml:space="preserve">; </w:t>
      </w:r>
      <w:r w:rsidRPr="00205994">
        <w:rPr>
          <w:lang w:val="en-US"/>
        </w:rPr>
        <w:t>Capacity development</w:t>
      </w:r>
      <w:r>
        <w:rPr>
          <w:lang w:val="en-US"/>
        </w:rPr>
        <w:t xml:space="preserve">; </w:t>
      </w:r>
      <w:r w:rsidRPr="0002502F">
        <w:rPr>
          <w:lang w:val="en-US"/>
        </w:rPr>
        <w:t xml:space="preserve">Climate </w:t>
      </w:r>
      <w:r>
        <w:rPr>
          <w:lang w:val="en-US"/>
        </w:rPr>
        <w:t>C</w:t>
      </w:r>
      <w:r w:rsidRPr="0002502F">
        <w:rPr>
          <w:lang w:val="en-US"/>
        </w:rPr>
        <w:t>hange</w:t>
      </w:r>
      <w:r>
        <w:rPr>
          <w:lang w:val="en-US"/>
        </w:rPr>
        <w:t xml:space="preserve"> &amp; </w:t>
      </w:r>
      <w:r w:rsidRPr="0002502F">
        <w:rPr>
          <w:lang w:val="en-US"/>
        </w:rPr>
        <w:t>Environment</w:t>
      </w:r>
      <w:r>
        <w:rPr>
          <w:lang w:val="en-US"/>
        </w:rPr>
        <w:t xml:space="preserve">al Sustainability; </w:t>
      </w:r>
      <w:r w:rsidRPr="008C2B13">
        <w:rPr>
          <w:lang w:val="en-US"/>
        </w:rPr>
        <w:t>Communications &amp; Website</w:t>
      </w:r>
      <w:r>
        <w:rPr>
          <w:lang w:val="en-US"/>
        </w:rPr>
        <w:t xml:space="preserve">; </w:t>
      </w:r>
      <w:r w:rsidRPr="008C2B13">
        <w:rPr>
          <w:lang w:val="en-US"/>
        </w:rPr>
        <w:t>Data &amp; Statistics</w:t>
      </w:r>
      <w:r>
        <w:rPr>
          <w:lang w:val="en-US"/>
        </w:rPr>
        <w:t xml:space="preserve">; </w:t>
      </w:r>
      <w:r w:rsidRPr="008C2B13">
        <w:rPr>
          <w:lang w:val="en-US"/>
        </w:rPr>
        <w:t>Digital Resilience</w:t>
      </w:r>
      <w:r>
        <w:rPr>
          <w:lang w:val="en-US"/>
        </w:rPr>
        <w:t xml:space="preserve"> (including cybersecurity); Digital Transformation; </w:t>
      </w:r>
      <w:r w:rsidRPr="008C2B13">
        <w:rPr>
          <w:lang w:val="en-US"/>
        </w:rPr>
        <w:t>Emergency Telecommunications</w:t>
      </w:r>
      <w:r>
        <w:rPr>
          <w:lang w:val="en-US"/>
        </w:rPr>
        <w:t xml:space="preserve">; </w:t>
      </w:r>
      <w:r w:rsidRPr="008C2B13">
        <w:rPr>
          <w:lang w:val="en-US"/>
        </w:rPr>
        <w:lastRenderedPageBreak/>
        <w:t>Events Organization</w:t>
      </w:r>
      <w:r>
        <w:rPr>
          <w:lang w:val="en-US"/>
        </w:rPr>
        <w:t xml:space="preserve">; </w:t>
      </w:r>
      <w:r w:rsidRPr="008C2B13">
        <w:rPr>
          <w:lang w:val="en-US"/>
        </w:rPr>
        <w:t>Gender</w:t>
      </w:r>
      <w:r>
        <w:rPr>
          <w:rFonts w:ascii="Arial" w:hAnsi="Arial" w:cs="Arial"/>
          <w:lang w:val="en-US"/>
        </w:rPr>
        <w:t xml:space="preserve">; </w:t>
      </w:r>
      <w:r w:rsidRPr="008C2B13">
        <w:rPr>
          <w:lang w:val="en-US"/>
        </w:rPr>
        <w:t>Innovation</w:t>
      </w:r>
      <w:r>
        <w:rPr>
          <w:lang w:val="en-US"/>
        </w:rPr>
        <w:t xml:space="preserve">; </w:t>
      </w:r>
      <w:r w:rsidRPr="008C2B13">
        <w:rPr>
          <w:lang w:val="en-US"/>
        </w:rPr>
        <w:t xml:space="preserve">Membership/Partnership/Resource </w:t>
      </w:r>
      <w:r>
        <w:rPr>
          <w:lang w:val="en-US"/>
        </w:rPr>
        <w:t>M</w:t>
      </w:r>
      <w:r w:rsidRPr="008C2B13">
        <w:rPr>
          <w:lang w:val="en-US"/>
        </w:rPr>
        <w:t>obilization</w:t>
      </w:r>
      <w:r>
        <w:rPr>
          <w:lang w:val="en-US"/>
        </w:rPr>
        <w:t xml:space="preserve">; </w:t>
      </w:r>
      <w:r w:rsidRPr="008C2B13">
        <w:rPr>
          <w:lang w:val="en-US"/>
        </w:rPr>
        <w:t>Regional Presence</w:t>
      </w:r>
      <w:r>
        <w:rPr>
          <w:lang w:val="en-US"/>
        </w:rPr>
        <w:t xml:space="preserve">; </w:t>
      </w:r>
      <w:r w:rsidRPr="008C2B13">
        <w:rPr>
          <w:lang w:val="en-US"/>
        </w:rPr>
        <w:t>Space</w:t>
      </w:r>
      <w:r>
        <w:rPr>
          <w:lang w:val="en-US"/>
        </w:rPr>
        <w:t xml:space="preserve">; </w:t>
      </w:r>
      <w:r w:rsidRPr="008C2B13">
        <w:rPr>
          <w:lang w:val="en-US"/>
        </w:rPr>
        <w:t>Youth</w:t>
      </w:r>
      <w:r>
        <w:rPr>
          <w:rFonts w:ascii="Arial" w:hAnsi="Arial" w:cs="Arial"/>
          <w:lang w:val="en-US"/>
        </w:rPr>
        <w:t xml:space="preserve">; </w:t>
      </w:r>
      <w:r w:rsidRPr="20012A4A">
        <w:rPr>
          <w:szCs w:val="24"/>
          <w:lang w:val="en-US"/>
        </w:rPr>
        <w:t>and</w:t>
      </w:r>
      <w:r>
        <w:rPr>
          <w:rFonts w:ascii="Arial" w:hAnsi="Arial" w:cs="Arial"/>
          <w:lang w:val="en-US"/>
        </w:rPr>
        <w:t xml:space="preserve"> </w:t>
      </w:r>
      <w:r w:rsidR="00D276A3">
        <w:rPr>
          <w:lang w:val="en-US"/>
        </w:rPr>
        <w:t>e</w:t>
      </w:r>
      <w:r w:rsidRPr="00B51262">
        <w:rPr>
          <w:lang w:val="en-US"/>
        </w:rPr>
        <w:t>-Meetings/Virtual participation (</w:t>
      </w:r>
      <w:r w:rsidR="00AC3A52">
        <w:rPr>
          <w:lang w:val="en-US"/>
        </w:rPr>
        <w:t xml:space="preserve">these last </w:t>
      </w:r>
      <w:r w:rsidRPr="00B51262">
        <w:rPr>
          <w:lang w:val="en-US"/>
        </w:rPr>
        <w:t xml:space="preserve">theme </w:t>
      </w:r>
      <w:r>
        <w:rPr>
          <w:lang w:val="en-US"/>
        </w:rPr>
        <w:t xml:space="preserve">coming </w:t>
      </w:r>
      <w:r w:rsidRPr="00B51262">
        <w:rPr>
          <w:lang w:val="en-US"/>
        </w:rPr>
        <w:t xml:space="preserve">from the </w:t>
      </w:r>
      <w:r>
        <w:rPr>
          <w:lang w:val="en-US"/>
        </w:rPr>
        <w:t>Inter-Sectoral Coordination Group (</w:t>
      </w:r>
      <w:r w:rsidRPr="00B51262">
        <w:rPr>
          <w:lang w:val="en-US"/>
        </w:rPr>
        <w:t>ISCG</w:t>
      </w:r>
      <w:r>
        <w:rPr>
          <w:lang w:val="en-US"/>
        </w:rPr>
        <w:t>)</w:t>
      </w:r>
      <w:r w:rsidRPr="00B51262">
        <w:rPr>
          <w:lang w:val="en-US"/>
        </w:rPr>
        <w:t>)</w:t>
      </w:r>
      <w:r w:rsidR="00AC3A52">
        <w:rPr>
          <w:lang w:val="en-US"/>
        </w:rPr>
        <w:t>.</w:t>
      </w:r>
    </w:p>
    <w:p w14:paraId="063296CE" w14:textId="4E6FFDC0" w:rsidR="00640A62" w:rsidRDefault="35EBA0C3" w:rsidP="00331B90">
      <w:pPr>
        <w:tabs>
          <w:tab w:val="clear" w:pos="567"/>
          <w:tab w:val="clear" w:pos="1134"/>
          <w:tab w:val="clear" w:pos="1701"/>
          <w:tab w:val="clear" w:pos="2268"/>
          <w:tab w:val="clear" w:pos="2835"/>
        </w:tabs>
        <w:overflowPunct/>
        <w:autoSpaceDE/>
        <w:autoSpaceDN/>
        <w:adjustRightInd/>
        <w:spacing w:after="120"/>
        <w:jc w:val="both"/>
        <w:textAlignment w:val="auto"/>
        <w:rPr>
          <w:rFonts w:cs="Calibri"/>
          <w:lang w:eastAsia="en-GB"/>
        </w:rPr>
      </w:pPr>
      <w:r w:rsidRPr="056D79E0">
        <w:rPr>
          <w:rFonts w:cs="Calibri"/>
          <w:lang w:eastAsia="en-GB"/>
        </w:rPr>
        <w:t>Some examples of c</w:t>
      </w:r>
      <w:r w:rsidR="124DA4CB" w:rsidRPr="056D79E0">
        <w:rPr>
          <w:rFonts w:cs="Calibri"/>
          <w:lang w:eastAsia="en-GB"/>
        </w:rPr>
        <w:t xml:space="preserve">oncrete results of inter-Sector teams coordinating the work across ITU </w:t>
      </w:r>
      <w:r w:rsidR="53A0258A" w:rsidRPr="056D79E0">
        <w:rPr>
          <w:rFonts w:cs="Calibri"/>
          <w:lang w:eastAsia="en-GB"/>
        </w:rPr>
        <w:t xml:space="preserve">are: </w:t>
      </w:r>
    </w:p>
    <w:p w14:paraId="01FC4E69" w14:textId="0AE26845" w:rsidR="006515E2" w:rsidRPr="006515E2" w:rsidRDefault="00A212F7" w:rsidP="00640A62">
      <w:pPr>
        <w:pStyle w:val="ListParagraph"/>
        <w:numPr>
          <w:ilvl w:val="0"/>
          <w:numId w:val="6"/>
        </w:numPr>
        <w:tabs>
          <w:tab w:val="clear" w:pos="567"/>
          <w:tab w:val="clear" w:pos="1134"/>
          <w:tab w:val="clear" w:pos="1701"/>
          <w:tab w:val="clear" w:pos="2268"/>
          <w:tab w:val="clear" w:pos="2835"/>
        </w:tabs>
        <w:overflowPunct/>
        <w:autoSpaceDE/>
        <w:autoSpaceDN/>
        <w:adjustRightInd/>
        <w:spacing w:after="120"/>
        <w:jc w:val="both"/>
        <w:textAlignment w:val="auto"/>
        <w:rPr>
          <w:rFonts w:cs="Calibri"/>
          <w:lang w:eastAsia="en-GB"/>
        </w:rPr>
      </w:pPr>
      <w:r>
        <w:rPr>
          <w:rFonts w:cs="Calibri"/>
          <w:lang w:eastAsia="en-GB"/>
        </w:rPr>
        <w:t xml:space="preserve">Capacity </w:t>
      </w:r>
      <w:r w:rsidR="00CF635C">
        <w:rPr>
          <w:rFonts w:cs="Calibri"/>
          <w:lang w:eastAsia="en-GB"/>
        </w:rPr>
        <w:t xml:space="preserve">Development: </w:t>
      </w:r>
      <w:r w:rsidR="00613D2A" w:rsidRPr="00640A62">
        <w:rPr>
          <w:rFonts w:cs="Calibri"/>
          <w:lang w:eastAsia="en-GB"/>
        </w:rPr>
        <w:t xml:space="preserve">the ITU Capacity Development Manual </w:t>
      </w:r>
      <w:r w:rsidR="002163D5" w:rsidRPr="00640A62">
        <w:rPr>
          <w:rFonts w:cs="Calibri"/>
          <w:lang w:eastAsia="en-GB"/>
        </w:rPr>
        <w:t xml:space="preserve">which </w:t>
      </w:r>
      <w:r w:rsidR="002163D5">
        <w:t>lays down the principles, procedures and practices for implementing capacity development and training activities delivered by the Union</w:t>
      </w:r>
      <w:r w:rsidR="00640A62">
        <w:t>.</w:t>
      </w:r>
      <w:r w:rsidR="00642A8C">
        <w:t xml:space="preserve"> The manual was developed by the Intersectoral Task Force on Capacity Development</w:t>
      </w:r>
      <w:r w:rsidR="006515E2">
        <w:t xml:space="preserve">, </w:t>
      </w:r>
      <w:r w:rsidR="00642A8C">
        <w:t xml:space="preserve">following discussions within the ITU </w:t>
      </w:r>
      <w:r w:rsidR="00164C86">
        <w:t>s</w:t>
      </w:r>
      <w:r w:rsidR="00642A8C">
        <w:t>ecretariat and among the ITU membership on how to harmonize and strengthen capacity development approaches across the ITU to better respond to the emerging needs of the membership</w:t>
      </w:r>
      <w:r w:rsidR="006515E2">
        <w:t>.</w:t>
      </w:r>
    </w:p>
    <w:p w14:paraId="739E7FBC" w14:textId="0FB440C1" w:rsidR="008B0E8D" w:rsidRPr="00935747" w:rsidRDefault="00CF635C" w:rsidP="001A13D9">
      <w:pPr>
        <w:pStyle w:val="ListParagraph"/>
        <w:numPr>
          <w:ilvl w:val="0"/>
          <w:numId w:val="6"/>
        </w:numPr>
        <w:tabs>
          <w:tab w:val="clear" w:pos="567"/>
          <w:tab w:val="clear" w:pos="1134"/>
          <w:tab w:val="clear" w:pos="1701"/>
          <w:tab w:val="clear" w:pos="2268"/>
          <w:tab w:val="clear" w:pos="2835"/>
        </w:tabs>
        <w:overflowPunct/>
        <w:autoSpaceDE/>
        <w:autoSpaceDN/>
        <w:adjustRightInd/>
        <w:spacing w:after="120"/>
        <w:jc w:val="both"/>
        <w:textAlignment w:val="auto"/>
        <w:rPr>
          <w:rFonts w:cs="Calibri"/>
          <w:lang w:eastAsia="en-GB"/>
        </w:rPr>
      </w:pPr>
      <w:r w:rsidRPr="00CF635C">
        <w:t xml:space="preserve">Climate Change </w:t>
      </w:r>
      <w:r w:rsidR="00BC6A51">
        <w:t>and</w:t>
      </w:r>
      <w:r w:rsidRPr="00CF635C">
        <w:t xml:space="preserve"> Environmental Sustainability</w:t>
      </w:r>
      <w:r>
        <w:t xml:space="preserve">: The ITU’s presence at </w:t>
      </w:r>
      <w:r w:rsidR="00DF0EDB">
        <w:t>COP-29</w:t>
      </w:r>
      <w:r w:rsidR="00407633">
        <w:t xml:space="preserve"> and the organization of the </w:t>
      </w:r>
      <w:r w:rsidR="00407633" w:rsidRPr="00407633">
        <w:t xml:space="preserve">first-ever digitalization day at a climate conference, </w:t>
      </w:r>
      <w:r w:rsidR="00935747">
        <w:t xml:space="preserve">that </w:t>
      </w:r>
      <w:r w:rsidR="00407633" w:rsidRPr="00407633">
        <w:t>culminated in the declaration on Green Digital Action. Built around eight common objectives, the declaration recognises the importance of digital technologies to mitigate and adapt to climate change while acknowledging the adverse impacts of digital technologies on the climate.</w:t>
      </w:r>
    </w:p>
    <w:p w14:paraId="4D183C36" w14:textId="28ECA36C" w:rsidR="000C6B8B" w:rsidRDefault="008521C8" w:rsidP="000C6B8B">
      <w:pPr>
        <w:tabs>
          <w:tab w:val="clear" w:pos="567"/>
          <w:tab w:val="clear" w:pos="1134"/>
          <w:tab w:val="clear" w:pos="1701"/>
          <w:tab w:val="clear" w:pos="2268"/>
          <w:tab w:val="clear" w:pos="2835"/>
        </w:tabs>
        <w:overflowPunct/>
        <w:autoSpaceDE/>
        <w:autoSpaceDN/>
        <w:adjustRightInd/>
        <w:spacing w:after="120"/>
        <w:jc w:val="both"/>
        <w:textAlignment w:val="auto"/>
        <w:rPr>
          <w:rFonts w:cs="Calibri"/>
          <w:lang w:eastAsia="en-GB"/>
        </w:rPr>
      </w:pPr>
      <w:r>
        <w:rPr>
          <w:rFonts w:cs="Calibri"/>
          <w:lang w:eastAsia="en-GB"/>
        </w:rPr>
        <w:t xml:space="preserve">More </w:t>
      </w:r>
      <w:r w:rsidR="009A287D">
        <w:rPr>
          <w:rFonts w:cs="Calibri"/>
          <w:lang w:eastAsia="en-GB"/>
        </w:rPr>
        <w:t xml:space="preserve">information about </w:t>
      </w:r>
      <w:r w:rsidR="00273797">
        <w:rPr>
          <w:rFonts w:cs="Calibri"/>
          <w:lang w:eastAsia="en-GB"/>
        </w:rPr>
        <w:t xml:space="preserve">the themes reporting to the ISC-TF </w:t>
      </w:r>
      <w:r w:rsidR="00331B90" w:rsidRPr="00331B90">
        <w:rPr>
          <w:rFonts w:cs="Calibri"/>
          <w:lang w:eastAsia="en-GB"/>
        </w:rPr>
        <w:t xml:space="preserve">can be found </w:t>
      </w:r>
      <w:r w:rsidR="00D71F0D">
        <w:rPr>
          <w:rFonts w:cs="Calibri"/>
          <w:lang w:eastAsia="en-GB"/>
        </w:rPr>
        <w:t>i</w:t>
      </w:r>
      <w:r w:rsidR="00331B90" w:rsidRPr="00331B90">
        <w:rPr>
          <w:rFonts w:cs="Calibri"/>
          <w:lang w:eastAsia="en-GB"/>
        </w:rPr>
        <w:t xml:space="preserve">n Council document </w:t>
      </w:r>
      <w:hyperlink r:id="rId18" w:history="1">
        <w:r w:rsidR="00331B90" w:rsidRPr="00164C86">
          <w:rPr>
            <w:rStyle w:val="Hyperlink"/>
            <w:rFonts w:cs="Calibri"/>
            <w:lang w:eastAsia="en-GB"/>
          </w:rPr>
          <w:t>C25/35</w:t>
        </w:r>
      </w:hyperlink>
      <w:r w:rsidR="00331B90" w:rsidRPr="00164C86">
        <w:rPr>
          <w:rFonts w:cs="Calibri"/>
          <w:lang w:eastAsia="en-GB"/>
        </w:rPr>
        <w:t xml:space="preserve"> </w:t>
      </w:r>
      <w:r w:rsidR="00331B90" w:rsidRPr="00331B90">
        <w:rPr>
          <w:rFonts w:cs="Calibri"/>
          <w:lang w:eastAsia="en-GB"/>
        </w:rPr>
        <w:t xml:space="preserve">on the implementation of the strategic plan and the activities of the Union. </w:t>
      </w:r>
    </w:p>
    <w:p w14:paraId="29967913" w14:textId="26F6FB3B" w:rsidR="00170ABE" w:rsidRDefault="4C039D9B" w:rsidP="006D3EE7">
      <w:pPr>
        <w:jc w:val="both"/>
        <w:rPr>
          <w:rFonts w:cs="Calibri"/>
          <w:lang w:eastAsia="en-GB"/>
        </w:rPr>
      </w:pPr>
      <w:r w:rsidRPr="056D79E0">
        <w:rPr>
          <w:lang w:val="en-US"/>
        </w:rPr>
        <w:t xml:space="preserve">Regarding the other themes that make up </w:t>
      </w:r>
      <w:r w:rsidRPr="056D79E0">
        <w:rPr>
          <w:lang w:val="en-US"/>
        </w:rPr>
        <w:t xml:space="preserve">the list of themes requiring inter-Sectoral coordination, the </w:t>
      </w:r>
      <w:r w:rsidR="3BD5250B" w:rsidRPr="056D79E0">
        <w:rPr>
          <w:lang w:val="en-US"/>
        </w:rPr>
        <w:t>s</w:t>
      </w:r>
      <w:r w:rsidRPr="056D79E0">
        <w:rPr>
          <w:lang w:val="en-US"/>
        </w:rPr>
        <w:t xml:space="preserve">ecretariat </w:t>
      </w:r>
      <w:r w:rsidR="6B3E99B0" w:rsidRPr="056D79E0">
        <w:rPr>
          <w:lang w:val="en-US"/>
        </w:rPr>
        <w:t>continues</w:t>
      </w:r>
      <w:r w:rsidR="3BD5250B" w:rsidRPr="056D79E0">
        <w:rPr>
          <w:lang w:val="en-US"/>
        </w:rPr>
        <w:t xml:space="preserve"> to follow up w</w:t>
      </w:r>
      <w:r w:rsidRPr="056D79E0">
        <w:rPr>
          <w:lang w:val="en-US"/>
        </w:rPr>
        <w:t xml:space="preserve">ith each </w:t>
      </w:r>
      <w:r w:rsidR="38E1634B" w:rsidRPr="056D79E0">
        <w:rPr>
          <w:lang w:val="en-US"/>
        </w:rPr>
        <w:t xml:space="preserve">focal point </w:t>
      </w:r>
      <w:r w:rsidR="02557020" w:rsidRPr="056D79E0">
        <w:rPr>
          <w:lang w:val="en-US"/>
        </w:rPr>
        <w:t xml:space="preserve">to assure coordination is in place and </w:t>
      </w:r>
      <w:r w:rsidR="6DDDF0D1" w:rsidRPr="056D79E0">
        <w:rPr>
          <w:lang w:val="en-US"/>
        </w:rPr>
        <w:t xml:space="preserve">that </w:t>
      </w:r>
      <w:r w:rsidR="02557020" w:rsidRPr="056D79E0">
        <w:rPr>
          <w:lang w:val="en-US"/>
        </w:rPr>
        <w:t xml:space="preserve">they report to </w:t>
      </w:r>
      <w:r w:rsidR="0E80F17F" w:rsidRPr="056D79E0">
        <w:rPr>
          <w:lang w:val="en-US"/>
        </w:rPr>
        <w:t xml:space="preserve">the </w:t>
      </w:r>
      <w:r w:rsidR="02557020" w:rsidRPr="056D79E0">
        <w:rPr>
          <w:lang w:val="en-US"/>
        </w:rPr>
        <w:t>Council on an annual basis</w:t>
      </w:r>
      <w:r w:rsidR="5F98E8AC" w:rsidRPr="056D79E0">
        <w:rPr>
          <w:lang w:val="en-US"/>
        </w:rPr>
        <w:t>. For more information, please visit the web-platform designed to report on the implementation of PP</w:t>
      </w:r>
      <w:r w:rsidR="790A9CBA" w:rsidRPr="056D79E0">
        <w:rPr>
          <w:lang w:val="en-US"/>
        </w:rPr>
        <w:t xml:space="preserve"> r</w:t>
      </w:r>
      <w:r w:rsidR="5F98E8AC" w:rsidRPr="056D79E0">
        <w:rPr>
          <w:lang w:val="en-US"/>
        </w:rPr>
        <w:t xml:space="preserve">esolutions </w:t>
      </w:r>
      <w:hyperlink r:id="rId19">
        <w:r w:rsidR="5F98E8AC" w:rsidRPr="056D79E0">
          <w:rPr>
            <w:rStyle w:val="Hyperlink"/>
            <w:lang w:val="en-US"/>
          </w:rPr>
          <w:t>here</w:t>
        </w:r>
      </w:hyperlink>
      <w:r w:rsidR="5F98E8AC" w:rsidRPr="056D79E0">
        <w:rPr>
          <w:lang w:val="en-US"/>
        </w:rPr>
        <w:t>.</w:t>
      </w:r>
    </w:p>
    <w:p w14:paraId="368B5305" w14:textId="5E89EE53" w:rsidR="000C6B8B" w:rsidRPr="001A3DFB" w:rsidRDefault="000C6B8B" w:rsidP="652CDA6D">
      <w:pPr>
        <w:tabs>
          <w:tab w:val="clear" w:pos="567"/>
          <w:tab w:val="clear" w:pos="1134"/>
          <w:tab w:val="clear" w:pos="1701"/>
          <w:tab w:val="clear" w:pos="2268"/>
          <w:tab w:val="clear" w:pos="2835"/>
        </w:tabs>
        <w:overflowPunct/>
        <w:autoSpaceDE/>
        <w:autoSpaceDN/>
        <w:adjustRightInd/>
        <w:spacing w:before="440" w:after="120"/>
        <w:ind w:left="709" w:hanging="709"/>
        <w:jc w:val="both"/>
        <w:textAlignment w:val="auto"/>
        <w:rPr>
          <w:b/>
          <w:bCs/>
          <w:sz w:val="28"/>
          <w:szCs w:val="28"/>
        </w:rPr>
      </w:pPr>
      <w:r w:rsidRPr="652CDA6D">
        <w:rPr>
          <w:b/>
          <w:bCs/>
          <w:sz w:val="28"/>
          <w:szCs w:val="28"/>
        </w:rPr>
        <w:t>3</w:t>
      </w:r>
      <w:r>
        <w:tab/>
      </w:r>
      <w:r w:rsidRPr="652CDA6D">
        <w:rPr>
          <w:b/>
          <w:bCs/>
          <w:sz w:val="28"/>
          <w:szCs w:val="28"/>
        </w:rPr>
        <w:t xml:space="preserve">Coordination among the membership - Inter-Sector </w:t>
      </w:r>
      <w:r w:rsidRPr="652CDA6D">
        <w:rPr>
          <w:b/>
          <w:bCs/>
          <w:sz w:val="28"/>
          <w:szCs w:val="28"/>
        </w:rPr>
        <w:t>Coordination Group (ISCG)</w:t>
      </w:r>
    </w:p>
    <w:p w14:paraId="5F208CCE" w14:textId="77777777" w:rsidR="00542383" w:rsidRPr="007F2DC7" w:rsidRDefault="00542383" w:rsidP="00542383">
      <w:p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cs="Calibri"/>
          <w:lang w:eastAsia="en-GB"/>
        </w:rPr>
      </w:pPr>
      <w:r w:rsidRPr="602F19C6">
        <w:rPr>
          <w:rStyle w:val="normaltextrun"/>
          <w:rFonts w:cs="Calibri"/>
          <w:lang w:eastAsia="en-GB"/>
        </w:rPr>
        <w:t>The membership coordination continues to be under the ISCG, chaired by Mr Fabio Bigi (Italy), as a contribution-driven group.</w:t>
      </w:r>
    </w:p>
    <w:p w14:paraId="6D473AD2" w14:textId="28B227D7" w:rsidR="0003332F" w:rsidRDefault="00542383" w:rsidP="00542383">
      <w:p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cs="Calibri"/>
          <w:lang w:eastAsia="en-GB"/>
        </w:rPr>
      </w:pPr>
      <w:r w:rsidRPr="602F19C6">
        <w:rPr>
          <w:rStyle w:val="normaltextrun"/>
          <w:rFonts w:cs="Calibri"/>
          <w:lang w:eastAsia="en-GB"/>
        </w:rPr>
        <w:t xml:space="preserve">The ISCG, in its capacity as the membership coordination mechanism, met </w:t>
      </w:r>
      <w:r w:rsidR="00891333">
        <w:rPr>
          <w:rStyle w:val="normaltextrun"/>
          <w:rFonts w:cs="Calibri"/>
          <w:lang w:eastAsia="en-GB"/>
        </w:rPr>
        <w:t xml:space="preserve">three times in </w:t>
      </w:r>
      <w:r w:rsidR="00464441">
        <w:rPr>
          <w:rStyle w:val="normaltextrun"/>
          <w:rFonts w:cs="Calibri"/>
          <w:lang w:eastAsia="en-GB"/>
        </w:rPr>
        <w:t xml:space="preserve">2024. </w:t>
      </w:r>
      <w:r w:rsidR="0003332F">
        <w:rPr>
          <w:rStyle w:val="normaltextrun"/>
          <w:rFonts w:cs="Calibri"/>
          <w:lang w:eastAsia="en-GB"/>
        </w:rPr>
        <w:t>Coordina</w:t>
      </w:r>
      <w:r w:rsidR="00514822">
        <w:rPr>
          <w:rStyle w:val="normaltextrun"/>
          <w:rFonts w:cs="Calibri"/>
          <w:lang w:eastAsia="en-GB"/>
        </w:rPr>
        <w:t xml:space="preserve">tors have been appointed by the Sector advisory groups for </w:t>
      </w:r>
      <w:r w:rsidR="008575D2">
        <w:rPr>
          <w:rStyle w:val="normaltextrun"/>
          <w:rFonts w:cs="Calibri"/>
          <w:lang w:eastAsia="en-GB"/>
        </w:rPr>
        <w:t xml:space="preserve">Accessibility, Climate </w:t>
      </w:r>
      <w:r w:rsidR="006377FC">
        <w:rPr>
          <w:rStyle w:val="normaltextrun"/>
          <w:rFonts w:cs="Calibri"/>
          <w:lang w:eastAsia="en-GB"/>
        </w:rPr>
        <w:t>C</w:t>
      </w:r>
      <w:r w:rsidR="008575D2">
        <w:rPr>
          <w:rStyle w:val="normaltextrun"/>
          <w:rFonts w:cs="Calibri"/>
          <w:lang w:eastAsia="en-GB"/>
        </w:rPr>
        <w:t xml:space="preserve">hange, Remote </w:t>
      </w:r>
      <w:r w:rsidR="006377FC">
        <w:rPr>
          <w:rStyle w:val="normaltextrun"/>
          <w:rFonts w:cs="Calibri"/>
          <w:lang w:eastAsia="en-GB"/>
        </w:rPr>
        <w:t>P</w:t>
      </w:r>
      <w:r w:rsidR="008575D2">
        <w:rPr>
          <w:rStyle w:val="normaltextrun"/>
          <w:rFonts w:cs="Calibri"/>
          <w:lang w:eastAsia="en-GB"/>
        </w:rPr>
        <w:t>articipation</w:t>
      </w:r>
      <w:r w:rsidR="00220CD6">
        <w:rPr>
          <w:rStyle w:val="normaltextrun"/>
          <w:rFonts w:cs="Calibri"/>
          <w:lang w:eastAsia="en-GB"/>
        </w:rPr>
        <w:t>,</w:t>
      </w:r>
      <w:r w:rsidR="008575D2">
        <w:rPr>
          <w:rStyle w:val="normaltextrun"/>
          <w:rFonts w:cs="Calibri"/>
          <w:lang w:eastAsia="en-GB"/>
        </w:rPr>
        <w:t xml:space="preserve"> and Sustainable Digital Transformation.</w:t>
      </w:r>
    </w:p>
    <w:p w14:paraId="7EC69100" w14:textId="4B288A1C" w:rsidR="00542383" w:rsidRDefault="004B3125" w:rsidP="00542383">
      <w:p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cs="Calibri"/>
          <w:lang w:eastAsia="en-GB"/>
        </w:rPr>
      </w:pPr>
      <w:r w:rsidRPr="004B3125">
        <w:rPr>
          <w:rStyle w:val="normaltextrun"/>
          <w:rFonts w:cs="Calibri"/>
          <w:lang w:eastAsia="en-GB"/>
        </w:rPr>
        <w:t xml:space="preserve">The </w:t>
      </w:r>
      <w:r>
        <w:rPr>
          <w:rStyle w:val="normaltextrun"/>
          <w:rFonts w:cs="Calibri"/>
          <w:lang w:eastAsia="en-GB"/>
        </w:rPr>
        <w:t>group</w:t>
      </w:r>
      <w:r w:rsidRPr="004B3125">
        <w:rPr>
          <w:rStyle w:val="normaltextrun"/>
          <w:rFonts w:cs="Calibri"/>
          <w:lang w:eastAsia="en-GB"/>
        </w:rPr>
        <w:t xml:space="preserve"> continues to address the following topics:</w:t>
      </w:r>
    </w:p>
    <w:p w14:paraId="33B27F0A" w14:textId="47D123ED" w:rsidR="00BD495B" w:rsidRDefault="00237D45" w:rsidP="001A13D9">
      <w:pPr>
        <w:pStyle w:val="ListParagraph"/>
        <w:numPr>
          <w:ilvl w:val="0"/>
          <w:numId w:val="6"/>
        </w:num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cs="Calibri"/>
          <w:lang w:eastAsia="en-GB"/>
        </w:rPr>
      </w:pPr>
      <w:r w:rsidRPr="000C014B">
        <w:rPr>
          <w:rStyle w:val="normaltextrun"/>
          <w:rFonts w:cs="Calibri"/>
          <w:spacing w:val="-2"/>
          <w:lang w:eastAsia="en-GB"/>
        </w:rPr>
        <w:t xml:space="preserve">Accessibility: The ISCG has been actively monitoring discussions on enhancing ITU </w:t>
      </w:r>
      <w:r w:rsidRPr="000C014B">
        <w:rPr>
          <w:rStyle w:val="normaltextrun"/>
          <w:rFonts w:cs="Calibri"/>
          <w:spacing w:val="-4"/>
          <w:lang w:eastAsia="en-GB"/>
        </w:rPr>
        <w:t>meetings, particularly focusing on remote participation and captioning services.</w:t>
      </w:r>
      <w:r w:rsidR="00AE1E66" w:rsidRPr="000C014B">
        <w:rPr>
          <w:rStyle w:val="normaltextrun"/>
          <w:rFonts w:cs="Calibri"/>
          <w:spacing w:val="-4"/>
          <w:lang w:eastAsia="en-GB"/>
        </w:rPr>
        <w:t xml:space="preserve"> </w:t>
      </w:r>
      <w:r w:rsidRPr="000C014B">
        <w:rPr>
          <w:rStyle w:val="normaltextrun"/>
          <w:rFonts w:cs="Calibri"/>
          <w:spacing w:val="-4"/>
          <w:lang w:eastAsia="en-GB"/>
        </w:rPr>
        <w:t xml:space="preserve">The </w:t>
      </w:r>
      <w:r w:rsidR="00AE1E66" w:rsidRPr="000C014B">
        <w:rPr>
          <w:rStyle w:val="normaltextrun"/>
          <w:rFonts w:cs="Calibri"/>
          <w:spacing w:val="-4"/>
          <w:lang w:eastAsia="en-GB"/>
        </w:rPr>
        <w:t>group</w:t>
      </w:r>
      <w:r w:rsidR="00AE1E66" w:rsidRPr="000C014B">
        <w:rPr>
          <w:rStyle w:val="normaltextrun"/>
          <w:rFonts w:cs="Calibri"/>
          <w:spacing w:val="-2"/>
          <w:lang w:eastAsia="en-GB"/>
        </w:rPr>
        <w:t xml:space="preserve"> </w:t>
      </w:r>
      <w:r w:rsidRPr="000C014B">
        <w:rPr>
          <w:rStyle w:val="normaltextrun"/>
          <w:rFonts w:cs="Calibri"/>
          <w:spacing w:val="-4"/>
          <w:lang w:eastAsia="en-GB"/>
        </w:rPr>
        <w:t xml:space="preserve">has proposed to the </w:t>
      </w:r>
      <w:r w:rsidR="00220CD6" w:rsidRPr="000C014B">
        <w:rPr>
          <w:rStyle w:val="normaltextrun"/>
          <w:rFonts w:cs="Calibri"/>
          <w:spacing w:val="-4"/>
          <w:lang w:eastAsia="en-GB"/>
        </w:rPr>
        <w:t>Council Working Group on financial and human resources</w:t>
      </w:r>
      <w:r w:rsidR="00220CD6" w:rsidRPr="000C014B">
        <w:rPr>
          <w:rStyle w:val="normaltextrun"/>
          <w:rFonts w:cs="Calibri"/>
          <w:spacing w:val="-2"/>
          <w:lang w:eastAsia="en-GB"/>
        </w:rPr>
        <w:t xml:space="preserve"> (</w:t>
      </w:r>
      <w:r w:rsidRPr="000C014B">
        <w:rPr>
          <w:rStyle w:val="normaltextrun"/>
          <w:rFonts w:cs="Calibri"/>
          <w:spacing w:val="-2"/>
          <w:lang w:eastAsia="en-GB"/>
        </w:rPr>
        <w:t>C</w:t>
      </w:r>
      <w:r w:rsidR="00220CD6" w:rsidRPr="000C014B">
        <w:rPr>
          <w:rStyle w:val="normaltextrun"/>
          <w:rFonts w:cs="Calibri"/>
          <w:spacing w:val="-2"/>
          <w:lang w:eastAsia="en-GB"/>
        </w:rPr>
        <w:t>W</w:t>
      </w:r>
      <w:r w:rsidRPr="000C014B">
        <w:rPr>
          <w:rStyle w:val="normaltextrun"/>
          <w:rFonts w:cs="Calibri"/>
          <w:spacing w:val="-2"/>
          <w:lang w:eastAsia="en-GB"/>
        </w:rPr>
        <w:t>G-FHR</w:t>
      </w:r>
      <w:r w:rsidR="00220CD6" w:rsidRPr="000C014B">
        <w:rPr>
          <w:rStyle w:val="normaltextrun"/>
          <w:rFonts w:cs="Calibri"/>
          <w:spacing w:val="-2"/>
          <w:lang w:eastAsia="en-GB"/>
        </w:rPr>
        <w:t>)</w:t>
      </w:r>
      <w:r w:rsidRPr="000C014B">
        <w:rPr>
          <w:rStyle w:val="normaltextrun"/>
          <w:rFonts w:cs="Calibri"/>
          <w:spacing w:val="-2"/>
          <w:lang w:eastAsia="en-GB"/>
        </w:rPr>
        <w:t xml:space="preserve"> to include a paragraph in all circular letters inviting participants to ITU meetings, highlighting the option to request captioning services (see document </w:t>
      </w:r>
      <w:hyperlink r:id="rId20">
        <w:r w:rsidRPr="000C014B">
          <w:rPr>
            <w:rStyle w:val="Hyperlink"/>
            <w:rFonts w:cs="Calibri"/>
            <w:spacing w:val="-2"/>
            <w:lang w:eastAsia="en-GB"/>
          </w:rPr>
          <w:t>CWG-FHR-20/</w:t>
        </w:r>
        <w:r w:rsidR="00854FF4">
          <w:rPr>
            <w:rStyle w:val="Hyperlink"/>
            <w:rFonts w:cs="Calibri"/>
            <w:spacing w:val="-2"/>
            <w:lang w:eastAsia="en-GB"/>
          </w:rPr>
          <w:t>24</w:t>
        </w:r>
      </w:hyperlink>
      <w:r w:rsidRPr="000C014B">
        <w:rPr>
          <w:rStyle w:val="normaltextrun"/>
          <w:rFonts w:cs="Calibri"/>
          <w:spacing w:val="-2"/>
          <w:lang w:eastAsia="en-GB"/>
        </w:rPr>
        <w:t>).</w:t>
      </w:r>
      <w:r w:rsidR="00AE1E66" w:rsidRPr="27F2F536">
        <w:rPr>
          <w:rStyle w:val="normaltextrun"/>
          <w:rFonts w:cs="Calibri"/>
          <w:lang w:eastAsia="en-GB"/>
        </w:rPr>
        <w:t xml:space="preserve"> </w:t>
      </w:r>
      <w:r w:rsidRPr="27F2F536">
        <w:rPr>
          <w:rStyle w:val="normaltextrun"/>
          <w:rFonts w:cs="Calibri"/>
          <w:lang w:eastAsia="en-GB"/>
        </w:rPr>
        <w:t xml:space="preserve">With </w:t>
      </w:r>
      <w:r w:rsidRPr="005062C9">
        <w:rPr>
          <w:rStyle w:val="normaltextrun"/>
          <w:rFonts w:cs="Calibri"/>
          <w:spacing w:val="-2"/>
          <w:lang w:eastAsia="en-GB"/>
        </w:rPr>
        <w:t xml:space="preserve">the recent retirement of the Accessibility </w:t>
      </w:r>
      <w:r w:rsidR="00CD398E" w:rsidRPr="005062C9">
        <w:rPr>
          <w:rStyle w:val="normaltextrun"/>
          <w:rFonts w:cs="Calibri"/>
          <w:spacing w:val="-2"/>
          <w:lang w:eastAsia="en-GB"/>
        </w:rPr>
        <w:t>c</w:t>
      </w:r>
      <w:r w:rsidRPr="005062C9">
        <w:rPr>
          <w:rStyle w:val="normaltextrun"/>
          <w:rFonts w:cs="Calibri"/>
          <w:spacing w:val="-2"/>
          <w:lang w:eastAsia="en-GB"/>
        </w:rPr>
        <w:t>oordinator, Ms</w:t>
      </w:r>
      <w:r w:rsidR="00EF3E1B" w:rsidRPr="005062C9">
        <w:rPr>
          <w:rStyle w:val="normaltextrun"/>
          <w:rFonts w:cs="Calibri"/>
          <w:spacing w:val="-2"/>
          <w:lang w:eastAsia="en-GB"/>
        </w:rPr>
        <w:t> </w:t>
      </w:r>
      <w:r w:rsidRPr="005062C9">
        <w:rPr>
          <w:rStyle w:val="normaltextrun"/>
          <w:rFonts w:cs="Calibri"/>
          <w:spacing w:val="-2"/>
          <w:lang w:eastAsia="en-GB"/>
        </w:rPr>
        <w:t>Andrea</w:t>
      </w:r>
      <w:r w:rsidR="00423DCF">
        <w:rPr>
          <w:rStyle w:val="normaltextrun"/>
          <w:rFonts w:cs="Calibri"/>
          <w:spacing w:val="-2"/>
          <w:lang w:eastAsia="en-GB"/>
        </w:rPr>
        <w:t> </w:t>
      </w:r>
      <w:r w:rsidRPr="005062C9">
        <w:rPr>
          <w:rStyle w:val="normaltextrun"/>
          <w:rFonts w:cs="Calibri"/>
          <w:spacing w:val="-2"/>
          <w:lang w:eastAsia="en-GB"/>
        </w:rPr>
        <w:t xml:space="preserve">Saks, </w:t>
      </w:r>
      <w:r w:rsidRPr="00423DCF">
        <w:rPr>
          <w:rStyle w:val="normaltextrun"/>
          <w:rFonts w:cs="Calibri"/>
          <w:spacing w:val="-2"/>
          <w:lang w:eastAsia="en-GB"/>
        </w:rPr>
        <w:t xml:space="preserve">a new </w:t>
      </w:r>
      <w:r w:rsidR="00BD495B" w:rsidRPr="00423DCF">
        <w:rPr>
          <w:rStyle w:val="normaltextrun"/>
          <w:rFonts w:cs="Calibri"/>
          <w:spacing w:val="-2"/>
          <w:lang w:eastAsia="en-GB"/>
        </w:rPr>
        <w:t xml:space="preserve">coordinator </w:t>
      </w:r>
      <w:r w:rsidRPr="00423DCF">
        <w:rPr>
          <w:rStyle w:val="normaltextrun"/>
          <w:rFonts w:cs="Calibri"/>
          <w:spacing w:val="-2"/>
          <w:lang w:eastAsia="en-GB"/>
        </w:rPr>
        <w:t xml:space="preserve">should be </w:t>
      </w:r>
      <w:r w:rsidR="00BD495B" w:rsidRPr="00423DCF">
        <w:rPr>
          <w:rStyle w:val="normaltextrun"/>
          <w:rFonts w:cs="Calibri"/>
          <w:spacing w:val="-2"/>
          <w:lang w:eastAsia="en-GB"/>
        </w:rPr>
        <w:t>appointed</w:t>
      </w:r>
      <w:r w:rsidRPr="00423DCF">
        <w:rPr>
          <w:rStyle w:val="normaltextrun"/>
          <w:rFonts w:cs="Calibri"/>
          <w:spacing w:val="-2"/>
          <w:lang w:eastAsia="en-GB"/>
        </w:rPr>
        <w:t xml:space="preserve"> by the Sectors’ advisory groups.</w:t>
      </w:r>
    </w:p>
    <w:p w14:paraId="05296DC7" w14:textId="77777777" w:rsidR="006548E6" w:rsidRDefault="6AAADDC6" w:rsidP="00B13107">
      <w:pPr>
        <w:pStyle w:val="ListParagraph"/>
        <w:keepNext/>
        <w:keepLines/>
        <w:numPr>
          <w:ilvl w:val="0"/>
          <w:numId w:val="6"/>
        </w:numPr>
        <w:tabs>
          <w:tab w:val="clear" w:pos="567"/>
          <w:tab w:val="clear" w:pos="1134"/>
          <w:tab w:val="clear" w:pos="1701"/>
          <w:tab w:val="clear" w:pos="2268"/>
          <w:tab w:val="clear" w:pos="2835"/>
        </w:tabs>
        <w:overflowPunct/>
        <w:autoSpaceDE/>
        <w:autoSpaceDN/>
        <w:adjustRightInd/>
        <w:spacing w:after="120"/>
        <w:ind w:left="714" w:hanging="357"/>
        <w:jc w:val="both"/>
        <w:textAlignment w:val="auto"/>
        <w:rPr>
          <w:rStyle w:val="normaltextrun"/>
          <w:rFonts w:cs="Calibri"/>
          <w:lang w:eastAsia="en-GB"/>
        </w:rPr>
      </w:pPr>
      <w:r w:rsidRPr="056D79E0">
        <w:rPr>
          <w:rStyle w:val="normaltextrun"/>
          <w:rFonts w:cs="Calibri"/>
          <w:lang w:eastAsia="en-GB"/>
        </w:rPr>
        <w:lastRenderedPageBreak/>
        <w:t>Climate Change: There is ongoing work related to climate change and artificial intelligence, including the development of recommendations for net-zero transition and the creation of an ITU database on global GHG emissions. Additionally, guidelines are being developed to assess the environmental impact of AI, considering both direct and indirect effects.</w:t>
      </w:r>
      <w:r w:rsidR="66618D32" w:rsidRPr="056D79E0">
        <w:rPr>
          <w:rStyle w:val="normaltextrun"/>
          <w:rFonts w:cs="Calibri"/>
          <w:lang w:eastAsia="en-GB"/>
        </w:rPr>
        <w:t xml:space="preserve"> It </w:t>
      </w:r>
      <w:r w:rsidR="06A689AC" w:rsidRPr="056D79E0">
        <w:rPr>
          <w:rStyle w:val="normaltextrun"/>
          <w:rFonts w:cs="Calibri"/>
          <w:lang w:eastAsia="en-GB"/>
        </w:rPr>
        <w:t xml:space="preserve">worth mentioning the </w:t>
      </w:r>
      <w:r w:rsidRPr="056D79E0">
        <w:rPr>
          <w:rStyle w:val="normaltextrun"/>
          <w:rFonts w:cs="Calibri"/>
          <w:lang w:eastAsia="en-GB"/>
        </w:rPr>
        <w:t>collaboration between ITU-T and ITU-D on these topics and emphasiz</w:t>
      </w:r>
      <w:r w:rsidR="06A689AC" w:rsidRPr="056D79E0">
        <w:rPr>
          <w:rStyle w:val="normaltextrun"/>
          <w:rFonts w:cs="Calibri"/>
          <w:lang w:eastAsia="en-GB"/>
        </w:rPr>
        <w:t>ing</w:t>
      </w:r>
      <w:r w:rsidRPr="056D79E0">
        <w:rPr>
          <w:rStyle w:val="normaltextrun"/>
          <w:rFonts w:cs="Calibri"/>
          <w:lang w:eastAsia="en-GB"/>
        </w:rPr>
        <w:t xml:space="preserve"> the potential benefits of AI solutions in areas such as </w:t>
      </w:r>
      <w:r w:rsidRPr="056D79E0">
        <w:rPr>
          <w:rStyle w:val="normaltextrun"/>
          <w:rFonts w:cs="Calibri"/>
          <w:lang w:eastAsia="en-GB"/>
        </w:rPr>
        <w:t>agriculture and energy optimization, particularly for developing countries.</w:t>
      </w:r>
    </w:p>
    <w:p w14:paraId="1C4833F3" w14:textId="57342E2F" w:rsidR="0015462E" w:rsidRDefault="6AAADDC6" w:rsidP="001A13D9">
      <w:pPr>
        <w:pStyle w:val="ListParagraph"/>
        <w:numPr>
          <w:ilvl w:val="0"/>
          <w:numId w:val="6"/>
        </w:num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cs="Calibri"/>
          <w:lang w:eastAsia="en-GB"/>
        </w:rPr>
      </w:pPr>
      <w:r w:rsidRPr="056D79E0">
        <w:rPr>
          <w:rStyle w:val="normaltextrun"/>
          <w:rFonts w:cs="Calibri"/>
          <w:lang w:eastAsia="en-GB"/>
        </w:rPr>
        <w:t xml:space="preserve">Virtual meetings / Remote participation: The </w:t>
      </w:r>
      <w:r w:rsidR="38E1634B" w:rsidRPr="056D79E0">
        <w:rPr>
          <w:rStyle w:val="normaltextrun"/>
          <w:rFonts w:cs="Calibri"/>
          <w:lang w:eastAsia="en-GB"/>
        </w:rPr>
        <w:t>c</w:t>
      </w:r>
      <w:r w:rsidRPr="056D79E0">
        <w:rPr>
          <w:rStyle w:val="normaltextrun"/>
          <w:rFonts w:cs="Calibri"/>
          <w:lang w:eastAsia="en-GB"/>
        </w:rPr>
        <w:t xml:space="preserve">oordinator for this theme continues to monitor the work carried out by the </w:t>
      </w:r>
      <w:r w:rsidR="5D45A223" w:rsidRPr="056D79E0">
        <w:rPr>
          <w:rStyle w:val="normaltextrun"/>
          <w:rFonts w:cs="Calibri"/>
          <w:lang w:eastAsia="en-GB"/>
        </w:rPr>
        <w:t>CWG-FHR</w:t>
      </w:r>
      <w:r w:rsidRPr="056D79E0">
        <w:rPr>
          <w:rStyle w:val="normaltextrun"/>
          <w:rFonts w:cs="Calibri"/>
          <w:lang w:eastAsia="en-GB"/>
        </w:rPr>
        <w:t xml:space="preserve"> and at the Council level.</w:t>
      </w:r>
      <w:r w:rsidR="343D6215" w:rsidRPr="056D79E0">
        <w:rPr>
          <w:rStyle w:val="normaltextrun"/>
          <w:rFonts w:cs="Calibri"/>
          <w:lang w:eastAsia="en-GB"/>
        </w:rPr>
        <w:t xml:space="preserve"> T</w:t>
      </w:r>
      <w:r w:rsidRPr="056D79E0">
        <w:rPr>
          <w:rStyle w:val="normaltextrun"/>
          <w:rFonts w:cs="Calibri"/>
          <w:lang w:eastAsia="en-GB"/>
        </w:rPr>
        <w:t xml:space="preserve">he agreed </w:t>
      </w:r>
      <w:hyperlink r:id="rId21">
        <w:r w:rsidRPr="056D79E0">
          <w:rPr>
            <w:rStyle w:val="Hyperlink"/>
            <w:rFonts w:cs="Calibri"/>
            <w:lang w:eastAsia="en-GB"/>
          </w:rPr>
          <w:t>Draft guidelines on the management of fully virtual and physical meetings with remote participation at ITU in line with the implementation of Resolution 167 (Rev. Bucharest, 2022)</w:t>
        </w:r>
      </w:hyperlink>
      <w:r w:rsidR="548D32CB" w:rsidRPr="056D79E0">
        <w:rPr>
          <w:rStyle w:val="normaltextrun"/>
          <w:rFonts w:cs="Calibri"/>
          <w:lang w:eastAsia="en-GB"/>
        </w:rPr>
        <w:t xml:space="preserve">, to be presented to Council 2025, were shared with the </w:t>
      </w:r>
      <w:r w:rsidRPr="056D79E0">
        <w:rPr>
          <w:rStyle w:val="normaltextrun"/>
          <w:rFonts w:cs="Calibri"/>
          <w:lang w:eastAsia="en-GB"/>
        </w:rPr>
        <w:t xml:space="preserve">Sector advisory groups </w:t>
      </w:r>
      <w:r w:rsidR="548D32CB" w:rsidRPr="056D79E0">
        <w:rPr>
          <w:rStyle w:val="normaltextrun"/>
          <w:rFonts w:cs="Calibri"/>
          <w:lang w:eastAsia="en-GB"/>
        </w:rPr>
        <w:t>seek</w:t>
      </w:r>
      <w:r w:rsidR="56DC815F" w:rsidRPr="056D79E0">
        <w:rPr>
          <w:rStyle w:val="normaltextrun"/>
          <w:rFonts w:cs="Calibri"/>
          <w:lang w:eastAsia="en-GB"/>
        </w:rPr>
        <w:t>ing</w:t>
      </w:r>
      <w:r w:rsidR="548D32CB" w:rsidRPr="056D79E0">
        <w:rPr>
          <w:rStyle w:val="normaltextrun"/>
          <w:rFonts w:cs="Calibri"/>
          <w:lang w:eastAsia="en-GB"/>
        </w:rPr>
        <w:t xml:space="preserve"> their </w:t>
      </w:r>
      <w:r w:rsidR="4F56374A" w:rsidRPr="056D79E0">
        <w:rPr>
          <w:rStyle w:val="normaltextrun"/>
          <w:rFonts w:cs="Calibri"/>
          <w:lang w:eastAsia="en-GB"/>
        </w:rPr>
        <w:t>inputs</w:t>
      </w:r>
      <w:r w:rsidRPr="056D79E0">
        <w:rPr>
          <w:rStyle w:val="normaltextrun"/>
          <w:rFonts w:cs="Calibri"/>
          <w:lang w:eastAsia="en-GB"/>
        </w:rPr>
        <w:t>.</w:t>
      </w:r>
    </w:p>
    <w:p w14:paraId="204566E6" w14:textId="77777777" w:rsidR="00E23ED7" w:rsidRDefault="00237D45" w:rsidP="001A13D9">
      <w:pPr>
        <w:pStyle w:val="ListParagraph"/>
        <w:numPr>
          <w:ilvl w:val="0"/>
          <w:numId w:val="6"/>
        </w:num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cs="Calibri"/>
          <w:szCs w:val="24"/>
          <w:lang w:eastAsia="en-GB"/>
        </w:rPr>
      </w:pPr>
      <w:r w:rsidRPr="00E23ED7">
        <w:rPr>
          <w:rStyle w:val="normaltextrun"/>
          <w:rFonts w:cs="Calibri"/>
          <w:szCs w:val="24"/>
          <w:lang w:eastAsia="en-GB"/>
        </w:rPr>
        <w:t xml:space="preserve">ITU website: The ISCG has been actively monitoring this theme, specifically requesting the ITU secretariat to provide information on the harmonization of websites and the search system in all official languages of the Union on an equal footing. </w:t>
      </w:r>
      <w:r w:rsidR="00E23ED7" w:rsidRPr="00E23ED7">
        <w:rPr>
          <w:rStyle w:val="normaltextrun"/>
          <w:rFonts w:cs="Calibri"/>
          <w:szCs w:val="24"/>
          <w:lang w:eastAsia="en-GB"/>
        </w:rPr>
        <w:t xml:space="preserve">It was also requested that reports should be submitted to </w:t>
      </w:r>
      <w:r w:rsidRPr="00E23ED7">
        <w:rPr>
          <w:rStyle w:val="normaltextrun"/>
          <w:rFonts w:cs="Calibri"/>
          <w:szCs w:val="24"/>
          <w:lang w:eastAsia="en-GB"/>
        </w:rPr>
        <w:t>all CWG-Languages and ISCG meetings.</w:t>
      </w:r>
    </w:p>
    <w:p w14:paraId="7D85E400" w14:textId="3520213C" w:rsidR="00E23ED7" w:rsidRPr="00E23ED7" w:rsidRDefault="00237D45" w:rsidP="001A13D9">
      <w:pPr>
        <w:pStyle w:val="ListParagraph"/>
        <w:numPr>
          <w:ilvl w:val="0"/>
          <w:numId w:val="6"/>
        </w:num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cs="Calibri"/>
          <w:lang w:val="en-US" w:eastAsia="en-GB"/>
        </w:rPr>
      </w:pPr>
      <w:r w:rsidRPr="2F3B381C">
        <w:rPr>
          <w:rStyle w:val="normaltextrun"/>
          <w:rFonts w:cs="Calibri"/>
          <w:lang w:eastAsia="en-GB"/>
        </w:rPr>
        <w:t xml:space="preserve">Sustainable Digital Transformation: The </w:t>
      </w:r>
      <w:r w:rsidR="00CD398E">
        <w:rPr>
          <w:rStyle w:val="normaltextrun"/>
          <w:rFonts w:cs="Calibri"/>
          <w:lang w:eastAsia="en-GB"/>
        </w:rPr>
        <w:t>c</w:t>
      </w:r>
      <w:r w:rsidRPr="2F3B381C">
        <w:rPr>
          <w:rStyle w:val="normaltextrun"/>
          <w:rFonts w:cs="Calibri"/>
          <w:lang w:eastAsia="en-GB"/>
        </w:rPr>
        <w:t xml:space="preserve">oordinator for </w:t>
      </w:r>
      <w:r w:rsidR="1E556E51" w:rsidRPr="2F3B381C">
        <w:rPr>
          <w:rStyle w:val="normaltextrun"/>
          <w:rFonts w:cs="Calibri"/>
          <w:lang w:eastAsia="en-GB"/>
        </w:rPr>
        <w:t>this</w:t>
      </w:r>
      <w:r w:rsidRPr="2F3B381C">
        <w:rPr>
          <w:rStyle w:val="normaltextrun"/>
          <w:rFonts w:cs="Calibri"/>
          <w:lang w:eastAsia="en-GB"/>
        </w:rPr>
        <w:t xml:space="preserve"> theme has recognized the </w:t>
      </w:r>
      <w:r w:rsidR="00CD398E">
        <w:rPr>
          <w:rStyle w:val="normaltextrun"/>
          <w:rFonts w:cs="Calibri"/>
          <w:lang w:eastAsia="en-GB"/>
        </w:rPr>
        <w:t>“</w:t>
      </w:r>
      <w:r w:rsidRPr="2F3B381C">
        <w:rPr>
          <w:rStyle w:val="normaltextrun"/>
          <w:rFonts w:cs="Calibri"/>
          <w:lang w:eastAsia="en-GB"/>
        </w:rPr>
        <w:t>ITU Digital Transformation and Cities Digest</w:t>
      </w:r>
      <w:r w:rsidR="00CD398E">
        <w:rPr>
          <w:rStyle w:val="normaltextrun"/>
          <w:rFonts w:cs="Calibri"/>
          <w:lang w:eastAsia="en-GB"/>
        </w:rPr>
        <w:t>”</w:t>
      </w:r>
      <w:r w:rsidRPr="2F3B381C">
        <w:rPr>
          <w:rStyle w:val="normaltextrun"/>
          <w:rFonts w:cs="Calibri"/>
          <w:lang w:eastAsia="en-GB"/>
        </w:rPr>
        <w:t xml:space="preserve"> as a valuable and comprehensive resource on digital transformation, and encouraged </w:t>
      </w:r>
      <w:r w:rsidRPr="2F3B381C">
        <w:rPr>
          <w:rStyle w:val="normaltextrun"/>
          <w:rFonts w:cs="Calibri"/>
          <w:lang w:eastAsia="en-GB"/>
        </w:rPr>
        <w:t>ITU-D, ITU-R and the General Secretariat to consider showcasing their activities in the publication. By contributing to the Digest, each Sector can enhance visibility, foster cross-sector collaboration, and provide a more holistic view of ITU’s work in this crucial area.</w:t>
      </w:r>
    </w:p>
    <w:p w14:paraId="4644F966" w14:textId="0DF49EB0" w:rsidR="00542383" w:rsidRPr="00E23ED7" w:rsidRDefault="00E23ED7" w:rsidP="001A13D9">
      <w:pPr>
        <w:pStyle w:val="ListParagraph"/>
        <w:numPr>
          <w:ilvl w:val="0"/>
          <w:numId w:val="6"/>
        </w:numPr>
        <w:tabs>
          <w:tab w:val="clear" w:pos="567"/>
          <w:tab w:val="clear" w:pos="1134"/>
          <w:tab w:val="clear" w:pos="1701"/>
          <w:tab w:val="clear" w:pos="2268"/>
          <w:tab w:val="clear" w:pos="2835"/>
        </w:tabs>
        <w:overflowPunct/>
        <w:autoSpaceDE/>
        <w:autoSpaceDN/>
        <w:adjustRightInd/>
        <w:spacing w:after="120"/>
        <w:jc w:val="both"/>
        <w:textAlignment w:val="auto"/>
        <w:rPr>
          <w:rFonts w:cs="Calibri"/>
          <w:lang w:val="en-US" w:eastAsia="en-GB"/>
        </w:rPr>
      </w:pPr>
      <w:r>
        <w:rPr>
          <w:rStyle w:val="normaltextrun"/>
          <w:rFonts w:cs="Calibri"/>
          <w:szCs w:val="24"/>
          <w:lang w:val="en-US" w:eastAsia="en-GB"/>
        </w:rPr>
        <w:t xml:space="preserve">New theme: </w:t>
      </w:r>
      <w:r w:rsidR="00CD398E">
        <w:rPr>
          <w:rStyle w:val="normaltextrun"/>
          <w:rFonts w:cs="Calibri"/>
          <w:szCs w:val="24"/>
          <w:lang w:eastAsia="en-GB"/>
        </w:rPr>
        <w:t>“</w:t>
      </w:r>
      <w:r w:rsidR="00237D45" w:rsidRPr="00E23ED7">
        <w:rPr>
          <w:rStyle w:val="normaltextrun"/>
          <w:rFonts w:cs="Calibri"/>
          <w:szCs w:val="24"/>
          <w:lang w:eastAsia="en-GB"/>
        </w:rPr>
        <w:t>Industry Engagement</w:t>
      </w:r>
      <w:r w:rsidR="00CD398E">
        <w:rPr>
          <w:rStyle w:val="normaltextrun"/>
          <w:rFonts w:cs="Calibri"/>
          <w:szCs w:val="24"/>
          <w:lang w:eastAsia="en-GB"/>
        </w:rPr>
        <w:t>”</w:t>
      </w:r>
      <w:r w:rsidR="00237D45" w:rsidRPr="00E23ED7">
        <w:rPr>
          <w:rStyle w:val="normaltextrun"/>
          <w:rFonts w:cs="Calibri"/>
          <w:szCs w:val="24"/>
          <w:lang w:eastAsia="en-GB"/>
        </w:rPr>
        <w:t xml:space="preserve"> has been agreed upon as a new theme of interest, and the appointment of a </w:t>
      </w:r>
      <w:r w:rsidR="00CD398E">
        <w:rPr>
          <w:rStyle w:val="normaltextrun"/>
          <w:rFonts w:cs="Calibri"/>
          <w:szCs w:val="24"/>
          <w:lang w:eastAsia="en-GB"/>
        </w:rPr>
        <w:t>c</w:t>
      </w:r>
      <w:r w:rsidR="00237D45" w:rsidRPr="00E23ED7">
        <w:rPr>
          <w:rStyle w:val="normaltextrun"/>
          <w:rFonts w:cs="Calibri"/>
          <w:szCs w:val="24"/>
          <w:lang w:eastAsia="en-GB"/>
        </w:rPr>
        <w:t xml:space="preserve">oordinator is pending. </w:t>
      </w:r>
    </w:p>
    <w:p w14:paraId="2D5A8E07" w14:textId="07411529" w:rsidR="004B3125" w:rsidRDefault="004B3125" w:rsidP="00B519BB">
      <w:pPr>
        <w:tabs>
          <w:tab w:val="clear" w:pos="567"/>
          <w:tab w:val="clear" w:pos="1134"/>
          <w:tab w:val="clear" w:pos="1701"/>
          <w:tab w:val="clear" w:pos="2268"/>
          <w:tab w:val="clear" w:pos="2835"/>
        </w:tabs>
        <w:overflowPunct/>
        <w:autoSpaceDE/>
        <w:autoSpaceDN/>
        <w:adjustRightInd/>
        <w:spacing w:after="120"/>
        <w:jc w:val="both"/>
        <w:textAlignment w:val="auto"/>
        <w:rPr>
          <w:rFonts w:cs="Calibri"/>
          <w:lang w:eastAsia="en-GB"/>
        </w:rPr>
      </w:pPr>
      <w:r w:rsidRPr="602F19C6">
        <w:rPr>
          <w:rStyle w:val="normaltextrun"/>
          <w:rFonts w:cs="Calibri"/>
          <w:lang w:eastAsia="en-GB"/>
        </w:rPr>
        <w:t>Outcome reports and call</w:t>
      </w:r>
      <w:r>
        <w:rPr>
          <w:rStyle w:val="normaltextrun"/>
          <w:rFonts w:cs="Calibri"/>
          <w:lang w:eastAsia="en-GB"/>
        </w:rPr>
        <w:t>s</w:t>
      </w:r>
      <w:r w:rsidRPr="602F19C6">
        <w:rPr>
          <w:rStyle w:val="normaltextrun"/>
          <w:rFonts w:cs="Calibri"/>
          <w:lang w:eastAsia="en-GB"/>
        </w:rPr>
        <w:t xml:space="preserve"> for action are presented regularly to the Sector advisory groups</w:t>
      </w:r>
      <w:r w:rsidR="00AF7AD5">
        <w:rPr>
          <w:rStyle w:val="normaltextrun"/>
          <w:rFonts w:cs="Calibri"/>
          <w:lang w:eastAsia="en-GB"/>
        </w:rPr>
        <w:t>,</w:t>
      </w:r>
      <w:r w:rsidRPr="602F19C6">
        <w:rPr>
          <w:rStyle w:val="normaltextrun"/>
          <w:rFonts w:cs="Calibri"/>
          <w:lang w:eastAsia="en-GB"/>
        </w:rPr>
        <w:t xml:space="preserve"> and to the CWG-FHR, whenever needed.</w:t>
      </w:r>
    </w:p>
    <w:p w14:paraId="4637AD7B" w14:textId="5E84F291" w:rsidR="00B519BB" w:rsidRPr="00B519BB" w:rsidRDefault="00B519BB" w:rsidP="00B519BB">
      <w:pPr>
        <w:tabs>
          <w:tab w:val="clear" w:pos="567"/>
          <w:tab w:val="clear" w:pos="1134"/>
          <w:tab w:val="clear" w:pos="1701"/>
          <w:tab w:val="clear" w:pos="2268"/>
          <w:tab w:val="clear" w:pos="2835"/>
        </w:tabs>
        <w:overflowPunct/>
        <w:autoSpaceDE/>
        <w:autoSpaceDN/>
        <w:adjustRightInd/>
        <w:spacing w:after="120"/>
        <w:jc w:val="both"/>
        <w:textAlignment w:val="auto"/>
        <w:rPr>
          <w:rFonts w:cs="Calibri"/>
          <w:lang w:eastAsia="en-GB"/>
        </w:rPr>
      </w:pPr>
      <w:r w:rsidRPr="00B519BB">
        <w:rPr>
          <w:rFonts w:cs="Calibri"/>
          <w:lang w:eastAsia="en-GB"/>
        </w:rPr>
        <w:t xml:space="preserve">Further information on ISCG, such as meetings’ reports and documents discussed, can be found on the </w:t>
      </w:r>
      <w:hyperlink r:id="rId22">
        <w:r w:rsidRPr="00B519BB">
          <w:rPr>
            <w:rFonts w:cs="Calibri"/>
            <w:color w:val="0563C1"/>
            <w:u w:val="single"/>
            <w:lang w:eastAsia="en-GB"/>
          </w:rPr>
          <w:t>ISCG webpage</w:t>
        </w:r>
      </w:hyperlink>
      <w:r w:rsidRPr="00B519BB">
        <w:rPr>
          <w:rFonts w:cs="Calibri"/>
          <w:lang w:eastAsia="en-GB"/>
        </w:rPr>
        <w:t xml:space="preserve">. </w:t>
      </w:r>
    </w:p>
    <w:p w14:paraId="69993659" w14:textId="77777777" w:rsidR="007A3FCD" w:rsidRPr="00B519BB" w:rsidRDefault="007A3FCD" w:rsidP="00E93FC8">
      <w:pPr>
        <w:pStyle w:val="Reasons"/>
        <w:rPr>
          <w:rFonts w:asciiTheme="minorHAnsi" w:hAnsiTheme="minorHAnsi" w:cstheme="minorHAnsi"/>
          <w:lang w:val="en-GB"/>
        </w:rPr>
      </w:pPr>
    </w:p>
    <w:p w14:paraId="35C6D0A5" w14:textId="77777777" w:rsidR="007A3FCD" w:rsidRPr="00C0458D" w:rsidRDefault="007A3FCD" w:rsidP="007A3FCD">
      <w:pPr>
        <w:jc w:val="center"/>
      </w:pPr>
      <w:r>
        <w:t>______________</w:t>
      </w:r>
    </w:p>
    <w:sectPr w:rsidR="007A3FCD" w:rsidRPr="00C0458D" w:rsidSect="00AD3606">
      <w:footerReference w:type="default" r:id="rId23"/>
      <w:headerReference w:type="first" r:id="rId24"/>
      <w:footerReference w:type="first" r:id="rId2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77070" w14:textId="77777777" w:rsidR="00624614" w:rsidRDefault="00624614">
      <w:r>
        <w:separator/>
      </w:r>
    </w:p>
  </w:endnote>
  <w:endnote w:type="continuationSeparator" w:id="0">
    <w:p w14:paraId="7884043C" w14:textId="77777777" w:rsidR="00624614" w:rsidRDefault="00624614">
      <w:r>
        <w:continuationSeparator/>
      </w:r>
    </w:p>
  </w:endnote>
  <w:endnote w:type="continuationNotice" w:id="1">
    <w:p w14:paraId="473408F0" w14:textId="77777777" w:rsidR="00624614" w:rsidRDefault="0062461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E93FC8">
      <w:trPr>
        <w:jc w:val="center"/>
      </w:trPr>
      <w:tc>
        <w:tcPr>
          <w:tcW w:w="1803" w:type="dxa"/>
          <w:vAlign w:val="center"/>
        </w:tcPr>
        <w:p w14:paraId="5B3DDD9A" w14:textId="7FB6AFD0" w:rsidR="00EE49E8" w:rsidRDefault="00C6520B" w:rsidP="00EE49E8">
          <w:pPr>
            <w:pStyle w:val="Header"/>
            <w:jc w:val="left"/>
            <w:rPr>
              <w:noProof/>
            </w:rPr>
          </w:pPr>
          <w:r w:rsidRPr="00DD4610">
            <w:rPr>
              <w:noProof/>
              <w:color w:val="D9D9D9" w:themeColor="background1" w:themeShade="D9"/>
            </w:rPr>
            <w:t xml:space="preserve">gDoc </w:t>
          </w:r>
          <w:r w:rsidR="00DD4610" w:rsidRPr="00DD4610">
            <w:rPr>
              <w:noProof/>
              <w:color w:val="D9D9D9" w:themeColor="background1" w:themeShade="D9"/>
            </w:rPr>
            <w:t>R2500902</w:t>
          </w:r>
        </w:p>
      </w:tc>
      <w:tc>
        <w:tcPr>
          <w:tcW w:w="8261" w:type="dxa"/>
        </w:tcPr>
        <w:p w14:paraId="6F6B3A01" w14:textId="3091CEEC" w:rsidR="00EE49E8" w:rsidRPr="00E06FD5" w:rsidRDefault="00EE49E8" w:rsidP="000745AB">
          <w:pPr>
            <w:pStyle w:val="Header"/>
            <w:tabs>
              <w:tab w:val="left" w:pos="6164"/>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CD398E">
            <w:rPr>
              <w:bCs/>
            </w:rPr>
            <w:t>27</w:t>
          </w:r>
          <w:r w:rsidRPr="00623AE3">
            <w:rPr>
              <w:bCs/>
            </w:rPr>
            <w:t>-E</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54B1D518" w:rsidR="00EE49E8" w:rsidRPr="00E06FD5" w:rsidRDefault="00EE49E8" w:rsidP="000745AB">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CD398E">
            <w:rPr>
              <w:bCs/>
            </w:rPr>
            <w:t>27</w:t>
          </w:r>
          <w:r w:rsidRPr="00623AE3">
            <w:rPr>
              <w:bCs/>
            </w:rPr>
            <w:t>-E</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8CCED" w14:textId="77777777" w:rsidR="00624614" w:rsidRDefault="00624614">
      <w:r>
        <w:t>____________________</w:t>
      </w:r>
    </w:p>
  </w:footnote>
  <w:footnote w:type="continuationSeparator" w:id="0">
    <w:p w14:paraId="1758AD32" w14:textId="77777777" w:rsidR="00624614" w:rsidRDefault="00624614">
      <w:r>
        <w:continuationSeparator/>
      </w:r>
    </w:p>
  </w:footnote>
  <w:footnote w:type="continuationNotice" w:id="1">
    <w:p w14:paraId="51DA7313" w14:textId="77777777" w:rsidR="00624614" w:rsidRDefault="0062461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rsidTr="00E93FC8">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11" w:name="_Hlk133422111"/>
          <w:r>
            <w:rPr>
              <w:rFonts w:ascii="Arial" w:hAnsi="Arial" w:cs="Arial"/>
              <w:b/>
              <w:bCs/>
              <w:noProof/>
              <w:color w:val="009CD6"/>
              <w:sz w:val="36"/>
              <w:szCs w:val="36"/>
            </w:rPr>
            <w:drawing>
              <wp:inline distT="0" distB="0" distL="0" distR="0" wp14:anchorId="313B81B2" wp14:editId="52EB5A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3C724958"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30E65" id="Rectangle 5" o:spid="_x0000_s1026" style="position:absolute;margin-left:.3pt;margin-top:47.35pt;width:8.5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E894C"/>
    <w:multiLevelType w:val="hybridMultilevel"/>
    <w:tmpl w:val="68F294EE"/>
    <w:lvl w:ilvl="0" w:tplc="DC0C580C">
      <w:start w:val="1"/>
      <w:numFmt w:val="decimal"/>
      <w:lvlText w:val="%1."/>
      <w:lvlJc w:val="left"/>
      <w:pPr>
        <w:ind w:left="720" w:hanging="360"/>
      </w:pPr>
    </w:lvl>
    <w:lvl w:ilvl="1" w:tplc="3B327620">
      <w:start w:val="1"/>
      <w:numFmt w:val="lowerLetter"/>
      <w:lvlText w:val="%2."/>
      <w:lvlJc w:val="left"/>
      <w:pPr>
        <w:ind w:left="1440" w:hanging="360"/>
      </w:pPr>
    </w:lvl>
    <w:lvl w:ilvl="2" w:tplc="4B40658C">
      <w:start w:val="1"/>
      <w:numFmt w:val="lowerRoman"/>
      <w:lvlText w:val="%3."/>
      <w:lvlJc w:val="right"/>
      <w:pPr>
        <w:ind w:left="2160" w:hanging="180"/>
      </w:pPr>
    </w:lvl>
    <w:lvl w:ilvl="3" w:tplc="1A2EA2A4">
      <w:start w:val="1"/>
      <w:numFmt w:val="decimal"/>
      <w:lvlText w:val="%4."/>
      <w:lvlJc w:val="left"/>
      <w:pPr>
        <w:ind w:left="2880" w:hanging="360"/>
      </w:pPr>
    </w:lvl>
    <w:lvl w:ilvl="4" w:tplc="1F2666B2">
      <w:start w:val="1"/>
      <w:numFmt w:val="lowerLetter"/>
      <w:lvlText w:val="%5."/>
      <w:lvlJc w:val="left"/>
      <w:pPr>
        <w:ind w:left="3600" w:hanging="360"/>
      </w:pPr>
    </w:lvl>
    <w:lvl w:ilvl="5" w:tplc="480EAF58">
      <w:start w:val="1"/>
      <w:numFmt w:val="lowerRoman"/>
      <w:lvlText w:val="%6."/>
      <w:lvlJc w:val="right"/>
      <w:pPr>
        <w:ind w:left="4320" w:hanging="180"/>
      </w:pPr>
    </w:lvl>
    <w:lvl w:ilvl="6" w:tplc="49EA294E">
      <w:start w:val="1"/>
      <w:numFmt w:val="decimal"/>
      <w:lvlText w:val="%7."/>
      <w:lvlJc w:val="left"/>
      <w:pPr>
        <w:ind w:left="5040" w:hanging="360"/>
      </w:pPr>
    </w:lvl>
    <w:lvl w:ilvl="7" w:tplc="11C622C8">
      <w:start w:val="1"/>
      <w:numFmt w:val="lowerLetter"/>
      <w:lvlText w:val="%8."/>
      <w:lvlJc w:val="left"/>
      <w:pPr>
        <w:ind w:left="5760" w:hanging="360"/>
      </w:pPr>
    </w:lvl>
    <w:lvl w:ilvl="8" w:tplc="C4CC618E">
      <w:start w:val="1"/>
      <w:numFmt w:val="lowerRoman"/>
      <w:lvlText w:val="%9."/>
      <w:lvlJc w:val="right"/>
      <w:pPr>
        <w:ind w:left="6480" w:hanging="180"/>
      </w:pPr>
    </w:lvl>
  </w:abstractNum>
  <w:abstractNum w:abstractNumId="2" w15:restartNumberingAfterBreak="0">
    <w:nsid w:val="02691DED"/>
    <w:multiLevelType w:val="hybridMultilevel"/>
    <w:tmpl w:val="E5548358"/>
    <w:lvl w:ilvl="0" w:tplc="1E2831C6">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97E69"/>
    <w:multiLevelType w:val="hybridMultilevel"/>
    <w:tmpl w:val="5E02F7AA"/>
    <w:lvl w:ilvl="0" w:tplc="BBC289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144BB2"/>
    <w:multiLevelType w:val="multilevel"/>
    <w:tmpl w:val="7E42463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FCB09D0"/>
    <w:multiLevelType w:val="hybridMultilevel"/>
    <w:tmpl w:val="4D3C67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FA36FC"/>
    <w:multiLevelType w:val="hybridMultilevel"/>
    <w:tmpl w:val="28CC8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4958DE"/>
    <w:multiLevelType w:val="hybridMultilevel"/>
    <w:tmpl w:val="74D0F5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A9817DC"/>
    <w:multiLevelType w:val="hybridMultilevel"/>
    <w:tmpl w:val="AA00657A"/>
    <w:lvl w:ilvl="0" w:tplc="F2DA1FC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C153C1"/>
    <w:multiLevelType w:val="hybridMultilevel"/>
    <w:tmpl w:val="93A83968"/>
    <w:lvl w:ilvl="0" w:tplc="231AED70">
      <w:start w:val="2"/>
      <w:numFmt w:val="decimal"/>
      <w:lvlText w:val="%1"/>
      <w:lvlJc w:val="left"/>
      <w:pPr>
        <w:ind w:left="1080" w:hanging="360"/>
      </w:pPr>
      <w:rPr>
        <w:rFonts w:hint="default"/>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4315D58"/>
    <w:multiLevelType w:val="hybridMultilevel"/>
    <w:tmpl w:val="EA8C8032"/>
    <w:lvl w:ilvl="0" w:tplc="C0C4B608">
      <w:start w:val="1"/>
      <w:numFmt w:val="decimal"/>
      <w:lvlText w:val="%1"/>
      <w:lvlJc w:val="left"/>
      <w:pPr>
        <w:ind w:left="1080" w:hanging="360"/>
      </w:pPr>
      <w:rPr>
        <w:rFonts w:hint="default"/>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31443726">
    <w:abstractNumId w:val="1"/>
  </w:num>
  <w:num w:numId="2" w16cid:durableId="1374816267">
    <w:abstractNumId w:val="0"/>
  </w:num>
  <w:num w:numId="3" w16cid:durableId="1408918756">
    <w:abstractNumId w:val="7"/>
  </w:num>
  <w:num w:numId="4" w16cid:durableId="40985948">
    <w:abstractNumId w:val="5"/>
  </w:num>
  <w:num w:numId="5" w16cid:durableId="506797707">
    <w:abstractNumId w:val="8"/>
  </w:num>
  <w:num w:numId="6" w16cid:durableId="1203787625">
    <w:abstractNumId w:val="2"/>
  </w:num>
  <w:num w:numId="7" w16cid:durableId="1157501215">
    <w:abstractNumId w:val="3"/>
  </w:num>
  <w:num w:numId="8" w16cid:durableId="1890266443">
    <w:abstractNumId w:val="6"/>
  </w:num>
  <w:num w:numId="9" w16cid:durableId="1914122636">
    <w:abstractNumId w:val="4"/>
  </w:num>
  <w:num w:numId="10" w16cid:durableId="1033533651">
    <w:abstractNumId w:val="9"/>
  </w:num>
  <w:num w:numId="11" w16cid:durableId="18930729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16AB0"/>
    <w:rsid w:val="00017B32"/>
    <w:rsid w:val="000210D4"/>
    <w:rsid w:val="0003332F"/>
    <w:rsid w:val="000354A0"/>
    <w:rsid w:val="00045527"/>
    <w:rsid w:val="0006007D"/>
    <w:rsid w:val="0006065B"/>
    <w:rsid w:val="00063016"/>
    <w:rsid w:val="00066795"/>
    <w:rsid w:val="000745AB"/>
    <w:rsid w:val="0007521D"/>
    <w:rsid w:val="00076AF6"/>
    <w:rsid w:val="00080B43"/>
    <w:rsid w:val="00083954"/>
    <w:rsid w:val="00083F5D"/>
    <w:rsid w:val="00085CF2"/>
    <w:rsid w:val="00091CEA"/>
    <w:rsid w:val="00091FB8"/>
    <w:rsid w:val="000A2336"/>
    <w:rsid w:val="000A2C7B"/>
    <w:rsid w:val="000A3362"/>
    <w:rsid w:val="000A3B4C"/>
    <w:rsid w:val="000A7DE7"/>
    <w:rsid w:val="000B1705"/>
    <w:rsid w:val="000C014B"/>
    <w:rsid w:val="000C6B8B"/>
    <w:rsid w:val="000D75B2"/>
    <w:rsid w:val="000F1EA5"/>
    <w:rsid w:val="000F5DDB"/>
    <w:rsid w:val="000F7289"/>
    <w:rsid w:val="000F7F49"/>
    <w:rsid w:val="001121F5"/>
    <w:rsid w:val="0011610A"/>
    <w:rsid w:val="001254BE"/>
    <w:rsid w:val="00131875"/>
    <w:rsid w:val="0013593D"/>
    <w:rsid w:val="001400DC"/>
    <w:rsid w:val="00140B77"/>
    <w:rsid w:val="00140CE1"/>
    <w:rsid w:val="0015462E"/>
    <w:rsid w:val="001550C6"/>
    <w:rsid w:val="001623CF"/>
    <w:rsid w:val="00162FC6"/>
    <w:rsid w:val="00164C86"/>
    <w:rsid w:val="00170ABE"/>
    <w:rsid w:val="00171D9C"/>
    <w:rsid w:val="001752C5"/>
    <w:rsid w:val="0017539C"/>
    <w:rsid w:val="00175AC2"/>
    <w:rsid w:val="0017609F"/>
    <w:rsid w:val="00187461"/>
    <w:rsid w:val="0019592C"/>
    <w:rsid w:val="001A13D9"/>
    <w:rsid w:val="001A3154"/>
    <w:rsid w:val="001A3A6C"/>
    <w:rsid w:val="001A3DFB"/>
    <w:rsid w:val="001A7D1D"/>
    <w:rsid w:val="001B2A99"/>
    <w:rsid w:val="001B4CC7"/>
    <w:rsid w:val="001B51DD"/>
    <w:rsid w:val="001B58D1"/>
    <w:rsid w:val="001C239E"/>
    <w:rsid w:val="001C628E"/>
    <w:rsid w:val="001D6C6E"/>
    <w:rsid w:val="001E0F7B"/>
    <w:rsid w:val="001E6B51"/>
    <w:rsid w:val="001F5569"/>
    <w:rsid w:val="002029F4"/>
    <w:rsid w:val="0020521B"/>
    <w:rsid w:val="0021047B"/>
    <w:rsid w:val="002119FD"/>
    <w:rsid w:val="002130E0"/>
    <w:rsid w:val="002163D5"/>
    <w:rsid w:val="00220CD6"/>
    <w:rsid w:val="00221F46"/>
    <w:rsid w:val="002243A8"/>
    <w:rsid w:val="00237D45"/>
    <w:rsid w:val="00247D32"/>
    <w:rsid w:val="00252154"/>
    <w:rsid w:val="00254281"/>
    <w:rsid w:val="00255CCD"/>
    <w:rsid w:val="00264425"/>
    <w:rsid w:val="00265875"/>
    <w:rsid w:val="0027303B"/>
    <w:rsid w:val="00273797"/>
    <w:rsid w:val="00273F4A"/>
    <w:rsid w:val="0028109B"/>
    <w:rsid w:val="002866F0"/>
    <w:rsid w:val="002A17D3"/>
    <w:rsid w:val="002A2188"/>
    <w:rsid w:val="002A2BB2"/>
    <w:rsid w:val="002A2E3A"/>
    <w:rsid w:val="002A78C4"/>
    <w:rsid w:val="002B1F58"/>
    <w:rsid w:val="002B3A86"/>
    <w:rsid w:val="002C1C7A"/>
    <w:rsid w:val="002C54E2"/>
    <w:rsid w:val="002E78FA"/>
    <w:rsid w:val="0030160F"/>
    <w:rsid w:val="003109A9"/>
    <w:rsid w:val="003138D7"/>
    <w:rsid w:val="00316699"/>
    <w:rsid w:val="00320223"/>
    <w:rsid w:val="003226E6"/>
    <w:rsid w:val="00322D0D"/>
    <w:rsid w:val="00324407"/>
    <w:rsid w:val="00331B90"/>
    <w:rsid w:val="00336701"/>
    <w:rsid w:val="00361465"/>
    <w:rsid w:val="00361DC4"/>
    <w:rsid w:val="003877F5"/>
    <w:rsid w:val="00392727"/>
    <w:rsid w:val="003936D3"/>
    <w:rsid w:val="003942D4"/>
    <w:rsid w:val="00394412"/>
    <w:rsid w:val="003958A8"/>
    <w:rsid w:val="003B14D7"/>
    <w:rsid w:val="003B29C2"/>
    <w:rsid w:val="003C2533"/>
    <w:rsid w:val="003D1C30"/>
    <w:rsid w:val="003D5A7F"/>
    <w:rsid w:val="003E3361"/>
    <w:rsid w:val="0040435A"/>
    <w:rsid w:val="00407633"/>
    <w:rsid w:val="00411ACD"/>
    <w:rsid w:val="00416A24"/>
    <w:rsid w:val="00423DCF"/>
    <w:rsid w:val="004250B4"/>
    <w:rsid w:val="00427BFF"/>
    <w:rsid w:val="00431D9E"/>
    <w:rsid w:val="00432715"/>
    <w:rsid w:val="00433CE8"/>
    <w:rsid w:val="00434A5C"/>
    <w:rsid w:val="00434A85"/>
    <w:rsid w:val="00435ED8"/>
    <w:rsid w:val="004416E5"/>
    <w:rsid w:val="00442295"/>
    <w:rsid w:val="0044359A"/>
    <w:rsid w:val="00450DD4"/>
    <w:rsid w:val="00453079"/>
    <w:rsid w:val="004544D9"/>
    <w:rsid w:val="00455859"/>
    <w:rsid w:val="00455E5C"/>
    <w:rsid w:val="00462B6F"/>
    <w:rsid w:val="00464441"/>
    <w:rsid w:val="00472BAD"/>
    <w:rsid w:val="004811F8"/>
    <w:rsid w:val="004821FF"/>
    <w:rsid w:val="00484009"/>
    <w:rsid w:val="00490E72"/>
    <w:rsid w:val="004910D8"/>
    <w:rsid w:val="00491157"/>
    <w:rsid w:val="00491BA9"/>
    <w:rsid w:val="004921C8"/>
    <w:rsid w:val="00495B0B"/>
    <w:rsid w:val="004A1B8B"/>
    <w:rsid w:val="004B25A1"/>
    <w:rsid w:val="004B3125"/>
    <w:rsid w:val="004C561E"/>
    <w:rsid w:val="004D1851"/>
    <w:rsid w:val="004D599D"/>
    <w:rsid w:val="004E2A42"/>
    <w:rsid w:val="004E2EA5"/>
    <w:rsid w:val="004E3AEB"/>
    <w:rsid w:val="004E64E0"/>
    <w:rsid w:val="004E75BF"/>
    <w:rsid w:val="00500316"/>
    <w:rsid w:val="0050223C"/>
    <w:rsid w:val="005062C9"/>
    <w:rsid w:val="00514822"/>
    <w:rsid w:val="0051726F"/>
    <w:rsid w:val="005243FF"/>
    <w:rsid w:val="005264EE"/>
    <w:rsid w:val="00542383"/>
    <w:rsid w:val="005452EE"/>
    <w:rsid w:val="00546CE3"/>
    <w:rsid w:val="005473C4"/>
    <w:rsid w:val="00564FBC"/>
    <w:rsid w:val="00567C22"/>
    <w:rsid w:val="005763B6"/>
    <w:rsid w:val="00576B84"/>
    <w:rsid w:val="005800BC"/>
    <w:rsid w:val="0058082E"/>
    <w:rsid w:val="00582442"/>
    <w:rsid w:val="005909D0"/>
    <w:rsid w:val="00596855"/>
    <w:rsid w:val="005969EE"/>
    <w:rsid w:val="005B124E"/>
    <w:rsid w:val="005D29AE"/>
    <w:rsid w:val="005D3645"/>
    <w:rsid w:val="005E5B88"/>
    <w:rsid w:val="005E69DE"/>
    <w:rsid w:val="005F2D66"/>
    <w:rsid w:val="005F3269"/>
    <w:rsid w:val="006109C0"/>
    <w:rsid w:val="00613D2A"/>
    <w:rsid w:val="00614979"/>
    <w:rsid w:val="00616878"/>
    <w:rsid w:val="00623AE3"/>
    <w:rsid w:val="00624614"/>
    <w:rsid w:val="0062646D"/>
    <w:rsid w:val="00630C4D"/>
    <w:rsid w:val="006329FB"/>
    <w:rsid w:val="006377FC"/>
    <w:rsid w:val="00640A62"/>
    <w:rsid w:val="00642A8C"/>
    <w:rsid w:val="0064468C"/>
    <w:rsid w:val="00644EC6"/>
    <w:rsid w:val="0064737F"/>
    <w:rsid w:val="006515E2"/>
    <w:rsid w:val="0065195E"/>
    <w:rsid w:val="006535F1"/>
    <w:rsid w:val="006548E6"/>
    <w:rsid w:val="0065557D"/>
    <w:rsid w:val="00660D50"/>
    <w:rsid w:val="00661423"/>
    <w:rsid w:val="00662984"/>
    <w:rsid w:val="00667B55"/>
    <w:rsid w:val="006716BB"/>
    <w:rsid w:val="00676FAF"/>
    <w:rsid w:val="0068323B"/>
    <w:rsid w:val="00683E22"/>
    <w:rsid w:val="00685A58"/>
    <w:rsid w:val="00687636"/>
    <w:rsid w:val="00690D95"/>
    <w:rsid w:val="0069256E"/>
    <w:rsid w:val="00694F35"/>
    <w:rsid w:val="006952BA"/>
    <w:rsid w:val="006A1B66"/>
    <w:rsid w:val="006B1859"/>
    <w:rsid w:val="006B6680"/>
    <w:rsid w:val="006B6DCC"/>
    <w:rsid w:val="006B77F1"/>
    <w:rsid w:val="006C5ECF"/>
    <w:rsid w:val="006C79AC"/>
    <w:rsid w:val="006D167D"/>
    <w:rsid w:val="006D3EE7"/>
    <w:rsid w:val="006F4ACA"/>
    <w:rsid w:val="00702DEF"/>
    <w:rsid w:val="00704C88"/>
    <w:rsid w:val="00706861"/>
    <w:rsid w:val="007074AF"/>
    <w:rsid w:val="00716ADF"/>
    <w:rsid w:val="00722551"/>
    <w:rsid w:val="00723618"/>
    <w:rsid w:val="0073629D"/>
    <w:rsid w:val="00747605"/>
    <w:rsid w:val="0075051B"/>
    <w:rsid w:val="00750880"/>
    <w:rsid w:val="007535B5"/>
    <w:rsid w:val="00760801"/>
    <w:rsid w:val="007634E7"/>
    <w:rsid w:val="00770E8C"/>
    <w:rsid w:val="0077110E"/>
    <w:rsid w:val="00785111"/>
    <w:rsid w:val="007920DB"/>
    <w:rsid w:val="00793188"/>
    <w:rsid w:val="00794D34"/>
    <w:rsid w:val="007A3FCD"/>
    <w:rsid w:val="007B001C"/>
    <w:rsid w:val="007B19CF"/>
    <w:rsid w:val="007C2486"/>
    <w:rsid w:val="007C6CD4"/>
    <w:rsid w:val="007C6DE5"/>
    <w:rsid w:val="007D01AF"/>
    <w:rsid w:val="007D45BE"/>
    <w:rsid w:val="007D6851"/>
    <w:rsid w:val="007E3807"/>
    <w:rsid w:val="007F0250"/>
    <w:rsid w:val="007F45D1"/>
    <w:rsid w:val="00801252"/>
    <w:rsid w:val="00813E5E"/>
    <w:rsid w:val="00820389"/>
    <w:rsid w:val="0083581B"/>
    <w:rsid w:val="008521C8"/>
    <w:rsid w:val="0085257E"/>
    <w:rsid w:val="0085332F"/>
    <w:rsid w:val="008546D8"/>
    <w:rsid w:val="00854FF4"/>
    <w:rsid w:val="008575D2"/>
    <w:rsid w:val="0085796D"/>
    <w:rsid w:val="00863154"/>
    <w:rsid w:val="00863874"/>
    <w:rsid w:val="00864AFF"/>
    <w:rsid w:val="00865925"/>
    <w:rsid w:val="00867B4C"/>
    <w:rsid w:val="0087034F"/>
    <w:rsid w:val="00877255"/>
    <w:rsid w:val="00891333"/>
    <w:rsid w:val="008B01AB"/>
    <w:rsid w:val="008B0E8D"/>
    <w:rsid w:val="008B4A6A"/>
    <w:rsid w:val="008C310B"/>
    <w:rsid w:val="008C7E27"/>
    <w:rsid w:val="008F5A81"/>
    <w:rsid w:val="008F73F6"/>
    <w:rsid w:val="008F7448"/>
    <w:rsid w:val="0090147A"/>
    <w:rsid w:val="009106D5"/>
    <w:rsid w:val="009173EF"/>
    <w:rsid w:val="00923EF9"/>
    <w:rsid w:val="00932906"/>
    <w:rsid w:val="00935747"/>
    <w:rsid w:val="0093729D"/>
    <w:rsid w:val="009466A9"/>
    <w:rsid w:val="00961B0B"/>
    <w:rsid w:val="00962D33"/>
    <w:rsid w:val="00964C4C"/>
    <w:rsid w:val="00971737"/>
    <w:rsid w:val="0097331A"/>
    <w:rsid w:val="00987066"/>
    <w:rsid w:val="0099102F"/>
    <w:rsid w:val="009A287D"/>
    <w:rsid w:val="009A76A1"/>
    <w:rsid w:val="009B143E"/>
    <w:rsid w:val="009B38C3"/>
    <w:rsid w:val="009C0B01"/>
    <w:rsid w:val="009C3584"/>
    <w:rsid w:val="009C3D9F"/>
    <w:rsid w:val="009E06A7"/>
    <w:rsid w:val="009E17BD"/>
    <w:rsid w:val="009E485A"/>
    <w:rsid w:val="009E7250"/>
    <w:rsid w:val="009F12EF"/>
    <w:rsid w:val="00A04CEC"/>
    <w:rsid w:val="00A067A4"/>
    <w:rsid w:val="00A1004A"/>
    <w:rsid w:val="00A14BEE"/>
    <w:rsid w:val="00A1726F"/>
    <w:rsid w:val="00A212F7"/>
    <w:rsid w:val="00A23C23"/>
    <w:rsid w:val="00A27F92"/>
    <w:rsid w:val="00A32257"/>
    <w:rsid w:val="00A33118"/>
    <w:rsid w:val="00A35CD2"/>
    <w:rsid w:val="00A35F53"/>
    <w:rsid w:val="00A36D20"/>
    <w:rsid w:val="00A43FF5"/>
    <w:rsid w:val="00A51467"/>
    <w:rsid w:val="00A514A4"/>
    <w:rsid w:val="00A5207C"/>
    <w:rsid w:val="00A55622"/>
    <w:rsid w:val="00A72BF3"/>
    <w:rsid w:val="00A83502"/>
    <w:rsid w:val="00A90A7D"/>
    <w:rsid w:val="00A94BAB"/>
    <w:rsid w:val="00A95326"/>
    <w:rsid w:val="00A970DE"/>
    <w:rsid w:val="00AA6919"/>
    <w:rsid w:val="00AC3A52"/>
    <w:rsid w:val="00AD15B3"/>
    <w:rsid w:val="00AD3606"/>
    <w:rsid w:val="00AD4A3D"/>
    <w:rsid w:val="00AD677D"/>
    <w:rsid w:val="00AE1476"/>
    <w:rsid w:val="00AE1E66"/>
    <w:rsid w:val="00AF1766"/>
    <w:rsid w:val="00AF304F"/>
    <w:rsid w:val="00AF6E49"/>
    <w:rsid w:val="00AF7299"/>
    <w:rsid w:val="00AF77A8"/>
    <w:rsid w:val="00AF7AD5"/>
    <w:rsid w:val="00AF7E96"/>
    <w:rsid w:val="00B035AA"/>
    <w:rsid w:val="00B04A67"/>
    <w:rsid w:val="00B0583C"/>
    <w:rsid w:val="00B13107"/>
    <w:rsid w:val="00B20539"/>
    <w:rsid w:val="00B23363"/>
    <w:rsid w:val="00B37D72"/>
    <w:rsid w:val="00B403AB"/>
    <w:rsid w:val="00B40A81"/>
    <w:rsid w:val="00B4272C"/>
    <w:rsid w:val="00B44910"/>
    <w:rsid w:val="00B476E5"/>
    <w:rsid w:val="00B508DB"/>
    <w:rsid w:val="00B519BB"/>
    <w:rsid w:val="00B55377"/>
    <w:rsid w:val="00B60AE1"/>
    <w:rsid w:val="00B72267"/>
    <w:rsid w:val="00B76EB6"/>
    <w:rsid w:val="00B7737B"/>
    <w:rsid w:val="00B824C8"/>
    <w:rsid w:val="00B84B9D"/>
    <w:rsid w:val="00B9131F"/>
    <w:rsid w:val="00BA2771"/>
    <w:rsid w:val="00BB0646"/>
    <w:rsid w:val="00BC251A"/>
    <w:rsid w:val="00BC2657"/>
    <w:rsid w:val="00BC6A51"/>
    <w:rsid w:val="00BD032B"/>
    <w:rsid w:val="00BD343F"/>
    <w:rsid w:val="00BD495B"/>
    <w:rsid w:val="00BD547A"/>
    <w:rsid w:val="00BE01C6"/>
    <w:rsid w:val="00BE2640"/>
    <w:rsid w:val="00BE4A4A"/>
    <w:rsid w:val="00BF1FDE"/>
    <w:rsid w:val="00BF4990"/>
    <w:rsid w:val="00C01189"/>
    <w:rsid w:val="00C0458D"/>
    <w:rsid w:val="00C0465B"/>
    <w:rsid w:val="00C20781"/>
    <w:rsid w:val="00C27F7A"/>
    <w:rsid w:val="00C334CC"/>
    <w:rsid w:val="00C366D4"/>
    <w:rsid w:val="00C374DE"/>
    <w:rsid w:val="00C42C5F"/>
    <w:rsid w:val="00C47AD4"/>
    <w:rsid w:val="00C51A8C"/>
    <w:rsid w:val="00C52D81"/>
    <w:rsid w:val="00C55198"/>
    <w:rsid w:val="00C6185A"/>
    <w:rsid w:val="00C6520B"/>
    <w:rsid w:val="00C72A12"/>
    <w:rsid w:val="00C74291"/>
    <w:rsid w:val="00C84F5B"/>
    <w:rsid w:val="00C85EE5"/>
    <w:rsid w:val="00CA6393"/>
    <w:rsid w:val="00CA7995"/>
    <w:rsid w:val="00CB172D"/>
    <w:rsid w:val="00CB18FF"/>
    <w:rsid w:val="00CB2012"/>
    <w:rsid w:val="00CD0C08"/>
    <w:rsid w:val="00CD182C"/>
    <w:rsid w:val="00CD20AA"/>
    <w:rsid w:val="00CD398E"/>
    <w:rsid w:val="00CE03FB"/>
    <w:rsid w:val="00CE1E45"/>
    <w:rsid w:val="00CE433C"/>
    <w:rsid w:val="00CE658E"/>
    <w:rsid w:val="00CF0043"/>
    <w:rsid w:val="00CF0161"/>
    <w:rsid w:val="00CF2B37"/>
    <w:rsid w:val="00CF33F3"/>
    <w:rsid w:val="00CF4A2B"/>
    <w:rsid w:val="00CF5D86"/>
    <w:rsid w:val="00CF635C"/>
    <w:rsid w:val="00CF7D35"/>
    <w:rsid w:val="00D024CA"/>
    <w:rsid w:val="00D06183"/>
    <w:rsid w:val="00D07763"/>
    <w:rsid w:val="00D22C42"/>
    <w:rsid w:val="00D23085"/>
    <w:rsid w:val="00D25B9F"/>
    <w:rsid w:val="00D276A3"/>
    <w:rsid w:val="00D41924"/>
    <w:rsid w:val="00D42801"/>
    <w:rsid w:val="00D50634"/>
    <w:rsid w:val="00D506B0"/>
    <w:rsid w:val="00D635D3"/>
    <w:rsid w:val="00D65041"/>
    <w:rsid w:val="00D661C5"/>
    <w:rsid w:val="00D66ABD"/>
    <w:rsid w:val="00D71E6C"/>
    <w:rsid w:val="00D71F0D"/>
    <w:rsid w:val="00D7370A"/>
    <w:rsid w:val="00D85305"/>
    <w:rsid w:val="00D87302"/>
    <w:rsid w:val="00DA547D"/>
    <w:rsid w:val="00DB043E"/>
    <w:rsid w:val="00DB1140"/>
    <w:rsid w:val="00DB155F"/>
    <w:rsid w:val="00DB1936"/>
    <w:rsid w:val="00DB384B"/>
    <w:rsid w:val="00DD11ED"/>
    <w:rsid w:val="00DD32E5"/>
    <w:rsid w:val="00DD4610"/>
    <w:rsid w:val="00DE4E28"/>
    <w:rsid w:val="00DF0189"/>
    <w:rsid w:val="00DF0C34"/>
    <w:rsid w:val="00DF0EDB"/>
    <w:rsid w:val="00DF26C9"/>
    <w:rsid w:val="00E03A9D"/>
    <w:rsid w:val="00E06FD5"/>
    <w:rsid w:val="00E078EE"/>
    <w:rsid w:val="00E10E80"/>
    <w:rsid w:val="00E124F0"/>
    <w:rsid w:val="00E227F3"/>
    <w:rsid w:val="00E23ED7"/>
    <w:rsid w:val="00E24291"/>
    <w:rsid w:val="00E43954"/>
    <w:rsid w:val="00E46BE6"/>
    <w:rsid w:val="00E522EE"/>
    <w:rsid w:val="00E534C7"/>
    <w:rsid w:val="00E545C6"/>
    <w:rsid w:val="00E60F04"/>
    <w:rsid w:val="00E61503"/>
    <w:rsid w:val="00E62788"/>
    <w:rsid w:val="00E65B24"/>
    <w:rsid w:val="00E70AAE"/>
    <w:rsid w:val="00E81F03"/>
    <w:rsid w:val="00E854E4"/>
    <w:rsid w:val="00E86DBF"/>
    <w:rsid w:val="00E93FC8"/>
    <w:rsid w:val="00E9553C"/>
    <w:rsid w:val="00E969AF"/>
    <w:rsid w:val="00EA6C3A"/>
    <w:rsid w:val="00EA7665"/>
    <w:rsid w:val="00EB0D6F"/>
    <w:rsid w:val="00EB2232"/>
    <w:rsid w:val="00EB2B35"/>
    <w:rsid w:val="00EC2015"/>
    <w:rsid w:val="00EC5337"/>
    <w:rsid w:val="00ED0489"/>
    <w:rsid w:val="00ED6330"/>
    <w:rsid w:val="00EE49E8"/>
    <w:rsid w:val="00EF13F3"/>
    <w:rsid w:val="00EF3072"/>
    <w:rsid w:val="00EF3E1B"/>
    <w:rsid w:val="00EF4DE5"/>
    <w:rsid w:val="00F04387"/>
    <w:rsid w:val="00F05971"/>
    <w:rsid w:val="00F06934"/>
    <w:rsid w:val="00F1298D"/>
    <w:rsid w:val="00F16BAB"/>
    <w:rsid w:val="00F2150A"/>
    <w:rsid w:val="00F231D8"/>
    <w:rsid w:val="00F241D4"/>
    <w:rsid w:val="00F37717"/>
    <w:rsid w:val="00F41209"/>
    <w:rsid w:val="00F445F4"/>
    <w:rsid w:val="00F44C00"/>
    <w:rsid w:val="00F45509"/>
    <w:rsid w:val="00F45D2C"/>
    <w:rsid w:val="00F46C5F"/>
    <w:rsid w:val="00F513F2"/>
    <w:rsid w:val="00F632C0"/>
    <w:rsid w:val="00F641E1"/>
    <w:rsid w:val="00F67941"/>
    <w:rsid w:val="00F75DD3"/>
    <w:rsid w:val="00F76B1D"/>
    <w:rsid w:val="00F7762D"/>
    <w:rsid w:val="00F92957"/>
    <w:rsid w:val="00F94A63"/>
    <w:rsid w:val="00F9569F"/>
    <w:rsid w:val="00FA1C28"/>
    <w:rsid w:val="00FB08B9"/>
    <w:rsid w:val="00FB1279"/>
    <w:rsid w:val="00FB4983"/>
    <w:rsid w:val="00FB59A3"/>
    <w:rsid w:val="00FB6B76"/>
    <w:rsid w:val="00FB7596"/>
    <w:rsid w:val="00FC5918"/>
    <w:rsid w:val="00FD547D"/>
    <w:rsid w:val="00FE4077"/>
    <w:rsid w:val="00FE40D9"/>
    <w:rsid w:val="00FE500D"/>
    <w:rsid w:val="00FE587C"/>
    <w:rsid w:val="00FE77D2"/>
    <w:rsid w:val="00FF39B1"/>
    <w:rsid w:val="00FF77B8"/>
    <w:rsid w:val="013EACCA"/>
    <w:rsid w:val="01B9050A"/>
    <w:rsid w:val="02557020"/>
    <w:rsid w:val="0366DD6C"/>
    <w:rsid w:val="056D79E0"/>
    <w:rsid w:val="05DECDC2"/>
    <w:rsid w:val="06A689AC"/>
    <w:rsid w:val="06BCF850"/>
    <w:rsid w:val="081C1CA3"/>
    <w:rsid w:val="0B4608F4"/>
    <w:rsid w:val="0E80F17F"/>
    <w:rsid w:val="124DA4CB"/>
    <w:rsid w:val="13784A44"/>
    <w:rsid w:val="1A966CA4"/>
    <w:rsid w:val="1E556E51"/>
    <w:rsid w:val="20012A4A"/>
    <w:rsid w:val="22416BF3"/>
    <w:rsid w:val="27F2F536"/>
    <w:rsid w:val="2F3B381C"/>
    <w:rsid w:val="3146925F"/>
    <w:rsid w:val="343D6215"/>
    <w:rsid w:val="3528E3C1"/>
    <w:rsid w:val="35EBA0C3"/>
    <w:rsid w:val="38E1634B"/>
    <w:rsid w:val="3BD5250B"/>
    <w:rsid w:val="3E36EBA7"/>
    <w:rsid w:val="3EA31317"/>
    <w:rsid w:val="4013F6D2"/>
    <w:rsid w:val="498A2A6F"/>
    <w:rsid w:val="4B66D6CC"/>
    <w:rsid w:val="4C039D9B"/>
    <w:rsid w:val="4F56374A"/>
    <w:rsid w:val="4FAE6BA0"/>
    <w:rsid w:val="503692B6"/>
    <w:rsid w:val="53A0258A"/>
    <w:rsid w:val="548D32CB"/>
    <w:rsid w:val="56DC815F"/>
    <w:rsid w:val="5D45A223"/>
    <w:rsid w:val="5F98E8AC"/>
    <w:rsid w:val="60DAF033"/>
    <w:rsid w:val="652CDA6D"/>
    <w:rsid w:val="66618D32"/>
    <w:rsid w:val="6A2C01A9"/>
    <w:rsid w:val="6AAADDC6"/>
    <w:rsid w:val="6B3E99B0"/>
    <w:rsid w:val="6DDDF0D1"/>
    <w:rsid w:val="6E2F4A30"/>
    <w:rsid w:val="72CA0CD6"/>
    <w:rsid w:val="73255E2D"/>
    <w:rsid w:val="790A9CBA"/>
    <w:rsid w:val="7931C710"/>
    <w:rsid w:val="7F3DC3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1B403292-CE75-4F27-BC65-3FDB989D9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character" w:customStyle="1" w:styleId="normaltextrun">
    <w:name w:val="normaltextrun"/>
    <w:basedOn w:val="DefaultParagraphFont"/>
    <w:rsid w:val="007D6851"/>
  </w:style>
  <w:style w:type="character" w:customStyle="1" w:styleId="eop">
    <w:name w:val="eop"/>
    <w:basedOn w:val="DefaultParagraphFont"/>
    <w:rsid w:val="007D6851"/>
  </w:style>
  <w:style w:type="paragraph" w:styleId="ListParagraph">
    <w:name w:val="List Paragraph"/>
    <w:basedOn w:val="Normal"/>
    <w:uiPriority w:val="34"/>
    <w:qFormat/>
    <w:rsid w:val="007F0250"/>
    <w:pPr>
      <w:ind w:left="720"/>
      <w:contextualSpacing/>
    </w:pPr>
  </w:style>
  <w:style w:type="character" w:styleId="CommentReference">
    <w:name w:val="annotation reference"/>
    <w:basedOn w:val="DefaultParagraphFont"/>
    <w:semiHidden/>
    <w:unhideWhenUsed/>
    <w:rsid w:val="00F75DD3"/>
    <w:rPr>
      <w:sz w:val="16"/>
      <w:szCs w:val="16"/>
    </w:rPr>
  </w:style>
  <w:style w:type="paragraph" w:styleId="CommentText">
    <w:name w:val="annotation text"/>
    <w:basedOn w:val="Normal"/>
    <w:link w:val="CommentTextChar"/>
    <w:unhideWhenUsed/>
    <w:rsid w:val="00F75DD3"/>
    <w:rPr>
      <w:sz w:val="20"/>
    </w:rPr>
  </w:style>
  <w:style w:type="character" w:customStyle="1" w:styleId="CommentTextChar">
    <w:name w:val="Comment Text Char"/>
    <w:basedOn w:val="DefaultParagraphFont"/>
    <w:link w:val="CommentText"/>
    <w:rsid w:val="00F75DD3"/>
    <w:rPr>
      <w:rFonts w:ascii="Calibri" w:hAnsi="Calibri"/>
      <w:lang w:val="en-GB" w:eastAsia="en-US"/>
    </w:rPr>
  </w:style>
  <w:style w:type="paragraph" w:styleId="CommentSubject">
    <w:name w:val="annotation subject"/>
    <w:basedOn w:val="CommentText"/>
    <w:next w:val="CommentText"/>
    <w:link w:val="CommentSubjectChar"/>
    <w:semiHidden/>
    <w:unhideWhenUsed/>
    <w:rsid w:val="00F75DD3"/>
    <w:rPr>
      <w:b/>
      <w:bCs/>
    </w:rPr>
  </w:style>
  <w:style w:type="character" w:customStyle="1" w:styleId="CommentSubjectChar">
    <w:name w:val="Comment Subject Char"/>
    <w:basedOn w:val="CommentTextChar"/>
    <w:link w:val="CommentSubject"/>
    <w:semiHidden/>
    <w:rsid w:val="00F75DD3"/>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22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2023/DEC-005-E.pdf" TargetMode="External"/><Relationship Id="rId18" Type="http://schemas.openxmlformats.org/officeDocument/2006/relationships/hyperlink" Target="https://www.itu.int/md/S25-CL-C-0035/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md/S25-CWGFHR20-C-0003/en" TargetMode="External"/><Relationship Id="rId7" Type="http://schemas.openxmlformats.org/officeDocument/2006/relationships/settings" Target="settings.xml"/><Relationship Id="rId12" Type="http://schemas.openxmlformats.org/officeDocument/2006/relationships/hyperlink" Target="https://www.itu.int/en/council/Documents/basic-texts-2023/RES-191-E.pdf" TargetMode="External"/><Relationship Id="rId17" Type="http://schemas.openxmlformats.org/officeDocument/2006/relationships/hyperlink" Target="https://www.itu.int/en/general-secretariat/ties/ISCGDocumentLibrary/Liaisons%20Statements%20on%20Inter-Sectoral%20Coordination%20Activities/List%20of%20Focal%20Points%20published-Updated%20April2025.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en/general-secretariat/ties/ISCGDocumentLibrary/Liaisons%20Statements%20on%20Inter-Sectoral%20Coordination%20Activities/Mapping-of-Resolutions-Updated%20Dec2024.pdf" TargetMode="External"/><Relationship Id="rId20" Type="http://schemas.openxmlformats.org/officeDocument/2006/relationships/hyperlink" Target="https://www.itu.int/md/S25-CWGFHR20-C-0024/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071-E.pdf"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en/general-secretariat/Pages/default.asp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net4/Search/CL2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general-secretariat/ties/ISCGDocumentLibrary/Liaisons%20Statements%20on%20Inter-Sectoral%20Coordination%20Activities/SO-2024-006-en.pdf" TargetMode="External"/><Relationship Id="rId22" Type="http://schemas.openxmlformats.org/officeDocument/2006/relationships/hyperlink" Target="https://www.itu.int/en/general-secretariat/Pages/ISCG/default.aspx"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eate a new document." ma:contentTypeScope="" ma:versionID="307ecc74a8eb51dfea6b750f0799606c">
  <xsd:schema xmlns:xsd="http://www.w3.org/2001/XMLSchema" xmlns:xs="http://www.w3.org/2001/XMLSchema" xmlns:p="http://schemas.microsoft.com/office/2006/metadata/properties" xmlns:ns2="a1cf676c-2816-4389-ad5d-0f2e7c7e67c4" targetNamespace="http://schemas.microsoft.com/office/2006/metadata/properties" ma:root="true" ma:fieldsID="80c3ec948e348096898dbd7aed4bed44"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2F2AC-2255-4DBF-9278-6619577B4509}">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a1cf676c-2816-4389-ad5d-0f2e7c7e67c4"/>
    <ds:schemaRef ds:uri="http://www.w3.org/XML/1998/namespace"/>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EBCB52BA-7AEF-42D4-AF59-959012BFA94A}">
  <ds:schemaRefs>
    <ds:schemaRef ds:uri="http://schemas.microsoft.com/sharepoint/v3/contenttype/fo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F4F2E62A-12E0-4C13-9774-368496C79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1284</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Strategy for the coordination of efforts among the three Sectors of the Union</vt:lpstr>
    </vt:vector>
  </TitlesOfParts>
  <Manager>General Secretariat</Manager>
  <Company>International Telecommunication Union (ITU)</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Strategy for the coordination of efforts among the three Sectors of the Union</dc:title>
  <dc:subject>Council 2025</dc:subject>
  <dc:creator>LRT</dc:creator>
  <cp:keywords>C25; C2025; Council 2025; ITU160</cp:keywords>
  <dc:description/>
  <cp:lastModifiedBy>GBS</cp:lastModifiedBy>
  <cp:revision>4</cp:revision>
  <cp:lastPrinted>2000-07-18T22:30:00Z</cp:lastPrinted>
  <dcterms:created xsi:type="dcterms:W3CDTF">2025-04-30T11:54:00Z</dcterms:created>
  <dcterms:modified xsi:type="dcterms:W3CDTF">2025-04-30T12:02:00Z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y fmtid="{D5CDD505-2E9C-101B-9397-08002B2CF9AE}" pid="10" name="MediaServiceImageTags">
    <vt:lpwstr/>
  </property>
</Properties>
</file>