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682228D2" w14:textId="77777777" w:rsidTr="00E31DCE">
        <w:trPr>
          <w:cantSplit/>
          <w:trHeight w:val="23"/>
        </w:trPr>
        <w:tc>
          <w:tcPr>
            <w:tcW w:w="3969" w:type="dxa"/>
            <w:vMerge w:val="restart"/>
            <w:tcMar>
              <w:left w:w="0" w:type="dxa"/>
            </w:tcMar>
          </w:tcPr>
          <w:p w14:paraId="7B68AE72" w14:textId="19CEC7BA"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4240A">
              <w:rPr>
                <w:b/>
              </w:rPr>
              <w:t>PL 2</w:t>
            </w:r>
          </w:p>
        </w:tc>
        <w:tc>
          <w:tcPr>
            <w:tcW w:w="5245" w:type="dxa"/>
          </w:tcPr>
          <w:p w14:paraId="79F932E3" w14:textId="52090387"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72138B">
              <w:rPr>
                <w:b/>
                <w:lang w:val="fr-CH"/>
              </w:rPr>
              <w:t>5</w:t>
            </w:r>
            <w:proofErr w:type="spellEnd"/>
            <w:r w:rsidRPr="00E24D59">
              <w:rPr>
                <w:b/>
                <w:lang w:val="fr-CH"/>
              </w:rPr>
              <w:t>/</w:t>
            </w:r>
            <w:r w:rsidR="00AA4F9F">
              <w:rPr>
                <w:b/>
                <w:lang w:val="fr-CH"/>
              </w:rPr>
              <w:t>27</w:t>
            </w:r>
            <w:r w:rsidRPr="00E24D59">
              <w:rPr>
                <w:b/>
                <w:lang w:val="fr-CH"/>
              </w:rPr>
              <w:t>-C</w:t>
            </w:r>
          </w:p>
        </w:tc>
      </w:tr>
      <w:tr w:rsidR="00E24D59" w:rsidRPr="00813E5E" w14:paraId="7B44B703" w14:textId="77777777" w:rsidTr="00E31DCE">
        <w:trPr>
          <w:cantSplit/>
        </w:trPr>
        <w:tc>
          <w:tcPr>
            <w:tcW w:w="3969" w:type="dxa"/>
            <w:vMerge/>
          </w:tcPr>
          <w:p w14:paraId="0184F1F6"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64430C88" w14:textId="448F5AA0" w:rsidR="00E24D59" w:rsidRPr="00E85629" w:rsidRDefault="00AA4F9F"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4</w:t>
            </w:r>
            <w:r>
              <w:rPr>
                <w:rFonts w:hint="eastAsia"/>
                <w:b/>
                <w:lang w:eastAsia="zh-CN"/>
              </w:rPr>
              <w:t>月</w:t>
            </w:r>
            <w:r w:rsidR="00987785">
              <w:rPr>
                <w:rFonts w:hint="eastAsia"/>
                <w:b/>
                <w:lang w:eastAsia="zh-CN"/>
              </w:rPr>
              <w:t>30</w:t>
            </w:r>
            <w:r>
              <w:rPr>
                <w:rFonts w:hint="eastAsia"/>
                <w:b/>
                <w:lang w:eastAsia="zh-CN"/>
              </w:rPr>
              <w:t>日</w:t>
            </w:r>
          </w:p>
        </w:tc>
      </w:tr>
      <w:tr w:rsidR="00E24D59" w:rsidRPr="00813E5E" w14:paraId="501766F2" w14:textId="77777777" w:rsidTr="00E31DCE">
        <w:trPr>
          <w:cantSplit/>
          <w:trHeight w:val="23"/>
        </w:trPr>
        <w:tc>
          <w:tcPr>
            <w:tcW w:w="3969" w:type="dxa"/>
            <w:vMerge/>
          </w:tcPr>
          <w:p w14:paraId="162DF231"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7BB0FE44" w14:textId="7BA373CB"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AA4F9F">
              <w:rPr>
                <w:rFonts w:cstheme="minorHAnsi" w:hint="eastAsia"/>
                <w:b/>
                <w:bCs/>
                <w:lang w:val="ru-RU" w:eastAsia="zh-CN"/>
              </w:rPr>
              <w:t>英文</w:t>
            </w:r>
          </w:p>
        </w:tc>
      </w:tr>
      <w:tr w:rsidR="00E24D59" w:rsidRPr="00813E5E" w14:paraId="3ACDE6B9" w14:textId="77777777" w:rsidTr="00E31DCE">
        <w:trPr>
          <w:cantSplit/>
          <w:trHeight w:val="23"/>
        </w:trPr>
        <w:tc>
          <w:tcPr>
            <w:tcW w:w="3969" w:type="dxa"/>
          </w:tcPr>
          <w:p w14:paraId="2CD52FA7" w14:textId="77777777" w:rsidR="00E24D59" w:rsidRPr="00813E5E" w:rsidRDefault="00E24D59" w:rsidP="00E31DCE">
            <w:pPr>
              <w:tabs>
                <w:tab w:val="left" w:pos="851"/>
              </w:tabs>
              <w:spacing w:line="240" w:lineRule="atLeast"/>
              <w:rPr>
                <w:b/>
              </w:rPr>
            </w:pPr>
          </w:p>
        </w:tc>
        <w:tc>
          <w:tcPr>
            <w:tcW w:w="5245" w:type="dxa"/>
          </w:tcPr>
          <w:p w14:paraId="0991D610" w14:textId="77777777" w:rsidR="00E24D59" w:rsidRDefault="00E24D59" w:rsidP="00E31DCE">
            <w:pPr>
              <w:tabs>
                <w:tab w:val="left" w:pos="851"/>
              </w:tabs>
              <w:spacing w:before="0" w:line="240" w:lineRule="atLeast"/>
              <w:jc w:val="right"/>
              <w:rPr>
                <w:b/>
              </w:rPr>
            </w:pPr>
          </w:p>
        </w:tc>
      </w:tr>
      <w:tr w:rsidR="00E24D59" w:rsidRPr="00813E5E" w14:paraId="48436D74" w14:textId="77777777" w:rsidTr="00E31DCE">
        <w:trPr>
          <w:cantSplit/>
        </w:trPr>
        <w:tc>
          <w:tcPr>
            <w:tcW w:w="9214" w:type="dxa"/>
            <w:gridSpan w:val="2"/>
            <w:tcMar>
              <w:left w:w="0" w:type="dxa"/>
            </w:tcMar>
          </w:tcPr>
          <w:p w14:paraId="081928EB" w14:textId="77777777" w:rsidR="00E24D59" w:rsidRPr="00E24D59" w:rsidRDefault="003F086E" w:rsidP="00DA0E66">
            <w:pPr>
              <w:pStyle w:val="Source"/>
              <w:spacing w:before="840"/>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E24D59" w:rsidRPr="00813E5E" w14:paraId="47AD2620" w14:textId="77777777" w:rsidTr="00E31DCE">
        <w:trPr>
          <w:cantSplit/>
        </w:trPr>
        <w:tc>
          <w:tcPr>
            <w:tcW w:w="9214" w:type="dxa"/>
            <w:gridSpan w:val="2"/>
            <w:tcMar>
              <w:left w:w="0" w:type="dxa"/>
            </w:tcMar>
          </w:tcPr>
          <w:p w14:paraId="5DCAC9D0" w14:textId="501C9D88" w:rsidR="00E24D59" w:rsidRPr="00477D57" w:rsidRDefault="00AA4F9F" w:rsidP="00E31DCE">
            <w:pPr>
              <w:pStyle w:val="Subtitle"/>
              <w:framePr w:hSpace="0" w:wrap="auto" w:hAnchor="text" w:xAlign="left" w:yAlign="inline"/>
              <w:rPr>
                <w:rFonts w:eastAsia="SimSun"/>
                <w:lang w:eastAsia="zh-CN"/>
              </w:rPr>
            </w:pPr>
            <w:bookmarkStart w:id="6" w:name="dtitle1" w:colFirst="0" w:colLast="0"/>
            <w:bookmarkEnd w:id="5"/>
            <w:r w:rsidRPr="00AA4F9F">
              <w:rPr>
                <w:rFonts w:eastAsia="SimSun" w:hint="eastAsia"/>
                <w:lang w:eastAsia="zh-CN"/>
              </w:rPr>
              <w:t>协调国际电联三个部门工作的战略</w:t>
            </w:r>
          </w:p>
        </w:tc>
      </w:tr>
      <w:tr w:rsidR="00E24D59" w:rsidRPr="00813E5E" w14:paraId="6A8E7AD6" w14:textId="77777777" w:rsidTr="00E31DCE">
        <w:trPr>
          <w:cantSplit/>
        </w:trPr>
        <w:tc>
          <w:tcPr>
            <w:tcW w:w="9214" w:type="dxa"/>
            <w:gridSpan w:val="2"/>
            <w:tcBorders>
              <w:top w:val="single" w:sz="4" w:space="0" w:color="auto"/>
              <w:bottom w:val="single" w:sz="4" w:space="0" w:color="auto"/>
            </w:tcBorders>
            <w:tcMar>
              <w:left w:w="0" w:type="dxa"/>
            </w:tcMar>
          </w:tcPr>
          <w:p w14:paraId="589C733D" w14:textId="2CD0E0AC" w:rsidR="003F086E" w:rsidRPr="00477D57" w:rsidRDefault="003F086E" w:rsidP="00477D57">
            <w:pPr>
              <w:rPr>
                <w:b/>
                <w:bCs/>
                <w:lang w:eastAsia="zh-CN"/>
              </w:rPr>
            </w:pPr>
            <w:r w:rsidRPr="00477D57">
              <w:rPr>
                <w:b/>
                <w:bCs/>
                <w:lang w:eastAsia="zh-CN"/>
              </w:rPr>
              <w:t>目的</w:t>
            </w:r>
          </w:p>
          <w:p w14:paraId="04FDCE4B" w14:textId="765E192C" w:rsidR="003F086E" w:rsidRPr="00477D57" w:rsidRDefault="00AA4F9F" w:rsidP="00F4240A">
            <w:pPr>
              <w:ind w:firstLineChars="200" w:firstLine="480"/>
              <w:rPr>
                <w:rFonts w:asciiTheme="majorEastAsia" w:eastAsiaTheme="majorEastAsia" w:hAnsiTheme="majorEastAsia"/>
                <w:lang w:eastAsia="zh-CN"/>
              </w:rPr>
            </w:pPr>
            <w:r w:rsidRPr="006A2B99">
              <w:rPr>
                <w:rFonts w:hint="eastAsia"/>
                <w:lang w:eastAsia="zh-CN"/>
              </w:rPr>
              <w:t>本文件是有关协调国际电联三个部门</w:t>
            </w:r>
            <w:r>
              <w:rPr>
                <w:rFonts w:hint="eastAsia"/>
                <w:lang w:eastAsia="zh-CN"/>
              </w:rPr>
              <w:t>和总秘书处</w:t>
            </w:r>
            <w:r w:rsidRPr="006A2B99">
              <w:rPr>
                <w:rFonts w:hint="eastAsia"/>
                <w:lang w:eastAsia="zh-CN"/>
              </w:rPr>
              <w:t>工作的战略的第</w:t>
            </w:r>
            <w:r w:rsidRPr="006A2B99">
              <w:rPr>
                <w:rFonts w:hint="eastAsia"/>
                <w:lang w:eastAsia="zh-CN"/>
              </w:rPr>
              <w:t>191</w:t>
            </w:r>
            <w:r w:rsidRPr="006A2B99">
              <w:rPr>
                <w:rFonts w:hint="eastAsia"/>
                <w:lang w:eastAsia="zh-CN"/>
              </w:rPr>
              <w:t>号决议（</w:t>
            </w:r>
            <w:r w:rsidRPr="006A2B99">
              <w:rPr>
                <w:rFonts w:hint="eastAsia"/>
                <w:lang w:eastAsia="zh-CN"/>
              </w:rPr>
              <w:t>2022</w:t>
            </w:r>
            <w:r w:rsidRPr="006A2B99">
              <w:rPr>
                <w:rFonts w:hint="eastAsia"/>
                <w:lang w:eastAsia="zh-CN"/>
              </w:rPr>
              <w:t>年，布加勒斯特，修订版）的实施报告。</w:t>
            </w:r>
          </w:p>
          <w:p w14:paraId="17DFD2A3" w14:textId="77777777" w:rsidR="003F086E" w:rsidRPr="00477D57" w:rsidRDefault="003F086E" w:rsidP="00477D57">
            <w:pPr>
              <w:rPr>
                <w:b/>
                <w:bCs/>
                <w:lang w:eastAsia="zh-CN"/>
              </w:rPr>
            </w:pPr>
            <w:r w:rsidRPr="00477D57">
              <w:rPr>
                <w:b/>
                <w:bCs/>
                <w:lang w:eastAsia="zh-CN"/>
              </w:rPr>
              <w:t>理事会需采取的行动</w:t>
            </w:r>
          </w:p>
          <w:p w14:paraId="00A08452" w14:textId="3C1480CB" w:rsidR="003F086E" w:rsidRPr="00477D57" w:rsidRDefault="00AA4F9F" w:rsidP="00F4240A">
            <w:pPr>
              <w:ind w:firstLineChars="200" w:firstLine="480"/>
              <w:rPr>
                <w:rFonts w:asciiTheme="majorEastAsia" w:eastAsiaTheme="majorEastAsia" w:hAnsiTheme="majorEastAsia"/>
                <w:lang w:eastAsia="zh-CN"/>
              </w:rPr>
            </w:pPr>
            <w:r w:rsidRPr="006A2B99">
              <w:rPr>
                <w:rFonts w:hint="eastAsia"/>
                <w:lang w:eastAsia="zh-CN"/>
              </w:rPr>
              <w:t>请理事会将本报告</w:t>
            </w:r>
            <w:r w:rsidRPr="006A2B99">
              <w:rPr>
                <w:rFonts w:hint="eastAsia"/>
                <w:b/>
                <w:bCs/>
                <w:lang w:eastAsia="zh-CN"/>
              </w:rPr>
              <w:t>记录在案</w:t>
            </w:r>
            <w:r w:rsidRPr="006A2B99">
              <w:rPr>
                <w:rFonts w:hint="eastAsia"/>
                <w:lang w:eastAsia="zh-CN"/>
              </w:rPr>
              <w:t>。</w:t>
            </w:r>
          </w:p>
          <w:p w14:paraId="2900EDBF" w14:textId="77777777" w:rsidR="003F086E" w:rsidRPr="00477D57" w:rsidRDefault="003F086E" w:rsidP="00477D57">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23AD7575" w14:textId="235E6B00" w:rsidR="003F086E" w:rsidRPr="00477D57" w:rsidRDefault="00AA4F9F" w:rsidP="00F4240A">
            <w:pPr>
              <w:ind w:firstLineChars="200" w:firstLine="480"/>
              <w:rPr>
                <w:rFonts w:asciiTheme="majorEastAsia" w:eastAsiaTheme="majorEastAsia" w:hAnsiTheme="majorEastAsia"/>
                <w:lang w:eastAsia="zh-CN"/>
              </w:rPr>
            </w:pPr>
            <w:r w:rsidRPr="006A2B99">
              <w:rPr>
                <w:rFonts w:hint="eastAsia"/>
                <w:lang w:eastAsia="zh-CN"/>
              </w:rPr>
              <w:t>卓越的人力资源和组织创新。</w:t>
            </w:r>
          </w:p>
          <w:p w14:paraId="507FC9E7" w14:textId="77777777" w:rsidR="003F086E" w:rsidRPr="00477D57" w:rsidRDefault="003F086E" w:rsidP="00477D57">
            <w:pPr>
              <w:rPr>
                <w:b/>
                <w:bCs/>
                <w:lang w:eastAsia="zh-CN"/>
              </w:rPr>
            </w:pPr>
            <w:r w:rsidRPr="00477D57">
              <w:rPr>
                <w:b/>
                <w:bCs/>
                <w:lang w:eastAsia="zh-CN"/>
              </w:rPr>
              <w:t>财务影响</w:t>
            </w:r>
          </w:p>
          <w:p w14:paraId="5171948C" w14:textId="3765DA16" w:rsidR="008F64AD" w:rsidRPr="00477D57" w:rsidRDefault="00AA4F9F" w:rsidP="00F4240A">
            <w:pPr>
              <w:ind w:firstLineChars="200" w:firstLine="480"/>
              <w:rPr>
                <w:rFonts w:asciiTheme="majorEastAsia" w:eastAsiaTheme="majorEastAsia" w:hAnsiTheme="majorEastAsia"/>
                <w:lang w:eastAsia="zh-CN"/>
              </w:rPr>
            </w:pPr>
            <w:r w:rsidRPr="006A2B99">
              <w:rPr>
                <w:rFonts w:hint="eastAsia"/>
                <w:szCs w:val="24"/>
                <w:lang w:eastAsia="zh-CN"/>
              </w:rPr>
              <w:t>在</w:t>
            </w:r>
            <w:r w:rsidRPr="006A2B99">
              <w:rPr>
                <w:rFonts w:hint="eastAsia"/>
                <w:szCs w:val="24"/>
                <w:lang w:eastAsia="zh-CN"/>
              </w:rPr>
              <w:t>2024-2025</w:t>
            </w:r>
            <w:r w:rsidRPr="006A2B99">
              <w:rPr>
                <w:rFonts w:hint="eastAsia"/>
                <w:szCs w:val="24"/>
                <w:lang w:eastAsia="zh-CN"/>
              </w:rPr>
              <w:t>年划拨预算范围内。</w:t>
            </w:r>
          </w:p>
          <w:p w14:paraId="0D5C9721"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341E7F6B" w14:textId="77777777" w:rsidR="00E24D59" w:rsidRPr="00477D57" w:rsidRDefault="00E24D59" w:rsidP="00477D57">
            <w:pPr>
              <w:rPr>
                <w:b/>
                <w:bCs/>
                <w:lang w:eastAsia="zh-CN"/>
              </w:rPr>
            </w:pPr>
            <w:r w:rsidRPr="00477D57">
              <w:rPr>
                <w:rFonts w:hint="eastAsia"/>
                <w:b/>
                <w:bCs/>
                <w:lang w:eastAsia="zh-CN"/>
              </w:rPr>
              <w:t>参考文件</w:t>
            </w:r>
          </w:p>
          <w:p w14:paraId="110AE8B7" w14:textId="3332D23D" w:rsidR="00E24D59" w:rsidRPr="00477D57" w:rsidRDefault="00AA4F9F" w:rsidP="00F4240A">
            <w:pPr>
              <w:spacing w:after="120"/>
              <w:ind w:firstLineChars="200" w:firstLine="440"/>
              <w:rPr>
                <w:rFonts w:asciiTheme="majorEastAsia" w:eastAsiaTheme="majorEastAsia" w:hAnsiTheme="majorEastAsia"/>
                <w:i/>
                <w:iCs/>
                <w:sz w:val="22"/>
                <w:szCs w:val="22"/>
                <w:lang w:eastAsia="zh-CN"/>
              </w:rPr>
            </w:pPr>
            <w:r w:rsidRPr="0090359F">
              <w:rPr>
                <w:rStyle w:val="eop"/>
                <w:rFonts w:eastAsia="STKaiti" w:cs="Calibri" w:hint="eastAsia"/>
                <w:color w:val="000000"/>
                <w:sz w:val="22"/>
                <w:szCs w:val="22"/>
                <w:shd w:val="clear" w:color="auto" w:fill="FFFFFF"/>
                <w:lang w:eastAsia="zh-CN"/>
              </w:rPr>
              <w:t>全权代表大会</w:t>
            </w:r>
            <w:r w:rsidRPr="00F4240A">
              <w:rPr>
                <w:rStyle w:val="eop"/>
                <w:rFonts w:eastAsia="STKaiti" w:cs="Calibri"/>
                <w:color w:val="000000"/>
                <w:sz w:val="22"/>
                <w:szCs w:val="22"/>
                <w:u w:val="single"/>
                <w:shd w:val="clear" w:color="auto" w:fill="FFFFFF"/>
              </w:rPr>
              <w:fldChar w:fldCharType="begin"/>
            </w:r>
            <w:r w:rsidRPr="00F4240A">
              <w:rPr>
                <w:rStyle w:val="eop"/>
                <w:rFonts w:eastAsia="STKaiti" w:cs="Calibri"/>
                <w:color w:val="000000"/>
                <w:sz w:val="22"/>
                <w:szCs w:val="22"/>
                <w:u w:val="single"/>
                <w:shd w:val="clear" w:color="auto" w:fill="FFFFFF"/>
                <w:lang w:eastAsia="zh-CN"/>
              </w:rPr>
              <w:instrText>HYPERLINK "https://www.itu.int/en/council/Documents/basic-texts-2023/RES-071-C.pdf"</w:instrText>
            </w:r>
            <w:r w:rsidRPr="00F4240A">
              <w:rPr>
                <w:rStyle w:val="eop"/>
                <w:rFonts w:eastAsia="STKaiti" w:cs="Calibri"/>
                <w:color w:val="000000"/>
                <w:sz w:val="22"/>
                <w:szCs w:val="22"/>
                <w:u w:val="single"/>
                <w:shd w:val="clear" w:color="auto" w:fill="FFFFFF"/>
              </w:rPr>
            </w:r>
            <w:r w:rsidRPr="00F4240A">
              <w:rPr>
                <w:rStyle w:val="eop"/>
                <w:rFonts w:eastAsia="STKaiti" w:cs="Calibri"/>
                <w:color w:val="000000"/>
                <w:sz w:val="22"/>
                <w:szCs w:val="22"/>
                <w:u w:val="single"/>
                <w:shd w:val="clear" w:color="auto" w:fill="FFFFFF"/>
              </w:rPr>
              <w:fldChar w:fldCharType="separate"/>
            </w:r>
            <w:r w:rsidRPr="00F4240A">
              <w:rPr>
                <w:rStyle w:val="Hyperlink"/>
                <w:rFonts w:eastAsia="STKaiti" w:cs="Calibri" w:hint="eastAsia"/>
                <w:sz w:val="22"/>
                <w:szCs w:val="22"/>
                <w:u w:val="single"/>
                <w:shd w:val="clear" w:color="auto" w:fill="FFFFFF"/>
                <w:lang w:eastAsia="zh-CN"/>
              </w:rPr>
              <w:t>第</w:t>
            </w:r>
            <w:r w:rsidRPr="00F4240A">
              <w:rPr>
                <w:rStyle w:val="Hyperlink"/>
                <w:rFonts w:eastAsia="STKaiti" w:cs="Calibri" w:hint="eastAsia"/>
                <w:sz w:val="22"/>
                <w:szCs w:val="22"/>
                <w:u w:val="single"/>
                <w:shd w:val="clear" w:color="auto" w:fill="FFFFFF"/>
                <w:lang w:eastAsia="zh-CN"/>
              </w:rPr>
              <w:t>71</w:t>
            </w:r>
            <w:r w:rsidRPr="00F4240A">
              <w:rPr>
                <w:rStyle w:val="Hyperlink"/>
                <w:rFonts w:eastAsia="STKaiti" w:cs="Calibri" w:hint="eastAsia"/>
                <w:sz w:val="22"/>
                <w:szCs w:val="22"/>
                <w:u w:val="single"/>
                <w:shd w:val="clear" w:color="auto" w:fill="FFFFFF"/>
                <w:lang w:eastAsia="zh-CN"/>
              </w:rPr>
              <w:t>号决议</w:t>
            </w:r>
            <w:r w:rsidRPr="00F4240A">
              <w:rPr>
                <w:rStyle w:val="eop"/>
                <w:rFonts w:eastAsia="STKaiti" w:cs="Calibri"/>
                <w:color w:val="000000"/>
                <w:sz w:val="22"/>
                <w:szCs w:val="22"/>
                <w:u w:val="single"/>
                <w:shd w:val="clear" w:color="auto" w:fill="FFFFFF"/>
              </w:rPr>
              <w:fldChar w:fldCharType="end"/>
            </w:r>
            <w:r w:rsidRPr="0090359F">
              <w:rPr>
                <w:rStyle w:val="eop"/>
                <w:rFonts w:eastAsia="STKaiti" w:cs="Calibri" w:hint="eastAsia"/>
                <w:color w:val="000000"/>
                <w:sz w:val="22"/>
                <w:szCs w:val="22"/>
                <w:shd w:val="clear" w:color="auto" w:fill="FFFFFF"/>
                <w:lang w:eastAsia="zh-CN"/>
              </w:rPr>
              <w:t>（</w:t>
            </w:r>
            <w:r w:rsidRPr="0090359F">
              <w:rPr>
                <w:rStyle w:val="eop"/>
                <w:rFonts w:eastAsia="STKaiti" w:cs="Calibri" w:hint="eastAsia"/>
                <w:color w:val="000000"/>
                <w:sz w:val="22"/>
                <w:szCs w:val="22"/>
                <w:shd w:val="clear" w:color="auto" w:fill="FFFFFF"/>
                <w:lang w:eastAsia="zh-CN"/>
              </w:rPr>
              <w:t>2022</w:t>
            </w:r>
            <w:r w:rsidRPr="0090359F">
              <w:rPr>
                <w:rStyle w:val="eop"/>
                <w:rFonts w:eastAsia="STKaiti" w:cs="Calibri" w:hint="eastAsia"/>
                <w:color w:val="000000"/>
                <w:sz w:val="22"/>
                <w:szCs w:val="22"/>
                <w:shd w:val="clear" w:color="auto" w:fill="FFFFFF"/>
                <w:lang w:eastAsia="zh-CN"/>
              </w:rPr>
              <w:t>年，布加勒斯特，修订版）</w:t>
            </w:r>
            <w:r>
              <w:rPr>
                <w:rStyle w:val="eop"/>
                <w:rFonts w:eastAsia="STKaiti" w:cs="Calibri" w:hint="eastAsia"/>
                <w:color w:val="000000"/>
                <w:sz w:val="22"/>
                <w:szCs w:val="22"/>
                <w:shd w:val="clear" w:color="auto" w:fill="FFFFFF"/>
                <w:lang w:eastAsia="zh-CN"/>
              </w:rPr>
              <w:t>、</w:t>
            </w:r>
            <w:r w:rsidRPr="0090359F">
              <w:rPr>
                <w:rStyle w:val="eop"/>
                <w:rFonts w:eastAsia="STKaiti" w:cs="Calibri" w:hint="eastAsia"/>
                <w:color w:val="000000"/>
                <w:sz w:val="22"/>
                <w:szCs w:val="22"/>
                <w:shd w:val="clear" w:color="auto" w:fill="FFFFFF"/>
                <w:lang w:eastAsia="zh-CN"/>
              </w:rPr>
              <w:t>第</w:t>
            </w:r>
            <w:hyperlink r:id="rId8" w:history="1">
              <w:r w:rsidRPr="00F4240A">
                <w:rPr>
                  <w:rStyle w:val="Hyperlink"/>
                  <w:rFonts w:eastAsia="STKaiti" w:cs="Calibri" w:hint="eastAsia"/>
                  <w:sz w:val="22"/>
                  <w:szCs w:val="22"/>
                  <w:u w:val="single"/>
                  <w:shd w:val="clear" w:color="auto" w:fill="FFFFFF"/>
                  <w:lang w:eastAsia="zh-CN"/>
                </w:rPr>
                <w:t>191</w:t>
              </w:r>
            </w:hyperlink>
            <w:r w:rsidRPr="0090359F">
              <w:rPr>
                <w:rStyle w:val="eop"/>
                <w:rFonts w:eastAsia="STKaiti" w:cs="Calibri" w:hint="eastAsia"/>
                <w:color w:val="000000"/>
                <w:sz w:val="22"/>
                <w:szCs w:val="22"/>
                <w:shd w:val="clear" w:color="auto" w:fill="FFFFFF"/>
                <w:lang w:eastAsia="zh-CN"/>
              </w:rPr>
              <w:t>号决议（</w:t>
            </w:r>
            <w:r w:rsidRPr="0090359F">
              <w:rPr>
                <w:rStyle w:val="eop"/>
                <w:rFonts w:eastAsia="STKaiti" w:cs="Calibri" w:hint="eastAsia"/>
                <w:color w:val="000000"/>
                <w:sz w:val="22"/>
                <w:szCs w:val="22"/>
                <w:shd w:val="clear" w:color="auto" w:fill="FFFFFF"/>
                <w:lang w:eastAsia="zh-CN"/>
              </w:rPr>
              <w:t>2022</w:t>
            </w:r>
            <w:r w:rsidRPr="0090359F">
              <w:rPr>
                <w:rStyle w:val="eop"/>
                <w:rFonts w:eastAsia="STKaiti" w:cs="Calibri" w:hint="eastAsia"/>
                <w:color w:val="000000"/>
                <w:sz w:val="22"/>
                <w:szCs w:val="22"/>
                <w:shd w:val="clear" w:color="auto" w:fill="FFFFFF"/>
                <w:lang w:eastAsia="zh-CN"/>
              </w:rPr>
              <w:t>年，布加勒斯特，修订版）以及</w:t>
            </w:r>
            <w:r w:rsidRPr="00F4240A">
              <w:rPr>
                <w:rStyle w:val="eop"/>
                <w:rFonts w:eastAsia="STKaiti" w:cs="Calibri"/>
                <w:color w:val="000000"/>
                <w:sz w:val="22"/>
                <w:szCs w:val="22"/>
                <w:u w:val="single"/>
                <w:shd w:val="clear" w:color="auto" w:fill="FFFFFF"/>
              </w:rPr>
              <w:fldChar w:fldCharType="begin"/>
            </w:r>
            <w:r w:rsidRPr="00F4240A">
              <w:rPr>
                <w:rStyle w:val="eop"/>
                <w:rFonts w:eastAsia="STKaiti" w:cs="Calibri"/>
                <w:color w:val="000000"/>
                <w:sz w:val="22"/>
                <w:szCs w:val="22"/>
                <w:u w:val="single"/>
                <w:shd w:val="clear" w:color="auto" w:fill="FFFFFF"/>
                <w:lang w:eastAsia="zh-CN"/>
              </w:rPr>
              <w:instrText>HYPERLINK "https://www.itu.int/en/council/Documents/basic-texts-2023/DEC-005-C.pdf"</w:instrText>
            </w:r>
            <w:r w:rsidRPr="00F4240A">
              <w:rPr>
                <w:rStyle w:val="eop"/>
                <w:rFonts w:eastAsia="STKaiti" w:cs="Calibri"/>
                <w:color w:val="000000"/>
                <w:sz w:val="22"/>
                <w:szCs w:val="22"/>
                <w:u w:val="single"/>
                <w:shd w:val="clear" w:color="auto" w:fill="FFFFFF"/>
              </w:rPr>
            </w:r>
            <w:r w:rsidRPr="00F4240A">
              <w:rPr>
                <w:rStyle w:val="eop"/>
                <w:rFonts w:eastAsia="STKaiti" w:cs="Calibri"/>
                <w:color w:val="000000"/>
                <w:sz w:val="22"/>
                <w:szCs w:val="22"/>
                <w:u w:val="single"/>
                <w:shd w:val="clear" w:color="auto" w:fill="FFFFFF"/>
              </w:rPr>
              <w:fldChar w:fldCharType="separate"/>
            </w:r>
            <w:r w:rsidRPr="00F4240A">
              <w:rPr>
                <w:rStyle w:val="Hyperlink"/>
                <w:rFonts w:eastAsia="STKaiti" w:cs="Calibri" w:hint="eastAsia"/>
                <w:sz w:val="22"/>
                <w:szCs w:val="22"/>
                <w:u w:val="single"/>
                <w:shd w:val="clear" w:color="auto" w:fill="FFFFFF"/>
                <w:lang w:eastAsia="zh-CN"/>
              </w:rPr>
              <w:t>第</w:t>
            </w:r>
            <w:r w:rsidRPr="00F4240A">
              <w:rPr>
                <w:rStyle w:val="Hyperlink"/>
                <w:rFonts w:eastAsia="STKaiti" w:cs="Calibri" w:hint="eastAsia"/>
                <w:sz w:val="22"/>
                <w:szCs w:val="22"/>
                <w:u w:val="single"/>
                <w:shd w:val="clear" w:color="auto" w:fill="FFFFFF"/>
                <w:lang w:eastAsia="zh-CN"/>
              </w:rPr>
              <w:t>5</w:t>
            </w:r>
            <w:r w:rsidRPr="00F4240A">
              <w:rPr>
                <w:rStyle w:val="Hyperlink"/>
                <w:rFonts w:eastAsia="STKaiti" w:cs="Calibri" w:hint="eastAsia"/>
                <w:sz w:val="22"/>
                <w:szCs w:val="22"/>
                <w:u w:val="single"/>
                <w:shd w:val="clear" w:color="auto" w:fill="FFFFFF"/>
                <w:lang w:eastAsia="zh-CN"/>
              </w:rPr>
              <w:t>号决定</w:t>
            </w:r>
            <w:r w:rsidRPr="00F4240A">
              <w:rPr>
                <w:rStyle w:val="eop"/>
                <w:rFonts w:eastAsia="STKaiti" w:cs="Calibri"/>
                <w:color w:val="000000"/>
                <w:sz w:val="22"/>
                <w:szCs w:val="22"/>
                <w:u w:val="single"/>
                <w:shd w:val="clear" w:color="auto" w:fill="FFFFFF"/>
              </w:rPr>
              <w:fldChar w:fldCharType="end"/>
            </w:r>
            <w:r w:rsidRPr="0090359F">
              <w:rPr>
                <w:rStyle w:val="eop"/>
                <w:rFonts w:eastAsia="STKaiti" w:cs="Calibri" w:hint="eastAsia"/>
                <w:color w:val="000000"/>
                <w:sz w:val="22"/>
                <w:szCs w:val="22"/>
                <w:shd w:val="clear" w:color="auto" w:fill="FFFFFF"/>
                <w:lang w:eastAsia="zh-CN"/>
              </w:rPr>
              <w:t>（</w:t>
            </w:r>
            <w:r w:rsidRPr="0090359F">
              <w:rPr>
                <w:rStyle w:val="eop"/>
                <w:rFonts w:eastAsia="STKaiti" w:cs="Calibri" w:hint="eastAsia"/>
                <w:color w:val="000000"/>
                <w:sz w:val="22"/>
                <w:szCs w:val="22"/>
                <w:shd w:val="clear" w:color="auto" w:fill="FFFFFF"/>
                <w:lang w:eastAsia="zh-CN"/>
              </w:rPr>
              <w:t>2022</w:t>
            </w:r>
            <w:r w:rsidRPr="0090359F">
              <w:rPr>
                <w:rStyle w:val="eop"/>
                <w:rFonts w:eastAsia="STKaiti" w:cs="Calibri" w:hint="eastAsia"/>
                <w:color w:val="000000"/>
                <w:sz w:val="22"/>
                <w:szCs w:val="22"/>
                <w:shd w:val="clear" w:color="auto" w:fill="FFFFFF"/>
                <w:lang w:eastAsia="zh-CN"/>
              </w:rPr>
              <w:t>年，布加勒斯特，修订版）</w:t>
            </w:r>
          </w:p>
        </w:tc>
      </w:tr>
      <w:bookmarkEnd w:id="2"/>
      <w:bookmarkEnd w:id="6"/>
    </w:tbl>
    <w:p w14:paraId="770B531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087F49B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2493139" w14:textId="77777777" w:rsidR="00AA4F9F" w:rsidRPr="00AA4F9F" w:rsidRDefault="00AA4F9F" w:rsidP="00AA4F9F">
      <w:pPr>
        <w:pStyle w:val="Heading1"/>
        <w:rPr>
          <w:lang w:eastAsia="zh-CN"/>
        </w:rPr>
      </w:pPr>
      <w:r w:rsidRPr="00AA4F9F">
        <w:rPr>
          <w:lang w:eastAsia="zh-CN"/>
        </w:rPr>
        <w:lastRenderedPageBreak/>
        <w:t>1</w:t>
      </w:r>
      <w:r w:rsidRPr="00AA4F9F">
        <w:rPr>
          <w:lang w:eastAsia="zh-CN"/>
        </w:rPr>
        <w:tab/>
      </w:r>
      <w:r w:rsidRPr="00AA4F9F">
        <w:rPr>
          <w:rFonts w:hint="eastAsia"/>
          <w:lang w:eastAsia="zh-CN"/>
        </w:rPr>
        <w:t>背景情况</w:t>
      </w:r>
    </w:p>
    <w:p w14:paraId="3CF23704" w14:textId="77777777" w:rsidR="00AA4F9F" w:rsidRPr="00AA4F9F" w:rsidRDefault="00AA4F9F" w:rsidP="00AA4F9F">
      <w:pPr>
        <w:ind w:firstLineChars="200" w:firstLine="480"/>
        <w:rPr>
          <w:b/>
          <w:lang w:eastAsia="zh-CN"/>
        </w:rPr>
      </w:pPr>
      <w:r w:rsidRPr="00AA4F9F">
        <w:rPr>
          <w:rFonts w:hint="eastAsia"/>
          <w:lang w:eastAsia="zh-CN"/>
        </w:rPr>
        <w:t>2022</w:t>
      </w:r>
      <w:r w:rsidRPr="00AA4F9F">
        <w:rPr>
          <w:rFonts w:hint="eastAsia"/>
          <w:lang w:eastAsia="zh-CN"/>
        </w:rPr>
        <w:t>年全权代表大会（</w:t>
      </w:r>
      <w:r w:rsidRPr="00AA4F9F">
        <w:rPr>
          <w:rFonts w:hint="eastAsia"/>
          <w:lang w:eastAsia="zh-CN"/>
        </w:rPr>
        <w:t>PP-22</w:t>
      </w:r>
      <w:r w:rsidRPr="00AA4F9F">
        <w:rPr>
          <w:rFonts w:hint="eastAsia"/>
          <w:lang w:eastAsia="zh-CN"/>
        </w:rPr>
        <w:t>）通过第</w:t>
      </w:r>
      <w:r w:rsidRPr="00AA4F9F">
        <w:rPr>
          <w:rFonts w:hint="eastAsia"/>
          <w:lang w:eastAsia="zh-CN"/>
        </w:rPr>
        <w:t>191</w:t>
      </w:r>
      <w:r w:rsidRPr="00AA4F9F">
        <w:rPr>
          <w:rFonts w:hint="eastAsia"/>
          <w:lang w:eastAsia="zh-CN"/>
        </w:rPr>
        <w:t>号决议（</w:t>
      </w:r>
      <w:r w:rsidRPr="00AA4F9F">
        <w:rPr>
          <w:rFonts w:hint="eastAsia"/>
          <w:lang w:eastAsia="zh-CN"/>
        </w:rPr>
        <w:t>2022</w:t>
      </w:r>
      <w:r w:rsidRPr="00AA4F9F">
        <w:rPr>
          <w:rFonts w:hint="eastAsia"/>
          <w:lang w:eastAsia="zh-CN"/>
        </w:rPr>
        <w:t>年，布加勒斯特，修订版）责成秘书长继续加强协调与合作战略，在三个部门与总秘书处共同关心的领域实现有效且高效的工作，从而避免重复工作，优化国际电联的资源使用。此外，还责成秘书长确定各部门之间以及与总秘书处的职能和活动重叠的所有形式和实例，并提出解决方案。</w:t>
      </w:r>
    </w:p>
    <w:p w14:paraId="33357017" w14:textId="75C379EA" w:rsidR="00AA4F9F" w:rsidRPr="00AA4F9F" w:rsidRDefault="00AA4F9F" w:rsidP="00AA4F9F">
      <w:pPr>
        <w:ind w:firstLineChars="200" w:firstLine="480"/>
        <w:rPr>
          <w:lang w:val="en-US" w:eastAsia="zh-CN"/>
        </w:rPr>
      </w:pPr>
      <w:r w:rsidRPr="00AA4F9F">
        <w:rPr>
          <w:rFonts w:hint="eastAsia"/>
          <w:lang w:val="en-US" w:eastAsia="zh-CN"/>
        </w:rPr>
        <w:t>秘书长授权副秘书长实施跨部门协调战略。</w:t>
      </w:r>
    </w:p>
    <w:p w14:paraId="241A01D1" w14:textId="77777777" w:rsidR="00AA4F9F" w:rsidRPr="00AA4F9F" w:rsidRDefault="00AA4F9F" w:rsidP="00AA4F9F">
      <w:pPr>
        <w:ind w:firstLineChars="200" w:firstLine="480"/>
        <w:rPr>
          <w:lang w:val="en-US" w:eastAsia="zh-CN"/>
        </w:rPr>
      </w:pPr>
      <w:r w:rsidRPr="00AA4F9F">
        <w:rPr>
          <w:rFonts w:hint="eastAsia"/>
          <w:lang w:eastAsia="zh-CN"/>
        </w:rPr>
        <w:t>2024</w:t>
      </w:r>
      <w:r w:rsidRPr="00AA4F9F">
        <w:rPr>
          <w:rFonts w:hint="eastAsia"/>
          <w:lang w:eastAsia="zh-CN"/>
        </w:rPr>
        <w:t>年，审查了设立跨部门协调任务组（</w:t>
      </w:r>
      <w:r w:rsidRPr="00AA4F9F">
        <w:rPr>
          <w:rFonts w:hint="eastAsia"/>
          <w:lang w:eastAsia="zh-CN"/>
        </w:rPr>
        <w:t>ISC-TF</w:t>
      </w:r>
      <w:r w:rsidRPr="00AA4F9F">
        <w:rPr>
          <w:rFonts w:hint="eastAsia"/>
          <w:lang w:eastAsia="zh-CN"/>
        </w:rPr>
        <w:t>）的行政规定（见</w:t>
      </w:r>
      <w:r w:rsidRPr="00AA4F9F">
        <w:rPr>
          <w:lang w:eastAsia="zh-CN"/>
        </w:rPr>
        <w:fldChar w:fldCharType="begin"/>
      </w:r>
      <w:r w:rsidRPr="00AA4F9F">
        <w:rPr>
          <w:rFonts w:hint="eastAsia"/>
          <w:lang w:eastAsia="zh-CN"/>
        </w:rPr>
        <w:instrText>HYPERLINK "https://www.itu.int/en/general-secretariat/ties/ISCGDocumentLibrary/Liaisons%20Statements%20on%20Inter-Sectoral%20Coordination%20Activities/SO-2024-006-en.pdf"</w:instrText>
      </w:r>
      <w:r w:rsidRPr="00AA4F9F">
        <w:rPr>
          <w:lang w:eastAsia="zh-CN"/>
        </w:rPr>
      </w:r>
      <w:r w:rsidRPr="00AA4F9F">
        <w:rPr>
          <w:lang w:eastAsia="zh-CN"/>
        </w:rPr>
        <w:fldChar w:fldCharType="separate"/>
      </w:r>
      <w:r w:rsidRPr="00AA4F9F">
        <w:rPr>
          <w:rFonts w:hint="eastAsia"/>
          <w:color w:val="4F81BD" w:themeColor="accent1"/>
          <w:u w:val="single"/>
          <w:lang w:eastAsia="zh-CN"/>
        </w:rPr>
        <w:t>第</w:t>
      </w:r>
      <w:r w:rsidRPr="00AA4F9F">
        <w:rPr>
          <w:rFonts w:hint="eastAsia"/>
          <w:color w:val="4F81BD" w:themeColor="accent1"/>
          <w:u w:val="single"/>
          <w:lang w:eastAsia="zh-CN"/>
        </w:rPr>
        <w:t>24/06</w:t>
      </w:r>
      <w:r w:rsidRPr="00AA4F9F">
        <w:rPr>
          <w:rFonts w:hint="eastAsia"/>
          <w:color w:val="4F81BD" w:themeColor="accent1"/>
          <w:u w:val="single"/>
          <w:lang w:eastAsia="zh-CN"/>
        </w:rPr>
        <w:t>号行政规定</w:t>
      </w:r>
      <w:r w:rsidRPr="00AA4F9F">
        <w:rPr>
          <w:lang w:eastAsia="zh-CN"/>
        </w:rPr>
        <w:fldChar w:fldCharType="end"/>
      </w:r>
      <w:r w:rsidRPr="00AA4F9F">
        <w:rPr>
          <w:rFonts w:hint="eastAsia"/>
          <w:lang w:eastAsia="zh-CN"/>
        </w:rPr>
        <w:t>），并确定，在协调委员会（</w:t>
      </w:r>
      <w:proofErr w:type="spellStart"/>
      <w:r w:rsidRPr="00AA4F9F">
        <w:rPr>
          <w:rFonts w:hint="eastAsia"/>
          <w:lang w:eastAsia="zh-CN"/>
        </w:rPr>
        <w:t>CoCo</w:t>
      </w:r>
      <w:proofErr w:type="spellEnd"/>
      <w:r w:rsidRPr="00AA4F9F">
        <w:rPr>
          <w:rFonts w:hint="eastAsia"/>
          <w:lang w:eastAsia="zh-CN"/>
        </w:rPr>
        <w:t>）的指导下，</w:t>
      </w:r>
      <w:r w:rsidRPr="00AA4F9F">
        <w:rPr>
          <w:rFonts w:hint="eastAsia"/>
          <w:lang w:eastAsia="zh-CN"/>
        </w:rPr>
        <w:t>ISC-TF</w:t>
      </w:r>
      <w:r w:rsidRPr="00AA4F9F">
        <w:rPr>
          <w:rFonts w:hint="eastAsia"/>
          <w:lang w:eastAsia="zh-CN"/>
        </w:rPr>
        <w:t>的作用是加强三个局和总秘书处之间的协调与协作，以避免内部工作重复并优化资源利用。</w:t>
      </w:r>
    </w:p>
    <w:p w14:paraId="14C47224" w14:textId="77777777" w:rsidR="00AA4F9F" w:rsidRPr="00AA4F9F" w:rsidRDefault="00AA4F9F" w:rsidP="00AA4F9F">
      <w:pPr>
        <w:pStyle w:val="Heading1"/>
        <w:rPr>
          <w:rFonts w:eastAsiaTheme="minorEastAsia"/>
          <w:lang w:eastAsia="zh-CN"/>
        </w:rPr>
      </w:pPr>
      <w:r w:rsidRPr="00AA4F9F">
        <w:rPr>
          <w:rFonts w:eastAsiaTheme="minorEastAsia"/>
          <w:lang w:eastAsia="zh-CN"/>
        </w:rPr>
        <w:t>2</w:t>
      </w:r>
      <w:r w:rsidRPr="00AA4F9F">
        <w:rPr>
          <w:rFonts w:eastAsiaTheme="minorEastAsia"/>
          <w:lang w:eastAsia="zh-CN"/>
        </w:rPr>
        <w:tab/>
      </w:r>
      <w:r w:rsidRPr="00AA4F9F">
        <w:rPr>
          <w:rFonts w:eastAsiaTheme="minorEastAsia" w:hint="eastAsia"/>
          <w:lang w:eastAsia="zh-CN"/>
        </w:rPr>
        <w:t>秘书处内部的协调</w:t>
      </w:r>
      <w:r w:rsidRPr="00AA4F9F">
        <w:rPr>
          <w:rFonts w:eastAsiaTheme="minorEastAsia"/>
          <w:lang w:eastAsia="zh-CN"/>
        </w:rPr>
        <w:t xml:space="preserve"> – </w:t>
      </w:r>
      <w:r w:rsidRPr="00AA4F9F">
        <w:rPr>
          <w:rFonts w:eastAsiaTheme="minorEastAsia" w:hint="eastAsia"/>
          <w:lang w:eastAsia="zh-CN"/>
        </w:rPr>
        <w:t>跨部门协调任务组（</w:t>
      </w:r>
      <w:r w:rsidRPr="00AA4F9F">
        <w:rPr>
          <w:rFonts w:eastAsiaTheme="minorEastAsia"/>
          <w:lang w:eastAsia="zh-CN"/>
        </w:rPr>
        <w:t>ISC-TF</w:t>
      </w:r>
      <w:r w:rsidRPr="00AA4F9F">
        <w:rPr>
          <w:rFonts w:eastAsiaTheme="minorEastAsia" w:hint="eastAsia"/>
          <w:lang w:eastAsia="zh-CN"/>
        </w:rPr>
        <w:t>）</w:t>
      </w:r>
    </w:p>
    <w:p w14:paraId="4F5B7FEE" w14:textId="77777777" w:rsidR="00AA4F9F" w:rsidRPr="00AA4F9F" w:rsidRDefault="00AA4F9F" w:rsidP="00AA4F9F">
      <w:pPr>
        <w:ind w:firstLineChars="200" w:firstLine="480"/>
        <w:rPr>
          <w:szCs w:val="24"/>
          <w:lang w:eastAsia="zh-CN"/>
        </w:rPr>
      </w:pPr>
      <w:r w:rsidRPr="00AA4F9F">
        <w:rPr>
          <w:rFonts w:hint="eastAsia"/>
          <w:lang w:eastAsia="zh-CN"/>
        </w:rPr>
        <w:t>ISC-TF</w:t>
      </w:r>
      <w:r w:rsidRPr="00AA4F9F">
        <w:rPr>
          <w:rFonts w:hint="eastAsia"/>
          <w:lang w:eastAsia="zh-CN"/>
        </w:rPr>
        <w:t>是在秘书处内部进行协调并与跨部门协调组（</w:t>
      </w:r>
      <w:r w:rsidRPr="00AA4F9F">
        <w:rPr>
          <w:rFonts w:hint="eastAsia"/>
          <w:lang w:eastAsia="zh-CN"/>
        </w:rPr>
        <w:t>ISCG</w:t>
      </w:r>
      <w:r w:rsidRPr="00AA4F9F">
        <w:rPr>
          <w:rFonts w:hint="eastAsia"/>
          <w:lang w:eastAsia="zh-CN"/>
        </w:rPr>
        <w:t>）联络的机构，以确定成员的需求，同时提供旨在改进整个国际电联合作和协调的可选方案。</w:t>
      </w:r>
    </w:p>
    <w:p w14:paraId="0447B7CA" w14:textId="77777777" w:rsidR="00AA4F9F" w:rsidRPr="00AA4F9F" w:rsidRDefault="00AA4F9F" w:rsidP="00AA4F9F">
      <w:pPr>
        <w:ind w:firstLineChars="200" w:firstLine="480"/>
        <w:rPr>
          <w:szCs w:val="24"/>
          <w:lang w:eastAsia="zh-CN"/>
        </w:rPr>
      </w:pPr>
      <w:r w:rsidRPr="00AA4F9F">
        <w:rPr>
          <w:rFonts w:hint="eastAsia"/>
          <w:szCs w:val="24"/>
          <w:lang w:eastAsia="zh-CN"/>
        </w:rPr>
        <w:t>自去年向理事会提交报告以来，</w:t>
      </w:r>
      <w:r w:rsidRPr="00AA4F9F">
        <w:rPr>
          <w:szCs w:val="24"/>
          <w:lang w:eastAsia="zh-CN"/>
        </w:rPr>
        <w:t>ISC-TF</w:t>
      </w:r>
      <w:r w:rsidRPr="00AA4F9F">
        <w:rPr>
          <w:rFonts w:hint="eastAsia"/>
          <w:szCs w:val="24"/>
          <w:lang w:eastAsia="zh-CN"/>
        </w:rPr>
        <w:t>秘书处继续努力组织并确定确保跨部门协调治理的最佳途径。这些工作包括：</w:t>
      </w:r>
    </w:p>
    <w:p w14:paraId="4E626A31" w14:textId="529E5511" w:rsidR="00AA4F9F" w:rsidRPr="00AA4F9F" w:rsidRDefault="00AA4F9F" w:rsidP="00AA4F9F">
      <w:pPr>
        <w:pStyle w:val="enumlev1"/>
        <w:rPr>
          <w:rFonts w:eastAsia="Calibri"/>
          <w:szCs w:val="24"/>
          <w:lang w:eastAsia="zh-CN"/>
        </w:rPr>
      </w:pPr>
      <w:r w:rsidRPr="00AA4F9F">
        <w:rPr>
          <w:lang w:eastAsia="zh-CN"/>
        </w:rPr>
        <w:t>•</w:t>
      </w:r>
      <w:r>
        <w:rPr>
          <w:lang w:eastAsia="zh-CN"/>
        </w:rPr>
        <w:tab/>
      </w:r>
      <w:r w:rsidRPr="00AA4F9F">
        <w:rPr>
          <w:rFonts w:hint="eastAsia"/>
          <w:lang w:eastAsia="zh-CN"/>
        </w:rPr>
        <w:t>改进总秘书处的</w:t>
      </w:r>
      <w:r>
        <w:fldChar w:fldCharType="begin"/>
      </w:r>
      <w:r>
        <w:rPr>
          <w:lang w:eastAsia="zh-CN"/>
        </w:rPr>
        <w:instrText>HYPERLINK "https://www.itu.int/en/general-secretariat/Pages/default.aspx"</w:instrText>
      </w:r>
      <w:r>
        <w:fldChar w:fldCharType="separate"/>
      </w:r>
      <w:r w:rsidRPr="00AA4F9F">
        <w:rPr>
          <w:rFonts w:hint="eastAsia"/>
          <w:color w:val="4F81BD" w:themeColor="accent1"/>
          <w:u w:val="single"/>
          <w:lang w:eastAsia="zh-CN"/>
        </w:rPr>
        <w:t>跨部门协调网页</w:t>
      </w:r>
      <w:r>
        <w:fldChar w:fldCharType="end"/>
      </w:r>
      <w:r w:rsidRPr="00AA4F9F">
        <w:rPr>
          <w:rFonts w:hint="eastAsia"/>
          <w:lang w:eastAsia="zh-CN"/>
        </w:rPr>
        <w:t>并与</w:t>
      </w:r>
      <w:r w:rsidRPr="00AA4F9F">
        <w:rPr>
          <w:rFonts w:hint="eastAsia"/>
          <w:lang w:eastAsia="zh-CN"/>
        </w:rPr>
        <w:t>ISCG</w:t>
      </w:r>
      <w:r w:rsidRPr="00AA4F9F">
        <w:rPr>
          <w:rFonts w:hint="eastAsia"/>
          <w:lang w:eastAsia="zh-CN"/>
        </w:rPr>
        <w:t>协调。</w:t>
      </w:r>
    </w:p>
    <w:p w14:paraId="3090C147" w14:textId="6A6A6D20" w:rsidR="00AA4F9F" w:rsidRPr="00AA4F9F" w:rsidRDefault="00AA4F9F" w:rsidP="00AA4F9F">
      <w:pPr>
        <w:pStyle w:val="enumlev1"/>
        <w:rPr>
          <w:lang w:eastAsia="zh-CN"/>
        </w:rPr>
      </w:pPr>
      <w:r w:rsidRPr="00AA4F9F">
        <w:rPr>
          <w:lang w:eastAsia="zh-CN"/>
        </w:rPr>
        <w:t>•</w:t>
      </w:r>
      <w:r>
        <w:rPr>
          <w:lang w:eastAsia="zh-CN"/>
        </w:rPr>
        <w:tab/>
      </w:r>
      <w:r w:rsidRPr="00AA4F9F">
        <w:rPr>
          <w:rFonts w:hint="eastAsia"/>
          <w:lang w:eastAsia="zh-CN"/>
        </w:rPr>
        <w:t>对国际电联主要大会</w:t>
      </w:r>
      <w:r w:rsidRPr="00AA4F9F">
        <w:rPr>
          <w:rFonts w:hint="eastAsia"/>
          <w:lang w:eastAsia="zh-CN"/>
        </w:rPr>
        <w:t>/</w:t>
      </w:r>
      <w:r w:rsidRPr="00AA4F9F">
        <w:rPr>
          <w:rFonts w:hint="eastAsia"/>
          <w:lang w:eastAsia="zh-CN"/>
        </w:rPr>
        <w:t>全会的</w:t>
      </w:r>
      <w:r>
        <w:fldChar w:fldCharType="begin"/>
      </w:r>
      <w:r>
        <w:rPr>
          <w:lang w:eastAsia="zh-CN"/>
        </w:rPr>
        <w:instrText>HYPERLINK "https://www.itu.int/en/general-secretariat/ties/ISCGDocumentLibrary/Liaisons%20Statements%20on%20Inter-Sectoral%20Coordination%20Activities/Mapping-of-Resolutions-Updated%20Dec2024.pdf"</w:instrText>
      </w:r>
      <w:r>
        <w:fldChar w:fldCharType="separate"/>
      </w:r>
      <w:r w:rsidRPr="00AA4F9F">
        <w:rPr>
          <w:rFonts w:hint="eastAsia"/>
          <w:color w:val="4F81BD" w:themeColor="accent1"/>
          <w:u w:val="single"/>
          <w:lang w:eastAsia="zh-CN"/>
        </w:rPr>
        <w:t>决议进行对照</w:t>
      </w:r>
      <w:r>
        <w:fldChar w:fldCharType="end"/>
      </w:r>
      <w:r w:rsidRPr="00AA4F9F">
        <w:rPr>
          <w:rFonts w:hint="eastAsia"/>
          <w:lang w:eastAsia="zh-CN"/>
        </w:rPr>
        <w:t>（最近一次更新是在</w:t>
      </w:r>
      <w:r w:rsidRPr="00AA4F9F">
        <w:rPr>
          <w:rFonts w:hint="eastAsia"/>
          <w:lang w:eastAsia="zh-CN"/>
        </w:rPr>
        <w:t>WTSA-24</w:t>
      </w:r>
      <w:r w:rsidRPr="00AA4F9F">
        <w:rPr>
          <w:rFonts w:hint="eastAsia"/>
          <w:lang w:eastAsia="zh-CN"/>
        </w:rPr>
        <w:t>之后）。</w:t>
      </w:r>
    </w:p>
    <w:p w14:paraId="3C5394B7" w14:textId="0FE9625C" w:rsidR="00AA4F9F" w:rsidRPr="00AA4F9F" w:rsidRDefault="00AA4F9F" w:rsidP="00AA4F9F">
      <w:pPr>
        <w:pStyle w:val="enumlev1"/>
        <w:rPr>
          <w:lang w:eastAsia="zh-CN"/>
        </w:rPr>
      </w:pPr>
      <w:r w:rsidRPr="00AA4F9F">
        <w:rPr>
          <w:lang w:eastAsia="zh-CN"/>
        </w:rPr>
        <w:t>•</w:t>
      </w:r>
      <w:r>
        <w:rPr>
          <w:lang w:eastAsia="zh-CN"/>
        </w:rPr>
        <w:tab/>
      </w:r>
      <w:r w:rsidRPr="00AA4F9F">
        <w:rPr>
          <w:rFonts w:hint="eastAsia"/>
          <w:lang w:eastAsia="zh-CN"/>
        </w:rPr>
        <w:t>更新了网页上公布的、要求开展跨部门协调的</w:t>
      </w:r>
      <w:r>
        <w:fldChar w:fldCharType="begin"/>
      </w:r>
      <w:r>
        <w:rPr>
          <w:lang w:eastAsia="zh-CN"/>
        </w:rPr>
        <w:instrText>HYPERLINK "https://www.itu.int/en/general-secretariat/ties/ISCGDocumentLibrary/Liaisons%20Statements%20on%20Inter-Sectoral%20Coordination%20Activities/List%20of%20Focal%20Points%20published-Updated%20April2025.pdf"</w:instrText>
      </w:r>
      <w:r>
        <w:fldChar w:fldCharType="separate"/>
      </w:r>
      <w:r w:rsidRPr="00AA4F9F">
        <w:rPr>
          <w:rFonts w:hint="eastAsia"/>
          <w:color w:val="4F81BD" w:themeColor="accent1"/>
          <w:u w:val="single"/>
          <w:lang w:eastAsia="zh-CN"/>
        </w:rPr>
        <w:t>主题清单</w:t>
      </w:r>
      <w:r>
        <w:fldChar w:fldCharType="end"/>
      </w:r>
      <w:r w:rsidRPr="00AA4F9F">
        <w:rPr>
          <w:rFonts w:hint="eastAsia"/>
          <w:lang w:eastAsia="zh-CN"/>
        </w:rPr>
        <w:t>以及各部门和总秘书处任命的联系人。</w:t>
      </w:r>
    </w:p>
    <w:p w14:paraId="6D7CF4BD" w14:textId="77777777" w:rsidR="00AA4F9F" w:rsidRPr="00AA4F9F" w:rsidRDefault="00AA4F9F" w:rsidP="00AA4F9F">
      <w:pPr>
        <w:ind w:firstLineChars="200" w:firstLine="480"/>
        <w:rPr>
          <w:lang w:val="en-US" w:eastAsia="zh-CN"/>
        </w:rPr>
      </w:pPr>
      <w:r w:rsidRPr="00AA4F9F">
        <w:rPr>
          <w:lang w:val="en-US" w:eastAsia="zh-CN"/>
        </w:rPr>
        <w:t>2024</w:t>
      </w:r>
      <w:r w:rsidRPr="00AA4F9F">
        <w:rPr>
          <w:rFonts w:hint="eastAsia"/>
          <w:lang w:val="en-US" w:eastAsia="zh-CN"/>
        </w:rPr>
        <w:t>年，由副秘书长担任主席、由</w:t>
      </w:r>
      <w:r w:rsidRPr="00AA4F9F">
        <w:rPr>
          <w:rFonts w:hint="eastAsia"/>
          <w:lang w:val="en-US" w:eastAsia="zh-CN"/>
        </w:rPr>
        <w:t>D2</w:t>
      </w:r>
      <w:r w:rsidRPr="00AA4F9F">
        <w:rPr>
          <w:rFonts w:hint="eastAsia"/>
          <w:lang w:val="en-US" w:eastAsia="zh-CN"/>
        </w:rPr>
        <w:t>职位官员和区域主任组成的</w:t>
      </w:r>
      <w:r w:rsidRPr="00AA4F9F">
        <w:rPr>
          <w:lang w:val="en-US" w:eastAsia="zh-CN"/>
        </w:rPr>
        <w:t>ISC-TF</w:t>
      </w:r>
      <w:r w:rsidRPr="00AA4F9F">
        <w:rPr>
          <w:rFonts w:hint="eastAsia"/>
          <w:lang w:val="en-US" w:eastAsia="zh-CN"/>
        </w:rPr>
        <w:t>召开了五（</w:t>
      </w:r>
      <w:r w:rsidRPr="00AA4F9F">
        <w:rPr>
          <w:rFonts w:hint="eastAsia"/>
          <w:lang w:val="en-US" w:eastAsia="zh-CN"/>
        </w:rPr>
        <w:t>5</w:t>
      </w:r>
      <w:r w:rsidRPr="00AA4F9F">
        <w:rPr>
          <w:rFonts w:hint="eastAsia"/>
          <w:lang w:val="en-US" w:eastAsia="zh-CN"/>
        </w:rPr>
        <w:t>）次会议，目标是：</w:t>
      </w:r>
    </w:p>
    <w:p w14:paraId="6DC5E2B4" w14:textId="37FB2568" w:rsidR="00AA4F9F" w:rsidRPr="00AA4F9F" w:rsidRDefault="00AA4F9F" w:rsidP="00AA4F9F">
      <w:pPr>
        <w:pStyle w:val="enumlev1"/>
        <w:rPr>
          <w:lang w:val="en-US" w:eastAsia="zh-CN"/>
        </w:rPr>
      </w:pPr>
      <w:r>
        <w:rPr>
          <w:lang w:eastAsia="zh-CN"/>
        </w:rPr>
        <w:t>–</w:t>
      </w:r>
      <w:r>
        <w:rPr>
          <w:lang w:eastAsia="zh-CN"/>
        </w:rPr>
        <w:tab/>
      </w:r>
      <w:r w:rsidRPr="00AA4F9F">
        <w:rPr>
          <w:rFonts w:hint="eastAsia"/>
          <w:lang w:val="en-US" w:eastAsia="zh-CN"/>
        </w:rPr>
        <w:t>在国际电联三个部门和总秘书处共同关心的领域加强工作协调，促进协同</w:t>
      </w:r>
      <w:r w:rsidR="00BC04BD">
        <w:rPr>
          <w:rFonts w:hint="eastAsia"/>
          <w:lang w:val="en-US" w:eastAsia="zh-CN"/>
        </w:rPr>
        <w:t>、提高效率</w:t>
      </w:r>
      <w:r w:rsidRPr="00AA4F9F">
        <w:rPr>
          <w:rFonts w:hint="eastAsia"/>
          <w:lang w:val="en-US" w:eastAsia="zh-CN"/>
        </w:rPr>
        <w:t>，并</w:t>
      </w:r>
      <w:r w:rsidR="00BC04BD">
        <w:rPr>
          <w:rFonts w:hint="eastAsia"/>
          <w:lang w:val="en-US" w:eastAsia="zh-CN"/>
        </w:rPr>
        <w:t>节约</w:t>
      </w:r>
      <w:r w:rsidRPr="00AA4F9F">
        <w:rPr>
          <w:rFonts w:hint="eastAsia"/>
          <w:lang w:val="en-US" w:eastAsia="zh-CN"/>
        </w:rPr>
        <w:t>国际电联资源的使用；</w:t>
      </w:r>
    </w:p>
    <w:p w14:paraId="5B9710E5" w14:textId="52254779" w:rsidR="00AA4F9F" w:rsidRPr="00AA4F9F" w:rsidRDefault="00AA4F9F" w:rsidP="00AA4F9F">
      <w:pPr>
        <w:pStyle w:val="enumlev1"/>
        <w:rPr>
          <w:lang w:val="en-US" w:eastAsia="zh-CN"/>
        </w:rPr>
      </w:pPr>
      <w:r>
        <w:rPr>
          <w:lang w:eastAsia="zh-CN"/>
        </w:rPr>
        <w:t>–</w:t>
      </w:r>
      <w:r>
        <w:rPr>
          <w:lang w:eastAsia="zh-CN"/>
        </w:rPr>
        <w:tab/>
      </w:r>
      <w:r w:rsidRPr="00AA4F9F">
        <w:rPr>
          <w:rFonts w:hint="eastAsia"/>
          <w:lang w:val="en-US" w:eastAsia="zh-CN"/>
        </w:rPr>
        <w:t>跟进各领域的进展和成果；和</w:t>
      </w:r>
    </w:p>
    <w:p w14:paraId="4D70049F" w14:textId="7B33C7D7" w:rsidR="00AA4F9F" w:rsidRPr="00AA4F9F" w:rsidRDefault="00AA4F9F" w:rsidP="00AA4F9F">
      <w:pPr>
        <w:pStyle w:val="enumlev1"/>
        <w:rPr>
          <w:lang w:val="en-US" w:eastAsia="zh-CN"/>
        </w:rPr>
      </w:pPr>
      <w:r>
        <w:rPr>
          <w:lang w:eastAsia="zh-CN"/>
        </w:rPr>
        <w:t>–</w:t>
      </w:r>
      <w:r>
        <w:rPr>
          <w:lang w:eastAsia="zh-CN"/>
        </w:rPr>
        <w:tab/>
      </w:r>
      <w:r w:rsidRPr="00AA4F9F">
        <w:rPr>
          <w:rFonts w:hint="eastAsia"/>
          <w:lang w:val="en-US" w:eastAsia="zh-CN"/>
        </w:rPr>
        <w:t>确定并提出各种措施和机制，以提高效率和效能。</w:t>
      </w:r>
    </w:p>
    <w:p w14:paraId="5D6E2306" w14:textId="77777777" w:rsidR="00AA4F9F" w:rsidRPr="00AA4F9F" w:rsidRDefault="00AA4F9F" w:rsidP="00AA4F9F">
      <w:pPr>
        <w:ind w:firstLineChars="200" w:firstLine="480"/>
        <w:rPr>
          <w:lang w:val="en-US" w:eastAsia="zh-CN"/>
        </w:rPr>
      </w:pPr>
      <w:r w:rsidRPr="00AA4F9F">
        <w:rPr>
          <w:rFonts w:hint="eastAsia"/>
          <w:lang w:val="en-US" w:eastAsia="zh-CN"/>
        </w:rPr>
        <w:t>向</w:t>
      </w:r>
      <w:r w:rsidRPr="00AA4F9F">
        <w:rPr>
          <w:rFonts w:hint="eastAsia"/>
          <w:lang w:val="en-US" w:eastAsia="zh-CN"/>
        </w:rPr>
        <w:t>ISC-TF</w:t>
      </w:r>
      <w:r w:rsidRPr="00AA4F9F">
        <w:rPr>
          <w:rFonts w:hint="eastAsia"/>
          <w:lang w:val="en-US" w:eastAsia="zh-CN"/>
        </w:rPr>
        <w:t>报告的主题包括：无障碍获取；能力发展；气候变化与环境可持续性；沟通和网站；数据与统计；数字复原力（包括网络安全）；数字化转型；应急通信；活动组织；性别平等；创新；成员</w:t>
      </w:r>
      <w:r w:rsidRPr="00AA4F9F">
        <w:rPr>
          <w:rFonts w:hint="eastAsia"/>
          <w:lang w:val="en-US" w:eastAsia="zh-CN"/>
        </w:rPr>
        <w:t>/</w:t>
      </w:r>
      <w:r w:rsidRPr="00AA4F9F">
        <w:rPr>
          <w:rFonts w:hint="eastAsia"/>
          <w:lang w:val="en-US" w:eastAsia="zh-CN"/>
        </w:rPr>
        <w:t>伙伴关系</w:t>
      </w:r>
      <w:r w:rsidRPr="00AA4F9F">
        <w:rPr>
          <w:rFonts w:hint="eastAsia"/>
          <w:lang w:val="en-US" w:eastAsia="zh-CN"/>
        </w:rPr>
        <w:t>/</w:t>
      </w:r>
      <w:r w:rsidRPr="00AA4F9F">
        <w:rPr>
          <w:rFonts w:hint="eastAsia"/>
          <w:lang w:val="en-US" w:eastAsia="zh-CN"/>
        </w:rPr>
        <w:t>资源筹措；区域代表性；空间；青年；以及电子会议</w:t>
      </w:r>
      <w:r w:rsidRPr="00AA4F9F">
        <w:rPr>
          <w:rFonts w:hint="eastAsia"/>
          <w:lang w:val="en-US" w:eastAsia="zh-CN"/>
        </w:rPr>
        <w:t>/</w:t>
      </w:r>
      <w:r w:rsidRPr="00AA4F9F">
        <w:rPr>
          <w:rFonts w:hint="eastAsia"/>
          <w:lang w:val="en-US" w:eastAsia="zh-CN"/>
        </w:rPr>
        <w:t>虚拟参会（最后一个主题来自跨部门协调组（</w:t>
      </w:r>
      <w:r w:rsidRPr="00AA4F9F">
        <w:rPr>
          <w:rFonts w:hint="eastAsia"/>
          <w:lang w:val="en-US" w:eastAsia="zh-CN"/>
        </w:rPr>
        <w:t>ISCG</w:t>
      </w:r>
      <w:r w:rsidRPr="00AA4F9F">
        <w:rPr>
          <w:rFonts w:hint="eastAsia"/>
          <w:lang w:val="en-US" w:eastAsia="zh-CN"/>
        </w:rPr>
        <w:t>））。</w:t>
      </w:r>
    </w:p>
    <w:p w14:paraId="65428028" w14:textId="5834B133" w:rsidR="00AA4F9F" w:rsidRPr="00AA4F9F" w:rsidRDefault="00AA4F9F" w:rsidP="00AA4F9F">
      <w:pPr>
        <w:ind w:firstLineChars="200" w:firstLine="480"/>
        <w:rPr>
          <w:rFonts w:cs="Calibri"/>
          <w:lang w:eastAsia="zh-CN"/>
        </w:rPr>
      </w:pPr>
      <w:r w:rsidRPr="00AA4F9F">
        <w:rPr>
          <w:rFonts w:cs="Calibri" w:hint="eastAsia"/>
          <w:lang w:eastAsia="zh-CN"/>
        </w:rPr>
        <w:t>跨部门团队协调整个国际电联工作的具体成果</w:t>
      </w:r>
      <w:r w:rsidR="00BC04BD">
        <w:rPr>
          <w:rFonts w:cs="Calibri" w:hint="eastAsia"/>
          <w:lang w:eastAsia="zh-CN"/>
        </w:rPr>
        <w:t>示例</w:t>
      </w:r>
      <w:r w:rsidRPr="00AA4F9F">
        <w:rPr>
          <w:rFonts w:cs="Calibri" w:hint="eastAsia"/>
          <w:lang w:eastAsia="zh-CN"/>
        </w:rPr>
        <w:t>包括：</w:t>
      </w:r>
    </w:p>
    <w:p w14:paraId="433B7CB6" w14:textId="6EE222F9" w:rsidR="00AA4F9F" w:rsidRPr="00AA4F9F" w:rsidRDefault="00AA4F9F" w:rsidP="00AA4F9F">
      <w:pPr>
        <w:pStyle w:val="enumlev1"/>
        <w:rPr>
          <w:rFonts w:cs="Calibri"/>
          <w:lang w:eastAsia="zh-CN"/>
        </w:rPr>
      </w:pPr>
      <w:r>
        <w:rPr>
          <w:lang w:eastAsia="zh-CN"/>
        </w:rPr>
        <w:t>–</w:t>
      </w:r>
      <w:r>
        <w:rPr>
          <w:lang w:eastAsia="zh-CN"/>
        </w:rPr>
        <w:tab/>
      </w:r>
      <w:r w:rsidRPr="00AA4F9F">
        <w:rPr>
          <w:rFonts w:hint="eastAsia"/>
          <w:lang w:eastAsia="zh-CN"/>
        </w:rPr>
        <w:t>能力发展：《国际电联能力发展手册》，其中规定了实施国际电联提供的能力发展和培训活动的原则、程序和做法。国际电联秘书处内部和国际电联成员之间就如何协调和加强整个国际电联的能力发展方法进行了讨论，跨部门能力发展任务组在此基础上制定了该手册，以更好地应对成员正在出现的需求。</w:t>
      </w:r>
    </w:p>
    <w:p w14:paraId="5C2C2776" w14:textId="5C373A36" w:rsidR="00AA4F9F" w:rsidRPr="00AA4F9F" w:rsidRDefault="00AA4F9F" w:rsidP="00AA4F9F">
      <w:pPr>
        <w:pStyle w:val="enumlev1"/>
        <w:rPr>
          <w:rFonts w:cs="Calibri"/>
          <w:lang w:eastAsia="zh-CN"/>
        </w:rPr>
      </w:pPr>
      <w:r>
        <w:rPr>
          <w:lang w:eastAsia="zh-CN"/>
        </w:rPr>
        <w:t>–</w:t>
      </w:r>
      <w:r>
        <w:rPr>
          <w:lang w:eastAsia="zh-CN"/>
        </w:rPr>
        <w:tab/>
      </w:r>
      <w:r w:rsidRPr="00AA4F9F">
        <w:rPr>
          <w:rFonts w:hint="eastAsia"/>
          <w:lang w:eastAsia="zh-CN"/>
        </w:rPr>
        <w:t>气候变化和环境可持续性：国际电联出席了第</w:t>
      </w:r>
      <w:r w:rsidRPr="00AA4F9F">
        <w:rPr>
          <w:rFonts w:hint="eastAsia"/>
          <w:lang w:eastAsia="zh-CN"/>
        </w:rPr>
        <w:t>29</w:t>
      </w:r>
      <w:r w:rsidRPr="00AA4F9F">
        <w:rPr>
          <w:rFonts w:hint="eastAsia"/>
          <w:lang w:eastAsia="zh-CN"/>
        </w:rPr>
        <w:t>次缔约方大会（</w:t>
      </w:r>
      <w:r w:rsidRPr="00AA4F9F">
        <w:rPr>
          <w:rFonts w:hint="eastAsia"/>
          <w:lang w:eastAsia="zh-CN"/>
        </w:rPr>
        <w:t>COP-29</w:t>
      </w:r>
      <w:r w:rsidRPr="00AA4F9F">
        <w:rPr>
          <w:rFonts w:hint="eastAsia"/>
          <w:lang w:eastAsia="zh-CN"/>
        </w:rPr>
        <w:t>），并在气候大会上首次组织了数字化日活动，最终形成了《绿色数字行动宣言》。</w:t>
      </w:r>
      <w:r w:rsidRPr="00AA4F9F">
        <w:rPr>
          <w:rFonts w:hint="eastAsia"/>
          <w:lang w:eastAsia="zh-CN"/>
        </w:rPr>
        <w:lastRenderedPageBreak/>
        <w:t>宣言围绕八个共同目标展开，认识到数字技术在缓解和适应气候变化方面的重要性，同时承认数字技术对气候的不利影响。</w:t>
      </w:r>
    </w:p>
    <w:p w14:paraId="24F2AF70" w14:textId="77777777" w:rsidR="00AA4F9F" w:rsidRPr="00AA4F9F" w:rsidRDefault="00AA4F9F" w:rsidP="00AA4F9F">
      <w:pPr>
        <w:ind w:firstLineChars="200" w:firstLine="480"/>
        <w:rPr>
          <w:rFonts w:cs="Calibri"/>
          <w:lang w:eastAsia="zh-CN"/>
        </w:rPr>
      </w:pPr>
      <w:r w:rsidRPr="00AA4F9F">
        <w:rPr>
          <w:rFonts w:cs="Calibri" w:hint="eastAsia"/>
          <w:lang w:eastAsia="zh-CN"/>
        </w:rPr>
        <w:t>更多有关向</w:t>
      </w:r>
      <w:proofErr w:type="spellStart"/>
      <w:r w:rsidRPr="00AA4F9F">
        <w:rPr>
          <w:rFonts w:cs="Calibri" w:hint="eastAsia"/>
          <w:lang w:eastAsia="zh-CN"/>
        </w:rPr>
        <w:t>ISC</w:t>
      </w:r>
      <w:proofErr w:type="spellEnd"/>
      <w:r w:rsidRPr="00AA4F9F">
        <w:rPr>
          <w:rFonts w:cs="Calibri" w:hint="eastAsia"/>
          <w:lang w:eastAsia="zh-CN"/>
        </w:rPr>
        <w:t>-TF</w:t>
      </w:r>
      <w:r w:rsidRPr="00AA4F9F">
        <w:rPr>
          <w:rFonts w:cs="Calibri" w:hint="eastAsia"/>
          <w:lang w:eastAsia="zh-CN"/>
        </w:rPr>
        <w:t>报告的主题信息，见理事会关于国际电联战略规划实施和活动的</w:t>
      </w:r>
      <w:r>
        <w:fldChar w:fldCharType="begin"/>
      </w:r>
      <w:r>
        <w:rPr>
          <w:lang w:eastAsia="zh-CN"/>
        </w:rPr>
        <w:instrText>HYPERLINK "https://www.itu.int/md/S25-CL-C-0035/en"</w:instrText>
      </w:r>
      <w:r>
        <w:fldChar w:fldCharType="separate"/>
      </w:r>
      <w:r w:rsidRPr="00AA4F9F">
        <w:rPr>
          <w:rFonts w:cs="Calibri"/>
          <w:color w:val="4F81BD" w:themeColor="accent1"/>
          <w:u w:val="single"/>
          <w:lang w:eastAsia="zh-CN"/>
        </w:rPr>
        <w:t>C25/35</w:t>
      </w:r>
      <w:r>
        <w:fldChar w:fldCharType="end"/>
      </w:r>
      <w:r w:rsidRPr="00AA4F9F">
        <w:rPr>
          <w:rFonts w:cs="Calibri" w:hint="eastAsia"/>
          <w:lang w:eastAsia="zh-CN"/>
        </w:rPr>
        <w:t>号文件。</w:t>
      </w:r>
    </w:p>
    <w:p w14:paraId="0D411FCD" w14:textId="73FF6856" w:rsidR="00AA4F9F" w:rsidRPr="00AA4F9F" w:rsidRDefault="00AA4F9F" w:rsidP="00AA4F9F">
      <w:pPr>
        <w:ind w:firstLineChars="200" w:firstLine="480"/>
        <w:rPr>
          <w:rFonts w:cs="Calibri"/>
          <w:lang w:eastAsia="zh-CN"/>
        </w:rPr>
      </w:pPr>
      <w:r w:rsidRPr="00AA4F9F">
        <w:rPr>
          <w:rFonts w:hint="eastAsia"/>
          <w:lang w:val="en-US" w:eastAsia="zh-CN"/>
        </w:rPr>
        <w:t>关于主题清单中需要跨部门协调的其他主题，秘书处将继续跟进每位联系人，以确保协调到位并且每年向理事会报告一次。欲了解更多信息，</w:t>
      </w:r>
      <w:proofErr w:type="gramStart"/>
      <w:r w:rsidRPr="00AA4F9F">
        <w:rPr>
          <w:rFonts w:hint="eastAsia"/>
          <w:lang w:val="en-US" w:eastAsia="zh-CN"/>
        </w:rPr>
        <w:t>请访问</w:t>
      </w:r>
      <w:hyperlink r:id="rId9" w:history="1">
        <w:r w:rsidRPr="00AA4F9F">
          <w:rPr>
            <w:rFonts w:hint="eastAsia"/>
            <w:color w:val="4F81BD" w:themeColor="accent1"/>
            <w:u w:val="single"/>
            <w:lang w:val="en-US" w:eastAsia="zh-CN"/>
          </w:rPr>
          <w:t>此处</w:t>
        </w:r>
        <w:proofErr w:type="gramEnd"/>
      </w:hyperlink>
      <w:r w:rsidRPr="00AA4F9F">
        <w:rPr>
          <w:rFonts w:hint="eastAsia"/>
          <w:lang w:val="en-US" w:eastAsia="zh-CN"/>
        </w:rPr>
        <w:t>旨在报告全权代表大会决议落实情况的网页平台。</w:t>
      </w:r>
    </w:p>
    <w:p w14:paraId="166DB339" w14:textId="0BAF70AB" w:rsidR="00AA4F9F" w:rsidRPr="00AA4F9F" w:rsidRDefault="00AA4F9F" w:rsidP="00AA4F9F">
      <w:pPr>
        <w:pStyle w:val="Heading1"/>
        <w:rPr>
          <w:rFonts w:eastAsiaTheme="minorEastAsia"/>
          <w:lang w:eastAsia="zh-CN"/>
        </w:rPr>
      </w:pPr>
      <w:r w:rsidRPr="00AA4F9F">
        <w:rPr>
          <w:rFonts w:eastAsiaTheme="minorEastAsia"/>
          <w:lang w:eastAsia="zh-CN"/>
        </w:rPr>
        <w:t>3</w:t>
      </w:r>
      <w:r w:rsidRPr="00AA4F9F">
        <w:rPr>
          <w:rFonts w:eastAsiaTheme="minorEastAsia"/>
          <w:lang w:eastAsia="zh-CN"/>
        </w:rPr>
        <w:tab/>
      </w:r>
      <w:r w:rsidRPr="00AA4F9F">
        <w:rPr>
          <w:rFonts w:eastAsiaTheme="minorEastAsia" w:hint="eastAsia"/>
          <w:lang w:eastAsia="zh-CN"/>
        </w:rPr>
        <w:t>成员之间的协调</w:t>
      </w:r>
      <w:r w:rsidRPr="00AA4F9F">
        <w:rPr>
          <w:rFonts w:eastAsiaTheme="minorEastAsia"/>
          <w:lang w:eastAsia="zh-CN"/>
        </w:rPr>
        <w:t xml:space="preserve"> </w:t>
      </w:r>
      <w:r w:rsidR="00F4240A" w:rsidRPr="00F4240A">
        <w:rPr>
          <w:rFonts w:eastAsiaTheme="minorEastAsia"/>
          <w:lang w:eastAsia="zh-CN"/>
        </w:rPr>
        <w:t>–</w:t>
      </w:r>
      <w:r w:rsidRPr="00AA4F9F">
        <w:rPr>
          <w:rFonts w:eastAsiaTheme="minorEastAsia"/>
          <w:lang w:eastAsia="zh-CN"/>
        </w:rPr>
        <w:t xml:space="preserve"> </w:t>
      </w:r>
      <w:r w:rsidRPr="00AA4F9F">
        <w:rPr>
          <w:rFonts w:eastAsiaTheme="minorEastAsia" w:hint="eastAsia"/>
          <w:lang w:eastAsia="zh-CN"/>
        </w:rPr>
        <w:t>跨部门协调组（</w:t>
      </w:r>
      <w:r w:rsidRPr="00AA4F9F">
        <w:rPr>
          <w:rFonts w:eastAsiaTheme="minorEastAsia"/>
          <w:lang w:eastAsia="zh-CN"/>
        </w:rPr>
        <w:t>ISCG</w:t>
      </w:r>
      <w:r w:rsidRPr="00AA4F9F">
        <w:rPr>
          <w:rFonts w:eastAsiaTheme="minorEastAsia" w:hint="eastAsia"/>
          <w:lang w:eastAsia="zh-CN"/>
        </w:rPr>
        <w:t>）</w:t>
      </w:r>
    </w:p>
    <w:p w14:paraId="09814A95" w14:textId="77777777" w:rsidR="00AA4F9F" w:rsidRPr="00AA4F9F" w:rsidRDefault="00AA4F9F" w:rsidP="00AA4F9F">
      <w:pPr>
        <w:ind w:firstLineChars="200" w:firstLine="480"/>
        <w:rPr>
          <w:lang w:eastAsia="zh-CN"/>
        </w:rPr>
      </w:pPr>
      <w:r w:rsidRPr="00AA4F9F">
        <w:rPr>
          <w:rFonts w:hint="eastAsia"/>
          <w:lang w:eastAsia="zh-CN"/>
        </w:rPr>
        <w:t>成员协调工作继续由</w:t>
      </w:r>
      <w:r w:rsidRPr="00AA4F9F">
        <w:rPr>
          <w:rFonts w:hint="eastAsia"/>
          <w:lang w:eastAsia="zh-CN"/>
        </w:rPr>
        <w:t>ISCG</w:t>
      </w:r>
      <w:r w:rsidRPr="00AA4F9F">
        <w:rPr>
          <w:rFonts w:hint="eastAsia"/>
          <w:lang w:eastAsia="zh-CN"/>
        </w:rPr>
        <w:t>负责，</w:t>
      </w:r>
      <w:r w:rsidRPr="00AA4F9F">
        <w:rPr>
          <w:rFonts w:hint="eastAsia"/>
          <w:lang w:eastAsia="zh-CN"/>
        </w:rPr>
        <w:t>ISCG</w:t>
      </w:r>
      <w:r w:rsidRPr="00AA4F9F">
        <w:rPr>
          <w:rFonts w:hint="eastAsia"/>
          <w:lang w:eastAsia="zh-CN"/>
        </w:rPr>
        <w:t>由</w:t>
      </w:r>
      <w:r w:rsidRPr="00AA4F9F">
        <w:rPr>
          <w:rFonts w:hint="eastAsia"/>
          <w:lang w:eastAsia="zh-CN"/>
        </w:rPr>
        <w:t>Fabio Bigi</w:t>
      </w:r>
      <w:r w:rsidRPr="00AA4F9F">
        <w:rPr>
          <w:rFonts w:hint="eastAsia"/>
          <w:lang w:eastAsia="zh-CN"/>
        </w:rPr>
        <w:t>先生（意大利）担任主席，是一个文稿驱动小组。</w:t>
      </w:r>
    </w:p>
    <w:p w14:paraId="4016E46F" w14:textId="77777777" w:rsidR="00AA4F9F" w:rsidRPr="00AA4F9F" w:rsidRDefault="00AA4F9F" w:rsidP="00AA4F9F">
      <w:pPr>
        <w:ind w:firstLineChars="200" w:firstLine="480"/>
        <w:rPr>
          <w:lang w:eastAsia="zh-CN"/>
        </w:rPr>
      </w:pPr>
      <w:r w:rsidRPr="00AA4F9F">
        <w:rPr>
          <w:rFonts w:hint="eastAsia"/>
          <w:lang w:eastAsia="zh-CN"/>
        </w:rPr>
        <w:t>ISCG</w:t>
      </w:r>
      <w:r w:rsidRPr="00AA4F9F">
        <w:rPr>
          <w:rFonts w:hint="eastAsia"/>
          <w:lang w:eastAsia="zh-CN"/>
        </w:rPr>
        <w:t>作为成员协调机制，在</w:t>
      </w:r>
      <w:r w:rsidRPr="00AA4F9F">
        <w:rPr>
          <w:rFonts w:hint="eastAsia"/>
          <w:lang w:eastAsia="zh-CN"/>
        </w:rPr>
        <w:t>2024</w:t>
      </w:r>
      <w:r w:rsidRPr="00AA4F9F">
        <w:rPr>
          <w:rFonts w:hint="eastAsia"/>
          <w:lang w:eastAsia="zh-CN"/>
        </w:rPr>
        <w:t>年举行了三次会议。各部门顾问组已任命无障碍获取、气候变化、远程参会和可持续数字化转型协调员。</w:t>
      </w:r>
    </w:p>
    <w:p w14:paraId="494659E7" w14:textId="77777777" w:rsidR="00AA4F9F" w:rsidRPr="00AA4F9F" w:rsidRDefault="00AA4F9F" w:rsidP="00AA4F9F">
      <w:pPr>
        <w:ind w:firstLineChars="200" w:firstLine="480"/>
        <w:rPr>
          <w:lang w:eastAsia="zh-CN"/>
        </w:rPr>
      </w:pPr>
      <w:r w:rsidRPr="00AA4F9F">
        <w:rPr>
          <w:rFonts w:hint="eastAsia"/>
          <w:lang w:eastAsia="zh-CN"/>
        </w:rPr>
        <w:t>协调组将继续研究以下议题：</w:t>
      </w:r>
    </w:p>
    <w:p w14:paraId="2AF3DC1E" w14:textId="6482070B" w:rsidR="00AA4F9F" w:rsidRPr="00AA4F9F" w:rsidRDefault="00AA4F9F" w:rsidP="00AA4F9F">
      <w:pPr>
        <w:pStyle w:val="enumlev1"/>
        <w:rPr>
          <w:lang w:eastAsia="zh-CN"/>
        </w:rPr>
      </w:pPr>
      <w:r>
        <w:rPr>
          <w:lang w:eastAsia="zh-CN"/>
        </w:rPr>
        <w:t>–</w:t>
      </w:r>
      <w:r>
        <w:rPr>
          <w:lang w:eastAsia="zh-CN"/>
        </w:rPr>
        <w:tab/>
      </w:r>
      <w:r w:rsidRPr="00AA4F9F">
        <w:rPr>
          <w:rFonts w:hint="eastAsia"/>
          <w:lang w:eastAsia="zh-CN"/>
        </w:rPr>
        <w:t>无障碍获取：</w:t>
      </w:r>
      <w:r w:rsidRPr="00AA4F9F">
        <w:rPr>
          <w:rFonts w:hint="eastAsia"/>
          <w:lang w:eastAsia="zh-CN"/>
        </w:rPr>
        <w:t>ISCG</w:t>
      </w:r>
      <w:r w:rsidRPr="00AA4F9F">
        <w:rPr>
          <w:rFonts w:hint="eastAsia"/>
          <w:lang w:eastAsia="zh-CN"/>
        </w:rPr>
        <w:t>一直在积极监测关于加强国际电联会议的讨论，特别是远程参会和字幕服务。协调组已向理事会财务和人力资源工作组（</w:t>
      </w:r>
      <w:r w:rsidRPr="00AA4F9F">
        <w:rPr>
          <w:rFonts w:hint="eastAsia"/>
          <w:lang w:eastAsia="zh-CN"/>
        </w:rPr>
        <w:t>CWG-FHR</w:t>
      </w:r>
      <w:r w:rsidRPr="00AA4F9F">
        <w:rPr>
          <w:rFonts w:hint="eastAsia"/>
          <w:lang w:eastAsia="zh-CN"/>
        </w:rPr>
        <w:t>）提议，在所有邀请与会者参加国际电联会议的通函中增加一个段落，突出申请字幕服务的选项（见</w:t>
      </w:r>
      <w:r>
        <w:fldChar w:fldCharType="begin"/>
      </w:r>
      <w:r>
        <w:rPr>
          <w:lang w:eastAsia="zh-CN"/>
        </w:rPr>
        <w:instrText>HYPERLINK "https://www.itu.int/md/S25-CWGFHR20-C-0024/en" \h</w:instrText>
      </w:r>
      <w:r>
        <w:fldChar w:fldCharType="separate"/>
      </w:r>
      <w:r w:rsidRPr="00AA4F9F">
        <w:rPr>
          <w:color w:val="4F81BD" w:themeColor="accent1"/>
          <w:u w:val="single"/>
          <w:lang w:eastAsia="zh-CN"/>
        </w:rPr>
        <w:t>CWG-FHR-20/24</w:t>
      </w:r>
      <w:r>
        <w:fldChar w:fldCharType="end"/>
      </w:r>
      <w:r w:rsidRPr="00AA4F9F">
        <w:rPr>
          <w:rFonts w:hint="eastAsia"/>
          <w:lang w:eastAsia="zh-CN"/>
        </w:rPr>
        <w:t>号文件）。由于无障碍获取协调员</w:t>
      </w:r>
      <w:r w:rsidRPr="00AA4F9F">
        <w:rPr>
          <w:rFonts w:hint="eastAsia"/>
          <w:lang w:eastAsia="zh-CN"/>
        </w:rPr>
        <w:t>Andrea Saks</w:t>
      </w:r>
      <w:r w:rsidRPr="00AA4F9F">
        <w:rPr>
          <w:rFonts w:hint="eastAsia"/>
          <w:lang w:eastAsia="zh-CN"/>
        </w:rPr>
        <w:t>女士近期退休，各部门顾问组应任命一位新的协调员。</w:t>
      </w:r>
    </w:p>
    <w:p w14:paraId="685045A2" w14:textId="0BC8B029" w:rsidR="00AA4F9F" w:rsidRPr="00AA4F9F" w:rsidRDefault="00AA4F9F" w:rsidP="00AA4F9F">
      <w:pPr>
        <w:pStyle w:val="enumlev1"/>
        <w:rPr>
          <w:lang w:eastAsia="zh-CN"/>
        </w:rPr>
      </w:pPr>
      <w:r>
        <w:rPr>
          <w:lang w:eastAsia="zh-CN"/>
        </w:rPr>
        <w:t>–</w:t>
      </w:r>
      <w:r>
        <w:rPr>
          <w:lang w:eastAsia="zh-CN"/>
        </w:rPr>
        <w:tab/>
      </w:r>
      <w:r w:rsidRPr="00AA4F9F">
        <w:rPr>
          <w:rFonts w:hint="eastAsia"/>
          <w:lang w:eastAsia="zh-CN"/>
        </w:rPr>
        <w:t>气候变化：与气候变化和人工智能相关的工作正在进行中，包括制定净零转型建议和创建国际电联全球温室气体排放数据库。此外，正在制定评估人工智能对环境影响的导则，同时考虑直接和间接影响。值得一提的是</w:t>
      </w:r>
      <w:r w:rsidRPr="00AA4F9F">
        <w:rPr>
          <w:rFonts w:hint="eastAsia"/>
          <w:lang w:eastAsia="zh-CN"/>
        </w:rPr>
        <w:t>ITU-T</w:t>
      </w:r>
      <w:r w:rsidRPr="00AA4F9F">
        <w:rPr>
          <w:rFonts w:hint="eastAsia"/>
          <w:lang w:eastAsia="zh-CN"/>
        </w:rPr>
        <w:t>和</w:t>
      </w:r>
      <w:r w:rsidRPr="00AA4F9F">
        <w:rPr>
          <w:rFonts w:hint="eastAsia"/>
          <w:lang w:eastAsia="zh-CN"/>
        </w:rPr>
        <w:t>ITU-D</w:t>
      </w:r>
      <w:r w:rsidRPr="00AA4F9F">
        <w:rPr>
          <w:rFonts w:hint="eastAsia"/>
          <w:lang w:eastAsia="zh-CN"/>
        </w:rPr>
        <w:t>在这些议题上的协作，并强调了人工智能解决方案在农业和能源优化等领域的潜在优势，特别是对发展中国家而言。</w:t>
      </w:r>
    </w:p>
    <w:p w14:paraId="6A8C56C7" w14:textId="6DAFC941" w:rsidR="00AA4F9F" w:rsidRPr="00AA4F9F" w:rsidRDefault="00AA4F9F" w:rsidP="00AA4F9F">
      <w:pPr>
        <w:pStyle w:val="enumlev1"/>
        <w:rPr>
          <w:lang w:eastAsia="zh-CN"/>
        </w:rPr>
      </w:pPr>
      <w:r>
        <w:rPr>
          <w:lang w:eastAsia="zh-CN"/>
        </w:rPr>
        <w:t>–</w:t>
      </w:r>
      <w:r>
        <w:rPr>
          <w:lang w:eastAsia="zh-CN"/>
        </w:rPr>
        <w:tab/>
      </w:r>
      <w:r w:rsidRPr="00AA4F9F">
        <w:rPr>
          <w:rFonts w:hint="eastAsia"/>
          <w:lang w:eastAsia="zh-CN"/>
        </w:rPr>
        <w:t>虚拟会议</w:t>
      </w:r>
      <w:r w:rsidRPr="00AA4F9F">
        <w:rPr>
          <w:rFonts w:hint="eastAsia"/>
          <w:lang w:eastAsia="zh-CN"/>
        </w:rPr>
        <w:t>/</w:t>
      </w:r>
      <w:r w:rsidRPr="00AA4F9F">
        <w:rPr>
          <w:rFonts w:hint="eastAsia"/>
          <w:lang w:eastAsia="zh-CN"/>
        </w:rPr>
        <w:t>远程参会：本主题的协调员将继续监督</w:t>
      </w:r>
      <w:r w:rsidRPr="00AA4F9F">
        <w:rPr>
          <w:rFonts w:hint="eastAsia"/>
          <w:lang w:eastAsia="zh-CN"/>
        </w:rPr>
        <w:t>CWG-FHR</w:t>
      </w:r>
      <w:r w:rsidRPr="00AA4F9F">
        <w:rPr>
          <w:rFonts w:hint="eastAsia"/>
          <w:lang w:eastAsia="zh-CN"/>
        </w:rPr>
        <w:t>和理事会层面开展的工作。已商定并将提交理事会</w:t>
      </w:r>
      <w:r w:rsidRPr="00AA4F9F">
        <w:rPr>
          <w:rFonts w:hint="eastAsia"/>
          <w:lang w:eastAsia="zh-CN"/>
        </w:rPr>
        <w:t>2025</w:t>
      </w:r>
      <w:r w:rsidRPr="00AA4F9F">
        <w:rPr>
          <w:rFonts w:hint="eastAsia"/>
          <w:lang w:eastAsia="zh-CN"/>
        </w:rPr>
        <w:t>年会议、</w:t>
      </w:r>
      <w:r>
        <w:fldChar w:fldCharType="begin"/>
      </w:r>
      <w:r>
        <w:rPr>
          <w:lang w:eastAsia="zh-CN"/>
        </w:rPr>
        <w:instrText>HYPERLINK "https://www.itu.int/md/S25-CWGFHR20-C-0003/en"</w:instrText>
      </w:r>
      <w:r>
        <w:fldChar w:fldCharType="separate"/>
      </w:r>
      <w:r w:rsidRPr="00AA4F9F">
        <w:rPr>
          <w:rFonts w:hint="eastAsia"/>
          <w:color w:val="4F81BD" w:themeColor="accent1"/>
          <w:u w:val="single"/>
          <w:lang w:eastAsia="zh-CN"/>
        </w:rPr>
        <w:t>关于根据第</w:t>
      </w:r>
      <w:r w:rsidRPr="00AA4F9F">
        <w:rPr>
          <w:rFonts w:hint="eastAsia"/>
          <w:color w:val="4F81BD" w:themeColor="accent1"/>
          <w:u w:val="single"/>
          <w:lang w:eastAsia="zh-CN"/>
        </w:rPr>
        <w:t>167</w:t>
      </w:r>
      <w:r w:rsidRPr="00AA4F9F">
        <w:rPr>
          <w:rFonts w:hint="eastAsia"/>
          <w:color w:val="4F81BD" w:themeColor="accent1"/>
          <w:u w:val="single"/>
          <w:lang w:eastAsia="zh-CN"/>
        </w:rPr>
        <w:t>号决议（</w:t>
      </w:r>
      <w:r w:rsidRPr="00AA4F9F">
        <w:rPr>
          <w:rFonts w:hint="eastAsia"/>
          <w:color w:val="4F81BD" w:themeColor="accent1"/>
          <w:u w:val="single"/>
          <w:lang w:eastAsia="zh-CN"/>
        </w:rPr>
        <w:t>2022</w:t>
      </w:r>
      <w:r w:rsidRPr="00AA4F9F">
        <w:rPr>
          <w:rFonts w:hint="eastAsia"/>
          <w:color w:val="4F81BD" w:themeColor="accent1"/>
          <w:u w:val="single"/>
          <w:lang w:eastAsia="zh-CN"/>
        </w:rPr>
        <w:t>年，布加勒斯特，修订版）的落实情况管理国际电联全虚拟会议和可远程参会的实体会议的导则草案</w:t>
      </w:r>
      <w:r>
        <w:fldChar w:fldCharType="end"/>
      </w:r>
      <w:r w:rsidRPr="00AA4F9F">
        <w:rPr>
          <w:rFonts w:hint="eastAsia"/>
          <w:lang w:eastAsia="zh-CN"/>
        </w:rPr>
        <w:t>已与各部门顾问组分享，以寻求他们的输入意见。</w:t>
      </w:r>
    </w:p>
    <w:p w14:paraId="24EA04F5" w14:textId="21B9BDB7" w:rsidR="00AA4F9F" w:rsidRPr="00AA4F9F" w:rsidRDefault="00AA4F9F" w:rsidP="00AA4F9F">
      <w:pPr>
        <w:pStyle w:val="enumlev1"/>
        <w:rPr>
          <w:lang w:eastAsia="zh-CN"/>
        </w:rPr>
      </w:pPr>
      <w:r>
        <w:rPr>
          <w:lang w:eastAsia="zh-CN"/>
        </w:rPr>
        <w:t>–</w:t>
      </w:r>
      <w:r>
        <w:rPr>
          <w:lang w:eastAsia="zh-CN"/>
        </w:rPr>
        <w:tab/>
      </w:r>
      <w:r w:rsidRPr="00AA4F9F">
        <w:rPr>
          <w:rFonts w:hint="eastAsia"/>
          <w:lang w:eastAsia="zh-CN"/>
        </w:rPr>
        <w:t>国际电联网站：</w:t>
      </w:r>
      <w:r w:rsidRPr="00AA4F9F">
        <w:rPr>
          <w:rFonts w:hint="eastAsia"/>
          <w:lang w:eastAsia="zh-CN"/>
        </w:rPr>
        <w:t>ISCG</w:t>
      </w:r>
      <w:r w:rsidRPr="00AA4F9F">
        <w:rPr>
          <w:rFonts w:hint="eastAsia"/>
          <w:lang w:eastAsia="zh-CN"/>
        </w:rPr>
        <w:t>一直在积极关注这一主题，特别要求国际电联秘书处提供有关在同等地位上使用国际电联所有正式语文协调统一网站和搜索系统的信息。还要求向理事会语文工作组（</w:t>
      </w:r>
      <w:r w:rsidRPr="00AA4F9F">
        <w:rPr>
          <w:lang w:eastAsia="zh-CN"/>
        </w:rPr>
        <w:t>CWG-Languages</w:t>
      </w:r>
      <w:r w:rsidRPr="00AA4F9F">
        <w:rPr>
          <w:rFonts w:hint="eastAsia"/>
          <w:lang w:eastAsia="zh-CN"/>
        </w:rPr>
        <w:t>）和</w:t>
      </w:r>
      <w:r w:rsidRPr="00AA4F9F">
        <w:rPr>
          <w:rFonts w:hint="eastAsia"/>
          <w:lang w:eastAsia="zh-CN"/>
        </w:rPr>
        <w:t>ISCG</w:t>
      </w:r>
      <w:r w:rsidRPr="00AA4F9F">
        <w:rPr>
          <w:rFonts w:hint="eastAsia"/>
          <w:lang w:eastAsia="zh-CN"/>
        </w:rPr>
        <w:t>的所有会议提交报告。</w:t>
      </w:r>
    </w:p>
    <w:p w14:paraId="40CCFDBA" w14:textId="3DAFF0E8" w:rsidR="00AA4F9F" w:rsidRPr="00AA4F9F" w:rsidRDefault="00AA4F9F" w:rsidP="00AA4F9F">
      <w:pPr>
        <w:pStyle w:val="enumlev1"/>
        <w:rPr>
          <w:lang w:val="en-US" w:eastAsia="zh-CN"/>
        </w:rPr>
      </w:pPr>
      <w:r>
        <w:rPr>
          <w:lang w:eastAsia="zh-CN"/>
        </w:rPr>
        <w:t>–</w:t>
      </w:r>
      <w:r>
        <w:rPr>
          <w:lang w:eastAsia="zh-CN"/>
        </w:rPr>
        <w:tab/>
      </w:r>
      <w:r w:rsidRPr="00AA4F9F">
        <w:rPr>
          <w:rFonts w:hint="eastAsia"/>
          <w:lang w:eastAsia="zh-CN"/>
        </w:rPr>
        <w:t>可持续数字化转型：本主题的协调员认识到《国际电联数字化转型和城市文摘》是关于数字化转型的宝贵全面资源，并鼓励</w:t>
      </w:r>
      <w:r w:rsidRPr="00AA4F9F">
        <w:rPr>
          <w:rFonts w:hint="eastAsia"/>
          <w:lang w:eastAsia="zh-CN"/>
        </w:rPr>
        <w:t>ITU-D</w:t>
      </w:r>
      <w:r w:rsidRPr="00AA4F9F">
        <w:rPr>
          <w:rFonts w:hint="eastAsia"/>
          <w:lang w:eastAsia="zh-CN"/>
        </w:rPr>
        <w:t>、</w:t>
      </w:r>
      <w:r w:rsidRPr="00AA4F9F">
        <w:rPr>
          <w:rFonts w:hint="eastAsia"/>
          <w:lang w:eastAsia="zh-CN"/>
        </w:rPr>
        <w:t>ITU-R</w:t>
      </w:r>
      <w:r w:rsidRPr="00AA4F9F">
        <w:rPr>
          <w:rFonts w:hint="eastAsia"/>
          <w:lang w:eastAsia="zh-CN"/>
        </w:rPr>
        <w:t>和总秘书处考虑在出版物中展示他们的活动。通过向《文摘》投稿，各部门可以提高知名度、促进跨部门合作，以及更全面地介绍国际电联在这一重要领域的工作。</w:t>
      </w:r>
    </w:p>
    <w:p w14:paraId="132E906E" w14:textId="4772EC0B" w:rsidR="00AA4F9F" w:rsidRPr="00AA4F9F" w:rsidRDefault="00AA4F9F" w:rsidP="00AA4F9F">
      <w:pPr>
        <w:pStyle w:val="enumlev1"/>
        <w:rPr>
          <w:lang w:val="en-US" w:eastAsia="zh-CN"/>
        </w:rPr>
      </w:pPr>
      <w:r>
        <w:rPr>
          <w:lang w:eastAsia="zh-CN"/>
        </w:rPr>
        <w:t>–</w:t>
      </w:r>
      <w:r>
        <w:rPr>
          <w:lang w:eastAsia="zh-CN"/>
        </w:rPr>
        <w:tab/>
      </w:r>
      <w:r w:rsidRPr="00AA4F9F">
        <w:rPr>
          <w:rFonts w:hint="eastAsia"/>
          <w:lang w:eastAsia="zh-CN"/>
        </w:rPr>
        <w:t>新主题：已就“业界参与”作为感兴趣的新主题达成一致意见，尚待任命协调员。</w:t>
      </w:r>
    </w:p>
    <w:p w14:paraId="7C6786DA" w14:textId="77777777" w:rsidR="00AA4F9F" w:rsidRPr="00AA4F9F" w:rsidRDefault="00AA4F9F" w:rsidP="009B6132">
      <w:pPr>
        <w:keepNext/>
        <w:ind w:firstLineChars="200" w:firstLine="480"/>
        <w:rPr>
          <w:lang w:eastAsia="zh-CN"/>
        </w:rPr>
      </w:pPr>
      <w:r w:rsidRPr="00AA4F9F">
        <w:rPr>
          <w:rFonts w:hint="eastAsia"/>
          <w:lang w:eastAsia="zh-CN"/>
        </w:rPr>
        <w:lastRenderedPageBreak/>
        <w:t>定期向各部门顾问组提交成果报告和行动呼吁，并在需要时提交给</w:t>
      </w:r>
      <w:r w:rsidRPr="00AA4F9F">
        <w:rPr>
          <w:rFonts w:hint="eastAsia"/>
          <w:lang w:eastAsia="zh-CN"/>
        </w:rPr>
        <w:t>CWG-FHR</w:t>
      </w:r>
      <w:r w:rsidRPr="00AA4F9F">
        <w:rPr>
          <w:rFonts w:hint="eastAsia"/>
          <w:lang w:eastAsia="zh-CN"/>
        </w:rPr>
        <w:t>。</w:t>
      </w:r>
    </w:p>
    <w:p w14:paraId="2AAD508F" w14:textId="77777777" w:rsidR="00AA4F9F" w:rsidRPr="00AA4F9F" w:rsidRDefault="00AA4F9F" w:rsidP="009B6132">
      <w:pPr>
        <w:keepNext/>
        <w:ind w:firstLineChars="200" w:firstLine="480"/>
        <w:rPr>
          <w:lang w:eastAsia="zh-CN"/>
        </w:rPr>
      </w:pPr>
      <w:r w:rsidRPr="00AA4F9F">
        <w:rPr>
          <w:rFonts w:hint="eastAsia"/>
          <w:lang w:eastAsia="zh-CN"/>
        </w:rPr>
        <w:t>有关</w:t>
      </w:r>
      <w:proofErr w:type="spellStart"/>
      <w:r w:rsidRPr="00AA4F9F">
        <w:rPr>
          <w:rFonts w:hint="eastAsia"/>
          <w:lang w:eastAsia="zh-CN"/>
        </w:rPr>
        <w:t>ISCG</w:t>
      </w:r>
      <w:proofErr w:type="spellEnd"/>
      <w:r w:rsidRPr="00AA4F9F">
        <w:rPr>
          <w:rFonts w:hint="eastAsia"/>
          <w:lang w:eastAsia="zh-CN"/>
        </w:rPr>
        <w:t>的更多信息，如会议报告和讨论的文件，可查阅</w:t>
      </w:r>
      <w:r>
        <w:fldChar w:fldCharType="begin"/>
      </w:r>
      <w:r>
        <w:rPr>
          <w:lang w:eastAsia="zh-CN"/>
        </w:rPr>
        <w:instrText>HYPERLINK "https://www.itu.int/en/general-secretariat/Pages/ISCG/default.aspx"</w:instrText>
      </w:r>
      <w:r>
        <w:fldChar w:fldCharType="separate"/>
      </w:r>
      <w:proofErr w:type="spellStart"/>
      <w:r w:rsidRPr="00AA4F9F">
        <w:rPr>
          <w:rFonts w:hint="eastAsia"/>
          <w:color w:val="4F81BD" w:themeColor="accent1"/>
          <w:u w:val="single"/>
          <w:lang w:eastAsia="zh-CN"/>
        </w:rPr>
        <w:t>ISCG</w:t>
      </w:r>
      <w:proofErr w:type="spellEnd"/>
      <w:r w:rsidRPr="00AA4F9F">
        <w:rPr>
          <w:rFonts w:hint="eastAsia"/>
          <w:color w:val="4F81BD" w:themeColor="accent1"/>
          <w:u w:val="single"/>
          <w:lang w:eastAsia="zh-CN"/>
        </w:rPr>
        <w:t>网页</w:t>
      </w:r>
      <w:r>
        <w:fldChar w:fldCharType="end"/>
      </w:r>
      <w:r w:rsidRPr="00AA4F9F">
        <w:rPr>
          <w:rFonts w:hint="eastAsia"/>
          <w:lang w:eastAsia="zh-CN"/>
        </w:rPr>
        <w:t>。</w:t>
      </w:r>
    </w:p>
    <w:p w14:paraId="3234B64C" w14:textId="77777777" w:rsidR="00E323D0" w:rsidRPr="00E323D0" w:rsidRDefault="00E323D0" w:rsidP="00F4240A">
      <w:pPr>
        <w:spacing w:before="360"/>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1056" w14:textId="77777777" w:rsidR="004F46D5" w:rsidRDefault="004F46D5">
      <w:r>
        <w:separator/>
      </w:r>
    </w:p>
  </w:endnote>
  <w:endnote w:type="continuationSeparator" w:id="0">
    <w:p w14:paraId="7D8DCCB1" w14:textId="77777777" w:rsidR="004F46D5" w:rsidRDefault="004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957CDFB" w14:textId="77777777" w:rsidTr="00E31DCE">
      <w:trPr>
        <w:jc w:val="center"/>
      </w:trPr>
      <w:tc>
        <w:tcPr>
          <w:tcW w:w="1803" w:type="dxa"/>
          <w:vAlign w:val="center"/>
        </w:tcPr>
        <w:p w14:paraId="6D4C8D12" w14:textId="7D56AD04"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F4240A">
            <w:rPr>
              <w:noProof/>
              <w:color w:val="808080" w:themeColor="background1" w:themeShade="80"/>
            </w:rPr>
            <w:t xml:space="preserve"> R2500902</w:t>
          </w:r>
        </w:p>
      </w:tc>
      <w:tc>
        <w:tcPr>
          <w:tcW w:w="8261" w:type="dxa"/>
        </w:tcPr>
        <w:p w14:paraId="2CCCD6C3" w14:textId="27701989"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F4240A">
            <w:rPr>
              <w:bCs/>
              <w:color w:val="808080" w:themeColor="background1" w:themeShade="80"/>
            </w:rPr>
            <w:t>27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885F98A"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6BDAD82" w14:textId="77777777" w:rsidTr="00E31DCE">
      <w:trPr>
        <w:jc w:val="center"/>
      </w:trPr>
      <w:tc>
        <w:tcPr>
          <w:tcW w:w="1803" w:type="dxa"/>
          <w:vAlign w:val="center"/>
        </w:tcPr>
        <w:p w14:paraId="12D487FC"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7E719713" w14:textId="3788068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AA4F9F">
            <w:rPr>
              <w:rFonts w:eastAsiaTheme="minorEastAsia" w:hint="eastAsia"/>
              <w:bCs/>
              <w:color w:val="808080" w:themeColor="background1" w:themeShade="80"/>
              <w:lang w:eastAsia="zh-CN"/>
            </w:rPr>
            <w:t>27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5B64CF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CF7B" w14:textId="77777777" w:rsidR="004F46D5" w:rsidRDefault="004F46D5">
      <w:r>
        <w:t>____________________</w:t>
      </w:r>
    </w:p>
  </w:footnote>
  <w:footnote w:type="continuationSeparator" w:id="0">
    <w:p w14:paraId="666182AC" w14:textId="77777777" w:rsidR="004F46D5" w:rsidRDefault="004F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1E55AC73" w14:textId="77777777" w:rsidTr="00E31DCE">
      <w:trPr>
        <w:trHeight w:val="1104"/>
        <w:jc w:val="center"/>
      </w:trPr>
      <w:tc>
        <w:tcPr>
          <w:tcW w:w="4390" w:type="dxa"/>
          <w:vAlign w:val="center"/>
        </w:tcPr>
        <w:p w14:paraId="109AF7B4" w14:textId="77777777" w:rsidR="00E24D59" w:rsidRPr="009621F8" w:rsidRDefault="00A13406" w:rsidP="00E24D59">
          <w:pPr>
            <w:pStyle w:val="Header"/>
            <w:jc w:val="left"/>
            <w:rPr>
              <w:rFonts w:ascii="Arial" w:hAnsi="Arial" w:cs="Arial"/>
              <w:b/>
              <w:bCs/>
              <w:color w:val="009CD6"/>
              <w:sz w:val="36"/>
              <w:szCs w:val="36"/>
            </w:rPr>
          </w:pPr>
          <w:bookmarkStart w:id="7" w:name="_Hlk133422111"/>
          <w:r>
            <w:rPr>
              <w:rFonts w:ascii="Arial" w:hAnsi="Arial" w:cs="Arial"/>
              <w:b/>
              <w:bCs/>
              <w:noProof/>
              <w:color w:val="009CD6"/>
              <w:sz w:val="36"/>
              <w:szCs w:val="36"/>
            </w:rPr>
            <w:drawing>
              <wp:inline distT="0" distB="0" distL="0" distR="0" wp14:anchorId="298D7D79" wp14:editId="34135D9B">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241D6578" w14:textId="77777777" w:rsidR="00E24D59" w:rsidRDefault="00E24D59" w:rsidP="00E24D59">
          <w:pPr>
            <w:pStyle w:val="Header"/>
            <w:jc w:val="right"/>
            <w:rPr>
              <w:rFonts w:ascii="Arial" w:hAnsi="Arial" w:cs="Arial"/>
              <w:b/>
              <w:bCs/>
              <w:color w:val="009CD6"/>
              <w:szCs w:val="18"/>
            </w:rPr>
          </w:pPr>
        </w:p>
        <w:p w14:paraId="16CA8576" w14:textId="77777777" w:rsidR="00E24D59" w:rsidRDefault="00E24D59" w:rsidP="00E24D59">
          <w:pPr>
            <w:pStyle w:val="Header"/>
            <w:jc w:val="right"/>
            <w:rPr>
              <w:rFonts w:ascii="Arial" w:hAnsi="Arial" w:cs="Arial"/>
              <w:b/>
              <w:bCs/>
              <w:color w:val="009CD6"/>
              <w:szCs w:val="18"/>
            </w:rPr>
          </w:pPr>
        </w:p>
        <w:p w14:paraId="726EC3AD"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
  <w:p w14:paraId="57C58122"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5FAC432" wp14:editId="6045978A">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A1A3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91DED"/>
    <w:multiLevelType w:val="hybridMultilevel"/>
    <w:tmpl w:val="E5548358"/>
    <w:lvl w:ilvl="0" w:tplc="1E2831C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DFA36FC"/>
    <w:multiLevelType w:val="hybridMultilevel"/>
    <w:tmpl w:val="28CC8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6"/>
  </w:num>
  <w:num w:numId="5" w16cid:durableId="2033219779">
    <w:abstractNumId w:val="8"/>
  </w:num>
  <w:num w:numId="6" w16cid:durableId="349645790">
    <w:abstractNumId w:val="7"/>
  </w:num>
  <w:num w:numId="7" w16cid:durableId="1451586466">
    <w:abstractNumId w:val="2"/>
  </w:num>
  <w:num w:numId="8" w16cid:durableId="1203787625">
    <w:abstractNumId w:val="1"/>
  </w:num>
  <w:num w:numId="9" w16cid:durableId="1890266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7C"/>
    <w:rsid w:val="00001B77"/>
    <w:rsid w:val="0000517A"/>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1F509A"/>
    <w:rsid w:val="00215132"/>
    <w:rsid w:val="00224449"/>
    <w:rsid w:val="00280EB8"/>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72E6"/>
    <w:rsid w:val="00474ED1"/>
    <w:rsid w:val="00477D57"/>
    <w:rsid w:val="00491BA9"/>
    <w:rsid w:val="00493085"/>
    <w:rsid w:val="004A36EC"/>
    <w:rsid w:val="004D163F"/>
    <w:rsid w:val="004E4BFF"/>
    <w:rsid w:val="004F2598"/>
    <w:rsid w:val="004F46D5"/>
    <w:rsid w:val="0054007C"/>
    <w:rsid w:val="005403F7"/>
    <w:rsid w:val="00540632"/>
    <w:rsid w:val="00541CF4"/>
    <w:rsid w:val="005451E8"/>
    <w:rsid w:val="005507F2"/>
    <w:rsid w:val="005759CC"/>
    <w:rsid w:val="005A72E1"/>
    <w:rsid w:val="005C6632"/>
    <w:rsid w:val="005D1C9E"/>
    <w:rsid w:val="00630DD5"/>
    <w:rsid w:val="00637584"/>
    <w:rsid w:val="00654257"/>
    <w:rsid w:val="0065435A"/>
    <w:rsid w:val="00670D8A"/>
    <w:rsid w:val="006A2DD3"/>
    <w:rsid w:val="006A5113"/>
    <w:rsid w:val="006A5AF8"/>
    <w:rsid w:val="006C36CD"/>
    <w:rsid w:val="00700D1F"/>
    <w:rsid w:val="00717675"/>
    <w:rsid w:val="007205CB"/>
    <w:rsid w:val="0072138B"/>
    <w:rsid w:val="00726073"/>
    <w:rsid w:val="00734FE8"/>
    <w:rsid w:val="007360CE"/>
    <w:rsid w:val="0077110E"/>
    <w:rsid w:val="00772315"/>
    <w:rsid w:val="00775157"/>
    <w:rsid w:val="007813AE"/>
    <w:rsid w:val="007A37DB"/>
    <w:rsid w:val="007E189D"/>
    <w:rsid w:val="007E63A6"/>
    <w:rsid w:val="007F0210"/>
    <w:rsid w:val="00806E3F"/>
    <w:rsid w:val="00811259"/>
    <w:rsid w:val="00813AA2"/>
    <w:rsid w:val="008173A3"/>
    <w:rsid w:val="008418F5"/>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56144"/>
    <w:rsid w:val="009625D8"/>
    <w:rsid w:val="00983878"/>
    <w:rsid w:val="0098459B"/>
    <w:rsid w:val="00987785"/>
    <w:rsid w:val="00997185"/>
    <w:rsid w:val="009B6132"/>
    <w:rsid w:val="009C2458"/>
    <w:rsid w:val="009C4A7B"/>
    <w:rsid w:val="009C6123"/>
    <w:rsid w:val="009C7E72"/>
    <w:rsid w:val="009F1E3E"/>
    <w:rsid w:val="00A1213C"/>
    <w:rsid w:val="00A13406"/>
    <w:rsid w:val="00A1533B"/>
    <w:rsid w:val="00A272FF"/>
    <w:rsid w:val="00A5354B"/>
    <w:rsid w:val="00A71B57"/>
    <w:rsid w:val="00AA4F9F"/>
    <w:rsid w:val="00AB42C1"/>
    <w:rsid w:val="00AC516F"/>
    <w:rsid w:val="00AE195F"/>
    <w:rsid w:val="00AE2926"/>
    <w:rsid w:val="00AF2E27"/>
    <w:rsid w:val="00B0184B"/>
    <w:rsid w:val="00B035CD"/>
    <w:rsid w:val="00B0769D"/>
    <w:rsid w:val="00B217F8"/>
    <w:rsid w:val="00B332EA"/>
    <w:rsid w:val="00B40A53"/>
    <w:rsid w:val="00B45365"/>
    <w:rsid w:val="00B46A65"/>
    <w:rsid w:val="00B60184"/>
    <w:rsid w:val="00B62D20"/>
    <w:rsid w:val="00B81E75"/>
    <w:rsid w:val="00B93453"/>
    <w:rsid w:val="00B9445B"/>
    <w:rsid w:val="00BC04BD"/>
    <w:rsid w:val="00BD0954"/>
    <w:rsid w:val="00BD1A5A"/>
    <w:rsid w:val="00BD7A9B"/>
    <w:rsid w:val="00BD7BE1"/>
    <w:rsid w:val="00BF416B"/>
    <w:rsid w:val="00C45EB2"/>
    <w:rsid w:val="00C64E4E"/>
    <w:rsid w:val="00C66E64"/>
    <w:rsid w:val="00C761A0"/>
    <w:rsid w:val="00C85F7E"/>
    <w:rsid w:val="00C90D53"/>
    <w:rsid w:val="00CA0B2E"/>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0E66"/>
    <w:rsid w:val="00DA7006"/>
    <w:rsid w:val="00DB3621"/>
    <w:rsid w:val="00DC6427"/>
    <w:rsid w:val="00DD62F5"/>
    <w:rsid w:val="00DD66A1"/>
    <w:rsid w:val="00DE196D"/>
    <w:rsid w:val="00DF130E"/>
    <w:rsid w:val="00DF6B49"/>
    <w:rsid w:val="00E067C5"/>
    <w:rsid w:val="00E24D59"/>
    <w:rsid w:val="00E265BF"/>
    <w:rsid w:val="00E323D0"/>
    <w:rsid w:val="00E34C96"/>
    <w:rsid w:val="00E378D8"/>
    <w:rsid w:val="00E43A12"/>
    <w:rsid w:val="00E67C67"/>
    <w:rsid w:val="00E74BC2"/>
    <w:rsid w:val="00E77476"/>
    <w:rsid w:val="00E8228B"/>
    <w:rsid w:val="00EE5706"/>
    <w:rsid w:val="00EF373D"/>
    <w:rsid w:val="00F11595"/>
    <w:rsid w:val="00F13BC9"/>
    <w:rsid w:val="00F357B2"/>
    <w:rsid w:val="00F36556"/>
    <w:rsid w:val="00F4240A"/>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E9D3"/>
  <w15:docId w15:val="{64F93E31-197A-49D3-9D4C-51396DBE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eop">
    <w:name w:val="eop"/>
    <w:basedOn w:val="DefaultParagraphFont"/>
    <w:rsid w:val="00AA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91-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net4/Search/CL2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2260</Words>
  <Characters>2546</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2571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the coordination of efforts among the three Sectors of the Union</dc:title>
  <dc:subject>ITU Council 2025</dc:subject>
  <cp:keywords>C2025, C25, Council-25</cp:keywords>
  <dc:description/>
  <cp:lastPrinted>2015-02-24T13:23:00Z</cp:lastPrinted>
  <dcterms:created xsi:type="dcterms:W3CDTF">2025-05-22T13:16:00Z</dcterms:created>
  <dcterms:modified xsi:type="dcterms:W3CDTF">2025-05-22T13:16:00Z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