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5D71F29" w14:textId="77777777" w:rsidTr="00F363FE">
        <w:tc>
          <w:tcPr>
            <w:tcW w:w="6512" w:type="dxa"/>
          </w:tcPr>
          <w:p w14:paraId="6C6F06A3" w14:textId="4203D27B"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0479C9">
              <w:rPr>
                <w:rFonts w:hint="cs"/>
                <w:b/>
                <w:bCs/>
                <w:rtl/>
                <w:lang w:bidi="ar-EG"/>
              </w:rPr>
              <w:t xml:space="preserve"> </w:t>
            </w:r>
            <w:r w:rsidR="000479C9">
              <w:rPr>
                <w:b/>
                <w:bCs/>
                <w:lang w:bidi="ar-EG"/>
              </w:rPr>
              <w:t>PL 2</w:t>
            </w:r>
          </w:p>
        </w:tc>
        <w:tc>
          <w:tcPr>
            <w:tcW w:w="3117" w:type="dxa"/>
          </w:tcPr>
          <w:p w14:paraId="7A5E7C65" w14:textId="08F4D54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61405">
              <w:rPr>
                <w:b/>
                <w:bCs/>
                <w:lang w:bidi="ar-EG"/>
              </w:rPr>
              <w:t>5</w:t>
            </w:r>
            <w:r w:rsidRPr="007B0AA0">
              <w:rPr>
                <w:b/>
                <w:bCs/>
                <w:lang w:bidi="ar-EG"/>
              </w:rPr>
              <w:t>/</w:t>
            </w:r>
            <w:r w:rsidR="000479C9">
              <w:rPr>
                <w:b/>
                <w:bCs/>
                <w:lang w:bidi="ar-EG"/>
              </w:rPr>
              <w:t>27</w:t>
            </w:r>
            <w:r w:rsidRPr="007B0AA0">
              <w:rPr>
                <w:b/>
                <w:bCs/>
                <w:lang w:bidi="ar-EG"/>
              </w:rPr>
              <w:t>-A</w:t>
            </w:r>
          </w:p>
        </w:tc>
      </w:tr>
      <w:tr w:rsidR="007B0AA0" w14:paraId="7C6FAD61" w14:textId="77777777" w:rsidTr="00F363FE">
        <w:tc>
          <w:tcPr>
            <w:tcW w:w="6512" w:type="dxa"/>
          </w:tcPr>
          <w:p w14:paraId="78D33418" w14:textId="77777777" w:rsidR="007B0AA0" w:rsidRPr="007B0AA0" w:rsidRDefault="007B0AA0" w:rsidP="00F363FE">
            <w:pPr>
              <w:spacing w:before="60" w:after="60" w:line="260" w:lineRule="exact"/>
              <w:rPr>
                <w:b/>
                <w:bCs/>
                <w:rtl/>
                <w:lang w:bidi="ar-EG"/>
              </w:rPr>
            </w:pPr>
          </w:p>
        </w:tc>
        <w:tc>
          <w:tcPr>
            <w:tcW w:w="3117" w:type="dxa"/>
          </w:tcPr>
          <w:p w14:paraId="59827281" w14:textId="212A8533" w:rsidR="007B0AA0" w:rsidRPr="007B0AA0" w:rsidRDefault="008B20D5" w:rsidP="00F363FE">
            <w:pPr>
              <w:spacing w:before="60" w:after="60" w:line="260" w:lineRule="exact"/>
              <w:rPr>
                <w:b/>
                <w:bCs/>
                <w:rtl/>
              </w:rPr>
            </w:pPr>
            <w:r>
              <w:rPr>
                <w:rFonts w:hint="cs"/>
                <w:b/>
                <w:bCs/>
                <w:rtl/>
                <w:lang w:bidi="ar-EG"/>
              </w:rPr>
              <w:t>30</w:t>
            </w:r>
            <w:r w:rsidR="007B0AA0" w:rsidRPr="007B0AA0">
              <w:rPr>
                <w:rFonts w:hint="cs"/>
                <w:b/>
                <w:bCs/>
                <w:rtl/>
                <w:lang w:bidi="ar-EG"/>
              </w:rPr>
              <w:t xml:space="preserve"> </w:t>
            </w:r>
            <w:r w:rsidR="00661405">
              <w:rPr>
                <w:rFonts w:hint="cs"/>
                <w:b/>
                <w:bCs/>
                <w:rtl/>
                <w:lang w:bidi="ar-EG"/>
              </w:rPr>
              <w:t>أبريل</w:t>
            </w:r>
            <w:r w:rsidR="007B0AA0" w:rsidRPr="007B0AA0">
              <w:rPr>
                <w:rFonts w:hint="cs"/>
                <w:b/>
                <w:bCs/>
                <w:rtl/>
                <w:lang w:bidi="ar-EG"/>
              </w:rPr>
              <w:t xml:space="preserve"> </w:t>
            </w:r>
            <w:r w:rsidR="00661405">
              <w:rPr>
                <w:b/>
                <w:bCs/>
                <w:lang w:bidi="ar-EG"/>
              </w:rPr>
              <w:t>2025</w:t>
            </w:r>
          </w:p>
        </w:tc>
      </w:tr>
      <w:tr w:rsidR="007B0AA0" w14:paraId="4E500ED2" w14:textId="77777777" w:rsidTr="00F363FE">
        <w:tc>
          <w:tcPr>
            <w:tcW w:w="6512" w:type="dxa"/>
          </w:tcPr>
          <w:p w14:paraId="635B5F5E" w14:textId="77777777" w:rsidR="007B0AA0" w:rsidRPr="007B0AA0" w:rsidRDefault="007B0AA0" w:rsidP="00F363FE">
            <w:pPr>
              <w:spacing w:before="60" w:after="60" w:line="260" w:lineRule="exact"/>
              <w:rPr>
                <w:b/>
                <w:bCs/>
                <w:rtl/>
                <w:lang w:bidi="ar-EG"/>
              </w:rPr>
            </w:pPr>
          </w:p>
        </w:tc>
        <w:tc>
          <w:tcPr>
            <w:tcW w:w="3117" w:type="dxa"/>
          </w:tcPr>
          <w:p w14:paraId="4366802D" w14:textId="3C251D4A"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0479C9">
              <w:rPr>
                <w:rFonts w:hint="cs"/>
                <w:b/>
                <w:bCs/>
                <w:rtl/>
                <w:lang w:bidi="ar-EG"/>
              </w:rPr>
              <w:t>بالإنكليزية</w:t>
            </w:r>
          </w:p>
        </w:tc>
      </w:tr>
      <w:tr w:rsidR="007B0AA0" w14:paraId="03F00B32" w14:textId="77777777" w:rsidTr="00F363FE">
        <w:tc>
          <w:tcPr>
            <w:tcW w:w="6512" w:type="dxa"/>
          </w:tcPr>
          <w:p w14:paraId="70556B46" w14:textId="77777777" w:rsidR="007B0AA0" w:rsidRDefault="007B0AA0" w:rsidP="00F363FE">
            <w:pPr>
              <w:spacing w:before="60" w:after="60" w:line="260" w:lineRule="exact"/>
              <w:rPr>
                <w:lang w:bidi="ar-EG"/>
              </w:rPr>
            </w:pPr>
          </w:p>
        </w:tc>
        <w:tc>
          <w:tcPr>
            <w:tcW w:w="3117" w:type="dxa"/>
          </w:tcPr>
          <w:p w14:paraId="1801463B" w14:textId="77777777" w:rsidR="007B0AA0" w:rsidRDefault="007B0AA0" w:rsidP="00F363FE">
            <w:pPr>
              <w:spacing w:before="60" w:after="60" w:line="260" w:lineRule="exact"/>
              <w:rPr>
                <w:rtl/>
                <w:lang w:bidi="ar-EG"/>
              </w:rPr>
            </w:pPr>
          </w:p>
        </w:tc>
      </w:tr>
      <w:tr w:rsidR="007B0AA0" w14:paraId="75F6EE22" w14:textId="77777777" w:rsidTr="00EE7446">
        <w:tc>
          <w:tcPr>
            <w:tcW w:w="9629" w:type="dxa"/>
            <w:gridSpan w:val="2"/>
          </w:tcPr>
          <w:p w14:paraId="2AEA34C3" w14:textId="53F96B52" w:rsidR="007B0AA0" w:rsidRDefault="000479C9" w:rsidP="007B0AA0">
            <w:pPr>
              <w:pStyle w:val="Source"/>
              <w:jc w:val="left"/>
              <w:rPr>
                <w:lang w:bidi="ar-EG"/>
              </w:rPr>
            </w:pPr>
            <w:r>
              <w:rPr>
                <w:rFonts w:hint="cs"/>
                <w:rtl/>
                <w:lang w:bidi="ar-EG"/>
              </w:rPr>
              <w:t>تقرير من الأمينة العامة</w:t>
            </w:r>
          </w:p>
        </w:tc>
      </w:tr>
      <w:tr w:rsidR="007B0AA0" w14:paraId="1F5189F5" w14:textId="77777777" w:rsidTr="007B0AA0">
        <w:tc>
          <w:tcPr>
            <w:tcW w:w="9629" w:type="dxa"/>
            <w:gridSpan w:val="2"/>
            <w:tcBorders>
              <w:bottom w:val="single" w:sz="4" w:space="0" w:color="auto"/>
            </w:tcBorders>
          </w:tcPr>
          <w:p w14:paraId="1D1A91A1" w14:textId="18273A3D" w:rsidR="007B0AA0" w:rsidRDefault="000479C9" w:rsidP="007B0AA0">
            <w:pPr>
              <w:pStyle w:val="Subtitle0"/>
            </w:pPr>
            <w:bookmarkStart w:id="0" w:name="_Hlk108797253"/>
            <w:bookmarkStart w:id="1" w:name="_Hlk164768518"/>
            <w:r w:rsidRPr="0046172E">
              <w:rPr>
                <w:rtl/>
              </w:rPr>
              <w:t>استراتيجية تنسيق الجهود بين قطاعات الاتحاد الثلاثة</w:t>
            </w:r>
            <w:bookmarkEnd w:id="0"/>
            <w:bookmarkEnd w:id="1"/>
          </w:p>
        </w:tc>
      </w:tr>
      <w:tr w:rsidR="007B0AA0" w14:paraId="0F87FF82" w14:textId="77777777" w:rsidTr="007B0AA0">
        <w:tc>
          <w:tcPr>
            <w:tcW w:w="9629" w:type="dxa"/>
            <w:gridSpan w:val="2"/>
            <w:tcBorders>
              <w:top w:val="single" w:sz="4" w:space="0" w:color="auto"/>
              <w:bottom w:val="single" w:sz="4" w:space="0" w:color="auto"/>
            </w:tcBorders>
          </w:tcPr>
          <w:p w14:paraId="162645E3" w14:textId="78422901" w:rsidR="007B0AA0" w:rsidRPr="000479C9" w:rsidRDefault="007B0AA0" w:rsidP="000479C9">
            <w:pPr>
              <w:rPr>
                <w:b/>
                <w:bCs/>
                <w:rtl/>
              </w:rPr>
            </w:pPr>
            <w:r w:rsidRPr="000479C9">
              <w:rPr>
                <w:rFonts w:hint="cs"/>
                <w:b/>
                <w:bCs/>
                <w:rtl/>
              </w:rPr>
              <w:t>الغرض</w:t>
            </w:r>
          </w:p>
          <w:p w14:paraId="73A50F92" w14:textId="0D394792" w:rsidR="000479C9" w:rsidRPr="000479C9" w:rsidRDefault="000479C9" w:rsidP="000479C9">
            <w:r w:rsidRPr="000479C9">
              <w:rPr>
                <w:rtl/>
              </w:rPr>
              <w:t>تعرض هذه الوثيقة تقريراً بشأن تنفيذ القرار 191</w:t>
            </w:r>
            <w:r>
              <w:rPr>
                <w:rFonts w:hint="cs"/>
                <w:rtl/>
              </w:rPr>
              <w:t> </w:t>
            </w:r>
            <w:r w:rsidRPr="000479C9">
              <w:rPr>
                <w:rtl/>
              </w:rPr>
              <w:t xml:space="preserve">(المراجَع في بوخارست، 2022) </w:t>
            </w:r>
            <w:r w:rsidR="001100A7">
              <w:rPr>
                <w:rFonts w:hint="cs"/>
                <w:rtl/>
              </w:rPr>
              <w:t xml:space="preserve">لمؤتمر المندوبين المفوضين </w:t>
            </w:r>
            <w:r w:rsidRPr="000479C9">
              <w:rPr>
                <w:rtl/>
              </w:rPr>
              <w:t>المتعلق باستراتيجية تنسيق الجهود بين قطاعات الاتحاد الثلاثة</w:t>
            </w:r>
            <w:r w:rsidR="001100A7">
              <w:rPr>
                <w:rFonts w:hint="cs"/>
                <w:rtl/>
              </w:rPr>
              <w:t xml:space="preserve"> والأمانة العامة</w:t>
            </w:r>
            <w:r w:rsidRPr="000479C9">
              <w:rPr>
                <w:rtl/>
              </w:rPr>
              <w:t>.</w:t>
            </w:r>
          </w:p>
          <w:p w14:paraId="1E535871" w14:textId="77777777" w:rsidR="000479C9" w:rsidRPr="000479C9" w:rsidRDefault="000479C9" w:rsidP="000479C9">
            <w:pPr>
              <w:rPr>
                <w:b/>
                <w:bCs/>
                <w:rtl/>
              </w:rPr>
            </w:pPr>
            <w:r w:rsidRPr="000479C9">
              <w:rPr>
                <w:rFonts w:hint="cs"/>
                <w:b/>
                <w:bCs/>
                <w:rtl/>
              </w:rPr>
              <w:t>الإجراء المطلوب من المجلس</w:t>
            </w:r>
          </w:p>
          <w:p w14:paraId="7E749906" w14:textId="77777777" w:rsidR="000479C9" w:rsidRPr="000479C9" w:rsidRDefault="000479C9" w:rsidP="000479C9">
            <w:pPr>
              <w:rPr>
                <w:rtl/>
              </w:rPr>
            </w:pPr>
            <w:r w:rsidRPr="000479C9">
              <w:rPr>
                <w:rtl/>
              </w:rPr>
              <w:t xml:space="preserve">يُدعى المجلس </w:t>
            </w:r>
            <w:r w:rsidRPr="000479C9">
              <w:rPr>
                <w:b/>
                <w:bCs/>
                <w:rtl/>
              </w:rPr>
              <w:t xml:space="preserve">إلى </w:t>
            </w:r>
            <w:r w:rsidRPr="000479C9">
              <w:rPr>
                <w:rFonts w:hint="cs"/>
                <w:b/>
                <w:bCs/>
                <w:rtl/>
              </w:rPr>
              <w:t>العلم</w:t>
            </w:r>
            <w:r w:rsidRPr="000479C9">
              <w:rPr>
                <w:b/>
                <w:bCs/>
                <w:rtl/>
              </w:rPr>
              <w:t xml:space="preserve"> </w:t>
            </w:r>
            <w:r w:rsidRPr="000479C9">
              <w:rPr>
                <w:rtl/>
              </w:rPr>
              <w:t>بالتقرير</w:t>
            </w:r>
            <w:r w:rsidRPr="000479C9">
              <w:rPr>
                <w:rFonts w:hint="cs"/>
                <w:rtl/>
              </w:rPr>
              <w:t>.</w:t>
            </w:r>
          </w:p>
          <w:p w14:paraId="5A1F814D" w14:textId="411AB3C7" w:rsidR="000479C9" w:rsidRPr="000479C9" w:rsidRDefault="0073420F" w:rsidP="000479C9">
            <w:pPr>
              <w:rPr>
                <w:b/>
                <w:bCs/>
                <w:rtl/>
              </w:rPr>
            </w:pPr>
            <w:r>
              <w:rPr>
                <w:rFonts w:hint="cs"/>
                <w:b/>
                <w:bCs/>
                <w:rtl/>
              </w:rPr>
              <w:t>ال</w:t>
            </w:r>
            <w:r w:rsidR="000479C9" w:rsidRPr="000479C9">
              <w:rPr>
                <w:b/>
                <w:bCs/>
                <w:rtl/>
              </w:rPr>
              <w:t>صلة بالخطة ال</w:t>
            </w:r>
            <w:r w:rsidR="000479C9" w:rsidRPr="000479C9">
              <w:rPr>
                <w:rFonts w:hint="cs"/>
                <w:b/>
                <w:bCs/>
                <w:rtl/>
              </w:rPr>
              <w:t>ا</w:t>
            </w:r>
            <w:r w:rsidR="000479C9" w:rsidRPr="000479C9">
              <w:rPr>
                <w:b/>
                <w:bCs/>
                <w:rtl/>
              </w:rPr>
              <w:t>ستراتيجية</w:t>
            </w:r>
          </w:p>
          <w:p w14:paraId="05B04636" w14:textId="77777777" w:rsidR="000479C9" w:rsidRPr="000479C9" w:rsidRDefault="000479C9" w:rsidP="000479C9">
            <w:pPr>
              <w:rPr>
                <w:rtl/>
              </w:rPr>
            </w:pPr>
            <w:r w:rsidRPr="000479C9">
              <w:rPr>
                <w:rtl/>
              </w:rPr>
              <w:t>التميز في مجال الموارد البشرية والابتكار التنظيمي</w:t>
            </w:r>
            <w:r w:rsidRPr="000479C9">
              <w:rPr>
                <w:rFonts w:hint="cs"/>
                <w:rtl/>
              </w:rPr>
              <w:t>.</w:t>
            </w:r>
          </w:p>
          <w:p w14:paraId="568233EC" w14:textId="77777777" w:rsidR="000479C9" w:rsidRPr="000479C9" w:rsidRDefault="000479C9" w:rsidP="000479C9">
            <w:pPr>
              <w:rPr>
                <w:b/>
                <w:bCs/>
                <w:rtl/>
              </w:rPr>
            </w:pPr>
            <w:r w:rsidRPr="000479C9">
              <w:rPr>
                <w:rFonts w:hint="cs"/>
                <w:b/>
                <w:bCs/>
                <w:rtl/>
              </w:rPr>
              <w:t>الآثار المالية</w:t>
            </w:r>
          </w:p>
          <w:p w14:paraId="5C0EC850" w14:textId="77777777" w:rsidR="000479C9" w:rsidRPr="000479C9" w:rsidRDefault="000479C9" w:rsidP="000479C9">
            <w:r w:rsidRPr="000479C9">
              <w:rPr>
                <w:rtl/>
              </w:rPr>
              <w:t>ضمن الميزانية المخصصة لفترة السنتين 2024-2025</w:t>
            </w:r>
            <w:r w:rsidRPr="000479C9">
              <w:rPr>
                <w:rFonts w:hint="cs"/>
                <w:rtl/>
              </w:rPr>
              <w:t>.</w:t>
            </w:r>
          </w:p>
          <w:p w14:paraId="05571A73"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99E62E6" w14:textId="77777777" w:rsidR="007B0AA0" w:rsidRPr="007B0AA0" w:rsidRDefault="007B0AA0" w:rsidP="007B0AA0">
            <w:pPr>
              <w:rPr>
                <w:b/>
                <w:bCs/>
                <w:rtl/>
              </w:rPr>
            </w:pPr>
            <w:r w:rsidRPr="007B0AA0">
              <w:rPr>
                <w:rFonts w:hint="cs"/>
                <w:b/>
                <w:bCs/>
                <w:rtl/>
              </w:rPr>
              <w:t>المراجع</w:t>
            </w:r>
          </w:p>
          <w:p w14:paraId="4C450971" w14:textId="08A59FA8" w:rsidR="007B0AA0" w:rsidRPr="000479C9" w:rsidRDefault="000479C9" w:rsidP="001100A7">
            <w:pPr>
              <w:spacing w:after="120"/>
              <w:rPr>
                <w:spacing w:val="-4"/>
                <w:rtl/>
              </w:rPr>
            </w:pPr>
            <w:hyperlink r:id="rId8" w:history="1">
              <w:r w:rsidRPr="00A525E1">
                <w:rPr>
                  <w:rStyle w:val="Hyperlink"/>
                  <w:rFonts w:hint="cs"/>
                  <w:i/>
                  <w:iCs/>
                  <w:spacing w:val="-4"/>
                  <w:rtl/>
                </w:rPr>
                <w:t xml:space="preserve">القرار </w:t>
              </w:r>
              <w:r w:rsidRPr="00A525E1">
                <w:rPr>
                  <w:rStyle w:val="Hyperlink"/>
                  <w:i/>
                  <w:iCs/>
                  <w:spacing w:val="-4"/>
                </w:rPr>
                <w:t>71</w:t>
              </w:r>
              <w:r w:rsidRPr="00A525E1">
                <w:rPr>
                  <w:rStyle w:val="Hyperlink"/>
                  <w:rFonts w:hint="cs"/>
                  <w:i/>
                  <w:iCs/>
                  <w:spacing w:val="-4"/>
                  <w:rtl/>
                </w:rPr>
                <w:t xml:space="preserve"> (المراجَع في بوخارست، 2022)</w:t>
              </w:r>
            </w:hyperlink>
            <w:r w:rsidRPr="000479C9">
              <w:rPr>
                <w:rFonts w:hint="cs"/>
                <w:i/>
                <w:iCs/>
                <w:spacing w:val="-4"/>
                <w:rtl/>
              </w:rPr>
              <w:t xml:space="preserve"> و</w:t>
            </w:r>
            <w:hyperlink r:id="rId9" w:history="1">
              <w:r w:rsidRPr="00A525E1">
                <w:rPr>
                  <w:rStyle w:val="Hyperlink"/>
                  <w:rFonts w:hint="cs"/>
                  <w:i/>
                  <w:iCs/>
                  <w:spacing w:val="-4"/>
                  <w:rtl/>
                </w:rPr>
                <w:t>القرار 191 (المراجَع في بوخارست، 2022)</w:t>
              </w:r>
            </w:hyperlink>
            <w:r w:rsidRPr="000479C9">
              <w:rPr>
                <w:rFonts w:hint="cs"/>
                <w:i/>
                <w:iCs/>
                <w:spacing w:val="-4"/>
                <w:rtl/>
              </w:rPr>
              <w:t>، و</w:t>
            </w:r>
            <w:hyperlink r:id="rId10" w:history="1">
              <w:r w:rsidRPr="00A525E1">
                <w:rPr>
                  <w:rStyle w:val="Hyperlink"/>
                  <w:rFonts w:hint="cs"/>
                  <w:i/>
                  <w:iCs/>
                  <w:spacing w:val="-4"/>
                  <w:rtl/>
                </w:rPr>
                <w:t>المقرر 5 (المراجَع في</w:t>
              </w:r>
              <w:r w:rsidRPr="00A525E1">
                <w:rPr>
                  <w:rStyle w:val="Hyperlink"/>
                  <w:rFonts w:hint="eastAsia"/>
                  <w:i/>
                  <w:iCs/>
                  <w:spacing w:val="-4"/>
                  <w:rtl/>
                </w:rPr>
                <w:t> </w:t>
              </w:r>
              <w:r w:rsidRPr="00A525E1">
                <w:rPr>
                  <w:rStyle w:val="Hyperlink"/>
                  <w:rFonts w:hint="cs"/>
                  <w:i/>
                  <w:iCs/>
                  <w:spacing w:val="-4"/>
                  <w:rtl/>
                </w:rPr>
                <w:t>بوخارست،</w:t>
              </w:r>
              <w:r w:rsidRPr="00A525E1">
                <w:rPr>
                  <w:rStyle w:val="Hyperlink"/>
                  <w:rFonts w:hint="eastAsia"/>
                  <w:i/>
                  <w:iCs/>
                  <w:spacing w:val="-4"/>
                  <w:rtl/>
                </w:rPr>
                <w:t> </w:t>
              </w:r>
              <w:r w:rsidRPr="00A525E1">
                <w:rPr>
                  <w:rStyle w:val="Hyperlink"/>
                  <w:rFonts w:hint="cs"/>
                  <w:i/>
                  <w:iCs/>
                  <w:spacing w:val="-4"/>
                  <w:rtl/>
                </w:rPr>
                <w:t>2022)</w:t>
              </w:r>
            </w:hyperlink>
            <w:r w:rsidRPr="000479C9">
              <w:rPr>
                <w:rFonts w:hint="cs"/>
                <w:i/>
                <w:iCs/>
                <w:spacing w:val="-4"/>
                <w:rtl/>
              </w:rPr>
              <w:t xml:space="preserve"> لمؤتمر المندوبين المفوضين</w:t>
            </w:r>
          </w:p>
        </w:tc>
      </w:tr>
    </w:tbl>
    <w:p w14:paraId="6F61CE54" w14:textId="77777777" w:rsidR="00E61BE8" w:rsidRDefault="00E61BE8" w:rsidP="00E61BE8">
      <w:pPr>
        <w:rPr>
          <w:rtl/>
          <w:lang w:bidi="ar-EG"/>
        </w:rPr>
      </w:pPr>
    </w:p>
    <w:p w14:paraId="16355DE3" w14:textId="77777777" w:rsidR="00F50E3F" w:rsidRDefault="00F50E3F" w:rsidP="00AF2D4E">
      <w:pPr>
        <w:rPr>
          <w:rtl/>
          <w:lang w:bidi="ar-EG"/>
        </w:rPr>
      </w:pPr>
      <w:r>
        <w:rPr>
          <w:rtl/>
          <w:lang w:bidi="ar-EG"/>
        </w:rPr>
        <w:br w:type="page"/>
      </w:r>
    </w:p>
    <w:p w14:paraId="41E7BAEC" w14:textId="77777777" w:rsidR="000479C9" w:rsidRPr="000479C9" w:rsidRDefault="000479C9" w:rsidP="000479C9">
      <w:pPr>
        <w:pStyle w:val="Heading1"/>
      </w:pPr>
      <w:r w:rsidRPr="000479C9">
        <w:rPr>
          <w:rFonts w:hint="cs"/>
          <w:rtl/>
        </w:rPr>
        <w:lastRenderedPageBreak/>
        <w:t>1</w:t>
      </w:r>
      <w:r w:rsidRPr="000479C9">
        <w:rPr>
          <w:rtl/>
        </w:rPr>
        <w:tab/>
        <w:t>خلفية</w:t>
      </w:r>
    </w:p>
    <w:p w14:paraId="71FAC3BA" w14:textId="00B996EB" w:rsidR="000479C9" w:rsidRPr="00621E23" w:rsidRDefault="000479C9" w:rsidP="000479C9">
      <w:pPr>
        <w:rPr>
          <w:spacing w:val="-2"/>
        </w:rPr>
      </w:pPr>
      <w:r w:rsidRPr="00621E23">
        <w:rPr>
          <w:spacing w:val="-2"/>
          <w:rtl/>
        </w:rPr>
        <w:t>يكلف مؤتمر المندوبين المفوضين عام 2022 (PP-22) الأمينة العامة، من خلال القرار 191 (المراجَع في بوخارست،</w:t>
      </w:r>
      <w:r w:rsidR="00621E23" w:rsidRPr="00621E23">
        <w:rPr>
          <w:rFonts w:hint="cs"/>
          <w:spacing w:val="-2"/>
          <w:rtl/>
        </w:rPr>
        <w:t> </w:t>
      </w:r>
      <w:r w:rsidRPr="00621E23">
        <w:rPr>
          <w:spacing w:val="-2"/>
          <w:rtl/>
        </w:rPr>
        <w:t>2022)، بمواصلة تعزيز استراتيجية التنسيق والتعاون من أجل بذل جهود تتسم بالفعالية والكفاءة في المجالات ذات الاهتمام المشترك للقطاعات الثلاثة والأمانة العامة، وذلك لتجنب ازدواج الجهود واستعمال موارد الاتحاد على</w:t>
      </w:r>
      <w:r w:rsidRPr="00621E23">
        <w:rPr>
          <w:rFonts w:hint="cs"/>
          <w:spacing w:val="-2"/>
          <w:rtl/>
        </w:rPr>
        <w:t xml:space="preserve"> ال</w:t>
      </w:r>
      <w:r w:rsidRPr="00621E23">
        <w:rPr>
          <w:spacing w:val="-2"/>
          <w:rtl/>
        </w:rPr>
        <w:t xml:space="preserve">وجه </w:t>
      </w:r>
      <w:r w:rsidRPr="00621E23">
        <w:rPr>
          <w:rFonts w:hint="cs"/>
          <w:spacing w:val="-2"/>
          <w:rtl/>
        </w:rPr>
        <w:t>ال</w:t>
      </w:r>
      <w:r w:rsidRPr="00621E23">
        <w:rPr>
          <w:spacing w:val="-2"/>
          <w:rtl/>
        </w:rPr>
        <w:t>أمثل. وعلاوةً على ذلك، تكلّف الأمينة العامة بتحديد جميع أشكال وأمثلة الوظائف والأنشطة المتداخلة بين القطاعات والأمانة العامة، واقتراح حلول لمعالجتها.</w:t>
      </w:r>
    </w:p>
    <w:p w14:paraId="3C33A82A" w14:textId="2516635C" w:rsidR="000479C9" w:rsidRDefault="00661405" w:rsidP="000479C9">
      <w:pPr>
        <w:rPr>
          <w:rtl/>
        </w:rPr>
      </w:pPr>
      <w:r>
        <w:rPr>
          <w:rFonts w:hint="cs"/>
          <w:rtl/>
        </w:rPr>
        <w:t xml:space="preserve">وفوضت الأمينة العامة إلى نائب الأمينة العامة </w:t>
      </w:r>
      <w:r w:rsidR="00727FB4">
        <w:rPr>
          <w:rFonts w:hint="cs"/>
          <w:rtl/>
        </w:rPr>
        <w:t>مسؤولية</w:t>
      </w:r>
      <w:r>
        <w:rPr>
          <w:rFonts w:hint="cs"/>
          <w:rtl/>
        </w:rPr>
        <w:t xml:space="preserve"> تنفيذ استراتيجيات التنسيق بين القطاعات</w:t>
      </w:r>
      <w:r w:rsidR="000479C9" w:rsidRPr="000479C9">
        <w:rPr>
          <w:rtl/>
        </w:rPr>
        <w:t>.</w:t>
      </w:r>
    </w:p>
    <w:p w14:paraId="626CB626" w14:textId="31D5B6F4" w:rsidR="006B1365" w:rsidRPr="002A5F2E" w:rsidRDefault="006B1365" w:rsidP="000479C9">
      <w:pPr>
        <w:rPr>
          <w:rStyle w:val="normaltextrun"/>
          <w:lang w:val="ar-SA" w:eastAsia="zh-TW" w:bidi="en-GB"/>
        </w:rPr>
      </w:pPr>
      <w:r>
        <w:rPr>
          <w:rStyle w:val="normaltextrun"/>
          <w:rFonts w:hint="cs"/>
          <w:rtl/>
          <w:lang w:val="ar-SA" w:eastAsia="zh-TW"/>
        </w:rPr>
        <w:t xml:space="preserve">وفي عام 2024، تم استعراض الأمر الإداري الذي </w:t>
      </w:r>
      <w:r w:rsidRPr="006B1365">
        <w:rPr>
          <w:rStyle w:val="normaltextrun"/>
          <w:rtl/>
          <w:lang w:val="ar-SA" w:eastAsia="zh-TW"/>
        </w:rPr>
        <w:t xml:space="preserve">أُنشئ </w:t>
      </w:r>
      <w:r>
        <w:rPr>
          <w:rStyle w:val="normaltextrun"/>
          <w:rFonts w:hint="cs"/>
          <w:rtl/>
          <w:lang w:val="ar-SA" w:eastAsia="zh-TW"/>
        </w:rPr>
        <w:t xml:space="preserve">بموجبه </w:t>
      </w:r>
      <w:r w:rsidRPr="006B1365">
        <w:rPr>
          <w:rStyle w:val="normaltextrun"/>
          <w:rtl/>
          <w:lang w:val="ar-SA" w:eastAsia="zh-TW"/>
        </w:rPr>
        <w:t>فريق المهام المعني بالتنسيق بين القطاعات (</w:t>
      </w:r>
      <w:r w:rsidRPr="006B1365">
        <w:rPr>
          <w:rStyle w:val="normaltextrun"/>
          <w:lang w:val="ar-SA" w:eastAsia="zh-TW"/>
        </w:rPr>
        <w:t>ISC-TF</w:t>
      </w:r>
      <w:r w:rsidRPr="006B1365">
        <w:rPr>
          <w:rStyle w:val="normaltextrun"/>
          <w:rtl/>
          <w:lang w:val="ar-SA" w:eastAsia="zh-TW"/>
        </w:rPr>
        <w:t xml:space="preserve">) </w:t>
      </w:r>
      <w:r>
        <w:rPr>
          <w:rStyle w:val="normaltextrun"/>
          <w:rFonts w:hint="cs"/>
          <w:rtl/>
          <w:lang w:val="ar-SA" w:eastAsia="zh-TW"/>
        </w:rPr>
        <w:t xml:space="preserve">(انظر الأمر الإداري </w:t>
      </w:r>
      <w:hyperlink r:id="rId11" w:history="1">
        <w:r w:rsidRPr="00C81AEF">
          <w:rPr>
            <w:rStyle w:val="Hyperlink"/>
          </w:rPr>
          <w:t>24/06</w:t>
        </w:r>
      </w:hyperlink>
      <w:r>
        <w:rPr>
          <w:rStyle w:val="normaltextrun"/>
          <w:rFonts w:hint="cs"/>
          <w:rtl/>
          <w:lang w:val="ar-SA" w:eastAsia="zh-TW"/>
        </w:rPr>
        <w:t xml:space="preserve">) </w:t>
      </w:r>
      <w:r w:rsidR="00727FB4">
        <w:rPr>
          <w:rStyle w:val="normaltextrun"/>
          <w:rFonts w:hint="cs"/>
          <w:rtl/>
          <w:lang w:val="ar-SA" w:eastAsia="zh-TW"/>
        </w:rPr>
        <w:t xml:space="preserve">والذي ينص على أن دور فريق المهام المعني بالتنسيق بين القطاعات هو </w:t>
      </w:r>
      <w:r w:rsidRPr="006B1365">
        <w:rPr>
          <w:rStyle w:val="normaltextrun"/>
          <w:rtl/>
          <w:lang w:val="ar-SA" w:eastAsia="zh-TW"/>
        </w:rPr>
        <w:t>تعزيز التنسيق والتعاون بين المكاتب الثلاثة والأمانة العامة</w:t>
      </w:r>
      <w:r w:rsidR="00727FB4">
        <w:rPr>
          <w:rStyle w:val="normaltextrun"/>
          <w:rFonts w:hint="cs"/>
          <w:rtl/>
          <w:lang w:val="ar-SA" w:eastAsia="zh-TW"/>
        </w:rPr>
        <w:t xml:space="preserve">، تحت إشراف لجنة التنسيق </w:t>
      </w:r>
      <w:r w:rsidR="00727FB4">
        <w:rPr>
          <w:rStyle w:val="normaltextrun"/>
          <w:lang w:eastAsia="zh-TW"/>
        </w:rPr>
        <w:t>(</w:t>
      </w:r>
      <w:proofErr w:type="spellStart"/>
      <w:r w:rsidR="00727FB4">
        <w:t>CoCo</w:t>
      </w:r>
      <w:proofErr w:type="spellEnd"/>
      <w:r w:rsidR="00727FB4">
        <w:rPr>
          <w:rStyle w:val="normaltextrun"/>
          <w:lang w:eastAsia="zh-TW"/>
        </w:rPr>
        <w:t>)</w:t>
      </w:r>
      <w:r w:rsidR="00727FB4">
        <w:rPr>
          <w:rStyle w:val="normaltextrun"/>
          <w:rFonts w:hint="cs"/>
          <w:rtl/>
          <w:lang w:eastAsia="zh-TW"/>
        </w:rPr>
        <w:t>،</w:t>
      </w:r>
      <w:r w:rsidRPr="006B1365">
        <w:rPr>
          <w:rStyle w:val="normaltextrun"/>
          <w:rtl/>
          <w:lang w:val="ar-SA" w:eastAsia="zh-TW"/>
        </w:rPr>
        <w:t xml:space="preserve"> </w:t>
      </w:r>
      <w:r w:rsidR="00727FB4">
        <w:rPr>
          <w:rStyle w:val="normaltextrun"/>
          <w:rFonts w:hint="cs"/>
          <w:rtl/>
          <w:lang w:val="ar-SA" w:eastAsia="zh-TW"/>
        </w:rPr>
        <w:t>بهدف</w:t>
      </w:r>
      <w:r w:rsidRPr="006B1365">
        <w:rPr>
          <w:rStyle w:val="normaltextrun"/>
          <w:rtl/>
          <w:lang w:val="ar-SA" w:eastAsia="zh-TW"/>
        </w:rPr>
        <w:t xml:space="preserve"> تجنب ازدواجية الجهود على الصعيد الداخلي </w:t>
      </w:r>
      <w:r w:rsidR="00727FB4">
        <w:rPr>
          <w:rStyle w:val="normaltextrun"/>
          <w:rFonts w:hint="cs"/>
          <w:rtl/>
          <w:lang w:val="ar-SA" w:eastAsia="zh-TW"/>
        </w:rPr>
        <w:t>و</w:t>
      </w:r>
      <w:r w:rsidRPr="006B1365">
        <w:rPr>
          <w:rStyle w:val="normaltextrun"/>
          <w:rtl/>
          <w:lang w:val="ar-SA" w:eastAsia="zh-TW"/>
        </w:rPr>
        <w:t xml:space="preserve">استخدام </w:t>
      </w:r>
      <w:r w:rsidR="00727FB4">
        <w:rPr>
          <w:rStyle w:val="normaltextrun"/>
          <w:rFonts w:hint="cs"/>
          <w:rtl/>
          <w:lang w:val="ar-SA" w:eastAsia="zh-TW"/>
        </w:rPr>
        <w:t>ا</w:t>
      </w:r>
      <w:r w:rsidRPr="006B1365">
        <w:rPr>
          <w:rStyle w:val="normaltextrun"/>
          <w:rtl/>
          <w:lang w:val="ar-SA" w:eastAsia="zh-TW"/>
        </w:rPr>
        <w:t>لموارد</w:t>
      </w:r>
      <w:r w:rsidR="00727FB4">
        <w:rPr>
          <w:rStyle w:val="normaltextrun"/>
          <w:rFonts w:hint="cs"/>
          <w:rtl/>
          <w:lang w:val="ar-SA" w:eastAsia="zh-TW"/>
        </w:rPr>
        <w:t xml:space="preserve"> على النحو </w:t>
      </w:r>
      <w:r w:rsidR="00727FB4" w:rsidRPr="006B1365">
        <w:rPr>
          <w:rStyle w:val="normaltextrun"/>
          <w:rtl/>
          <w:lang w:val="ar-SA" w:eastAsia="zh-TW"/>
        </w:rPr>
        <w:t>الأمثل</w:t>
      </w:r>
      <w:r w:rsidRPr="006B1365">
        <w:rPr>
          <w:rStyle w:val="normaltextrun"/>
          <w:rtl/>
          <w:lang w:val="ar-SA" w:eastAsia="zh-TW"/>
        </w:rPr>
        <w:t>.</w:t>
      </w:r>
    </w:p>
    <w:p w14:paraId="24C714D2" w14:textId="6E47356E" w:rsidR="000479C9" w:rsidRPr="00A54837" w:rsidRDefault="000479C9" w:rsidP="000479C9">
      <w:pPr>
        <w:pStyle w:val="Heading1"/>
        <w:textDirection w:val="tbRlV"/>
      </w:pPr>
      <w:r>
        <w:rPr>
          <w:rFonts w:hint="cs"/>
          <w:rtl/>
        </w:rPr>
        <w:t>2</w:t>
      </w:r>
      <w:r>
        <w:rPr>
          <w:rtl/>
        </w:rPr>
        <w:tab/>
      </w:r>
      <w:r w:rsidRPr="00A54837">
        <w:rPr>
          <w:rtl/>
        </w:rPr>
        <w:t xml:space="preserve">التنسيق </w:t>
      </w:r>
      <w:r w:rsidR="00850B65">
        <w:rPr>
          <w:rFonts w:hint="cs"/>
          <w:rtl/>
        </w:rPr>
        <w:t>داخل</w:t>
      </w:r>
      <w:r w:rsidRPr="00A54837">
        <w:rPr>
          <w:rtl/>
        </w:rPr>
        <w:t xml:space="preserve"> الأمانة - فريق المهام المعني بالتنسيق بين القطاعات </w:t>
      </w:r>
      <w:r w:rsidRPr="00A54837">
        <w:t>(ISC-TF</w:t>
      </w:r>
      <w:r>
        <w:t>)</w:t>
      </w:r>
    </w:p>
    <w:p w14:paraId="540B65ED" w14:textId="0CE7E890" w:rsidR="000479C9" w:rsidRPr="002A5F2E" w:rsidRDefault="000479C9" w:rsidP="000479C9">
      <w:pPr>
        <w:rPr>
          <w:rStyle w:val="normaltextrun"/>
          <w:lang w:val="ar-SA" w:eastAsia="zh-TW" w:bidi="en-GB"/>
        </w:rPr>
      </w:pPr>
      <w:r w:rsidRPr="006852A6">
        <w:rPr>
          <w:rtl/>
        </w:rPr>
        <w:t>فريق المهام المعني بالتنسيق بين القطاعات</w:t>
      </w:r>
      <w:r w:rsidR="00850B65">
        <w:rPr>
          <w:rFonts w:hint="cs"/>
          <w:rtl/>
        </w:rPr>
        <w:t xml:space="preserve"> </w:t>
      </w:r>
      <w:r w:rsidR="00850B65">
        <w:t>(</w:t>
      </w:r>
      <w:r w:rsidR="00850B65" w:rsidRPr="00BA2771">
        <w:rPr>
          <w:rStyle w:val="normaltextrun"/>
          <w:rFonts w:cs="Calibri"/>
          <w:lang w:eastAsia="en-GB"/>
        </w:rPr>
        <w:t>ISC-TF</w:t>
      </w:r>
      <w:r w:rsidR="00850B65">
        <w:t>)</w:t>
      </w:r>
      <w:r w:rsidRPr="006852A6">
        <w:rPr>
          <w:rtl/>
        </w:rPr>
        <w:t xml:space="preserve"> </w:t>
      </w:r>
      <w:r w:rsidRPr="002A5F2E">
        <w:rPr>
          <w:rtl/>
        </w:rPr>
        <w:t>ه</w:t>
      </w:r>
      <w:r>
        <w:rPr>
          <w:rFonts w:hint="cs"/>
          <w:rtl/>
        </w:rPr>
        <w:t>و</w:t>
      </w:r>
      <w:r w:rsidRPr="002A5F2E">
        <w:rPr>
          <w:rtl/>
        </w:rPr>
        <w:t xml:space="preserve"> الهيئة التي تنسق داخل الأمانة </w:t>
      </w:r>
      <w:r>
        <w:rPr>
          <w:rFonts w:hint="cs"/>
          <w:rtl/>
        </w:rPr>
        <w:t>وتتواصل</w:t>
      </w:r>
      <w:r w:rsidRPr="002A5F2E">
        <w:rPr>
          <w:rtl/>
        </w:rPr>
        <w:t xml:space="preserve"> مع فريق التنسيق بين القطاعات</w:t>
      </w:r>
      <w:r w:rsidR="00B13D70">
        <w:rPr>
          <w:rFonts w:hint="cs"/>
          <w:rtl/>
        </w:rPr>
        <w:t> </w:t>
      </w:r>
      <w:r w:rsidRPr="002A5F2E">
        <w:t>(ISCG</w:t>
      </w:r>
      <w:r>
        <w:t>)</w:t>
      </w:r>
      <w:r w:rsidRPr="002A5F2E">
        <w:rPr>
          <w:rtl/>
        </w:rPr>
        <w:t xml:space="preserve"> لتحديد احتياجات الأعضاء وتوفير خيارات لتحسين التعاون والتنسيق عبر الاتحاد.</w:t>
      </w:r>
    </w:p>
    <w:p w14:paraId="54522364" w14:textId="3DA8AD77" w:rsidR="000479C9" w:rsidRPr="002A5F2E" w:rsidRDefault="000479C9" w:rsidP="000479C9">
      <w:pPr>
        <w:rPr>
          <w:rStyle w:val="normaltextrun"/>
          <w:lang w:val="ar-SA" w:eastAsia="zh-TW" w:bidi="en-GB"/>
        </w:rPr>
      </w:pPr>
      <w:r w:rsidRPr="002A5F2E">
        <w:rPr>
          <w:rtl/>
        </w:rPr>
        <w:t xml:space="preserve">ومنذ </w:t>
      </w:r>
      <w:r>
        <w:rPr>
          <w:rFonts w:hint="cs"/>
          <w:rtl/>
        </w:rPr>
        <w:t>عرض</w:t>
      </w:r>
      <w:r w:rsidRPr="002A5F2E">
        <w:rPr>
          <w:rtl/>
        </w:rPr>
        <w:t xml:space="preserve"> التقرير </w:t>
      </w:r>
      <w:r>
        <w:rPr>
          <w:rFonts w:hint="cs"/>
          <w:rtl/>
        </w:rPr>
        <w:t>ع</w:t>
      </w:r>
      <w:r w:rsidRPr="002A5F2E">
        <w:rPr>
          <w:rtl/>
        </w:rPr>
        <w:t xml:space="preserve">لى المجلس العام الماضي، تواصل أمانة </w:t>
      </w:r>
      <w:r w:rsidR="00850B65">
        <w:rPr>
          <w:rFonts w:hint="cs"/>
          <w:rtl/>
        </w:rPr>
        <w:t xml:space="preserve">فريق </w:t>
      </w:r>
      <w:r w:rsidR="00850B65" w:rsidRPr="006852A6">
        <w:rPr>
          <w:rtl/>
        </w:rPr>
        <w:t>المهام المعني بالتنسيق بين القطاعات</w:t>
      </w:r>
      <w:r w:rsidR="00850B65">
        <w:rPr>
          <w:rFonts w:hint="cs"/>
          <w:rtl/>
        </w:rPr>
        <w:t xml:space="preserve"> </w:t>
      </w:r>
      <w:r w:rsidRPr="002A5F2E">
        <w:rPr>
          <w:rtl/>
        </w:rPr>
        <w:t xml:space="preserve">العمل على تنظيم </w:t>
      </w:r>
      <w:r w:rsidR="00850B65" w:rsidRPr="002A5F2E">
        <w:rPr>
          <w:rtl/>
        </w:rPr>
        <w:t xml:space="preserve">التنسيق بين القطاعات </w:t>
      </w:r>
      <w:r w:rsidRPr="002A5F2E">
        <w:rPr>
          <w:rtl/>
        </w:rPr>
        <w:t>وإيجاد أفضل السبل لضمان إدار</w:t>
      </w:r>
      <w:r w:rsidR="00850B65">
        <w:rPr>
          <w:rFonts w:hint="cs"/>
          <w:rtl/>
        </w:rPr>
        <w:t>ته</w:t>
      </w:r>
      <w:r w:rsidRPr="002A5F2E">
        <w:rPr>
          <w:rtl/>
        </w:rPr>
        <w:t xml:space="preserve">. وتشمل هذه </w:t>
      </w:r>
      <w:r>
        <w:rPr>
          <w:rFonts w:hint="cs"/>
          <w:rtl/>
        </w:rPr>
        <w:t>الجهود</w:t>
      </w:r>
      <w:r w:rsidRPr="002A5F2E">
        <w:rPr>
          <w:rtl/>
        </w:rPr>
        <w:t xml:space="preserve"> ما يلي:</w:t>
      </w:r>
    </w:p>
    <w:p w14:paraId="6E249B8D" w14:textId="66D4B315" w:rsidR="000479C9" w:rsidRPr="00A525E1" w:rsidRDefault="000479C9" w:rsidP="00CA73EB">
      <w:pPr>
        <w:pStyle w:val="enumlev1"/>
        <w:rPr>
          <w:rFonts w:eastAsia="Calibri"/>
          <w:spacing w:val="4"/>
          <w:lang w:val="ar-SA" w:eastAsia="zh-TW" w:bidi="en-GB"/>
        </w:rPr>
      </w:pPr>
      <w:r w:rsidRPr="00A525E1">
        <w:rPr>
          <w:rFonts w:hint="cs"/>
          <w:spacing w:val="4"/>
        </w:rPr>
        <w:sym w:font="Symbol" w:char="F0B7"/>
      </w:r>
      <w:r w:rsidRPr="00A525E1">
        <w:rPr>
          <w:spacing w:val="4"/>
          <w:rtl/>
        </w:rPr>
        <w:tab/>
        <w:t xml:space="preserve">تحسين </w:t>
      </w:r>
      <w:hyperlink r:id="rId12" w:history="1">
        <w:r w:rsidRPr="00A525E1">
          <w:rPr>
            <w:rStyle w:val="Hyperlink"/>
            <w:spacing w:val="4"/>
            <w:rtl/>
          </w:rPr>
          <w:t>الصفحة الإلكترونية للتنسيق بين القطاعات</w:t>
        </w:r>
      </w:hyperlink>
      <w:r w:rsidRPr="00A525E1">
        <w:rPr>
          <w:spacing w:val="4"/>
          <w:rtl/>
        </w:rPr>
        <w:t xml:space="preserve"> في إطار الأمانة العامة وبالتنسيق مع فريق التنسيق بين القطاعات.</w:t>
      </w:r>
    </w:p>
    <w:p w14:paraId="0D706377" w14:textId="63D9D29C" w:rsidR="000479C9" w:rsidRPr="002A5F2E" w:rsidRDefault="000479C9" w:rsidP="00CA73EB">
      <w:pPr>
        <w:pStyle w:val="enumlev1"/>
        <w:rPr>
          <w:rStyle w:val="normaltextrun"/>
          <w:lang w:val="ar-SA" w:eastAsia="zh-TW" w:bidi="en-GB"/>
        </w:rPr>
      </w:pPr>
      <w:r>
        <w:rPr>
          <w:rFonts w:hint="cs"/>
        </w:rPr>
        <w:sym w:font="Symbol" w:char="F0B7"/>
      </w:r>
      <w:r>
        <w:rPr>
          <w:rtl/>
        </w:rPr>
        <w:tab/>
      </w:r>
      <w:hyperlink r:id="rId13" w:history="1">
        <w:r w:rsidRPr="006E04E2">
          <w:rPr>
            <w:rStyle w:val="Hyperlink"/>
            <w:rFonts w:hint="cs"/>
            <w:rtl/>
          </w:rPr>
          <w:t>رسم خارطة ارتباطات</w:t>
        </w:r>
        <w:r w:rsidRPr="006E04E2">
          <w:rPr>
            <w:rStyle w:val="Hyperlink"/>
            <w:rtl/>
          </w:rPr>
          <w:t xml:space="preserve"> </w:t>
        </w:r>
        <w:r w:rsidRPr="006E04E2">
          <w:rPr>
            <w:rStyle w:val="Hyperlink"/>
            <w:rFonts w:hint="cs"/>
            <w:rtl/>
          </w:rPr>
          <w:t>ا</w:t>
        </w:r>
        <w:r w:rsidRPr="006E04E2">
          <w:rPr>
            <w:rStyle w:val="Hyperlink"/>
            <w:rtl/>
          </w:rPr>
          <w:t>لقرارات</w:t>
        </w:r>
      </w:hyperlink>
      <w:r w:rsidRPr="000B3F39">
        <w:rPr>
          <w:rtl/>
        </w:rPr>
        <w:t xml:space="preserve"> الصادرة عن مؤتمرات</w:t>
      </w:r>
      <w:r w:rsidR="000B3F39" w:rsidRPr="000B3F39">
        <w:rPr>
          <w:rFonts w:hint="cs"/>
          <w:rtl/>
        </w:rPr>
        <w:t>/جمعيات</w:t>
      </w:r>
      <w:r w:rsidRPr="000B3F39">
        <w:rPr>
          <w:rtl/>
        </w:rPr>
        <w:t xml:space="preserve"> الاتحاد الرئيسية</w:t>
      </w:r>
      <w:r w:rsidR="000B3F39">
        <w:rPr>
          <w:rFonts w:hint="cs"/>
          <w:rtl/>
        </w:rPr>
        <w:t xml:space="preserve"> (المحدَّثة آخر مرة بعد الجمعية العالمية لتقييس الاتصالات لعام 2024)</w:t>
      </w:r>
      <w:r w:rsidRPr="000B3F39">
        <w:rPr>
          <w:rtl/>
        </w:rPr>
        <w:t>.</w:t>
      </w:r>
    </w:p>
    <w:p w14:paraId="2BA48DCB" w14:textId="72D9DD85" w:rsidR="000479C9" w:rsidRDefault="000479C9" w:rsidP="00CA73EB">
      <w:pPr>
        <w:pStyle w:val="enumlev1"/>
        <w:rPr>
          <w:rtl/>
        </w:rPr>
      </w:pPr>
      <w:r>
        <w:rPr>
          <w:rFonts w:hint="cs"/>
        </w:rPr>
        <w:sym w:font="Symbol" w:char="F0B7"/>
      </w:r>
      <w:r>
        <w:rPr>
          <w:rtl/>
        </w:rPr>
        <w:tab/>
      </w:r>
      <w:r w:rsidRPr="002A5F2E">
        <w:rPr>
          <w:rtl/>
        </w:rPr>
        <w:t xml:space="preserve">تحديث </w:t>
      </w:r>
      <w:hyperlink r:id="rId14" w:history="1">
        <w:r w:rsidRPr="006E04E2">
          <w:rPr>
            <w:rStyle w:val="Hyperlink"/>
            <w:rtl/>
          </w:rPr>
          <w:t>قائمة المواضيع</w:t>
        </w:r>
      </w:hyperlink>
      <w:r w:rsidRPr="002A5F2E">
        <w:rPr>
          <w:rtl/>
        </w:rPr>
        <w:t xml:space="preserve"> التي تدعو إلى التنسيق بين القطاعات إلى جانب جهات الاتصال التي تعي</w:t>
      </w:r>
      <w:r>
        <w:rPr>
          <w:rFonts w:hint="cs"/>
          <w:rtl/>
        </w:rPr>
        <w:t>ِّ</w:t>
      </w:r>
      <w:r w:rsidRPr="002A5F2E">
        <w:rPr>
          <w:rtl/>
        </w:rPr>
        <w:t>نها القطاعات والأمانة العامة والمنشورة في الصفحة الإلكترونية.</w:t>
      </w:r>
    </w:p>
    <w:p w14:paraId="2E77D7BA" w14:textId="67DA6021" w:rsidR="000B3F39" w:rsidRDefault="000B3F39" w:rsidP="000B3F39">
      <w:pPr>
        <w:rPr>
          <w:rtl/>
        </w:rPr>
      </w:pPr>
      <w:r>
        <w:rPr>
          <w:rFonts w:hint="cs"/>
          <w:rtl/>
        </w:rPr>
        <w:t xml:space="preserve">وفي عام 2024، عقد </w:t>
      </w:r>
      <w:r w:rsidRPr="006852A6">
        <w:rPr>
          <w:rtl/>
        </w:rPr>
        <w:t>فريق المهام المعني بالتنسيق بين القطاعات</w:t>
      </w:r>
      <w:r>
        <w:rPr>
          <w:rFonts w:hint="cs"/>
          <w:rtl/>
        </w:rPr>
        <w:t xml:space="preserve">، الذي يرأسه نائب الأمينة العامة </w:t>
      </w:r>
      <w:r w:rsidR="00D411CF">
        <w:rPr>
          <w:rFonts w:hint="cs"/>
          <w:rtl/>
        </w:rPr>
        <w:t>ويتألف</w:t>
      </w:r>
      <w:r>
        <w:rPr>
          <w:rFonts w:hint="cs"/>
          <w:rtl/>
        </w:rPr>
        <w:t xml:space="preserve"> من موظفي </w:t>
      </w:r>
      <w:r w:rsidR="00D411CF">
        <w:rPr>
          <w:rFonts w:hint="cs"/>
          <w:rtl/>
        </w:rPr>
        <w:t>ال</w:t>
      </w:r>
      <w:r>
        <w:rPr>
          <w:rFonts w:hint="cs"/>
          <w:rtl/>
        </w:rPr>
        <w:t xml:space="preserve">فئة </w:t>
      </w:r>
      <w:r>
        <w:t>D2</w:t>
      </w:r>
      <w:r>
        <w:rPr>
          <w:rFonts w:hint="cs"/>
          <w:rtl/>
        </w:rPr>
        <w:t xml:space="preserve"> و</w:t>
      </w:r>
      <w:r w:rsidR="00D411CF">
        <w:rPr>
          <w:rFonts w:hint="cs"/>
          <w:rtl/>
        </w:rPr>
        <w:t xml:space="preserve">المديرين الإقليميين، خمسة اجتماعات بهدف: </w:t>
      </w:r>
    </w:p>
    <w:p w14:paraId="6E49A380" w14:textId="0CDE880B" w:rsidR="00D411CF" w:rsidRDefault="006E04E2" w:rsidP="006E04E2">
      <w:pPr>
        <w:pStyle w:val="enumlev1"/>
        <w:rPr>
          <w:rStyle w:val="normaltextrun"/>
          <w:lang w:val="ar-SA" w:eastAsia="zh-TW" w:bidi="ar-SA"/>
        </w:rPr>
      </w:pPr>
      <w:r>
        <w:rPr>
          <w:rStyle w:val="normaltextrun"/>
          <w:rFonts w:hint="cs"/>
          <w:rtl/>
          <w:lang w:val="ar-SA" w:eastAsia="zh-TW" w:bidi="ar-EG"/>
        </w:rPr>
        <w:t>-</w:t>
      </w:r>
      <w:r>
        <w:rPr>
          <w:rStyle w:val="normaltextrun"/>
          <w:rtl/>
          <w:lang w:val="ar-SA" w:eastAsia="zh-TW" w:bidi="ar-EG"/>
        </w:rPr>
        <w:tab/>
      </w:r>
      <w:r w:rsidR="00D411CF" w:rsidRPr="00D411CF">
        <w:rPr>
          <w:rStyle w:val="normaltextrun"/>
          <w:rtl/>
          <w:lang w:val="ar-SA" w:eastAsia="zh-TW" w:bidi="ar-SA"/>
        </w:rPr>
        <w:t xml:space="preserve">دعم العمل المنسَّق في المجالات ذات الاهتمام المشترك لقطاعات الاتحاد الثلاثة والأمانة العامة، </w:t>
      </w:r>
      <w:r w:rsidR="007717C0">
        <w:rPr>
          <w:rStyle w:val="normaltextrun"/>
          <w:rFonts w:hint="cs"/>
          <w:rtl/>
          <w:lang w:val="ar-SA" w:eastAsia="zh-TW" w:bidi="ar-SA"/>
        </w:rPr>
        <w:t>بتعزيز أوجه</w:t>
      </w:r>
      <w:r w:rsidR="00D411CF" w:rsidRPr="00D411CF">
        <w:rPr>
          <w:rStyle w:val="normaltextrun"/>
          <w:rtl/>
          <w:lang w:val="ar-SA" w:eastAsia="zh-TW" w:bidi="ar-SA"/>
        </w:rPr>
        <w:t xml:space="preserve"> التآزر </w:t>
      </w:r>
      <w:r w:rsidR="007717C0">
        <w:rPr>
          <w:rStyle w:val="normaltextrun"/>
          <w:rFonts w:hint="cs"/>
          <w:rtl/>
          <w:lang w:val="ar-SA" w:eastAsia="zh-TW" w:bidi="ar-SA"/>
        </w:rPr>
        <w:t>وتدابير</w:t>
      </w:r>
      <w:r w:rsidR="00D411CF" w:rsidRPr="00D411CF">
        <w:rPr>
          <w:rStyle w:val="normaltextrun"/>
          <w:rtl/>
          <w:lang w:val="ar-SA" w:eastAsia="zh-TW" w:bidi="ar-SA"/>
        </w:rPr>
        <w:t xml:space="preserve"> الكفاءة و</w:t>
      </w:r>
      <w:r w:rsidR="008B20D5">
        <w:rPr>
          <w:rStyle w:val="normaltextrun"/>
          <w:rFonts w:hint="cs"/>
          <w:rtl/>
          <w:lang w:val="ar-SA" w:eastAsia="zh-TW" w:bidi="ar-SA"/>
        </w:rPr>
        <w:t xml:space="preserve">كذلك </w:t>
      </w:r>
      <w:r w:rsidR="00D411CF" w:rsidRPr="00D411CF">
        <w:rPr>
          <w:rStyle w:val="normaltextrun"/>
          <w:rtl/>
          <w:lang w:val="ar-SA" w:eastAsia="zh-TW" w:bidi="ar-SA"/>
        </w:rPr>
        <w:t xml:space="preserve">الوفورات </w:t>
      </w:r>
      <w:r w:rsidR="007717C0">
        <w:rPr>
          <w:rStyle w:val="normaltextrun"/>
          <w:rFonts w:hint="cs"/>
          <w:rtl/>
          <w:lang w:val="ar-SA" w:eastAsia="zh-TW" w:bidi="ar-SA"/>
        </w:rPr>
        <w:t>في</w:t>
      </w:r>
      <w:r w:rsidR="00D411CF" w:rsidRPr="00D411CF">
        <w:rPr>
          <w:rStyle w:val="normaltextrun"/>
          <w:rtl/>
          <w:lang w:val="ar-SA" w:eastAsia="zh-TW" w:bidi="ar-SA"/>
        </w:rPr>
        <w:t xml:space="preserve"> استخدام موارد الاتحاد؛</w:t>
      </w:r>
    </w:p>
    <w:p w14:paraId="4E7EAFF0" w14:textId="25D13719" w:rsidR="007717C0" w:rsidRDefault="006E04E2" w:rsidP="006E04E2">
      <w:pPr>
        <w:pStyle w:val="enumlev1"/>
        <w:rPr>
          <w:rStyle w:val="normaltextrun"/>
          <w:lang w:val="ar-SA" w:eastAsia="zh-TW" w:bidi="ar-SA"/>
        </w:rPr>
      </w:pPr>
      <w:r>
        <w:rPr>
          <w:rStyle w:val="normaltextrun"/>
          <w:rFonts w:hint="cs"/>
          <w:rtl/>
          <w:lang w:val="ar-SA" w:eastAsia="zh-TW" w:bidi="ar-SA"/>
        </w:rPr>
        <w:t>-</w:t>
      </w:r>
      <w:r>
        <w:rPr>
          <w:rStyle w:val="normaltextrun"/>
          <w:rtl/>
          <w:lang w:val="ar-SA" w:eastAsia="zh-TW" w:bidi="ar-SA"/>
        </w:rPr>
        <w:tab/>
      </w:r>
      <w:r w:rsidR="007717C0">
        <w:rPr>
          <w:rStyle w:val="normaltextrun"/>
          <w:rFonts w:hint="cs"/>
          <w:rtl/>
          <w:lang w:val="ar-SA" w:eastAsia="zh-TW" w:bidi="ar-SA"/>
        </w:rPr>
        <w:t xml:space="preserve">متابعة ما يُحرز من </w:t>
      </w:r>
      <w:r w:rsidR="007717C0" w:rsidRPr="006E04E2">
        <w:rPr>
          <w:rFonts w:hint="cs"/>
          <w:rtl/>
        </w:rPr>
        <w:t>تقدم</w:t>
      </w:r>
      <w:r w:rsidR="007717C0">
        <w:rPr>
          <w:rStyle w:val="normaltextrun"/>
          <w:rFonts w:hint="cs"/>
          <w:rtl/>
          <w:lang w:val="ar-SA" w:eastAsia="zh-TW" w:bidi="ar-SA"/>
        </w:rPr>
        <w:t xml:space="preserve"> ونتائج في كل مجال؛</w:t>
      </w:r>
    </w:p>
    <w:p w14:paraId="4A4CEFC9" w14:textId="12A46494" w:rsidR="007717C0" w:rsidRDefault="006E04E2" w:rsidP="006E04E2">
      <w:pPr>
        <w:pStyle w:val="enumlev1"/>
        <w:rPr>
          <w:rStyle w:val="normaltextrun"/>
          <w:rtl/>
          <w:lang w:val="ar-SA" w:eastAsia="zh-TW" w:bidi="ar-SA"/>
        </w:rPr>
      </w:pPr>
      <w:r>
        <w:rPr>
          <w:rStyle w:val="normaltextrun"/>
          <w:rFonts w:hint="cs"/>
          <w:rtl/>
          <w:lang w:val="ar-SA" w:eastAsia="zh-TW" w:bidi="ar-SA"/>
        </w:rPr>
        <w:t>-</w:t>
      </w:r>
      <w:r>
        <w:rPr>
          <w:rStyle w:val="normaltextrun"/>
          <w:rtl/>
          <w:lang w:val="ar-SA" w:eastAsia="zh-TW" w:bidi="ar-SA"/>
        </w:rPr>
        <w:tab/>
      </w:r>
      <w:r w:rsidR="007717C0">
        <w:rPr>
          <w:rStyle w:val="normaltextrun"/>
          <w:rFonts w:hint="cs"/>
          <w:rtl/>
          <w:lang w:val="ar-SA" w:eastAsia="zh-TW" w:bidi="ar-SA"/>
        </w:rPr>
        <w:t xml:space="preserve">تحديد واقتراح أي </w:t>
      </w:r>
      <w:r w:rsidR="007717C0" w:rsidRPr="006E04E2">
        <w:rPr>
          <w:rFonts w:hint="cs"/>
          <w:rtl/>
        </w:rPr>
        <w:t>تدابير</w:t>
      </w:r>
      <w:r w:rsidR="007717C0">
        <w:rPr>
          <w:rStyle w:val="normaltextrun"/>
          <w:rFonts w:hint="cs"/>
          <w:rtl/>
          <w:lang w:val="ar-SA" w:eastAsia="zh-TW" w:bidi="ar-SA"/>
        </w:rPr>
        <w:t xml:space="preserve"> وآليات، بغرض زيادة الكفاءة والفعالية.</w:t>
      </w:r>
    </w:p>
    <w:p w14:paraId="4C5EF862" w14:textId="646E9D95" w:rsidR="00D411CF" w:rsidRDefault="007717C0" w:rsidP="003E5513">
      <w:pPr>
        <w:rPr>
          <w:rStyle w:val="normaltextrun"/>
          <w:rtl/>
          <w:lang w:val="ar-SA" w:eastAsia="zh-TW"/>
        </w:rPr>
      </w:pPr>
      <w:r>
        <w:rPr>
          <w:rStyle w:val="normaltextrun"/>
          <w:rFonts w:hint="cs"/>
          <w:rtl/>
          <w:lang w:val="ar-SA" w:eastAsia="zh-TW"/>
        </w:rPr>
        <w:t xml:space="preserve">والمواضيع التي قُدمت بشأنها تقارير إلى فريق المهام </w:t>
      </w:r>
      <w:r w:rsidRPr="006852A6">
        <w:rPr>
          <w:rtl/>
        </w:rPr>
        <w:t>المعني بالتنسيق بين القطاعات</w:t>
      </w:r>
      <w:r>
        <w:rPr>
          <w:rFonts w:hint="cs"/>
          <w:rtl/>
        </w:rPr>
        <w:t xml:space="preserve"> هي: إمكانية النفاذ؛ تنمية القدرات؛ تغير المناخ والاستدامة البيئية؛ </w:t>
      </w:r>
      <w:r w:rsidR="003E5513">
        <w:rPr>
          <w:rFonts w:hint="cs"/>
          <w:rtl/>
        </w:rPr>
        <w:t xml:space="preserve">الاتصالات والموقع الإلكتروني؛ البيانات والإحصاءات؛ الصمود الرقمي (بما في ذلك الأمن السيبراني)؛ التحول الرقمي؛ الاتصالات في حالات الطوارئ؛ تنظيم الأحداث؛ المساواة بين الجنسين؛ الابتكار؛ </w:t>
      </w:r>
      <w:r w:rsidR="005B176F">
        <w:rPr>
          <w:rFonts w:hint="cs"/>
          <w:rtl/>
        </w:rPr>
        <w:t>الأعضاء</w:t>
      </w:r>
      <w:r w:rsidR="003E5513">
        <w:rPr>
          <w:rFonts w:hint="cs"/>
          <w:rtl/>
        </w:rPr>
        <w:t>/الشراكات/تعبئة الموارد؛ الحضور الإقليمي؛ الفضاء؛ الشباب؛ الاجتماعات الإلكترونية/المشاركة الافتراضية (</w:t>
      </w:r>
      <w:r w:rsidR="005E25B1">
        <w:rPr>
          <w:rFonts w:hint="cs"/>
          <w:rtl/>
        </w:rPr>
        <w:t xml:space="preserve">الموضوع الأخير مصدره فريق التنسيق بين القطاعات </w:t>
      </w:r>
      <w:r w:rsidR="005E25B1">
        <w:t>(</w:t>
      </w:r>
      <w:r w:rsidR="005E25B1" w:rsidRPr="00B51262">
        <w:t>ISCG</w:t>
      </w:r>
      <w:r w:rsidR="005E25B1">
        <w:t>)</w:t>
      </w:r>
      <w:r w:rsidR="003E5513">
        <w:rPr>
          <w:rFonts w:hint="cs"/>
          <w:rtl/>
        </w:rPr>
        <w:t>).</w:t>
      </w:r>
    </w:p>
    <w:p w14:paraId="52302AF1" w14:textId="427A4ADA" w:rsidR="005E25B1" w:rsidRDefault="005E25B1" w:rsidP="000479C9">
      <w:pPr>
        <w:textDirection w:val="tbRlV"/>
        <w:rPr>
          <w:rtl/>
        </w:rPr>
      </w:pPr>
      <w:r>
        <w:rPr>
          <w:rFonts w:hint="cs"/>
          <w:rtl/>
        </w:rPr>
        <w:t>وفيما يلي</w:t>
      </w:r>
      <w:r w:rsidR="008B20D5">
        <w:rPr>
          <w:rFonts w:hint="cs"/>
          <w:rtl/>
        </w:rPr>
        <w:t xml:space="preserve"> بعض أمثلة</w:t>
      </w:r>
      <w:r>
        <w:rPr>
          <w:rFonts w:hint="cs"/>
          <w:rtl/>
        </w:rPr>
        <w:t xml:space="preserve"> ال</w:t>
      </w:r>
      <w:r w:rsidR="000479C9" w:rsidRPr="002A5F2E">
        <w:rPr>
          <w:rtl/>
        </w:rPr>
        <w:t xml:space="preserve">نتائج </w:t>
      </w:r>
      <w:r>
        <w:rPr>
          <w:rFonts w:hint="cs"/>
          <w:rtl/>
        </w:rPr>
        <w:t>ال</w:t>
      </w:r>
      <w:r w:rsidR="000479C9" w:rsidRPr="002A5F2E">
        <w:rPr>
          <w:rtl/>
        </w:rPr>
        <w:t xml:space="preserve">ملموسة </w:t>
      </w:r>
      <w:r>
        <w:rPr>
          <w:rFonts w:hint="cs"/>
          <w:rtl/>
        </w:rPr>
        <w:t>التي حققتها ا</w:t>
      </w:r>
      <w:r w:rsidR="000479C9" w:rsidRPr="002A5F2E">
        <w:rPr>
          <w:rtl/>
        </w:rPr>
        <w:t>لأفرقة المشتركة بين القطاعات</w:t>
      </w:r>
      <w:r>
        <w:rPr>
          <w:rFonts w:hint="cs"/>
          <w:rtl/>
        </w:rPr>
        <w:t>:</w:t>
      </w:r>
    </w:p>
    <w:p w14:paraId="058837DE" w14:textId="6D658EDE" w:rsidR="005E25B1" w:rsidRDefault="006E04E2" w:rsidP="006E04E2">
      <w:pPr>
        <w:pStyle w:val="enumlev1"/>
        <w:textDirection w:val="tbRlV"/>
      </w:pPr>
      <w:r>
        <w:rPr>
          <w:rFonts w:hint="cs"/>
          <w:rtl/>
        </w:rPr>
        <w:t>-</w:t>
      </w:r>
      <w:r>
        <w:rPr>
          <w:rtl/>
        </w:rPr>
        <w:tab/>
      </w:r>
      <w:r w:rsidR="005E25B1">
        <w:rPr>
          <w:rFonts w:hint="cs"/>
          <w:rtl/>
        </w:rPr>
        <w:t xml:space="preserve">تنمية القدرات: </w:t>
      </w:r>
      <w:r w:rsidR="005B176F">
        <w:rPr>
          <w:rFonts w:hint="cs"/>
          <w:rtl/>
        </w:rPr>
        <w:t>دليل الاتحاد لتنمية القدرات</w:t>
      </w:r>
      <w:r w:rsidR="00E36F09">
        <w:rPr>
          <w:rFonts w:hint="cs"/>
          <w:rtl/>
        </w:rPr>
        <w:t xml:space="preserve">، </w:t>
      </w:r>
      <w:r w:rsidR="005B176F">
        <w:rPr>
          <w:rFonts w:hint="cs"/>
          <w:rtl/>
        </w:rPr>
        <w:t xml:space="preserve">الذي </w:t>
      </w:r>
      <w:r w:rsidR="005B176F" w:rsidRPr="005B176F">
        <w:rPr>
          <w:rtl/>
        </w:rPr>
        <w:t xml:space="preserve">يضع المبادئ والإجراءات والممارسات </w:t>
      </w:r>
      <w:r w:rsidR="005B176F">
        <w:rPr>
          <w:rFonts w:hint="cs"/>
          <w:rtl/>
        </w:rPr>
        <w:t>اللازمة ل</w:t>
      </w:r>
      <w:r w:rsidR="005B176F" w:rsidRPr="005B176F">
        <w:rPr>
          <w:rtl/>
        </w:rPr>
        <w:t>تنفيذ أنشطة تنمية القدرات والتدريب التي يقدمها الاتحاد. وقد أعد هذا الدليل فريق المهام المشترك بين القطاعات المعني بتنمية القدرات، عقب مناقشات داخل أمانة الاتحاد وفيما بين أعضاء الاتحاد بشأن كيفية تنسيق وتعزيز ن</w:t>
      </w:r>
      <w:r w:rsidR="005B176F">
        <w:rPr>
          <w:rFonts w:hint="cs"/>
          <w:rtl/>
        </w:rPr>
        <w:t>ُ</w:t>
      </w:r>
      <w:r w:rsidR="005B176F" w:rsidRPr="005B176F">
        <w:rPr>
          <w:rtl/>
        </w:rPr>
        <w:t xml:space="preserve">هج تنمية القدرات عبر الاتحاد من أجل الاستجابة على نحو أفضل لاحتياجات </w:t>
      </w:r>
      <w:r w:rsidR="00E36F09">
        <w:rPr>
          <w:rFonts w:hint="cs"/>
          <w:rtl/>
        </w:rPr>
        <w:t>ا</w:t>
      </w:r>
      <w:r w:rsidR="005B176F" w:rsidRPr="005B176F">
        <w:rPr>
          <w:rtl/>
        </w:rPr>
        <w:t>لأعضاء</w:t>
      </w:r>
      <w:r w:rsidR="00E36F09" w:rsidRPr="00E36F09">
        <w:rPr>
          <w:rtl/>
        </w:rPr>
        <w:t xml:space="preserve"> </w:t>
      </w:r>
      <w:r w:rsidR="00E36F09" w:rsidRPr="005B176F">
        <w:rPr>
          <w:rtl/>
        </w:rPr>
        <w:t>الناشئة</w:t>
      </w:r>
      <w:r w:rsidR="00E36F09">
        <w:rPr>
          <w:rFonts w:hint="cs"/>
          <w:rtl/>
        </w:rPr>
        <w:t>.</w:t>
      </w:r>
    </w:p>
    <w:p w14:paraId="54C458F5" w14:textId="1CA699B9" w:rsidR="00E36F09" w:rsidRDefault="006E04E2" w:rsidP="0023457E">
      <w:pPr>
        <w:pStyle w:val="enumlev1"/>
        <w:keepLines/>
        <w:textDirection w:val="tbRlV"/>
        <w:rPr>
          <w:rtl/>
        </w:rPr>
      </w:pPr>
      <w:r>
        <w:rPr>
          <w:rFonts w:hint="cs"/>
          <w:rtl/>
        </w:rPr>
        <w:lastRenderedPageBreak/>
        <w:t>-</w:t>
      </w:r>
      <w:r>
        <w:rPr>
          <w:rtl/>
        </w:rPr>
        <w:tab/>
      </w:r>
      <w:r w:rsidR="00E36F09">
        <w:rPr>
          <w:rFonts w:hint="cs"/>
          <w:rtl/>
        </w:rPr>
        <w:t xml:space="preserve">تغير المناخ </w:t>
      </w:r>
      <w:r w:rsidR="00E36F09" w:rsidRPr="006E04E2">
        <w:rPr>
          <w:rStyle w:val="normaltextrun"/>
          <w:rFonts w:hint="cs"/>
          <w:rtl/>
          <w:lang w:val="ar-SA" w:eastAsia="zh-TW" w:bidi="ar-SA"/>
        </w:rPr>
        <w:t>والاستدامة</w:t>
      </w:r>
      <w:r w:rsidR="00E36F09">
        <w:rPr>
          <w:rFonts w:hint="cs"/>
          <w:rtl/>
        </w:rPr>
        <w:t xml:space="preserve"> البيئية: حضور الاتحاد في الدورة التاسعة والعشرين لمؤتمر الأطراف في اتفاقية الأمم المتحدة الإطارية بشأن تغير المناخ </w:t>
      </w:r>
      <w:r w:rsidR="00E36F09">
        <w:t>(</w:t>
      </w:r>
      <w:r w:rsidR="00E36F09" w:rsidRPr="00E36F09">
        <w:t>COP-29</w:t>
      </w:r>
      <w:r w:rsidR="00E36F09">
        <w:t>)</w:t>
      </w:r>
      <w:r w:rsidR="00E36F09">
        <w:rPr>
          <w:rFonts w:hint="cs"/>
          <w:rtl/>
        </w:rPr>
        <w:t xml:space="preserve"> وتنظيم حدث يوم الرقمنة الأول من نوعه في مؤتمر المناخ، </w:t>
      </w:r>
      <w:r w:rsidR="00EB158F">
        <w:rPr>
          <w:rFonts w:hint="cs"/>
          <w:rtl/>
        </w:rPr>
        <w:t>الذي</w:t>
      </w:r>
      <w:r w:rsidR="00E36F09">
        <w:rPr>
          <w:rFonts w:hint="cs"/>
          <w:rtl/>
        </w:rPr>
        <w:t xml:space="preserve"> </w:t>
      </w:r>
      <w:r w:rsidR="00EB158F">
        <w:rPr>
          <w:rFonts w:hint="cs"/>
          <w:rtl/>
        </w:rPr>
        <w:t>تُوِّج</w:t>
      </w:r>
      <w:r w:rsidR="00E36F09">
        <w:rPr>
          <w:rFonts w:hint="cs"/>
          <w:rtl/>
        </w:rPr>
        <w:t xml:space="preserve"> بإعلان بشأن العمل الرقمي المراعي </w:t>
      </w:r>
      <w:r w:rsidR="00EB158F">
        <w:rPr>
          <w:rFonts w:hint="cs"/>
          <w:rtl/>
        </w:rPr>
        <w:t>للبيئة. ويقر الإعلان المتمحور حول ثمانية أهداف بأهمية التكنولوجيات الرقمية في التخفيف من آثار تغير المناخ والتكيف معه، ويعترف في الوقت نفسه بالآثار السلبية للتكنولوجيات الرقمية على المناخ.</w:t>
      </w:r>
    </w:p>
    <w:p w14:paraId="18408DD7" w14:textId="049EA7D4" w:rsidR="000479C9" w:rsidRDefault="00EB158F" w:rsidP="001731BA">
      <w:pPr>
        <w:textDirection w:val="tbRlV"/>
      </w:pPr>
      <w:r>
        <w:rPr>
          <w:rFonts w:hint="cs"/>
          <w:rtl/>
        </w:rPr>
        <w:t xml:space="preserve">ويمكن الاطلاع على مزيد من المعلومات </w:t>
      </w:r>
      <w:r w:rsidR="001731BA">
        <w:rPr>
          <w:rFonts w:hint="cs"/>
          <w:rtl/>
        </w:rPr>
        <w:t xml:space="preserve">عن المواضيع التي تقدَّم تقارير بشأنها إلى فريق المهام </w:t>
      </w:r>
      <w:r w:rsidR="001731BA" w:rsidRPr="006852A6">
        <w:rPr>
          <w:rtl/>
        </w:rPr>
        <w:t>المعني بالتنسيق بين القطاعات</w:t>
      </w:r>
      <w:r w:rsidR="001731BA">
        <w:rPr>
          <w:rFonts w:hint="cs"/>
          <w:rtl/>
        </w:rPr>
        <w:t xml:space="preserve"> في وثيقة المجلس</w:t>
      </w:r>
      <w:r w:rsidR="000479C9" w:rsidRPr="002A5F2E">
        <w:rPr>
          <w:rtl/>
        </w:rPr>
        <w:t xml:space="preserve"> </w:t>
      </w:r>
      <w:hyperlink r:id="rId15" w:history="1">
        <w:r w:rsidR="001731BA" w:rsidRPr="00164C86">
          <w:rPr>
            <w:rStyle w:val="Hyperlink"/>
            <w:rFonts w:cs="Calibri"/>
            <w:lang w:eastAsia="en-GB"/>
          </w:rPr>
          <w:t>C25/35</w:t>
        </w:r>
      </w:hyperlink>
      <w:r w:rsidR="001731BA">
        <w:rPr>
          <w:rFonts w:hint="cs"/>
          <w:rtl/>
        </w:rPr>
        <w:t xml:space="preserve"> </w:t>
      </w:r>
      <w:r w:rsidR="000479C9" w:rsidRPr="002A5F2E">
        <w:rPr>
          <w:rtl/>
        </w:rPr>
        <w:t>بشأن تنفيذ الخطة الاستراتيجية وأنشطة الاتحاد.</w:t>
      </w:r>
    </w:p>
    <w:p w14:paraId="55991853" w14:textId="6C319BAF" w:rsidR="0037274A" w:rsidRPr="006E04E2" w:rsidRDefault="0037274A" w:rsidP="001731BA">
      <w:pPr>
        <w:textDirection w:val="tbRlV"/>
        <w:rPr>
          <w:rStyle w:val="normaltextrun"/>
          <w:spacing w:val="4"/>
        </w:rPr>
      </w:pPr>
      <w:r w:rsidRPr="006E04E2">
        <w:rPr>
          <w:rStyle w:val="normaltextrun"/>
          <w:spacing w:val="4"/>
          <w:rtl/>
        </w:rPr>
        <w:t>‏</w:t>
      </w:r>
      <w:r w:rsidRPr="006E04E2">
        <w:rPr>
          <w:rStyle w:val="normaltextrun"/>
          <w:rFonts w:hint="cs"/>
          <w:spacing w:val="4"/>
          <w:rtl/>
        </w:rPr>
        <w:t>و</w:t>
      </w:r>
      <w:r w:rsidRPr="006E04E2">
        <w:rPr>
          <w:rStyle w:val="normaltextrun"/>
          <w:spacing w:val="4"/>
          <w:rtl/>
        </w:rPr>
        <w:t xml:space="preserve">فيما يتعلق بالمواضيع الأخرى التي تشكل قائمة المواضيع التي تتطلب التنسيق بين القطاعات، تواصل الأمانة </w:t>
      </w:r>
      <w:r w:rsidRPr="006E04E2">
        <w:rPr>
          <w:rStyle w:val="normaltextrun"/>
          <w:rFonts w:hint="cs"/>
          <w:spacing w:val="4"/>
          <w:rtl/>
        </w:rPr>
        <w:t>ال</w:t>
      </w:r>
      <w:r w:rsidRPr="006E04E2">
        <w:rPr>
          <w:rStyle w:val="normaltextrun"/>
          <w:spacing w:val="4"/>
          <w:rtl/>
        </w:rPr>
        <w:t xml:space="preserve">متابعة </w:t>
      </w:r>
      <w:r w:rsidRPr="006E04E2">
        <w:rPr>
          <w:rStyle w:val="normaltextrun"/>
          <w:rFonts w:hint="cs"/>
          <w:spacing w:val="4"/>
          <w:rtl/>
        </w:rPr>
        <w:t xml:space="preserve">مع </w:t>
      </w:r>
      <w:r w:rsidRPr="006E04E2">
        <w:rPr>
          <w:rStyle w:val="normaltextrun"/>
          <w:spacing w:val="4"/>
          <w:rtl/>
        </w:rPr>
        <w:t>كل</w:t>
      </w:r>
      <w:r w:rsidRPr="006E04E2">
        <w:rPr>
          <w:rStyle w:val="normaltextrun"/>
          <w:rFonts w:hint="cs"/>
          <w:spacing w:val="4"/>
          <w:rtl/>
        </w:rPr>
        <w:t>ٍّ من جهات ال</w:t>
      </w:r>
      <w:r w:rsidRPr="006E04E2">
        <w:rPr>
          <w:rStyle w:val="normaltextrun"/>
          <w:spacing w:val="4"/>
          <w:rtl/>
        </w:rPr>
        <w:t>اتصال للتأكد من وجود تنسيق و</w:t>
      </w:r>
      <w:r w:rsidRPr="006E04E2">
        <w:rPr>
          <w:rStyle w:val="normaltextrun"/>
          <w:rFonts w:hint="cs"/>
          <w:spacing w:val="4"/>
          <w:rtl/>
        </w:rPr>
        <w:t xml:space="preserve">من تقديم </w:t>
      </w:r>
      <w:r w:rsidRPr="006E04E2">
        <w:rPr>
          <w:rStyle w:val="normaltextrun"/>
          <w:spacing w:val="4"/>
          <w:rtl/>
        </w:rPr>
        <w:t>تقارير</w:t>
      </w:r>
      <w:r w:rsidR="00B11145" w:rsidRPr="006E04E2">
        <w:rPr>
          <w:rStyle w:val="normaltextrun"/>
          <w:rFonts w:hint="cs"/>
          <w:spacing w:val="4"/>
          <w:rtl/>
        </w:rPr>
        <w:t xml:space="preserve"> بشأنها </w:t>
      </w:r>
      <w:r w:rsidRPr="006E04E2">
        <w:rPr>
          <w:rStyle w:val="normaltextrun"/>
          <w:spacing w:val="4"/>
          <w:rtl/>
        </w:rPr>
        <w:t xml:space="preserve">إلى المجلس على أساس سنوي. </w:t>
      </w:r>
      <w:r w:rsidR="00B11145" w:rsidRPr="006E04E2">
        <w:rPr>
          <w:rStyle w:val="normaltextrun"/>
          <w:rFonts w:hint="cs"/>
          <w:spacing w:val="4"/>
          <w:rtl/>
        </w:rPr>
        <w:t>و</w:t>
      </w:r>
      <w:r w:rsidRPr="006E04E2">
        <w:rPr>
          <w:rStyle w:val="normaltextrun"/>
          <w:spacing w:val="4"/>
          <w:rtl/>
        </w:rPr>
        <w:t xml:space="preserve">للحصول على مزيد من المعلومات، يرجى زيارة </w:t>
      </w:r>
      <w:r w:rsidR="00B11145" w:rsidRPr="006E04E2">
        <w:rPr>
          <w:rStyle w:val="normaltextrun"/>
          <w:rFonts w:hint="cs"/>
          <w:spacing w:val="4"/>
          <w:rtl/>
        </w:rPr>
        <w:t>ال</w:t>
      </w:r>
      <w:r w:rsidRPr="006E04E2">
        <w:rPr>
          <w:rStyle w:val="normaltextrun"/>
          <w:spacing w:val="4"/>
          <w:rtl/>
        </w:rPr>
        <w:t xml:space="preserve">منصة </w:t>
      </w:r>
      <w:r w:rsidR="00B11145" w:rsidRPr="006E04E2">
        <w:rPr>
          <w:rStyle w:val="normaltextrun"/>
          <w:rFonts w:hint="cs"/>
          <w:spacing w:val="4"/>
          <w:rtl/>
        </w:rPr>
        <w:t>الإلكترونية</w:t>
      </w:r>
      <w:r w:rsidRPr="006E04E2">
        <w:rPr>
          <w:rStyle w:val="normaltextrun"/>
          <w:spacing w:val="4"/>
          <w:rtl/>
        </w:rPr>
        <w:t xml:space="preserve"> المصممة لتقديم تق</w:t>
      </w:r>
      <w:r w:rsidR="00B11145" w:rsidRPr="006E04E2">
        <w:rPr>
          <w:rStyle w:val="normaltextrun"/>
          <w:rFonts w:hint="cs"/>
          <w:spacing w:val="4"/>
          <w:rtl/>
        </w:rPr>
        <w:t>ا</w:t>
      </w:r>
      <w:r w:rsidRPr="006E04E2">
        <w:rPr>
          <w:rStyle w:val="normaltextrun"/>
          <w:spacing w:val="4"/>
          <w:rtl/>
        </w:rPr>
        <w:t xml:space="preserve">رير عن تنفيذ قرارات مؤتمر المندوبين المفوضين </w:t>
      </w:r>
      <w:hyperlink r:id="rId16" w:history="1">
        <w:r w:rsidRPr="006E04E2">
          <w:rPr>
            <w:rStyle w:val="Hyperlink"/>
            <w:spacing w:val="4"/>
            <w:rtl/>
          </w:rPr>
          <w:t>هنا</w:t>
        </w:r>
      </w:hyperlink>
      <w:r w:rsidRPr="006E04E2">
        <w:rPr>
          <w:rStyle w:val="normaltextrun"/>
          <w:spacing w:val="4"/>
          <w:rtl/>
        </w:rPr>
        <w:t>.</w:t>
      </w:r>
    </w:p>
    <w:p w14:paraId="7F8E3DFA" w14:textId="762A1F35" w:rsidR="000479C9" w:rsidRPr="00932DAD" w:rsidRDefault="000479C9" w:rsidP="000479C9">
      <w:pPr>
        <w:pStyle w:val="Heading1"/>
        <w:textDirection w:val="tbRlV"/>
      </w:pPr>
      <w:r>
        <w:rPr>
          <w:rFonts w:hint="cs"/>
          <w:rtl/>
        </w:rPr>
        <w:t>3</w:t>
      </w:r>
      <w:r>
        <w:rPr>
          <w:rtl/>
        </w:rPr>
        <w:tab/>
      </w:r>
      <w:r w:rsidRPr="00932DAD">
        <w:rPr>
          <w:rtl/>
        </w:rPr>
        <w:t xml:space="preserve">التنسيق بين الأعضاء </w:t>
      </w:r>
      <w:r w:rsidR="002438D9">
        <w:rPr>
          <w:rFonts w:hint="cs"/>
          <w:rtl/>
        </w:rPr>
        <w:t>-</w:t>
      </w:r>
      <w:r w:rsidRPr="00932DAD">
        <w:rPr>
          <w:rtl/>
        </w:rPr>
        <w:t xml:space="preserve"> فريق التنسيق بين القطاعات </w:t>
      </w:r>
      <w:r w:rsidRPr="00932DAD">
        <w:t>(ISCG)</w:t>
      </w:r>
    </w:p>
    <w:p w14:paraId="0EECADF6" w14:textId="5E8EFFA0" w:rsidR="000479C9" w:rsidRPr="002A5F2E" w:rsidRDefault="000479C9" w:rsidP="000479C9">
      <w:pPr>
        <w:textDirection w:val="tbRlV"/>
        <w:rPr>
          <w:rStyle w:val="normaltextrun"/>
          <w:lang w:val="ar-SA" w:eastAsia="zh-TW" w:bidi="en-GB"/>
        </w:rPr>
      </w:pPr>
      <w:r w:rsidRPr="002A5F2E">
        <w:rPr>
          <w:rtl/>
        </w:rPr>
        <w:t>لا</w:t>
      </w:r>
      <w:r w:rsidR="002438D9">
        <w:rPr>
          <w:rFonts w:hint="cs"/>
          <w:rtl/>
        </w:rPr>
        <w:t> </w:t>
      </w:r>
      <w:r w:rsidRPr="002A5F2E">
        <w:rPr>
          <w:rtl/>
        </w:rPr>
        <w:t xml:space="preserve">يزال </w:t>
      </w:r>
      <w:r>
        <w:rPr>
          <w:rFonts w:hint="cs"/>
          <w:rtl/>
        </w:rPr>
        <w:t>ال</w:t>
      </w:r>
      <w:r w:rsidRPr="002A5F2E">
        <w:rPr>
          <w:rtl/>
        </w:rPr>
        <w:t>تنسيق</w:t>
      </w:r>
      <w:r>
        <w:rPr>
          <w:rFonts w:hint="cs"/>
          <w:rtl/>
        </w:rPr>
        <w:t xml:space="preserve"> بين</w:t>
      </w:r>
      <w:r w:rsidRPr="002A5F2E">
        <w:rPr>
          <w:rtl/>
        </w:rPr>
        <w:t xml:space="preserve"> الأعضاء في إطار فريق التنسيق بين القطاعات برئاسة السيد فابيو</w:t>
      </w:r>
      <w:r w:rsidR="002438D9">
        <w:rPr>
          <w:rFonts w:hint="cs"/>
          <w:rtl/>
        </w:rPr>
        <w:t> </w:t>
      </w:r>
      <w:r w:rsidRPr="002A5F2E">
        <w:rPr>
          <w:rtl/>
        </w:rPr>
        <w:t>بيجي (إيطاليا)، بوصفه فريقاً يقوم على</w:t>
      </w:r>
      <w:r w:rsidR="004B05A2">
        <w:rPr>
          <w:rFonts w:hint="cs"/>
          <w:rtl/>
        </w:rPr>
        <w:t> </w:t>
      </w:r>
      <w:r w:rsidRPr="002A5F2E">
        <w:rPr>
          <w:rtl/>
        </w:rPr>
        <w:t>المساهمات.</w:t>
      </w:r>
    </w:p>
    <w:p w14:paraId="6BCE286E" w14:textId="3E01F6B5" w:rsidR="000479C9" w:rsidRDefault="00B11145" w:rsidP="006E04E2">
      <w:pPr>
        <w:textDirection w:val="tbRlV"/>
        <w:rPr>
          <w:rtl/>
        </w:rPr>
      </w:pPr>
      <w:r>
        <w:rPr>
          <w:rFonts w:hint="cs"/>
          <w:spacing w:val="-2"/>
          <w:rtl/>
        </w:rPr>
        <w:t>و</w:t>
      </w:r>
      <w:r w:rsidRPr="004B05A2">
        <w:rPr>
          <w:spacing w:val="-2"/>
          <w:rtl/>
        </w:rPr>
        <w:t>اجتمع</w:t>
      </w:r>
      <w:r w:rsidR="000479C9" w:rsidRPr="004B05A2">
        <w:rPr>
          <w:spacing w:val="-2"/>
          <w:rtl/>
        </w:rPr>
        <w:t xml:space="preserve"> فريق التنسيق بين القطاعات، بصفته آلية </w:t>
      </w:r>
      <w:r>
        <w:rPr>
          <w:rFonts w:hint="cs"/>
          <w:spacing w:val="-2"/>
          <w:rtl/>
        </w:rPr>
        <w:t>ال</w:t>
      </w:r>
      <w:r w:rsidR="000479C9" w:rsidRPr="004B05A2">
        <w:rPr>
          <w:spacing w:val="-2"/>
          <w:rtl/>
        </w:rPr>
        <w:t xml:space="preserve">تنسيق </w:t>
      </w:r>
      <w:r w:rsidR="000479C9" w:rsidRPr="004B05A2">
        <w:rPr>
          <w:rFonts w:hint="cs"/>
          <w:spacing w:val="-2"/>
          <w:rtl/>
        </w:rPr>
        <w:t xml:space="preserve">بين </w:t>
      </w:r>
      <w:r w:rsidR="000479C9" w:rsidRPr="004B05A2">
        <w:rPr>
          <w:spacing w:val="-2"/>
          <w:rtl/>
        </w:rPr>
        <w:t xml:space="preserve">الأعضاء، </w:t>
      </w:r>
      <w:r>
        <w:rPr>
          <w:rFonts w:hint="cs"/>
          <w:spacing w:val="-2"/>
          <w:rtl/>
        </w:rPr>
        <w:t>ثلاث مرات في عام 2024.</w:t>
      </w:r>
      <w:r w:rsidR="006E04E2">
        <w:rPr>
          <w:rFonts w:hint="cs"/>
          <w:spacing w:val="-2"/>
          <w:rtl/>
        </w:rPr>
        <w:t xml:space="preserve"> </w:t>
      </w:r>
      <w:r>
        <w:rPr>
          <w:rFonts w:hint="cs"/>
          <w:rtl/>
        </w:rPr>
        <w:t>وعينت الأفرقة الاستشارية للقطاعات منسقين لمواضيع إمكانية النفاذ، وتغير المناخ، والمشاركة عن بُعد، والتحول الرقمي المستدام</w:t>
      </w:r>
      <w:r w:rsidR="000479C9" w:rsidRPr="002A5F2E">
        <w:rPr>
          <w:rtl/>
        </w:rPr>
        <w:t>.</w:t>
      </w:r>
    </w:p>
    <w:p w14:paraId="4CE87A1B" w14:textId="6ADFF95B" w:rsidR="00B11145" w:rsidRDefault="00B11145" w:rsidP="000479C9">
      <w:pPr>
        <w:textDirection w:val="tbRlV"/>
        <w:rPr>
          <w:rtl/>
        </w:rPr>
      </w:pPr>
      <w:r>
        <w:rPr>
          <w:rFonts w:hint="cs"/>
          <w:rtl/>
        </w:rPr>
        <w:t>ويواصل الفريق معالجة المواضيع التالية:</w:t>
      </w:r>
    </w:p>
    <w:p w14:paraId="789E4592" w14:textId="687E7206" w:rsidR="00B11145" w:rsidRPr="00B21560" w:rsidRDefault="006E04E2" w:rsidP="006E04E2">
      <w:pPr>
        <w:pStyle w:val="enumlev1"/>
        <w:textDirection w:val="tbRlV"/>
        <w:rPr>
          <w:lang w:val="ar-SA" w:eastAsia="zh-TW" w:bidi="en-GB"/>
        </w:rPr>
      </w:pPr>
      <w:r>
        <w:rPr>
          <w:rFonts w:hint="cs"/>
          <w:rtl/>
        </w:rPr>
        <w:t>-</w:t>
      </w:r>
      <w:r>
        <w:rPr>
          <w:rtl/>
        </w:rPr>
        <w:tab/>
      </w:r>
      <w:r w:rsidR="00B11145">
        <w:rPr>
          <w:rFonts w:hint="cs"/>
          <w:rtl/>
        </w:rPr>
        <w:t xml:space="preserve">إمكانية النفاذ: </w:t>
      </w:r>
      <w:r w:rsidR="00B11145" w:rsidRPr="00B11145">
        <w:rPr>
          <w:rtl/>
        </w:rPr>
        <w:t xml:space="preserve">ظل فريق التنسيق بين القطاعات </w:t>
      </w:r>
      <w:r w:rsidR="00B21560">
        <w:rPr>
          <w:rFonts w:hint="cs"/>
          <w:rtl/>
        </w:rPr>
        <w:t>يراقب</w:t>
      </w:r>
      <w:r w:rsidR="00B11145" w:rsidRPr="00B11145">
        <w:rPr>
          <w:rtl/>
        </w:rPr>
        <w:t xml:space="preserve"> بنشاط المناقشات </w:t>
      </w:r>
      <w:r w:rsidR="00B21560">
        <w:rPr>
          <w:rFonts w:hint="cs"/>
          <w:rtl/>
        </w:rPr>
        <w:t>المتعلقة</w:t>
      </w:r>
      <w:r w:rsidR="00B11145" w:rsidRPr="00B11145">
        <w:rPr>
          <w:rtl/>
        </w:rPr>
        <w:t xml:space="preserve"> </w:t>
      </w:r>
      <w:r w:rsidR="00B21560">
        <w:rPr>
          <w:rFonts w:hint="cs"/>
          <w:rtl/>
        </w:rPr>
        <w:t>ب</w:t>
      </w:r>
      <w:r w:rsidR="00B11145" w:rsidRPr="00B11145">
        <w:rPr>
          <w:rtl/>
        </w:rPr>
        <w:t>ت</w:t>
      </w:r>
      <w:r w:rsidR="00B21560">
        <w:rPr>
          <w:rFonts w:hint="cs"/>
          <w:rtl/>
        </w:rPr>
        <w:t>حسين</w:t>
      </w:r>
      <w:r w:rsidR="00B11145" w:rsidRPr="00B11145">
        <w:rPr>
          <w:rtl/>
        </w:rPr>
        <w:t xml:space="preserve"> اجتماعات الاتحاد، مع التركيز </w:t>
      </w:r>
      <w:r w:rsidR="00B21560">
        <w:rPr>
          <w:rFonts w:hint="cs"/>
          <w:rtl/>
        </w:rPr>
        <w:t xml:space="preserve">بوجه خاص </w:t>
      </w:r>
      <w:r w:rsidR="00B11145" w:rsidRPr="00B11145">
        <w:rPr>
          <w:rtl/>
        </w:rPr>
        <w:t xml:space="preserve">على </w:t>
      </w:r>
      <w:r w:rsidR="00B21560">
        <w:rPr>
          <w:rFonts w:hint="cs"/>
          <w:rtl/>
        </w:rPr>
        <w:t>خدمة</w:t>
      </w:r>
      <w:r w:rsidR="00B11145" w:rsidRPr="00B11145">
        <w:rPr>
          <w:rtl/>
        </w:rPr>
        <w:t xml:space="preserve"> المشاركة عن ب</w:t>
      </w:r>
      <w:r w:rsidR="00B21560">
        <w:rPr>
          <w:rFonts w:hint="cs"/>
          <w:rtl/>
        </w:rPr>
        <w:t>ُ</w:t>
      </w:r>
      <w:r w:rsidR="00B11145" w:rsidRPr="00B11145">
        <w:rPr>
          <w:rtl/>
        </w:rPr>
        <w:t>عد وخدم</w:t>
      </w:r>
      <w:r w:rsidR="00B21560">
        <w:rPr>
          <w:rFonts w:hint="cs"/>
          <w:rtl/>
        </w:rPr>
        <w:t xml:space="preserve">ة العرض </w:t>
      </w:r>
      <w:r w:rsidR="00B11145" w:rsidRPr="00B11145">
        <w:rPr>
          <w:rtl/>
        </w:rPr>
        <w:t xml:space="preserve">النصي. واقترح </w:t>
      </w:r>
      <w:r w:rsidR="00B21560">
        <w:rPr>
          <w:rFonts w:hint="cs"/>
          <w:rtl/>
        </w:rPr>
        <w:t xml:space="preserve">هذا </w:t>
      </w:r>
      <w:r w:rsidR="00B11145" w:rsidRPr="00B11145">
        <w:rPr>
          <w:rtl/>
        </w:rPr>
        <w:t>الفريق على فريق العمل التابع للمجلس والمعني بالموارد المالية والبشرية (</w:t>
      </w:r>
      <w:r w:rsidR="00B11145" w:rsidRPr="00B11145">
        <w:t>CWG-FHR</w:t>
      </w:r>
      <w:r w:rsidR="00B11145" w:rsidRPr="00B11145">
        <w:rPr>
          <w:rtl/>
        </w:rPr>
        <w:t xml:space="preserve">) </w:t>
      </w:r>
      <w:r w:rsidR="00B21560">
        <w:rPr>
          <w:rFonts w:hint="cs"/>
          <w:rtl/>
        </w:rPr>
        <w:t>أن يُدرج</w:t>
      </w:r>
      <w:r w:rsidR="00B11145" w:rsidRPr="00B11145">
        <w:rPr>
          <w:rtl/>
        </w:rPr>
        <w:t xml:space="preserve"> في جميع الرسائل </w:t>
      </w:r>
      <w:r w:rsidR="00B21560">
        <w:rPr>
          <w:rFonts w:hint="cs"/>
          <w:rtl/>
        </w:rPr>
        <w:t>المعممة</w:t>
      </w:r>
      <w:r w:rsidR="00B11145" w:rsidRPr="00B11145">
        <w:rPr>
          <w:rtl/>
        </w:rPr>
        <w:t xml:space="preserve"> التي تدعو المشاركين إلى حضور اجتماعات الاتحاد</w:t>
      </w:r>
      <w:r w:rsidR="00B21560">
        <w:rPr>
          <w:rFonts w:hint="cs"/>
          <w:rtl/>
        </w:rPr>
        <w:t xml:space="preserve"> فقرة توضح</w:t>
      </w:r>
      <w:r w:rsidR="00B11145" w:rsidRPr="00B11145">
        <w:rPr>
          <w:rtl/>
        </w:rPr>
        <w:t xml:space="preserve"> خيار طلب خدم</w:t>
      </w:r>
      <w:r w:rsidR="00B21560">
        <w:rPr>
          <w:rFonts w:hint="cs"/>
          <w:rtl/>
        </w:rPr>
        <w:t>ة</w:t>
      </w:r>
      <w:r w:rsidR="00B11145" w:rsidRPr="00B11145">
        <w:rPr>
          <w:rtl/>
        </w:rPr>
        <w:t xml:space="preserve"> </w:t>
      </w:r>
      <w:r w:rsidR="00B21560">
        <w:rPr>
          <w:rFonts w:hint="cs"/>
          <w:rtl/>
        </w:rPr>
        <w:t xml:space="preserve">العرض </w:t>
      </w:r>
      <w:r w:rsidR="00B11145" w:rsidRPr="00B11145">
        <w:rPr>
          <w:rtl/>
        </w:rPr>
        <w:t>النصي (انظر الوثيقة</w:t>
      </w:r>
      <w:r w:rsidR="00B21560">
        <w:rPr>
          <w:rFonts w:hint="cs"/>
          <w:rtl/>
        </w:rPr>
        <w:t xml:space="preserve"> </w:t>
      </w:r>
      <w:hyperlink r:id="rId17">
        <w:r w:rsidR="00B21560" w:rsidRPr="000C014B">
          <w:rPr>
            <w:rStyle w:val="Hyperlink"/>
            <w:rFonts w:cs="Calibri"/>
            <w:spacing w:val="-2"/>
            <w:lang w:eastAsia="en-GB"/>
          </w:rPr>
          <w:t>CWG-FHR-20/</w:t>
        </w:r>
        <w:r w:rsidR="00B21560">
          <w:rPr>
            <w:rStyle w:val="Hyperlink"/>
            <w:rFonts w:cs="Calibri"/>
            <w:spacing w:val="-2"/>
            <w:lang w:eastAsia="en-GB"/>
          </w:rPr>
          <w:t>24</w:t>
        </w:r>
      </w:hyperlink>
      <w:r w:rsidR="00B11145" w:rsidRPr="00B11145">
        <w:rPr>
          <w:rtl/>
        </w:rPr>
        <w:t xml:space="preserve">). ومع تقاعد منسقة </w:t>
      </w:r>
      <w:r w:rsidR="00B21560">
        <w:rPr>
          <w:rFonts w:hint="cs"/>
          <w:rtl/>
        </w:rPr>
        <w:t xml:space="preserve">موضوع </w:t>
      </w:r>
      <w:r w:rsidR="00B11145" w:rsidRPr="00B11145">
        <w:rPr>
          <w:rtl/>
        </w:rPr>
        <w:t xml:space="preserve">إمكانية النفاذ مؤخراً، السيدة أندريا ساكس، ينبغي أن تعين </w:t>
      </w:r>
      <w:r w:rsidR="00B21560">
        <w:rPr>
          <w:rFonts w:hint="cs"/>
          <w:rtl/>
        </w:rPr>
        <w:t>الأفرقة</w:t>
      </w:r>
      <w:r w:rsidR="00B11145" w:rsidRPr="00B11145">
        <w:rPr>
          <w:rtl/>
        </w:rPr>
        <w:t xml:space="preserve"> الاستشارية للقطاعات منسقاً جديداً.</w:t>
      </w:r>
    </w:p>
    <w:p w14:paraId="1C522B3B" w14:textId="1D0C1FF3" w:rsidR="00B21560" w:rsidRPr="00947188" w:rsidRDefault="006E04E2" w:rsidP="006E04E2">
      <w:pPr>
        <w:pStyle w:val="enumlev1"/>
        <w:textDirection w:val="tbRlV"/>
        <w:rPr>
          <w:lang w:val="ar-SA" w:eastAsia="zh-TW" w:bidi="en-GB"/>
        </w:rPr>
      </w:pPr>
      <w:r>
        <w:rPr>
          <w:rFonts w:hint="cs"/>
          <w:rtl/>
        </w:rPr>
        <w:t>-</w:t>
      </w:r>
      <w:r>
        <w:rPr>
          <w:rtl/>
        </w:rPr>
        <w:tab/>
      </w:r>
      <w:r w:rsidR="00B21560">
        <w:rPr>
          <w:rFonts w:hint="cs"/>
          <w:rtl/>
        </w:rPr>
        <w:t xml:space="preserve">تغير المناخ: </w:t>
      </w:r>
      <w:r w:rsidR="00B21560" w:rsidRPr="00B21560">
        <w:rPr>
          <w:rtl/>
        </w:rPr>
        <w:t>هناك عمل مستمر يتعلق بتغير المناخ والذكاء الاصطناعي، بما في ذلك وضع توصيات للانتقال إلى صافي</w:t>
      </w:r>
      <w:r w:rsidR="00947188">
        <w:rPr>
          <w:rFonts w:hint="cs"/>
          <w:rtl/>
        </w:rPr>
        <w:t xml:space="preserve"> الانبعاثات</w:t>
      </w:r>
      <w:r w:rsidR="00B21560" w:rsidRPr="00B21560">
        <w:rPr>
          <w:rtl/>
        </w:rPr>
        <w:t xml:space="preserve"> الصفر</w:t>
      </w:r>
      <w:r w:rsidR="00947188">
        <w:rPr>
          <w:rFonts w:hint="cs"/>
          <w:rtl/>
        </w:rPr>
        <w:t>ي</w:t>
      </w:r>
      <w:r w:rsidR="00B21560" w:rsidRPr="00B21560">
        <w:rPr>
          <w:rtl/>
        </w:rPr>
        <w:t xml:space="preserve"> وإنشاء قاعدة بيانات لدى الاتحاد بشأن انبعاثات غازات </w:t>
      </w:r>
      <w:r w:rsidR="00947188">
        <w:rPr>
          <w:rFonts w:hint="cs"/>
          <w:rtl/>
        </w:rPr>
        <w:t>الاحتباس الحراري</w:t>
      </w:r>
      <w:r w:rsidR="00B21560" w:rsidRPr="00B21560">
        <w:rPr>
          <w:rtl/>
        </w:rPr>
        <w:t xml:space="preserve"> العالمية</w:t>
      </w:r>
      <w:r w:rsidR="00947188">
        <w:rPr>
          <w:rFonts w:hint="cs"/>
          <w:rtl/>
        </w:rPr>
        <w:t xml:space="preserve">. </w:t>
      </w:r>
      <w:r w:rsidR="00947188" w:rsidRPr="00947188">
        <w:rPr>
          <w:rtl/>
        </w:rPr>
        <w:t xml:space="preserve">وبالإضافة إلى ذلك، يجري </w:t>
      </w:r>
      <w:r w:rsidR="00947188">
        <w:rPr>
          <w:rFonts w:hint="cs"/>
          <w:rtl/>
        </w:rPr>
        <w:t xml:space="preserve">العمل على </w:t>
      </w:r>
      <w:r w:rsidR="00947188" w:rsidRPr="00947188">
        <w:rPr>
          <w:rtl/>
        </w:rPr>
        <w:t xml:space="preserve">وضع مبادئ توجيهية لتقييم أثر </w:t>
      </w:r>
      <w:r w:rsidR="00947188">
        <w:rPr>
          <w:rFonts w:hint="cs"/>
          <w:rtl/>
        </w:rPr>
        <w:t>ال</w:t>
      </w:r>
      <w:r w:rsidR="00947188" w:rsidRPr="00947188">
        <w:rPr>
          <w:rtl/>
        </w:rPr>
        <w:t>ذكاء الاصطناعي</w:t>
      </w:r>
      <w:r w:rsidR="00947188">
        <w:rPr>
          <w:rFonts w:hint="cs"/>
          <w:rtl/>
        </w:rPr>
        <w:t xml:space="preserve"> على البيئة</w:t>
      </w:r>
      <w:r w:rsidR="00947188" w:rsidRPr="00947188">
        <w:rPr>
          <w:rtl/>
        </w:rPr>
        <w:t xml:space="preserve">، مع </w:t>
      </w:r>
      <w:r w:rsidR="00947188">
        <w:rPr>
          <w:rFonts w:hint="cs"/>
          <w:rtl/>
        </w:rPr>
        <w:t>أخذ</w:t>
      </w:r>
      <w:r w:rsidR="00947188" w:rsidRPr="00947188">
        <w:rPr>
          <w:rtl/>
        </w:rPr>
        <w:t xml:space="preserve"> </w:t>
      </w:r>
      <w:r w:rsidR="00947188">
        <w:rPr>
          <w:rFonts w:hint="cs"/>
          <w:rtl/>
        </w:rPr>
        <w:t>الآثار</w:t>
      </w:r>
      <w:r w:rsidR="00947188" w:rsidRPr="00947188">
        <w:rPr>
          <w:rtl/>
        </w:rPr>
        <w:t xml:space="preserve"> المباشرة وغير المباشرة على </w:t>
      </w:r>
      <w:r w:rsidR="00947188">
        <w:rPr>
          <w:rFonts w:hint="cs"/>
          <w:rtl/>
        </w:rPr>
        <w:t>ال</w:t>
      </w:r>
      <w:r w:rsidR="00947188" w:rsidRPr="00947188">
        <w:rPr>
          <w:rtl/>
        </w:rPr>
        <w:t>سواء</w:t>
      </w:r>
      <w:r w:rsidR="00947188">
        <w:rPr>
          <w:rFonts w:hint="cs"/>
          <w:rtl/>
        </w:rPr>
        <w:t xml:space="preserve"> في الاعتبار. ويجدر بالذكر </w:t>
      </w:r>
      <w:r w:rsidR="00947188" w:rsidRPr="00947188">
        <w:rPr>
          <w:rtl/>
        </w:rPr>
        <w:t xml:space="preserve">التعاون بين قطاعي تقييس الاتصالات وتنمية الاتصالات بشأن هذه المواضيع </w:t>
      </w:r>
      <w:r w:rsidR="00947188">
        <w:rPr>
          <w:rFonts w:hint="cs"/>
          <w:rtl/>
        </w:rPr>
        <w:t>والتشديد</w:t>
      </w:r>
      <w:r w:rsidR="00947188" w:rsidRPr="00947188">
        <w:rPr>
          <w:rtl/>
        </w:rPr>
        <w:t xml:space="preserve"> على الفوائد المحتملة لحلول الذكاء الاصطناعي في مجالات </w:t>
      </w:r>
      <w:r w:rsidR="00947188">
        <w:rPr>
          <w:rFonts w:hint="cs"/>
          <w:rtl/>
        </w:rPr>
        <w:t>من قبيل</w:t>
      </w:r>
      <w:r w:rsidR="00947188" w:rsidRPr="00947188">
        <w:rPr>
          <w:rtl/>
        </w:rPr>
        <w:t xml:space="preserve"> الزراعة واستخدام الطاقة الأمثل، </w:t>
      </w:r>
      <w:r w:rsidR="00947188">
        <w:rPr>
          <w:rFonts w:hint="cs"/>
          <w:rtl/>
        </w:rPr>
        <w:t>خاصة</w:t>
      </w:r>
      <w:r w:rsidR="00947188" w:rsidRPr="00947188">
        <w:rPr>
          <w:rtl/>
        </w:rPr>
        <w:t xml:space="preserve"> بالنسبة للبلدان النامية.</w:t>
      </w:r>
    </w:p>
    <w:p w14:paraId="2C5065A4" w14:textId="741EE61E" w:rsidR="00947188" w:rsidRDefault="006E04E2" w:rsidP="006E04E2">
      <w:pPr>
        <w:pStyle w:val="enumlev1"/>
        <w:textDirection w:val="tbRlV"/>
        <w:rPr>
          <w:rStyle w:val="normaltextrun"/>
          <w:lang w:val="ar-SA" w:eastAsia="zh-TW" w:bidi="en-GB"/>
        </w:rPr>
      </w:pPr>
      <w:r>
        <w:rPr>
          <w:rStyle w:val="normaltextrun"/>
          <w:rFonts w:hint="cs"/>
          <w:rtl/>
          <w:lang w:val="ar-SA" w:eastAsia="zh-TW"/>
        </w:rPr>
        <w:t>-</w:t>
      </w:r>
      <w:r>
        <w:rPr>
          <w:rStyle w:val="normaltextrun"/>
          <w:rtl/>
          <w:lang w:val="ar-SA" w:eastAsia="zh-TW"/>
        </w:rPr>
        <w:tab/>
      </w:r>
      <w:r w:rsidR="00947188">
        <w:rPr>
          <w:rStyle w:val="normaltextrun"/>
          <w:rFonts w:hint="cs"/>
          <w:rtl/>
          <w:lang w:val="ar-SA" w:eastAsia="zh-TW"/>
        </w:rPr>
        <w:t xml:space="preserve">الاجتماعات الافتراضية/المشاركة عن بُعد: </w:t>
      </w:r>
      <w:r w:rsidR="00947188" w:rsidRPr="00947188">
        <w:rPr>
          <w:rStyle w:val="normaltextrun"/>
          <w:rtl/>
          <w:lang w:val="ar-SA" w:eastAsia="zh-TW"/>
        </w:rPr>
        <w:t>يواصل منسق هذا الموضوع مراقبة العمل الذي يقوم به فريق العمل التابع للمجلس والمعني بالموارد المالية والبشرية و</w:t>
      </w:r>
      <w:r w:rsidR="00947188">
        <w:rPr>
          <w:rStyle w:val="normaltextrun"/>
          <w:rFonts w:hint="cs"/>
          <w:rtl/>
          <w:lang w:val="ar-SA" w:eastAsia="zh-TW"/>
        </w:rPr>
        <w:t xml:space="preserve">العمل المضطلع به </w:t>
      </w:r>
      <w:r w:rsidR="00947188" w:rsidRPr="00947188">
        <w:rPr>
          <w:rStyle w:val="normaltextrun"/>
          <w:rtl/>
          <w:lang w:val="ar-SA" w:eastAsia="zh-TW"/>
        </w:rPr>
        <w:t>على مستوى المجلس</w:t>
      </w:r>
      <w:r w:rsidR="00947188">
        <w:rPr>
          <w:rStyle w:val="normaltextrun"/>
          <w:rFonts w:hint="cs"/>
          <w:rtl/>
          <w:lang w:val="ar-SA" w:eastAsia="zh-TW"/>
        </w:rPr>
        <w:t xml:space="preserve">. </w:t>
      </w:r>
      <w:r w:rsidR="00812BE3">
        <w:rPr>
          <w:rStyle w:val="normaltextrun"/>
          <w:rFonts w:hint="cs"/>
          <w:rtl/>
          <w:lang w:val="ar-SA" w:eastAsia="zh-TW"/>
        </w:rPr>
        <w:t>و</w:t>
      </w:r>
      <w:r w:rsidR="008B20D5">
        <w:rPr>
          <w:rStyle w:val="normaltextrun"/>
          <w:rFonts w:hint="cs"/>
          <w:rtl/>
          <w:lang w:val="ar-SA" w:eastAsia="zh-TW"/>
        </w:rPr>
        <w:t>عُرضت</w:t>
      </w:r>
      <w:r w:rsidR="007921FE">
        <w:rPr>
          <w:rStyle w:val="normaltextrun"/>
          <w:rFonts w:hint="cs"/>
          <w:rtl/>
          <w:lang w:val="ar-SA" w:eastAsia="zh-TW"/>
        </w:rPr>
        <w:t xml:space="preserve"> </w:t>
      </w:r>
      <w:hyperlink r:id="rId18" w:history="1">
        <w:r w:rsidR="007921FE" w:rsidRPr="006E04E2">
          <w:rPr>
            <w:rStyle w:val="Hyperlink"/>
            <w:rFonts w:hint="cs"/>
            <w:rtl/>
            <w:lang w:val="ar-SA" w:eastAsia="zh-TW"/>
          </w:rPr>
          <w:t xml:space="preserve">مشاريع المبادئ التوجيهية التي </w:t>
        </w:r>
        <w:r w:rsidR="007921FE" w:rsidRPr="006E04E2">
          <w:rPr>
            <w:rStyle w:val="Hyperlink"/>
            <w:rFonts w:hint="cs"/>
            <w:rtl/>
          </w:rPr>
          <w:t>تتعلق</w:t>
        </w:r>
        <w:r w:rsidR="007921FE" w:rsidRPr="006E04E2">
          <w:rPr>
            <w:rStyle w:val="Hyperlink"/>
            <w:rFonts w:hint="cs"/>
            <w:rtl/>
            <w:lang w:val="ar-SA" w:eastAsia="zh-TW"/>
          </w:rPr>
          <w:t xml:space="preserve"> بإدارة الاجتماعات الافتراضية بالكامل والاجتماعات الحضورية التي تتاح فيها المشاركة عن بُعد في الاتحاد</w:t>
        </w:r>
        <w:r w:rsidR="00812BE3" w:rsidRPr="006E04E2">
          <w:rPr>
            <w:rStyle w:val="Hyperlink"/>
            <w:rtl/>
            <w:lang w:val="ar-SA" w:eastAsia="zh-TW"/>
          </w:rPr>
          <w:t xml:space="preserve"> تماشياً مع تنفيذ القرار 167 (المراجَع في بوخارست، 2022)</w:t>
        </w:r>
      </w:hyperlink>
      <w:r w:rsidR="007921FE" w:rsidRPr="006E04E2">
        <w:rPr>
          <w:rStyle w:val="normaltextrun"/>
          <w:rFonts w:hint="cs"/>
          <w:rtl/>
          <w:lang w:val="ar-SA" w:eastAsia="zh-TW"/>
        </w:rPr>
        <w:t>،</w:t>
      </w:r>
      <w:r w:rsidR="007921FE">
        <w:rPr>
          <w:rStyle w:val="normaltextrun"/>
          <w:rFonts w:hint="cs"/>
          <w:rtl/>
          <w:lang w:val="ar-SA" w:eastAsia="zh-TW"/>
        </w:rPr>
        <w:t xml:space="preserve"> التي ستقدَّم إلى المجلس في دورته لعام 2025، </w:t>
      </w:r>
      <w:r w:rsidR="008B20D5">
        <w:rPr>
          <w:rStyle w:val="normaltextrun"/>
          <w:rFonts w:hint="cs"/>
          <w:rtl/>
          <w:lang w:val="ar-SA" w:eastAsia="zh-TW"/>
        </w:rPr>
        <w:t>على</w:t>
      </w:r>
      <w:r w:rsidR="007921FE">
        <w:rPr>
          <w:rStyle w:val="normaltextrun"/>
          <w:rFonts w:hint="cs"/>
          <w:rtl/>
          <w:lang w:val="ar-SA" w:eastAsia="zh-TW"/>
        </w:rPr>
        <w:t xml:space="preserve"> الأفرقة الاستشارية للقطاعات التماساً لمدخلاتها.</w:t>
      </w:r>
    </w:p>
    <w:p w14:paraId="5A1D02B0" w14:textId="369F1CF0" w:rsidR="00812BE3" w:rsidRPr="00812BE3" w:rsidRDefault="006E04E2" w:rsidP="006E04E2">
      <w:pPr>
        <w:pStyle w:val="enumlev1"/>
        <w:textDirection w:val="tbRlV"/>
        <w:rPr>
          <w:lang w:val="ar-SA" w:eastAsia="zh-TW" w:bidi="en-GB"/>
        </w:rPr>
      </w:pPr>
      <w:r>
        <w:rPr>
          <w:rStyle w:val="normaltextrun"/>
          <w:rFonts w:hint="cs"/>
          <w:rtl/>
          <w:lang w:val="ar-SA" w:eastAsia="zh-TW"/>
        </w:rPr>
        <w:t>-</w:t>
      </w:r>
      <w:r>
        <w:rPr>
          <w:rStyle w:val="normaltextrun"/>
          <w:rtl/>
          <w:lang w:val="ar-SA" w:eastAsia="zh-TW"/>
        </w:rPr>
        <w:tab/>
      </w:r>
      <w:r w:rsidR="00812BE3">
        <w:rPr>
          <w:rStyle w:val="normaltextrun"/>
          <w:rFonts w:hint="cs"/>
          <w:rtl/>
          <w:lang w:val="ar-SA" w:eastAsia="zh-TW"/>
        </w:rPr>
        <w:t>الموقع الإلكتروني للاتحاد: ظل</w:t>
      </w:r>
      <w:r w:rsidR="00812BE3" w:rsidRPr="00812BE3">
        <w:rPr>
          <w:rStyle w:val="normaltextrun"/>
          <w:rtl/>
          <w:lang w:val="ar-SA" w:eastAsia="zh-TW"/>
        </w:rPr>
        <w:t xml:space="preserve"> </w:t>
      </w:r>
      <w:r w:rsidR="00812BE3" w:rsidRPr="00B11145">
        <w:rPr>
          <w:rtl/>
        </w:rPr>
        <w:t xml:space="preserve">فريق التنسيق بين القطاعات </w:t>
      </w:r>
      <w:r w:rsidR="00812BE3" w:rsidRPr="00812BE3">
        <w:rPr>
          <w:rStyle w:val="normaltextrun"/>
          <w:rtl/>
          <w:lang w:val="ar-SA" w:eastAsia="zh-TW"/>
        </w:rPr>
        <w:t xml:space="preserve">يراقب هذا الموضوع بنشاط، ويطلب تحديداً من أمانة الاتحاد تقديم </w:t>
      </w:r>
      <w:r w:rsidR="00812BE3" w:rsidRPr="006E04E2">
        <w:rPr>
          <w:rtl/>
        </w:rPr>
        <w:t>معلومات</w:t>
      </w:r>
      <w:r w:rsidR="00812BE3" w:rsidRPr="00812BE3">
        <w:rPr>
          <w:rStyle w:val="normaltextrun"/>
          <w:rtl/>
          <w:lang w:val="ar-SA" w:eastAsia="zh-TW"/>
        </w:rPr>
        <w:t xml:space="preserve"> عن تنسيق المواقع الإلكترونية ونظام البحث بجميع اللغات الرسمية للاتحاد على قدم المساواة</w:t>
      </w:r>
      <w:r w:rsidR="00812BE3">
        <w:rPr>
          <w:rStyle w:val="normaltextrun"/>
          <w:rFonts w:hint="cs"/>
          <w:rtl/>
          <w:lang w:val="ar-SA" w:eastAsia="zh-TW"/>
        </w:rPr>
        <w:t xml:space="preserve">. وطُلب أيضاً تقديم تقارير إلى جميع اجتماعات فريق العمل التابع للمجلس والمعني باللغات وفريق </w:t>
      </w:r>
      <w:r w:rsidR="00812BE3" w:rsidRPr="00B11145">
        <w:rPr>
          <w:rtl/>
        </w:rPr>
        <w:t>التنسيق بين القطاعات</w:t>
      </w:r>
      <w:r w:rsidR="00812BE3">
        <w:rPr>
          <w:rFonts w:hint="cs"/>
          <w:rtl/>
        </w:rPr>
        <w:t>.</w:t>
      </w:r>
    </w:p>
    <w:p w14:paraId="0F04F7CA" w14:textId="78CD8E32" w:rsidR="00812BE3" w:rsidRPr="00486F11" w:rsidRDefault="006E04E2" w:rsidP="006E04E2">
      <w:pPr>
        <w:pStyle w:val="enumlev1"/>
        <w:textDirection w:val="tbRlV"/>
        <w:rPr>
          <w:lang w:val="ar-SA" w:eastAsia="zh-TW" w:bidi="en-GB"/>
        </w:rPr>
      </w:pPr>
      <w:r>
        <w:rPr>
          <w:rFonts w:hint="cs"/>
          <w:rtl/>
        </w:rPr>
        <w:t>-</w:t>
      </w:r>
      <w:r>
        <w:rPr>
          <w:rtl/>
        </w:rPr>
        <w:tab/>
      </w:r>
      <w:r w:rsidR="00812BE3">
        <w:rPr>
          <w:rFonts w:hint="cs"/>
          <w:rtl/>
        </w:rPr>
        <w:t xml:space="preserve">التحول الرقمي المستدام: </w:t>
      </w:r>
      <w:r w:rsidR="00BB15A4" w:rsidRPr="00BB15A4">
        <w:rPr>
          <w:rtl/>
        </w:rPr>
        <w:t>أقر منسق هذ</w:t>
      </w:r>
      <w:r w:rsidR="00BB15A4">
        <w:rPr>
          <w:rFonts w:hint="cs"/>
          <w:rtl/>
        </w:rPr>
        <w:t>ا</w:t>
      </w:r>
      <w:r w:rsidR="00BB15A4" w:rsidRPr="00BB15A4">
        <w:rPr>
          <w:rtl/>
        </w:rPr>
        <w:t xml:space="preserve"> </w:t>
      </w:r>
      <w:r w:rsidR="00BB15A4">
        <w:rPr>
          <w:rFonts w:hint="cs"/>
          <w:rtl/>
        </w:rPr>
        <w:t>الموضوع</w:t>
      </w:r>
      <w:r w:rsidR="00BB15A4" w:rsidRPr="00BB15A4">
        <w:rPr>
          <w:rtl/>
        </w:rPr>
        <w:t xml:space="preserve"> "ملخص الاتحاد بشأن التحول الرقمي والمدن" كمورد قي</w:t>
      </w:r>
      <w:r w:rsidR="00BB15A4">
        <w:rPr>
          <w:rFonts w:hint="cs"/>
          <w:rtl/>
        </w:rPr>
        <w:t>ّ</w:t>
      </w:r>
      <w:r w:rsidR="00BB15A4" w:rsidRPr="00BB15A4">
        <w:rPr>
          <w:rtl/>
        </w:rPr>
        <w:t>م وشامل بشأن التحول الرقمي، وشج</w:t>
      </w:r>
      <w:r w:rsidR="00BB15A4">
        <w:rPr>
          <w:rFonts w:hint="cs"/>
          <w:rtl/>
        </w:rPr>
        <w:t>َّ</w:t>
      </w:r>
      <w:r w:rsidR="00BB15A4" w:rsidRPr="00BB15A4">
        <w:rPr>
          <w:rtl/>
        </w:rPr>
        <w:t>ع قطاع تنمية الاتصالات وقطاع الاتصالات الراديوية والأمانة العامة على النظر في عرض أنشطتهم في المنشور</w:t>
      </w:r>
      <w:r w:rsidR="00486F11">
        <w:rPr>
          <w:rFonts w:hint="cs"/>
          <w:rtl/>
        </w:rPr>
        <w:t xml:space="preserve">. </w:t>
      </w:r>
      <w:r w:rsidR="00486F11" w:rsidRPr="00486F11">
        <w:rPr>
          <w:rtl/>
        </w:rPr>
        <w:t xml:space="preserve">ومن خلال المساهمة في هذا الملخص، يمكن لكل قطاع أن </w:t>
      </w:r>
      <w:r w:rsidR="00486F11">
        <w:rPr>
          <w:rFonts w:hint="cs"/>
          <w:rtl/>
        </w:rPr>
        <w:t>يسلط مزيدا من الضوء على أنشطته</w:t>
      </w:r>
      <w:r w:rsidR="00486F11" w:rsidRPr="00486F11">
        <w:rPr>
          <w:rtl/>
        </w:rPr>
        <w:t xml:space="preserve"> ويعزز التعاون بين القطاعات ويقدم نظرة أكثر شمولية لعمل الاتحاد في هذا المجال الحيوي.</w:t>
      </w:r>
    </w:p>
    <w:p w14:paraId="0FEE9564" w14:textId="16B2BDB1" w:rsidR="00486F11" w:rsidRPr="00486F11" w:rsidRDefault="006E04E2" w:rsidP="006E04E2">
      <w:pPr>
        <w:pStyle w:val="enumlev1"/>
        <w:textDirection w:val="tbRlV"/>
        <w:rPr>
          <w:lang w:val="ar-SA" w:eastAsia="zh-TW" w:bidi="en-GB"/>
        </w:rPr>
      </w:pPr>
      <w:r>
        <w:rPr>
          <w:rFonts w:hint="cs"/>
          <w:rtl/>
        </w:rPr>
        <w:t>-</w:t>
      </w:r>
      <w:r>
        <w:rPr>
          <w:rtl/>
        </w:rPr>
        <w:tab/>
      </w:r>
      <w:r w:rsidR="00486F11">
        <w:rPr>
          <w:rFonts w:hint="cs"/>
          <w:rtl/>
        </w:rPr>
        <w:t>موضوع جديد: تم الاتفاق على موضوع "إشراك الصناعة" كموضوع جديد يسترعي الاهتمام، ويُنتظر تعيين منسق له.</w:t>
      </w:r>
    </w:p>
    <w:p w14:paraId="31D8B768" w14:textId="49E6AE76" w:rsidR="00486F11" w:rsidRPr="00486F11" w:rsidRDefault="00486F11" w:rsidP="006E04E2">
      <w:pPr>
        <w:rPr>
          <w:rStyle w:val="normaltextrun"/>
          <w:lang w:val="ar-SA" w:eastAsia="zh-TW" w:bidi="en-GB"/>
        </w:rPr>
      </w:pPr>
      <w:r w:rsidRPr="00486F11">
        <w:rPr>
          <w:rStyle w:val="normaltextrun"/>
          <w:rtl/>
          <w:lang w:val="ar-SA" w:eastAsia="zh-TW"/>
        </w:rPr>
        <w:lastRenderedPageBreak/>
        <w:t>وتُعرض تقارير النتائج والدعوات لاتخاذ إجراءات بانتظام على الأفرقة الاستشارية للقطاعات وعلى فريق العمل التابع للمجلس والمعني بالموارد المالية والبشرية (</w:t>
      </w:r>
      <w:r w:rsidRPr="00486F11">
        <w:rPr>
          <w:rStyle w:val="normaltextrun"/>
          <w:lang w:val="ar-SA" w:eastAsia="zh-TW"/>
        </w:rPr>
        <w:t>CWG FHR</w:t>
      </w:r>
      <w:r w:rsidRPr="00486F11">
        <w:rPr>
          <w:rStyle w:val="normaltextrun"/>
          <w:rtl/>
          <w:lang w:val="ar-SA" w:eastAsia="zh-TW"/>
        </w:rPr>
        <w:t>)، كلما دعت الحاجة</w:t>
      </w:r>
      <w:r w:rsidR="00FF30AD">
        <w:rPr>
          <w:rStyle w:val="normaltextrun"/>
          <w:rFonts w:hint="cs"/>
          <w:rtl/>
          <w:lang w:val="ar-SA" w:eastAsia="zh-TW"/>
        </w:rPr>
        <w:t xml:space="preserve"> إلى ذلك</w:t>
      </w:r>
      <w:r w:rsidRPr="00486F11">
        <w:rPr>
          <w:rStyle w:val="normaltextrun"/>
          <w:rtl/>
          <w:lang w:val="ar-SA" w:eastAsia="zh-TW"/>
        </w:rPr>
        <w:t>.</w:t>
      </w:r>
    </w:p>
    <w:p w14:paraId="0391284A" w14:textId="68090B82" w:rsidR="000479C9" w:rsidRPr="002438D9" w:rsidRDefault="000479C9" w:rsidP="000479C9">
      <w:pPr>
        <w:textDirection w:val="tbRlV"/>
        <w:rPr>
          <w:lang w:val="ar-SA" w:eastAsia="zh-TW" w:bidi="en-GB"/>
        </w:rPr>
      </w:pPr>
      <w:r w:rsidRPr="002A5F2E">
        <w:rPr>
          <w:rtl/>
        </w:rPr>
        <w:t xml:space="preserve">ويمكن الاطلاع على معلومات </w:t>
      </w:r>
      <w:r>
        <w:rPr>
          <w:rFonts w:hint="cs"/>
          <w:rtl/>
        </w:rPr>
        <w:t xml:space="preserve">أوفى عن </w:t>
      </w:r>
      <w:r w:rsidRPr="002A5F2E">
        <w:rPr>
          <w:rtl/>
        </w:rPr>
        <w:t xml:space="preserve">فريق </w:t>
      </w:r>
      <w:r w:rsidRPr="00E02C6A">
        <w:rPr>
          <w:rtl/>
        </w:rPr>
        <w:t>التنسيق بين القطاعات</w:t>
      </w:r>
      <w:r w:rsidRPr="002A5F2E">
        <w:rPr>
          <w:rtl/>
        </w:rPr>
        <w:t xml:space="preserve">، مثل تقارير الاجتماعات والوثائق التي نوقشت، </w:t>
      </w:r>
      <w:r w:rsidRPr="002438D9">
        <w:rPr>
          <w:rtl/>
        </w:rPr>
        <w:t>في</w:t>
      </w:r>
      <w:r w:rsidR="00FF736F">
        <w:rPr>
          <w:rFonts w:hint="cs"/>
          <w:rtl/>
        </w:rPr>
        <w:t> </w:t>
      </w:r>
      <w:hyperlink r:id="rId19" w:anchor="/ar" w:history="1">
        <w:r w:rsidRPr="002438D9">
          <w:rPr>
            <w:rStyle w:val="Hyperlink"/>
            <w:rtl/>
          </w:rPr>
          <w:t>الصفحة الإلكترونية لفريق التنسيق بين القطاعات</w:t>
        </w:r>
      </w:hyperlink>
      <w:r w:rsidRPr="002438D9">
        <w:rPr>
          <w:rtl/>
        </w:rPr>
        <w:t>.</w:t>
      </w:r>
      <w:r w:rsidR="00C60080">
        <w:rPr>
          <w:rFonts w:hint="cs"/>
          <w:rtl/>
        </w:rPr>
        <w:t xml:space="preserve"> </w:t>
      </w:r>
    </w:p>
    <w:p w14:paraId="21DFBADD" w14:textId="1DBD5D45" w:rsidR="00F50E3F" w:rsidRDefault="000479C9" w:rsidP="002438D9">
      <w:pPr>
        <w:spacing w:before="600"/>
        <w:jc w:val="center"/>
        <w:rPr>
          <w:rtl/>
        </w:rPr>
      </w:pPr>
      <w:r w:rsidRPr="002438D9">
        <w:rPr>
          <w:rFonts w:hint="cs"/>
          <w:rtl/>
          <w:lang w:bidi="ar-EG"/>
        </w:rPr>
        <w:t>ــــــــــــــــــــــــــــــــــــــــــــــــــــــــــــــــــــــــــــــــــــــــــــــــــــــــــــــــــ</w:t>
      </w:r>
    </w:p>
    <w:sectPr w:rsidR="00F50E3F" w:rsidSect="006C3242">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E1E1" w14:textId="77777777" w:rsidR="00AD3536" w:rsidRDefault="00AD3536" w:rsidP="006C3242">
      <w:pPr>
        <w:spacing w:before="0" w:line="240" w:lineRule="auto"/>
      </w:pPr>
      <w:r>
        <w:separator/>
      </w:r>
    </w:p>
  </w:endnote>
  <w:endnote w:type="continuationSeparator" w:id="0">
    <w:p w14:paraId="49094A0E" w14:textId="77777777" w:rsidR="00AD3536" w:rsidRDefault="00AD35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419F151" w14:textId="77777777" w:rsidTr="00357086">
      <w:trPr>
        <w:jc w:val="center"/>
      </w:trPr>
      <w:tc>
        <w:tcPr>
          <w:tcW w:w="868" w:type="pct"/>
          <w:vAlign w:val="center"/>
        </w:tcPr>
        <w:p w14:paraId="148B01CD" w14:textId="50997E0F" w:rsidR="00F50E3F" w:rsidRPr="007B0AA0" w:rsidRDefault="00F50E3F" w:rsidP="0023457E">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p>
      </w:tc>
      <w:tc>
        <w:tcPr>
          <w:tcW w:w="3912" w:type="pct"/>
        </w:tcPr>
        <w:p w14:paraId="33D0D636" w14:textId="27F08134" w:rsidR="00F50E3F" w:rsidRPr="007B0AA0" w:rsidRDefault="00F50E3F" w:rsidP="002345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479C9">
            <w:rPr>
              <w:rFonts w:ascii="Calibri" w:hAnsi="Calibri" w:cs="Arial"/>
              <w:bCs/>
              <w:color w:val="7F7F7F"/>
              <w:sz w:val="18"/>
            </w:rPr>
            <w:t>27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DB6AD0E" w14:textId="77777777" w:rsidR="00F50E3F" w:rsidRPr="007B0AA0" w:rsidRDefault="00F50E3F" w:rsidP="002345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24B7463" w14:textId="5F0E7F3F"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1EC4371" w14:textId="77777777" w:rsidTr="00F50E3F">
      <w:trPr>
        <w:jc w:val="center"/>
      </w:trPr>
      <w:tc>
        <w:tcPr>
          <w:tcW w:w="868" w:type="pct"/>
          <w:vAlign w:val="center"/>
        </w:tcPr>
        <w:p w14:paraId="5FABE477" w14:textId="77777777" w:rsidR="007B0AA0" w:rsidRPr="007B0AA0" w:rsidRDefault="007B0AA0" w:rsidP="0023457E">
          <w:pPr>
            <w:tabs>
              <w:tab w:val="clear" w:pos="794"/>
            </w:tabs>
            <w:overflowPunct w:val="0"/>
            <w:autoSpaceDE w:val="0"/>
            <w:autoSpaceDN w:val="0"/>
            <w:bidi w:val="0"/>
            <w:adjustRightInd w:val="0"/>
            <w:spacing w:before="0" w:line="240" w:lineRule="auto"/>
            <w:jc w:val="left"/>
            <w:textAlignment w:val="baseline"/>
            <w:rPr>
              <w:rFonts w:ascii="Calibri" w:hAnsi="Calibri" w:cs="Arial"/>
              <w:noProof/>
              <w:color w:val="7F7F7F"/>
              <w:sz w:val="18"/>
            </w:rPr>
          </w:pPr>
          <w:hyperlink r:id="rId1" w:history="1">
            <w:r w:rsidRPr="007B0AA0">
              <w:rPr>
                <w:rFonts w:ascii="Calibri" w:hAnsi="Calibri" w:cs="Arial"/>
                <w:color w:val="0563C1"/>
                <w:sz w:val="18"/>
                <w:szCs w:val="14"/>
              </w:rPr>
              <w:t>www.itu.int/council</w:t>
            </w:r>
          </w:hyperlink>
        </w:p>
      </w:tc>
      <w:tc>
        <w:tcPr>
          <w:tcW w:w="3912" w:type="pct"/>
        </w:tcPr>
        <w:p w14:paraId="60689547" w14:textId="73A055BC" w:rsidR="007B0AA0" w:rsidRPr="007B0AA0" w:rsidRDefault="007B0AA0" w:rsidP="002345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479C9">
            <w:rPr>
              <w:rFonts w:ascii="Calibri" w:hAnsi="Calibri" w:cs="Arial"/>
              <w:bCs/>
              <w:color w:val="7F7F7F"/>
              <w:sz w:val="18"/>
            </w:rPr>
            <w:t>27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7339BC9" w14:textId="77777777" w:rsidR="007B0AA0" w:rsidRPr="007B0AA0" w:rsidRDefault="00F50E3F" w:rsidP="002345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FE3FC39" w14:textId="51CC9CFF"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07CF0" w14:textId="77777777" w:rsidR="00AD3536" w:rsidRDefault="00AD3536" w:rsidP="006C3242">
      <w:pPr>
        <w:spacing w:before="0" w:line="240" w:lineRule="auto"/>
      </w:pPr>
      <w:r>
        <w:separator/>
      </w:r>
    </w:p>
  </w:footnote>
  <w:footnote w:type="continuationSeparator" w:id="0">
    <w:p w14:paraId="4D41D33E" w14:textId="77777777" w:rsidR="00AD3536" w:rsidRDefault="00AD353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8830" w14:textId="67621EBE"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0552D5" wp14:editId="6C479CA1">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3BDD"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73420F">
      <w:rPr>
        <w:rFonts w:ascii="Avenir Nxt2 W1G Medium" w:eastAsia="Avenir Nxt2 W1G Medium" w:hAnsi="Avenir Nxt2 W1G Medium" w:cs="Avenir Nxt2 W1G Medium"/>
        <w:noProof/>
      </w:rPr>
      <w:drawing>
        <wp:inline distT="0" distB="0" distL="0" distR="0" wp14:anchorId="7A7C30CF" wp14:editId="096970D6">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571570"/>
    <w:multiLevelType w:val="hybridMultilevel"/>
    <w:tmpl w:val="1BA86086"/>
    <w:lvl w:ilvl="0" w:tplc="2DF0D0F0">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B4605"/>
    <w:multiLevelType w:val="hybridMultilevel"/>
    <w:tmpl w:val="8550D6BC"/>
    <w:lvl w:ilvl="0" w:tplc="7E4C8778">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737976779">
    <w:abstractNumId w:val="11"/>
  </w:num>
  <w:num w:numId="13" w16cid:durableId="520434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36"/>
    <w:rsid w:val="000479C9"/>
    <w:rsid w:val="0006468A"/>
    <w:rsid w:val="00090574"/>
    <w:rsid w:val="0009186A"/>
    <w:rsid w:val="000B3F39"/>
    <w:rsid w:val="000C1C0E"/>
    <w:rsid w:val="000C548A"/>
    <w:rsid w:val="001100A7"/>
    <w:rsid w:val="001731BA"/>
    <w:rsid w:val="00195B5F"/>
    <w:rsid w:val="001A33A4"/>
    <w:rsid w:val="001C0169"/>
    <w:rsid w:val="001D1D50"/>
    <w:rsid w:val="001D6745"/>
    <w:rsid w:val="001E446E"/>
    <w:rsid w:val="002154EE"/>
    <w:rsid w:val="002276D2"/>
    <w:rsid w:val="0023283D"/>
    <w:rsid w:val="0023457E"/>
    <w:rsid w:val="002438D9"/>
    <w:rsid w:val="0026373E"/>
    <w:rsid w:val="00271C43"/>
    <w:rsid w:val="00290728"/>
    <w:rsid w:val="002978F4"/>
    <w:rsid w:val="002B028D"/>
    <w:rsid w:val="002E6541"/>
    <w:rsid w:val="00334924"/>
    <w:rsid w:val="003409BC"/>
    <w:rsid w:val="00357185"/>
    <w:rsid w:val="0037274A"/>
    <w:rsid w:val="00383829"/>
    <w:rsid w:val="00387876"/>
    <w:rsid w:val="003E5513"/>
    <w:rsid w:val="003F4B29"/>
    <w:rsid w:val="0042686F"/>
    <w:rsid w:val="004317D8"/>
    <w:rsid w:val="00434183"/>
    <w:rsid w:val="00443869"/>
    <w:rsid w:val="00447F32"/>
    <w:rsid w:val="00486F11"/>
    <w:rsid w:val="004B05A2"/>
    <w:rsid w:val="004B7334"/>
    <w:rsid w:val="004E11DC"/>
    <w:rsid w:val="00525DDD"/>
    <w:rsid w:val="00530E99"/>
    <w:rsid w:val="005409AC"/>
    <w:rsid w:val="0055516A"/>
    <w:rsid w:val="00562A38"/>
    <w:rsid w:val="0058491B"/>
    <w:rsid w:val="00592EA5"/>
    <w:rsid w:val="005A3170"/>
    <w:rsid w:val="005B176F"/>
    <w:rsid w:val="005E25B1"/>
    <w:rsid w:val="00621E23"/>
    <w:rsid w:val="00661405"/>
    <w:rsid w:val="00677396"/>
    <w:rsid w:val="0069200F"/>
    <w:rsid w:val="006A65CB"/>
    <w:rsid w:val="006B1365"/>
    <w:rsid w:val="006C3242"/>
    <w:rsid w:val="006C7CC0"/>
    <w:rsid w:val="006E04E2"/>
    <w:rsid w:val="006F63F7"/>
    <w:rsid w:val="007025C7"/>
    <w:rsid w:val="00706D7A"/>
    <w:rsid w:val="00722F0D"/>
    <w:rsid w:val="00724B53"/>
    <w:rsid w:val="00727FB4"/>
    <w:rsid w:val="0073420F"/>
    <w:rsid w:val="0074420E"/>
    <w:rsid w:val="007661A8"/>
    <w:rsid w:val="007717C0"/>
    <w:rsid w:val="00783E26"/>
    <w:rsid w:val="007921FE"/>
    <w:rsid w:val="007B0AA0"/>
    <w:rsid w:val="007C3BC7"/>
    <w:rsid w:val="007C3BCD"/>
    <w:rsid w:val="007D4ACF"/>
    <w:rsid w:val="007F0787"/>
    <w:rsid w:val="00810B7B"/>
    <w:rsid w:val="0081119C"/>
    <w:rsid w:val="00812BE3"/>
    <w:rsid w:val="0082358A"/>
    <w:rsid w:val="008235CD"/>
    <w:rsid w:val="008247DE"/>
    <w:rsid w:val="008339C0"/>
    <w:rsid w:val="00840B10"/>
    <w:rsid w:val="00850B65"/>
    <w:rsid w:val="008513CB"/>
    <w:rsid w:val="00852765"/>
    <w:rsid w:val="008A7F84"/>
    <w:rsid w:val="008B20D5"/>
    <w:rsid w:val="0091702E"/>
    <w:rsid w:val="00923B0C"/>
    <w:rsid w:val="0094021C"/>
    <w:rsid w:val="00947188"/>
    <w:rsid w:val="00952F86"/>
    <w:rsid w:val="00974B51"/>
    <w:rsid w:val="00982B28"/>
    <w:rsid w:val="00993D6F"/>
    <w:rsid w:val="009D313F"/>
    <w:rsid w:val="009D47CB"/>
    <w:rsid w:val="00A47A5A"/>
    <w:rsid w:val="00A525E1"/>
    <w:rsid w:val="00A6683B"/>
    <w:rsid w:val="00A97F94"/>
    <w:rsid w:val="00AA7EA2"/>
    <w:rsid w:val="00AC1460"/>
    <w:rsid w:val="00AD3536"/>
    <w:rsid w:val="00AF2D4E"/>
    <w:rsid w:val="00B03099"/>
    <w:rsid w:val="00B05BC8"/>
    <w:rsid w:val="00B11145"/>
    <w:rsid w:val="00B13D70"/>
    <w:rsid w:val="00B21560"/>
    <w:rsid w:val="00B6080B"/>
    <w:rsid w:val="00B64B47"/>
    <w:rsid w:val="00B91B14"/>
    <w:rsid w:val="00B95654"/>
    <w:rsid w:val="00BB15A4"/>
    <w:rsid w:val="00C002DE"/>
    <w:rsid w:val="00C06509"/>
    <w:rsid w:val="00C53BF8"/>
    <w:rsid w:val="00C60080"/>
    <w:rsid w:val="00C66157"/>
    <w:rsid w:val="00C674FE"/>
    <w:rsid w:val="00C67501"/>
    <w:rsid w:val="00C75633"/>
    <w:rsid w:val="00CA73EB"/>
    <w:rsid w:val="00CE2EE1"/>
    <w:rsid w:val="00CE3349"/>
    <w:rsid w:val="00CE36E5"/>
    <w:rsid w:val="00CF27F5"/>
    <w:rsid w:val="00CF3FFD"/>
    <w:rsid w:val="00D10CCF"/>
    <w:rsid w:val="00D13941"/>
    <w:rsid w:val="00D411CF"/>
    <w:rsid w:val="00D63735"/>
    <w:rsid w:val="00D77D0F"/>
    <w:rsid w:val="00DA1CF0"/>
    <w:rsid w:val="00DC1DB1"/>
    <w:rsid w:val="00DC1E02"/>
    <w:rsid w:val="00DC24B4"/>
    <w:rsid w:val="00DC5FB0"/>
    <w:rsid w:val="00DF16DC"/>
    <w:rsid w:val="00E36F09"/>
    <w:rsid w:val="00E45211"/>
    <w:rsid w:val="00E473C5"/>
    <w:rsid w:val="00E61BE8"/>
    <w:rsid w:val="00E92863"/>
    <w:rsid w:val="00E95327"/>
    <w:rsid w:val="00EB158F"/>
    <w:rsid w:val="00EB796D"/>
    <w:rsid w:val="00ED0D42"/>
    <w:rsid w:val="00F058DC"/>
    <w:rsid w:val="00F24FC4"/>
    <w:rsid w:val="00F2676C"/>
    <w:rsid w:val="00F363FE"/>
    <w:rsid w:val="00F50E3F"/>
    <w:rsid w:val="00F77CF7"/>
    <w:rsid w:val="00F84366"/>
    <w:rsid w:val="00F85089"/>
    <w:rsid w:val="00F974C5"/>
    <w:rsid w:val="00FA407F"/>
    <w:rsid w:val="00FA6F46"/>
    <w:rsid w:val="00FC4592"/>
    <w:rsid w:val="00FD4770"/>
    <w:rsid w:val="00FD527F"/>
    <w:rsid w:val="00FD589A"/>
    <w:rsid w:val="00FE5872"/>
    <w:rsid w:val="00FE7FCA"/>
    <w:rsid w:val="00FF30AD"/>
    <w:rsid w:val="00FF73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CC45C"/>
  <w15:chartTrackingRefBased/>
  <w15:docId w15:val="{E24D5773-055F-466C-A362-583C7BFD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23457E"/>
    <w:rPr>
      <w:rFonts w:ascii="Dubai" w:hAnsi="Dubai" w:cs="Dubai"/>
      <w:color w:val="0070C0"/>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Annextitle0">
    <w:name w:val="Annex_title"/>
    <w:basedOn w:val="Normal"/>
    <w:next w:val="Normal"/>
    <w:uiPriority w:val="1"/>
    <w:rsid w:val="000479C9"/>
    <w:pPr>
      <w:tabs>
        <w:tab w:val="clear" w:pos="794"/>
        <w:tab w:val="left" w:pos="567"/>
        <w:tab w:val="left" w:pos="1134"/>
        <w:tab w:val="left" w:pos="1701"/>
        <w:tab w:val="left" w:pos="2268"/>
        <w:tab w:val="left" w:pos="2835"/>
      </w:tabs>
      <w:bidi w:val="0"/>
      <w:spacing w:before="240" w:after="240" w:line="240" w:lineRule="auto"/>
      <w:jc w:val="center"/>
    </w:pPr>
    <w:rPr>
      <w:rFonts w:ascii="Times New Roman" w:eastAsia="Times New Roman" w:hAnsi="CG Times" w:cs="Simplified Arabic" w:hint="cs"/>
      <w:b/>
      <w:bCs/>
      <w:sz w:val="28"/>
      <w:szCs w:val="28"/>
    </w:rPr>
  </w:style>
  <w:style w:type="character" w:customStyle="1" w:styleId="normaltextrun">
    <w:name w:val="normaltextrun"/>
    <w:basedOn w:val="DefaultParagraphFont"/>
    <w:rsid w:val="000479C9"/>
  </w:style>
  <w:style w:type="character" w:styleId="UnresolvedMention">
    <w:name w:val="Unresolved Mention"/>
    <w:basedOn w:val="DefaultParagraphFont"/>
    <w:uiPriority w:val="99"/>
    <w:semiHidden/>
    <w:unhideWhenUsed/>
    <w:rsid w:val="000479C9"/>
    <w:rPr>
      <w:color w:val="605E5C"/>
      <w:shd w:val="clear" w:color="auto" w:fill="E1DFDD"/>
    </w:rPr>
  </w:style>
  <w:style w:type="character" w:styleId="FollowedHyperlink">
    <w:name w:val="FollowedHyperlink"/>
    <w:basedOn w:val="DefaultParagraphFont"/>
    <w:uiPriority w:val="99"/>
    <w:semiHidden/>
    <w:unhideWhenUsed/>
    <w:rsid w:val="00A52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A.pdf" TargetMode="External"/><Relationship Id="rId13" Type="http://schemas.openxmlformats.org/officeDocument/2006/relationships/hyperlink" Target="https://www.itu.int/en/general-secretariat/ties/ISCGDocumentLibrary/Liaisons%20Statements%20on%20Inter-Sectoral%20Coordination%20Activities/Mapping-of-Resolutions-Updated%20Dec2024.pdf" TargetMode="External"/><Relationship Id="rId18" Type="http://schemas.openxmlformats.org/officeDocument/2006/relationships/hyperlink" Target="https://www.itu.int/md/S25-CWGFHR20-C-0003/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ar/general-secretariat/Pages/default.aspx" TargetMode="External"/><Relationship Id="rId17" Type="http://schemas.openxmlformats.org/officeDocument/2006/relationships/hyperlink" Target="https://www.itu.int/md/S25-CWGFHR20-C-0024/en" TargetMode="External"/><Relationship Id="rId2" Type="http://schemas.openxmlformats.org/officeDocument/2006/relationships/numbering" Target="numbering.xml"/><Relationship Id="rId16" Type="http://schemas.openxmlformats.org/officeDocument/2006/relationships/hyperlink" Target="https://www.itu.int/net4/Search/CL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ties/ISCGDocumentLibrary/Liaisons%20Statements%20on%20Inter-Sectoral%20Coordination%20Activities/SO-2024-006-e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5-CL-C-0035/en" TargetMode="External"/><Relationship Id="rId23" Type="http://schemas.openxmlformats.org/officeDocument/2006/relationships/fontTable" Target="fontTable.xml"/><Relationship Id="rId10" Type="http://schemas.openxmlformats.org/officeDocument/2006/relationships/hyperlink" Target="https://www.itu.int/en/council/Documents/basic-texts-2023/DEC-005-A.pdf" TargetMode="External"/><Relationship Id="rId19" Type="http://schemas.openxmlformats.org/officeDocument/2006/relationships/hyperlink" Target="https://www.itu.int/en/general-secretariat/Pages/ISCG/default.aspx" TargetMode="External"/><Relationship Id="rId4" Type="http://schemas.openxmlformats.org/officeDocument/2006/relationships/settings" Target="settings.xml"/><Relationship Id="rId9" Type="http://schemas.openxmlformats.org/officeDocument/2006/relationships/hyperlink" Target="https://www.itu.int/en/council/Documents/basic-texts-2023/RES-191-A.pdf" TargetMode="External"/><Relationship Id="rId14" Type="http://schemas.openxmlformats.org/officeDocument/2006/relationships/hyperlink" Target="https://www.itu.int/en/general-secretariat/ties/ISCGDocumentLibrary/Liaisons%20Statements%20on%20Inter-Sectoral%20Coordination%20Activities/List%20of%20Focal%20Points%20published-Updated%20April2025.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6959</Characters>
  <Application>Microsoft Office Word</Application>
  <DocSecurity>0</DocSecurity>
  <Lines>109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for the coordination of efforts among the three Sectors of the Union</dc:title>
  <dc:subject>ITU Council 2025</dc:subject>
  <cp:keywords>C25; Council-25; Council 2025</cp:keywords>
  <dc:description/>
  <dcterms:created xsi:type="dcterms:W3CDTF">2025-06-03T07:14:00Z</dcterms:created>
  <dcterms:modified xsi:type="dcterms:W3CDTF">2025-06-03T07:15:00Z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adbbd582-b104-4999-9bac-61e8270ffb93</vt:lpwstr>
  </property>
</Properties>
</file>