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2E37DDF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6DAD73CD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  <w:r w:rsidR="004E2463">
              <w:rPr>
                <w:b/>
              </w:rPr>
              <w:t>PL 2</w:t>
            </w:r>
          </w:p>
        </w:tc>
        <w:tc>
          <w:tcPr>
            <w:tcW w:w="5245" w:type="dxa"/>
          </w:tcPr>
          <w:p w14:paraId="6779937E" w14:textId="37B63BD0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4E2463">
              <w:rPr>
                <w:b/>
              </w:rPr>
              <w:t>26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2E37DDFD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4B7B39F3" w:rsidR="00AD3606" w:rsidRPr="00C0458D" w:rsidRDefault="004F4AD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46FD7">
              <w:rPr>
                <w:b/>
              </w:rPr>
              <w:t>7</w:t>
            </w:r>
            <w:r>
              <w:rPr>
                <w:b/>
              </w:rPr>
              <w:t xml:space="preserve"> April</w:t>
            </w:r>
            <w:r w:rsidR="004E2463">
              <w:rPr>
                <w:b/>
              </w:rPr>
              <w:t xml:space="preserve"> 2025</w:t>
            </w:r>
          </w:p>
        </w:tc>
      </w:tr>
      <w:tr w:rsidR="00AD3606" w:rsidRPr="00C0458D" w14:paraId="75730376" w14:textId="77777777" w:rsidTr="2E37DDFD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2E37DDFD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2E37DDF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3547DAB6" w:rsidR="00AD3606" w:rsidRPr="000F7289" w:rsidRDefault="004F4AD9" w:rsidP="004F4AD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4F4AD9">
              <w:t>Chair</w:t>
            </w:r>
            <w:r>
              <w:t>,</w:t>
            </w:r>
            <w:r w:rsidRPr="004F4AD9">
              <w:t xml:space="preserve"> Expert Group on the International Telecommunication Regulations</w:t>
            </w:r>
          </w:p>
        </w:tc>
      </w:tr>
      <w:tr w:rsidR="00AD3606" w:rsidRPr="00C0458D" w14:paraId="3A759762" w14:textId="77777777" w:rsidTr="2E37DDF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79766466" w:rsidR="00AD3606" w:rsidRPr="000F7289" w:rsidRDefault="004F4AD9" w:rsidP="004F4AD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4F4AD9">
              <w:t>PROGRESS REPORT BY THE CHAIR OF THE EXPERT GROUP ON THE INTERNATIONAL TELECOMMUNICATION REGULATIONS</w:t>
            </w:r>
          </w:p>
        </w:tc>
      </w:tr>
      <w:tr w:rsidR="00AD3606" w:rsidRPr="00C0458D" w14:paraId="72B25568" w14:textId="77777777" w:rsidTr="2E37DDFD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1024FD2F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67D070EA" w14:textId="62EF0060" w:rsidR="00AD3606" w:rsidRPr="00C0458D" w:rsidRDefault="00EB1DAB" w:rsidP="00FE32A1">
            <w:pPr>
              <w:jc w:val="both"/>
            </w:pPr>
            <w:r w:rsidRPr="000E28C5">
              <w:t xml:space="preserve">This report summarizes the main results of the </w:t>
            </w:r>
            <w:r>
              <w:t>third</w:t>
            </w:r>
            <w:r w:rsidRPr="000E28C5">
              <w:t xml:space="preserve"> and </w:t>
            </w:r>
            <w:r>
              <w:t xml:space="preserve">fourth </w:t>
            </w:r>
            <w:r w:rsidRPr="000E28C5">
              <w:t xml:space="preserve">meetings of the EG-ITRs, held </w:t>
            </w:r>
            <w:r w:rsidR="004E2463">
              <w:t>from</w:t>
            </w:r>
            <w:r w:rsidRPr="000E28C5">
              <w:t xml:space="preserve"> </w:t>
            </w:r>
            <w:r w:rsidRPr="00EB1DAB">
              <w:t xml:space="preserve">30 September </w:t>
            </w:r>
            <w:r w:rsidR="004E2463">
              <w:t>to</w:t>
            </w:r>
            <w:r w:rsidRPr="00EB1DAB">
              <w:t xml:space="preserve"> 1 October 2024</w:t>
            </w:r>
            <w:r>
              <w:t xml:space="preserve"> and </w:t>
            </w:r>
            <w:r w:rsidR="004E2463">
              <w:t xml:space="preserve">from </w:t>
            </w:r>
            <w:r w:rsidR="00FE32A1" w:rsidRPr="00FE32A1">
              <w:t>20</w:t>
            </w:r>
            <w:r w:rsidR="00CB6255">
              <w:t xml:space="preserve"> </w:t>
            </w:r>
            <w:r w:rsidR="004E2463">
              <w:t>to</w:t>
            </w:r>
            <w:r w:rsidR="00CB6255">
              <w:t xml:space="preserve"> </w:t>
            </w:r>
            <w:r w:rsidR="00FE32A1" w:rsidRPr="00FE32A1">
              <w:t>21 February 2025</w:t>
            </w:r>
            <w:r w:rsidR="00FE32A1">
              <w:t xml:space="preserve"> </w:t>
            </w:r>
            <w:r>
              <w:t>respectively</w:t>
            </w:r>
            <w:r w:rsidRPr="000E28C5">
              <w:t xml:space="preserve">, in line with PP Resolution 146 (Rev. </w:t>
            </w:r>
            <w:r>
              <w:t>Bucharest</w:t>
            </w:r>
            <w:r w:rsidRPr="000E28C5">
              <w:t xml:space="preserve">, </w:t>
            </w:r>
            <w:r>
              <w:t>2022</w:t>
            </w:r>
            <w:r w:rsidRPr="000E28C5">
              <w:t>) and Council Resolutions 1379 (Mod. 20</w:t>
            </w:r>
            <w:r>
              <w:t>23</w:t>
            </w:r>
            <w:r w:rsidRPr="000E28C5">
              <w:t>).</w:t>
            </w:r>
          </w:p>
          <w:p w14:paraId="4288AA6F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23FF0ACC" w14:textId="77777777" w:rsidR="00FF35A3" w:rsidRPr="00484009" w:rsidRDefault="00FF35A3" w:rsidP="00FF35A3">
            <w:r w:rsidRPr="007F2B56">
              <w:t xml:space="preserve">The Council is invited </w:t>
            </w:r>
            <w:r w:rsidRPr="007F2B56">
              <w:rPr>
                <w:b/>
                <w:bCs/>
              </w:rPr>
              <w:t>to note</w:t>
            </w:r>
            <w:r w:rsidRPr="007F2B56">
              <w:t xml:space="preserve"> the report.</w:t>
            </w:r>
          </w:p>
          <w:p w14:paraId="4B855F83" w14:textId="7E0F2BB7" w:rsidR="00722551" w:rsidRDefault="00722551" w:rsidP="00722551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4B25A1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6ADF403" w14:textId="6FC7AC0B" w:rsidR="00722551" w:rsidRPr="00F16BAB" w:rsidRDefault="0016465D" w:rsidP="00722551">
            <w:r>
              <w:t>Convening platform; development and application of the ITU Administrative Regulations.</w:t>
            </w:r>
          </w:p>
          <w:p w14:paraId="6A77059B" w14:textId="270D1307" w:rsidR="00722551" w:rsidRDefault="00722551" w:rsidP="00722551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731F0870" w14:textId="14DF49C6" w:rsidR="00453079" w:rsidRPr="003173E0" w:rsidRDefault="003173E0" w:rsidP="003173E0">
            <w:pPr>
              <w:spacing w:before="160"/>
            </w:pPr>
            <w:r>
              <w:t>Within the allocated budget 202</w:t>
            </w:r>
            <w:r w:rsidR="46FB617A">
              <w:t>4</w:t>
            </w:r>
            <w:r>
              <w:t>-202</w:t>
            </w:r>
            <w:r w:rsidR="60E93E1F">
              <w:t>5</w:t>
            </w:r>
            <w:r w:rsidR="00654ED1">
              <w:t>.</w:t>
            </w:r>
          </w:p>
          <w:p w14:paraId="08939791" w14:textId="77777777" w:rsidR="00C0458D" w:rsidRDefault="00C0458D">
            <w:r>
              <w:t>_______________</w:t>
            </w:r>
          </w:p>
          <w:p w14:paraId="212A584A" w14:textId="77777777" w:rsidR="00AD3606" w:rsidRPr="00C0458D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References</w:t>
            </w:r>
          </w:p>
          <w:p w14:paraId="7089D4B7" w14:textId="4E7BFA43" w:rsidR="00AD3606" w:rsidRPr="00654ED1" w:rsidRDefault="00D150E5" w:rsidP="004E2463">
            <w:pPr>
              <w:spacing w:after="120"/>
              <w:rPr>
                <w:i/>
                <w:iCs/>
                <w:sz w:val="22"/>
                <w:szCs w:val="22"/>
              </w:rPr>
            </w:pPr>
            <w:hyperlink r:id="rId11" w:history="1">
              <w:r w:rsidRPr="00654ED1">
                <w:rPr>
                  <w:rStyle w:val="Hyperlink"/>
                  <w:i/>
                  <w:iCs/>
                  <w:sz w:val="22"/>
                  <w:szCs w:val="22"/>
                </w:rPr>
                <w:t>Resolution 146 (Rev. Bucharest, 2022)</w:t>
              </w:r>
            </w:hyperlink>
            <w:r w:rsidR="00654ED1" w:rsidRPr="00654ED1">
              <w:rPr>
                <w:i/>
                <w:iCs/>
                <w:sz w:val="22"/>
                <w:szCs w:val="22"/>
              </w:rPr>
              <w:t xml:space="preserve"> of the Plenipotentiary Conference;</w:t>
            </w:r>
            <w:r w:rsidR="004E2463" w:rsidRPr="00654ED1">
              <w:rPr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Pr="00654ED1">
                <w:rPr>
                  <w:rStyle w:val="Hyperlink"/>
                  <w:i/>
                  <w:iCs/>
                  <w:sz w:val="22"/>
                  <w:szCs w:val="22"/>
                </w:rPr>
                <w:t>Council Resolution 1379 (Mod. 2023)</w:t>
              </w:r>
              <w:r w:rsidR="004E2463" w:rsidRPr="00654ED1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</w:rPr>
                <w:t>.</w:t>
              </w:r>
            </w:hyperlink>
          </w:p>
        </w:tc>
      </w:tr>
    </w:tbl>
    <w:p w14:paraId="3E836A65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0458D">
        <w:br w:type="page"/>
      </w:r>
    </w:p>
    <w:bookmarkEnd w:id="5"/>
    <w:bookmarkEnd w:id="10"/>
    <w:p w14:paraId="343188BD" w14:textId="32D43DA0" w:rsidR="00F72D2E" w:rsidRDefault="00F72D2E" w:rsidP="00A46FD7">
      <w:pPr>
        <w:pStyle w:val="Heading1"/>
        <w:rPr>
          <w:b w:val="0"/>
          <w:bCs/>
        </w:rPr>
      </w:pPr>
      <w:r w:rsidRPr="0091049F">
        <w:rPr>
          <w:szCs w:val="24"/>
          <w:lang w:val="en-US"/>
        </w:rPr>
        <w:lastRenderedPageBreak/>
        <w:t>1</w:t>
      </w:r>
      <w:r w:rsidRPr="00593E5B">
        <w:rPr>
          <w:szCs w:val="24"/>
          <w:lang w:val="en-US"/>
        </w:rPr>
        <w:tab/>
      </w:r>
      <w:r>
        <w:rPr>
          <w:rFonts w:eastAsia="Calibri" w:cs="Calibri"/>
          <w:bCs/>
          <w:lang w:val="en-US"/>
        </w:rPr>
        <w:t>Introduction</w:t>
      </w:r>
    </w:p>
    <w:p w14:paraId="6B579AB7" w14:textId="77777777" w:rsidR="00F72D2E" w:rsidRDefault="00F72D2E" w:rsidP="00A46FD7">
      <w:pPr>
        <w:jc w:val="both"/>
      </w:pPr>
      <w:r w:rsidRPr="00A37152">
        <w:rPr>
          <w:rFonts w:eastAsia="Calibri" w:cs="Calibri"/>
          <w:bCs/>
          <w:lang w:val="en-US"/>
        </w:rPr>
        <w:t>1.1</w:t>
      </w:r>
      <w:r w:rsidRPr="00A37152">
        <w:tab/>
      </w:r>
      <w:r w:rsidRPr="00A37152">
        <w:rPr>
          <w:lang w:val="en-US"/>
        </w:rPr>
        <w:t>The</w:t>
      </w:r>
      <w:r>
        <w:rPr>
          <w:lang w:val="en-US"/>
        </w:rPr>
        <w:t xml:space="preserve"> </w:t>
      </w:r>
      <w:hyperlink r:id="rId13" w:history="1">
        <w:r w:rsidRPr="00066DF7">
          <w:rPr>
            <w:rStyle w:val="Hyperlink"/>
            <w:szCs w:val="24"/>
          </w:rPr>
          <w:t>Expert Group on the International Telecommunication Regulations (EG-ITRs)</w:t>
        </w:r>
      </w:hyperlink>
      <w:r w:rsidRPr="002238C4">
        <w:t xml:space="preserve">, open to all Member States and Sector Members, </w:t>
      </w:r>
      <w:r>
        <w:rPr>
          <w:lang w:val="en-US"/>
        </w:rPr>
        <w:t xml:space="preserve">was reconvened by Council Resolution 1379 (Mod. 2023) </w:t>
      </w:r>
      <w:r w:rsidRPr="002238C4">
        <w:t xml:space="preserve">to </w:t>
      </w:r>
      <w:r w:rsidRPr="000E28C5">
        <w:t>continue consideration of issues relating to the ITRs, including their review, with the Terms of Reference shown in Annex 1 of this resolution</w:t>
      </w:r>
      <w:r>
        <w:rPr>
          <w:lang w:val="en-US"/>
        </w:rPr>
        <w:t xml:space="preserve">. </w:t>
      </w:r>
    </w:p>
    <w:p w14:paraId="1AD75971" w14:textId="3BE843DF" w:rsidR="00F72D2E" w:rsidRPr="000E28C5" w:rsidRDefault="00F72D2E" w:rsidP="00A46FD7">
      <w:pPr>
        <w:jc w:val="both"/>
        <w:rPr>
          <w:szCs w:val="24"/>
        </w:rPr>
      </w:pPr>
      <w:r w:rsidRPr="00A37152">
        <w:rPr>
          <w:rFonts w:eastAsia="Calibri" w:cs="Calibri"/>
          <w:bCs/>
          <w:lang w:val="en-US"/>
        </w:rPr>
        <w:t>1.2</w:t>
      </w:r>
      <w:r w:rsidRPr="00A37152">
        <w:tab/>
        <w:t>The</w:t>
      </w:r>
      <w:r>
        <w:t xml:space="preserve"> terms of reference for the EG-ITRs, specified in Council </w:t>
      </w:r>
      <w:r>
        <w:rPr>
          <w:lang w:val="en-US"/>
        </w:rPr>
        <w:t>Resolution 1379 (</w:t>
      </w:r>
      <w:r w:rsidR="004E2463" w:rsidRPr="004E2463">
        <w:rPr>
          <w:lang w:val="en-US"/>
        </w:rPr>
        <w:t>C16, last amended C23)</w:t>
      </w:r>
      <w:r>
        <w:t xml:space="preserve">, </w:t>
      </w:r>
      <w:r>
        <w:rPr>
          <w:lang w:val="en-US"/>
        </w:rPr>
        <w:t xml:space="preserve">are to </w:t>
      </w:r>
      <w:r w:rsidRPr="00E95B46">
        <w:t>continue</w:t>
      </w:r>
      <w:r>
        <w:rPr>
          <w:lang w:val="en-US"/>
        </w:rPr>
        <w:t xml:space="preserve"> to review the ITRs.</w:t>
      </w:r>
      <w:r w:rsidRPr="000E28C5">
        <w:t xml:space="preserve"> </w:t>
      </w:r>
      <w:r w:rsidRPr="000E28C5">
        <w:rPr>
          <w:szCs w:val="24"/>
        </w:rPr>
        <w:t>Taking into consideration the work of the previous two Expert Groups, the review may consider, among others:</w:t>
      </w:r>
    </w:p>
    <w:p w14:paraId="528EFA5F" w14:textId="11DD370E" w:rsidR="00F72D2E" w:rsidRPr="00A46FD7" w:rsidRDefault="007C3AF8" w:rsidP="00A46FD7">
      <w:pPr>
        <w:pStyle w:val="enumlev1"/>
        <w:jc w:val="both"/>
      </w:pPr>
      <w:r w:rsidRPr="00A46FD7">
        <w:t>–</w:t>
      </w:r>
      <w:r w:rsidRPr="00A46FD7">
        <w:tab/>
      </w:r>
      <w:r w:rsidR="00F72D2E" w:rsidRPr="00A46FD7">
        <w:t>new trends in telecommunications/ICT and emerging issues in international telecommunications/ICT environment which may impact the ITRs,</w:t>
      </w:r>
    </w:p>
    <w:p w14:paraId="522802CD" w14:textId="018BE2B5" w:rsidR="00F72D2E" w:rsidRPr="00A46FD7" w:rsidRDefault="007C3AF8" w:rsidP="00A46FD7">
      <w:pPr>
        <w:pStyle w:val="enumlev1"/>
        <w:jc w:val="both"/>
      </w:pPr>
      <w:r w:rsidRPr="00A46FD7">
        <w:t>–</w:t>
      </w:r>
      <w:r w:rsidRPr="00A46FD7">
        <w:tab/>
      </w:r>
      <w:r w:rsidR="00F72D2E" w:rsidRPr="00A46FD7">
        <w:t>empirical data on the current use of the ITRs by operating agencies and/or administrations and the proportion of global telecommunication services which now rely on the ITRs, and</w:t>
      </w:r>
    </w:p>
    <w:p w14:paraId="640048B7" w14:textId="7ADE9581" w:rsidR="00F72D2E" w:rsidRPr="00A46FD7" w:rsidRDefault="007C3AF8" w:rsidP="00A46FD7">
      <w:pPr>
        <w:pStyle w:val="enumlev1"/>
        <w:jc w:val="both"/>
      </w:pPr>
      <w:r w:rsidRPr="00A46FD7">
        <w:t>–</w:t>
      </w:r>
      <w:r w:rsidRPr="00A46FD7">
        <w:tab/>
      </w:r>
      <w:r w:rsidR="00F72D2E" w:rsidRPr="00A46FD7">
        <w:t>the relevance of the ITRs which “consist of high-level guiding principles” in the current telecommunication/ICT environment.</w:t>
      </w:r>
    </w:p>
    <w:p w14:paraId="79F270F0" w14:textId="588099C0" w:rsidR="00F72D2E" w:rsidRDefault="00F72D2E" w:rsidP="00A46FD7">
      <w:pPr>
        <w:pStyle w:val="Heading1"/>
        <w:rPr>
          <w:b w:val="0"/>
          <w:bCs/>
        </w:rPr>
      </w:pPr>
      <w:r>
        <w:rPr>
          <w:rFonts w:eastAsia="Calibri" w:cs="Calibri"/>
          <w:bCs/>
          <w:lang w:val="en-US"/>
        </w:rPr>
        <w:t>2</w:t>
      </w:r>
      <w:r>
        <w:rPr>
          <w:rFonts w:eastAsia="Calibri" w:cs="Calibri"/>
          <w:bCs/>
          <w:lang w:val="en-US"/>
        </w:rPr>
        <w:tab/>
        <w:t>Activities of the EG-ITRs</w:t>
      </w:r>
    </w:p>
    <w:p w14:paraId="64E3ACEF" w14:textId="420F7A82" w:rsidR="00F72D2E" w:rsidRPr="00A8318B" w:rsidRDefault="00F72D2E" w:rsidP="00A46FD7">
      <w:pPr>
        <w:jc w:val="both"/>
      </w:pPr>
      <w:r w:rsidRPr="00A37152">
        <w:rPr>
          <w:bCs/>
        </w:rPr>
        <w:t>2.1</w:t>
      </w:r>
      <w:r w:rsidRPr="00A37152">
        <w:tab/>
        <w:t xml:space="preserve">The </w:t>
      </w:r>
      <w:r>
        <w:t>EG-ITRs</w:t>
      </w:r>
      <w:r w:rsidRPr="00A37152">
        <w:t xml:space="preserve"> held its </w:t>
      </w:r>
      <w:r>
        <w:t xml:space="preserve">third </w:t>
      </w:r>
      <w:r w:rsidRPr="00A37152">
        <w:t xml:space="preserve">and </w:t>
      </w:r>
      <w:r>
        <w:t xml:space="preserve">fourth </w:t>
      </w:r>
      <w:r w:rsidRPr="00A37152">
        <w:t xml:space="preserve">meetings at the ITU Headquarters in Geneva, Switzerland, </w:t>
      </w:r>
      <w:r w:rsidR="004E2463">
        <w:t>from</w:t>
      </w:r>
      <w:r w:rsidRPr="00A8318B">
        <w:t xml:space="preserve"> </w:t>
      </w:r>
      <w:r w:rsidR="00CB6255" w:rsidRPr="00EB1DAB">
        <w:t xml:space="preserve">30 September </w:t>
      </w:r>
      <w:r w:rsidR="004E2463">
        <w:t>to</w:t>
      </w:r>
      <w:r w:rsidR="00CB6255" w:rsidRPr="00EB1DAB">
        <w:t xml:space="preserve"> 1 October 2024</w:t>
      </w:r>
      <w:r w:rsidR="00CB6255">
        <w:t xml:space="preserve"> and </w:t>
      </w:r>
      <w:r w:rsidR="004E2463">
        <w:t xml:space="preserve">from </w:t>
      </w:r>
      <w:r w:rsidR="00CB6255" w:rsidRPr="00FE32A1">
        <w:t>20</w:t>
      </w:r>
      <w:r w:rsidR="00CB6255">
        <w:t xml:space="preserve"> </w:t>
      </w:r>
      <w:r w:rsidR="004E2463">
        <w:t>to</w:t>
      </w:r>
      <w:r w:rsidR="00CB6255">
        <w:t xml:space="preserve"> </w:t>
      </w:r>
      <w:r w:rsidR="00CB6255" w:rsidRPr="00FE32A1">
        <w:t>21 February</w:t>
      </w:r>
      <w:r w:rsidR="004E2463">
        <w:t xml:space="preserve"> </w:t>
      </w:r>
      <w:r w:rsidR="00CB6255" w:rsidRPr="00FE32A1">
        <w:t>2025</w:t>
      </w:r>
      <w:r w:rsidRPr="00A8318B">
        <w:t xml:space="preserve">, respectively. </w:t>
      </w:r>
    </w:p>
    <w:p w14:paraId="0D6E2F82" w14:textId="6B20B539" w:rsidR="00F72D2E" w:rsidRPr="00A37152" w:rsidRDefault="00F72D2E" w:rsidP="00A46FD7">
      <w:pPr>
        <w:jc w:val="both"/>
      </w:pPr>
      <w:r w:rsidRPr="00A8318B">
        <w:rPr>
          <w:bCs/>
        </w:rPr>
        <w:t>2.2</w:t>
      </w:r>
      <w:r w:rsidRPr="00A8318B">
        <w:tab/>
        <w:t xml:space="preserve">The Reports of the </w:t>
      </w:r>
      <w:hyperlink r:id="rId14" w:history="1">
        <w:r w:rsidR="00CB6255" w:rsidRPr="00101544">
          <w:rPr>
            <w:rStyle w:val="Hyperlink"/>
          </w:rPr>
          <w:t>third</w:t>
        </w:r>
      </w:hyperlink>
      <w:r w:rsidR="00CB6255">
        <w:t xml:space="preserve"> </w:t>
      </w:r>
      <w:r w:rsidRPr="00A8318B">
        <w:t xml:space="preserve">and </w:t>
      </w:r>
      <w:hyperlink r:id="rId15" w:history="1">
        <w:r w:rsidR="00CB6255" w:rsidRPr="00101544">
          <w:rPr>
            <w:rStyle w:val="Hyperlink"/>
          </w:rPr>
          <w:t>fourth</w:t>
        </w:r>
      </w:hyperlink>
      <w:r w:rsidR="00CB6255">
        <w:t xml:space="preserve"> </w:t>
      </w:r>
      <w:r w:rsidRPr="00A8318B">
        <w:t>meeting</w:t>
      </w:r>
      <w:r w:rsidR="00CB6255">
        <w:t>s</w:t>
      </w:r>
      <w:r w:rsidRPr="00D502D8">
        <w:t xml:space="preserve"> of </w:t>
      </w:r>
      <w:r>
        <w:t xml:space="preserve">EG-ITRs </w:t>
      </w:r>
      <w:r w:rsidRPr="00D502D8">
        <w:t>were approved by the Group.</w:t>
      </w:r>
    </w:p>
    <w:p w14:paraId="57214A2B" w14:textId="5582979F" w:rsidR="00F72D2E" w:rsidRDefault="00F72D2E" w:rsidP="00A46FD7">
      <w:pPr>
        <w:jc w:val="both"/>
      </w:pPr>
      <w:bookmarkStart w:id="11" w:name="_Hlk38891878"/>
      <w:r w:rsidRPr="1CC267BF">
        <w:t>2.3</w:t>
      </w:r>
      <w:r>
        <w:tab/>
      </w:r>
      <w:r w:rsidRPr="1CC267BF">
        <w:t xml:space="preserve">In the </w:t>
      </w:r>
      <w:r w:rsidR="00101544" w:rsidRPr="1CC267BF">
        <w:t>third</w:t>
      </w:r>
      <w:r w:rsidRPr="1CC267BF">
        <w:t xml:space="preserve"> meeting of the EG-ITRs, the Group deliberated on the </w:t>
      </w:r>
      <w:hyperlink r:id="rId16">
        <w:r w:rsidRPr="1CC267BF">
          <w:rPr>
            <w:rStyle w:val="Hyperlink"/>
          </w:rPr>
          <w:t>contributions received</w:t>
        </w:r>
      </w:hyperlink>
      <w:r w:rsidRPr="1CC267BF">
        <w:t xml:space="preserve">, </w:t>
      </w:r>
      <w:r w:rsidR="00941899" w:rsidRPr="1CC267BF">
        <w:t xml:space="preserve">including </w:t>
      </w:r>
      <w:r w:rsidR="00E6767D" w:rsidRPr="1CC267BF">
        <w:t xml:space="preserve">those </w:t>
      </w:r>
      <w:r w:rsidR="00941899" w:rsidRPr="1CC267BF">
        <w:t xml:space="preserve">on </w:t>
      </w:r>
      <w:r w:rsidR="005A1C7F" w:rsidRPr="1CC267BF">
        <w:t xml:space="preserve">new trends which may impact the ITRs, </w:t>
      </w:r>
      <w:r w:rsidR="003D229F" w:rsidRPr="1CC267BF">
        <w:t xml:space="preserve">empirical data on the current use of the ITRs, </w:t>
      </w:r>
      <w:r w:rsidR="004A37FD" w:rsidRPr="1CC267BF">
        <w:t xml:space="preserve">format and content of the Group’s </w:t>
      </w:r>
      <w:r w:rsidR="004E2463" w:rsidRPr="1CC267BF">
        <w:t>f</w:t>
      </w:r>
      <w:r w:rsidR="004A37FD" w:rsidRPr="1CC267BF">
        <w:t xml:space="preserve">inal </w:t>
      </w:r>
      <w:r w:rsidR="004E2463" w:rsidRPr="1CC267BF">
        <w:t>r</w:t>
      </w:r>
      <w:r w:rsidR="004A37FD" w:rsidRPr="1CC267BF">
        <w:t>eport to Council 2026, and other gener</w:t>
      </w:r>
      <w:r w:rsidR="00E6767D" w:rsidRPr="1CC267BF">
        <w:t>al contributions</w:t>
      </w:r>
      <w:r w:rsidRPr="1CC267BF">
        <w:t xml:space="preserve">. </w:t>
      </w:r>
    </w:p>
    <w:p w14:paraId="33273973" w14:textId="29C1EC9F" w:rsidR="00F72D2E" w:rsidRPr="00C546C7" w:rsidRDefault="00F72D2E" w:rsidP="00A46FD7">
      <w:pPr>
        <w:jc w:val="both"/>
        <w:rPr>
          <w:rFonts w:eastAsia="Calibri"/>
          <w:lang w:eastAsia="zh-CN"/>
        </w:rPr>
      </w:pPr>
      <w:r>
        <w:t>2.4</w:t>
      </w:r>
      <w:r>
        <w:tab/>
      </w:r>
      <w:bookmarkEnd w:id="11"/>
      <w:r>
        <w:t xml:space="preserve">In the </w:t>
      </w:r>
      <w:r w:rsidR="00101544">
        <w:t>fourth</w:t>
      </w:r>
      <w:r>
        <w:t xml:space="preserve"> meeting of the EG-ITRs, </w:t>
      </w:r>
      <w:r w:rsidR="00777A07">
        <w:t xml:space="preserve">the Group deliberated on the </w:t>
      </w:r>
      <w:hyperlink r:id="rId17" w:history="1">
        <w:r w:rsidR="00777A07" w:rsidRPr="00983C30">
          <w:rPr>
            <w:rStyle w:val="Hyperlink"/>
          </w:rPr>
          <w:t>contributions received</w:t>
        </w:r>
      </w:hyperlink>
      <w:r w:rsidR="00777A07">
        <w:t xml:space="preserve">, with </w:t>
      </w:r>
      <w:r w:rsidR="00FF6099">
        <w:t xml:space="preserve">the meeting </w:t>
      </w:r>
      <w:r w:rsidR="001628AD">
        <w:t xml:space="preserve">agreeing on an outline </w:t>
      </w:r>
      <w:r w:rsidR="00C33061">
        <w:rPr>
          <w:rFonts w:eastAsia="Calibri"/>
          <w:lang w:eastAsia="zh-CN"/>
        </w:rPr>
        <w:t xml:space="preserve">of the </w:t>
      </w:r>
      <w:r w:rsidR="004E2463">
        <w:rPr>
          <w:rFonts w:eastAsia="Calibri"/>
          <w:lang w:eastAsia="zh-CN"/>
        </w:rPr>
        <w:t>f</w:t>
      </w:r>
      <w:r w:rsidR="00C33061">
        <w:rPr>
          <w:rFonts w:eastAsia="Calibri"/>
          <w:lang w:eastAsia="zh-CN"/>
        </w:rPr>
        <w:t xml:space="preserve">inal </w:t>
      </w:r>
      <w:r w:rsidR="004E2463">
        <w:rPr>
          <w:rFonts w:eastAsia="Calibri"/>
          <w:lang w:eastAsia="zh-CN"/>
        </w:rPr>
        <w:t>r</w:t>
      </w:r>
      <w:r w:rsidR="00C33061">
        <w:rPr>
          <w:rFonts w:eastAsia="Calibri"/>
          <w:lang w:eastAsia="zh-CN"/>
        </w:rPr>
        <w:t xml:space="preserve">eport </w:t>
      </w:r>
      <w:r w:rsidR="004275BA">
        <w:rPr>
          <w:rFonts w:eastAsia="Calibri"/>
          <w:lang w:eastAsia="zh-CN"/>
        </w:rPr>
        <w:t xml:space="preserve">to Council 2026 </w:t>
      </w:r>
      <w:r w:rsidR="00C33061">
        <w:rPr>
          <w:rFonts w:eastAsia="Calibri"/>
          <w:lang w:eastAsia="zh-CN"/>
        </w:rPr>
        <w:t xml:space="preserve">as set out in Annex 1 to the </w:t>
      </w:r>
      <w:r w:rsidR="004275BA">
        <w:rPr>
          <w:rFonts w:eastAsia="Calibri"/>
          <w:lang w:eastAsia="zh-CN"/>
        </w:rPr>
        <w:t>F</w:t>
      </w:r>
      <w:r w:rsidR="00C33061">
        <w:rPr>
          <w:rFonts w:eastAsia="Calibri"/>
          <w:lang w:eastAsia="zh-CN"/>
        </w:rPr>
        <w:t xml:space="preserve">ourth </w:t>
      </w:r>
      <w:r w:rsidR="004E2463">
        <w:rPr>
          <w:rFonts w:eastAsia="Calibri"/>
          <w:lang w:eastAsia="zh-CN"/>
        </w:rPr>
        <w:t>m</w:t>
      </w:r>
      <w:r w:rsidR="00C33061">
        <w:rPr>
          <w:rFonts w:eastAsia="Calibri"/>
          <w:lang w:eastAsia="zh-CN"/>
        </w:rPr>
        <w:t xml:space="preserve">eeting </w:t>
      </w:r>
      <w:r w:rsidR="004E2463">
        <w:rPr>
          <w:rFonts w:eastAsia="Calibri"/>
          <w:lang w:eastAsia="zh-CN"/>
        </w:rPr>
        <w:t>r</w:t>
      </w:r>
      <w:r w:rsidR="00C33061">
        <w:rPr>
          <w:rFonts w:eastAsia="Calibri"/>
          <w:lang w:eastAsia="zh-CN"/>
        </w:rPr>
        <w:t>eport</w:t>
      </w:r>
      <w:r w:rsidR="006D16D8">
        <w:rPr>
          <w:rFonts w:eastAsia="Calibri"/>
          <w:lang w:eastAsia="zh-CN"/>
        </w:rPr>
        <w:t xml:space="preserve">. The Group </w:t>
      </w:r>
      <w:r w:rsidR="00C546C7">
        <w:rPr>
          <w:rFonts w:eastAsia="Calibri"/>
          <w:lang w:eastAsia="zh-CN"/>
        </w:rPr>
        <w:t xml:space="preserve">also </w:t>
      </w:r>
      <w:r w:rsidR="00C546C7" w:rsidRPr="00C546C7">
        <w:rPr>
          <w:rFonts w:eastAsia="Calibri"/>
          <w:lang w:eastAsia="zh-CN"/>
        </w:rPr>
        <w:t xml:space="preserve">requested that the </w:t>
      </w:r>
      <w:r w:rsidR="004E2463">
        <w:rPr>
          <w:rFonts w:eastAsia="Calibri"/>
          <w:lang w:eastAsia="zh-CN"/>
        </w:rPr>
        <w:t>m</w:t>
      </w:r>
      <w:r w:rsidR="00C546C7" w:rsidRPr="00C546C7">
        <w:rPr>
          <w:rFonts w:eastAsia="Calibri"/>
          <w:lang w:eastAsia="zh-CN"/>
        </w:rPr>
        <w:t xml:space="preserve">anagement </w:t>
      </w:r>
      <w:r w:rsidR="004E2463">
        <w:rPr>
          <w:rFonts w:eastAsia="Calibri"/>
          <w:lang w:eastAsia="zh-CN"/>
        </w:rPr>
        <w:t>t</w:t>
      </w:r>
      <w:r w:rsidR="00C546C7" w:rsidRPr="00C546C7">
        <w:rPr>
          <w:rFonts w:eastAsia="Calibri"/>
          <w:lang w:eastAsia="zh-CN"/>
        </w:rPr>
        <w:t xml:space="preserve">eam and the </w:t>
      </w:r>
      <w:r w:rsidR="004E2463">
        <w:rPr>
          <w:rFonts w:eastAsia="Calibri"/>
          <w:lang w:eastAsia="zh-CN"/>
        </w:rPr>
        <w:t>s</w:t>
      </w:r>
      <w:r w:rsidR="00C546C7" w:rsidRPr="00C546C7">
        <w:rPr>
          <w:rFonts w:eastAsia="Calibri"/>
          <w:lang w:eastAsia="zh-CN"/>
        </w:rPr>
        <w:t xml:space="preserve">ecretariat produce a first draft version of the </w:t>
      </w:r>
      <w:r w:rsidR="004E2463">
        <w:rPr>
          <w:rFonts w:eastAsia="Calibri"/>
          <w:lang w:eastAsia="zh-CN"/>
        </w:rPr>
        <w:t>f</w:t>
      </w:r>
      <w:r w:rsidR="00C546C7" w:rsidRPr="00C546C7">
        <w:rPr>
          <w:rFonts w:eastAsia="Calibri"/>
          <w:lang w:eastAsia="zh-CN"/>
        </w:rPr>
        <w:t xml:space="preserve">inal </w:t>
      </w:r>
      <w:r w:rsidR="004E2463">
        <w:rPr>
          <w:rFonts w:eastAsia="Calibri"/>
          <w:lang w:eastAsia="zh-CN"/>
        </w:rPr>
        <w:t>r</w:t>
      </w:r>
      <w:r w:rsidR="00C546C7" w:rsidRPr="00C546C7">
        <w:rPr>
          <w:rFonts w:eastAsia="Calibri"/>
          <w:lang w:eastAsia="zh-CN"/>
        </w:rPr>
        <w:t xml:space="preserve">eport at least one month before the next meeting of the EG-ITRs. </w:t>
      </w:r>
      <w:r w:rsidR="00CB65EC">
        <w:rPr>
          <w:rFonts w:eastAsia="Calibri"/>
          <w:lang w:eastAsia="zh-CN"/>
        </w:rPr>
        <w:t>Two statements</w:t>
      </w:r>
      <w:r w:rsidR="001658EA">
        <w:rPr>
          <w:rFonts w:eastAsia="Calibri"/>
          <w:lang w:eastAsia="zh-CN"/>
        </w:rPr>
        <w:t>, from Hill an</w:t>
      </w:r>
      <w:r w:rsidR="004275BA">
        <w:rPr>
          <w:rFonts w:eastAsia="Calibri"/>
          <w:lang w:eastAsia="zh-CN"/>
        </w:rPr>
        <w:t xml:space="preserve">d Canada respectively, </w:t>
      </w:r>
      <w:r w:rsidR="004275BA">
        <w:t xml:space="preserve">are also </w:t>
      </w:r>
      <w:r w:rsidRPr="00A8318B">
        <w:t xml:space="preserve">attached as Annex 2 </w:t>
      </w:r>
      <w:r w:rsidR="004275BA">
        <w:t xml:space="preserve">and 3 </w:t>
      </w:r>
      <w:r w:rsidRPr="00A8318B">
        <w:t>to th</w:t>
      </w:r>
      <w:r>
        <w:t xml:space="preserve">e </w:t>
      </w:r>
      <w:r w:rsidR="004E2463">
        <w:t>f</w:t>
      </w:r>
      <w:r w:rsidR="004275BA">
        <w:t xml:space="preserve">ourth </w:t>
      </w:r>
      <w:r w:rsidR="004E2463">
        <w:t>m</w:t>
      </w:r>
      <w:r>
        <w:t>eeting</w:t>
      </w:r>
      <w:r w:rsidRPr="00A8318B">
        <w:t xml:space="preserve"> </w:t>
      </w:r>
      <w:r w:rsidR="004E2463">
        <w:t>r</w:t>
      </w:r>
      <w:r w:rsidRPr="00A8318B">
        <w:t>eport.</w:t>
      </w:r>
    </w:p>
    <w:p w14:paraId="02D3C4DA" w14:textId="119D9EF9" w:rsidR="00F72D2E" w:rsidRDefault="00F72D2E" w:rsidP="00A46FD7">
      <w:pPr>
        <w:pStyle w:val="Heading1"/>
        <w:rPr>
          <w:b w:val="0"/>
          <w:bCs/>
        </w:rPr>
      </w:pPr>
      <w:bookmarkStart w:id="12" w:name="dbreak3"/>
      <w:r>
        <w:rPr>
          <w:rFonts w:eastAsia="Calibri" w:cs="Calibri"/>
          <w:bCs/>
          <w:lang w:val="en-US"/>
        </w:rPr>
        <w:t>3</w:t>
      </w:r>
      <w:r>
        <w:rPr>
          <w:rFonts w:eastAsia="Calibri" w:cs="Calibri"/>
          <w:bCs/>
          <w:lang w:val="en-US"/>
        </w:rPr>
        <w:tab/>
        <w:t>Conclusions</w:t>
      </w:r>
    </w:p>
    <w:p w14:paraId="11338B08" w14:textId="77777777" w:rsidR="00F72D2E" w:rsidRPr="00A37152" w:rsidRDefault="00F72D2E" w:rsidP="00E95B46">
      <w:pPr>
        <w:jc w:val="both"/>
      </w:pPr>
      <w:r>
        <w:rPr>
          <w:bCs/>
        </w:rPr>
        <w:t>3</w:t>
      </w:r>
      <w:r w:rsidRPr="00A37152">
        <w:rPr>
          <w:bCs/>
        </w:rPr>
        <w:t>.1</w:t>
      </w:r>
      <w:r w:rsidRPr="00A37152">
        <w:tab/>
      </w:r>
      <w:r w:rsidRPr="00A37152">
        <w:rPr>
          <w:spacing w:val="-4"/>
        </w:rPr>
        <w:t xml:space="preserve">The </w:t>
      </w:r>
      <w:r w:rsidRPr="00E95B46">
        <w:t>Council</w:t>
      </w:r>
      <w:r w:rsidRPr="00A37152">
        <w:rPr>
          <w:spacing w:val="-4"/>
        </w:rPr>
        <w:t xml:space="preserve"> is invited to note th</w:t>
      </w:r>
      <w:r>
        <w:rPr>
          <w:spacing w:val="-4"/>
        </w:rPr>
        <w:t>is progress report</w:t>
      </w:r>
      <w:r w:rsidRPr="00A37152">
        <w:rPr>
          <w:spacing w:val="-4"/>
        </w:rPr>
        <w:t xml:space="preserve"> of the </w:t>
      </w:r>
      <w:r>
        <w:rPr>
          <w:spacing w:val="-4"/>
        </w:rPr>
        <w:t>EG-ITRs</w:t>
      </w:r>
      <w:r w:rsidRPr="00A37152">
        <w:rPr>
          <w:spacing w:val="-4"/>
        </w:rPr>
        <w:t>.</w:t>
      </w:r>
    </w:p>
    <w:p w14:paraId="01696F5B" w14:textId="7E5CC341" w:rsidR="00F72D2E" w:rsidRDefault="00F72D2E" w:rsidP="00E95B46">
      <w:pPr>
        <w:jc w:val="both"/>
      </w:pPr>
      <w:r>
        <w:rPr>
          <w:bCs/>
        </w:rPr>
        <w:t>3</w:t>
      </w:r>
      <w:r w:rsidRPr="00A37152">
        <w:rPr>
          <w:bCs/>
        </w:rPr>
        <w:t>.2</w:t>
      </w:r>
      <w:r w:rsidRPr="00A37152">
        <w:tab/>
        <w:t>On</w:t>
      </w:r>
      <w:r>
        <w:t xml:space="preserve"> behalf of EG-ITRs, the Chair extends her personal thanks to all the ITU Member States who made contributions and participated in the work of the Group, the Vice-Chairs, the Secretary-General, Deputy Secretary-General, Directors of TSB, BR, and BDT, and the General Secretariat</w:t>
      </w:r>
      <w:r w:rsidR="005059B0">
        <w:t xml:space="preserve">, as </w:t>
      </w:r>
      <w:r w:rsidR="005059B0" w:rsidRPr="00E95B46">
        <w:t>well</w:t>
      </w:r>
      <w:r w:rsidR="005059B0">
        <w:t xml:space="preserve"> as the interpreters and the remote participation assistants,</w:t>
      </w:r>
      <w:r>
        <w:t xml:space="preserve"> for their efficient assistance during the </w:t>
      </w:r>
      <w:r w:rsidR="0049261D">
        <w:t>third</w:t>
      </w:r>
      <w:r>
        <w:t xml:space="preserve"> </w:t>
      </w:r>
      <w:r w:rsidRPr="00B075BE">
        <w:t xml:space="preserve">and </w:t>
      </w:r>
      <w:r w:rsidR="0049261D">
        <w:rPr>
          <w:spacing w:val="-4"/>
        </w:rPr>
        <w:t xml:space="preserve">fourth </w:t>
      </w:r>
      <w:r>
        <w:t>meeting of the EG-ITRs.</w:t>
      </w:r>
    </w:p>
    <w:p w14:paraId="35C6D0A5" w14:textId="441C6D65" w:rsidR="007A3FCD" w:rsidRPr="007C3AF8" w:rsidRDefault="00F72D2E" w:rsidP="00A46FD7">
      <w:pPr>
        <w:pStyle w:val="Signature"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938"/>
        </w:tabs>
        <w:spacing w:before="480"/>
        <w:ind w:left="0"/>
        <w:rPr>
          <w:lang w:val="en-US"/>
        </w:rPr>
      </w:pPr>
      <w:r>
        <w:tab/>
      </w:r>
      <w:r w:rsidRPr="007C3AF8">
        <w:rPr>
          <w:rFonts w:eastAsia="Calibri" w:cs="Calibri"/>
          <w:lang w:val="en-US"/>
        </w:rPr>
        <w:t>Shahira Selim</w:t>
      </w:r>
      <w:r w:rsidR="007C3AF8" w:rsidRPr="007C3AF8">
        <w:rPr>
          <w:rFonts w:eastAsia="Calibri" w:cs="Calibri"/>
          <w:lang w:val="en-US"/>
        </w:rPr>
        <w:t xml:space="preserve"> </w:t>
      </w:r>
      <w:r w:rsidRPr="007C3AF8">
        <w:rPr>
          <w:rFonts w:eastAsia="Calibri" w:cs="Calibri"/>
        </w:rPr>
        <w:t>(</w:t>
      </w:r>
      <w:r w:rsidR="007C3AF8" w:rsidRPr="007C3AF8">
        <w:rPr>
          <w:rFonts w:eastAsia="Calibri" w:cs="Calibri"/>
        </w:rPr>
        <w:t>Egypt</w:t>
      </w:r>
      <w:r w:rsidRPr="007C3AF8">
        <w:rPr>
          <w:rFonts w:eastAsia="Calibri" w:cs="Calibri"/>
        </w:rPr>
        <w:t>)</w:t>
      </w:r>
      <w:bookmarkEnd w:id="12"/>
      <w:r w:rsidR="007C3AF8" w:rsidRPr="007C3AF8">
        <w:rPr>
          <w:rFonts w:eastAsia="Calibri" w:cs="Calibri"/>
        </w:rPr>
        <w:br/>
      </w:r>
      <w:r w:rsidR="007C3AF8" w:rsidRPr="007C3AF8">
        <w:rPr>
          <w:rFonts w:eastAsia="Calibri" w:cs="Calibri"/>
          <w:lang w:val="en-US"/>
        </w:rPr>
        <w:tab/>
        <w:t>Chair</w:t>
      </w:r>
      <w:r w:rsidR="007C3AF8">
        <w:rPr>
          <w:rFonts w:eastAsia="Calibri" w:cs="Calibri"/>
          <w:lang w:val="en-US"/>
        </w:rPr>
        <w:t>, EG-ITRs</w:t>
      </w:r>
    </w:p>
    <w:sectPr w:rsidR="007A3FCD" w:rsidRPr="007C3AF8" w:rsidSect="00AD360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E7C4E" w14:textId="77777777" w:rsidR="004C6313" w:rsidRDefault="004C6313">
      <w:r>
        <w:separator/>
      </w:r>
    </w:p>
  </w:endnote>
  <w:endnote w:type="continuationSeparator" w:id="0">
    <w:p w14:paraId="1EBA6817" w14:textId="77777777" w:rsidR="004C6313" w:rsidRDefault="004C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88F5" w14:textId="77777777" w:rsidR="00983C71" w:rsidRDefault="00983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34EA536E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983C71" w:rsidRPr="00983C71">
            <w:rPr>
              <w:noProof/>
            </w:rPr>
            <w:t>R2500696</w:t>
          </w:r>
        </w:p>
      </w:tc>
      <w:tc>
        <w:tcPr>
          <w:tcW w:w="8261" w:type="dxa"/>
        </w:tcPr>
        <w:p w14:paraId="6F6B3A01" w14:textId="5303E1D5" w:rsidR="00EE49E8" w:rsidRPr="00E06FD5" w:rsidRDefault="00EE49E8" w:rsidP="001B2238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4E2463">
            <w:rPr>
              <w:bCs/>
            </w:rPr>
            <w:t>26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059B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61AFEC83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4E2463">
            <w:rPr>
              <w:bCs/>
            </w:rPr>
            <w:t>26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059B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0FCE" w14:textId="77777777" w:rsidR="004C6313" w:rsidRDefault="004C6313">
      <w:r>
        <w:t>____________________</w:t>
      </w:r>
    </w:p>
  </w:footnote>
  <w:footnote w:type="continuationSeparator" w:id="0">
    <w:p w14:paraId="7C531D33" w14:textId="77777777" w:rsidR="004C6313" w:rsidRDefault="004C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C4B5" w14:textId="77777777" w:rsidR="00983C71" w:rsidRDefault="00983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A6D4A" w14:textId="77777777" w:rsidR="00983C71" w:rsidRDefault="00983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en-US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D357A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E3E83"/>
    <w:multiLevelType w:val="hybridMultilevel"/>
    <w:tmpl w:val="E10E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12A"/>
    <w:multiLevelType w:val="hybridMultilevel"/>
    <w:tmpl w:val="3012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5970"/>
    <w:multiLevelType w:val="hybridMultilevel"/>
    <w:tmpl w:val="8B50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2F1C"/>
    <w:multiLevelType w:val="hybridMultilevel"/>
    <w:tmpl w:val="0AACE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D266A"/>
    <w:multiLevelType w:val="hybridMultilevel"/>
    <w:tmpl w:val="DA54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666C"/>
    <w:multiLevelType w:val="hybridMultilevel"/>
    <w:tmpl w:val="20CA6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86128"/>
    <w:multiLevelType w:val="hybridMultilevel"/>
    <w:tmpl w:val="6784C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81770">
    <w:abstractNumId w:val="0"/>
  </w:num>
  <w:num w:numId="2" w16cid:durableId="369107740">
    <w:abstractNumId w:val="3"/>
  </w:num>
  <w:num w:numId="3" w16cid:durableId="986127310">
    <w:abstractNumId w:val="4"/>
  </w:num>
  <w:num w:numId="4" w16cid:durableId="1963994983">
    <w:abstractNumId w:val="1"/>
  </w:num>
  <w:num w:numId="5" w16cid:durableId="1747996939">
    <w:abstractNumId w:val="6"/>
  </w:num>
  <w:num w:numId="6" w16cid:durableId="1682275235">
    <w:abstractNumId w:val="2"/>
  </w:num>
  <w:num w:numId="7" w16cid:durableId="1660109528">
    <w:abstractNumId w:val="7"/>
  </w:num>
  <w:num w:numId="8" w16cid:durableId="1588149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F8"/>
    <w:rsid w:val="00001AA9"/>
    <w:rsid w:val="000210D4"/>
    <w:rsid w:val="00041D9E"/>
    <w:rsid w:val="0006007D"/>
    <w:rsid w:val="00063016"/>
    <w:rsid w:val="00066795"/>
    <w:rsid w:val="000745AB"/>
    <w:rsid w:val="00076AF6"/>
    <w:rsid w:val="00085CF2"/>
    <w:rsid w:val="000A3BFD"/>
    <w:rsid w:val="000B1705"/>
    <w:rsid w:val="000D75B2"/>
    <w:rsid w:val="000E3980"/>
    <w:rsid w:val="000E6F99"/>
    <w:rsid w:val="000F5DDB"/>
    <w:rsid w:val="000F7289"/>
    <w:rsid w:val="00101544"/>
    <w:rsid w:val="001121F5"/>
    <w:rsid w:val="001400DC"/>
    <w:rsid w:val="00140CE1"/>
    <w:rsid w:val="001628AD"/>
    <w:rsid w:val="0016465D"/>
    <w:rsid w:val="001658EA"/>
    <w:rsid w:val="0017539C"/>
    <w:rsid w:val="00175AC2"/>
    <w:rsid w:val="0017609F"/>
    <w:rsid w:val="001A3154"/>
    <w:rsid w:val="001A7D1D"/>
    <w:rsid w:val="001B2238"/>
    <w:rsid w:val="001B51DD"/>
    <w:rsid w:val="001C628E"/>
    <w:rsid w:val="001E0F7B"/>
    <w:rsid w:val="001E625E"/>
    <w:rsid w:val="001F5569"/>
    <w:rsid w:val="002016FD"/>
    <w:rsid w:val="002119FD"/>
    <w:rsid w:val="002130E0"/>
    <w:rsid w:val="00221F46"/>
    <w:rsid w:val="00264425"/>
    <w:rsid w:val="00265875"/>
    <w:rsid w:val="0027303B"/>
    <w:rsid w:val="00280689"/>
    <w:rsid w:val="0028109B"/>
    <w:rsid w:val="00281E91"/>
    <w:rsid w:val="002836EB"/>
    <w:rsid w:val="002A2188"/>
    <w:rsid w:val="002A2ADD"/>
    <w:rsid w:val="002B1F58"/>
    <w:rsid w:val="002B699A"/>
    <w:rsid w:val="002C1C7A"/>
    <w:rsid w:val="002C3F32"/>
    <w:rsid w:val="002C54E2"/>
    <w:rsid w:val="0030160F"/>
    <w:rsid w:val="003173E0"/>
    <w:rsid w:val="00320223"/>
    <w:rsid w:val="00322D0D"/>
    <w:rsid w:val="00332C06"/>
    <w:rsid w:val="00361465"/>
    <w:rsid w:val="003877F5"/>
    <w:rsid w:val="003936D3"/>
    <w:rsid w:val="003942D4"/>
    <w:rsid w:val="003958A8"/>
    <w:rsid w:val="003B29C2"/>
    <w:rsid w:val="003C2533"/>
    <w:rsid w:val="003D229F"/>
    <w:rsid w:val="003D5A7F"/>
    <w:rsid w:val="003F2B00"/>
    <w:rsid w:val="0040435A"/>
    <w:rsid w:val="00416A24"/>
    <w:rsid w:val="00427203"/>
    <w:rsid w:val="004275BA"/>
    <w:rsid w:val="00427BFF"/>
    <w:rsid w:val="00431D9E"/>
    <w:rsid w:val="00433CE8"/>
    <w:rsid w:val="00434A5C"/>
    <w:rsid w:val="0044123C"/>
    <w:rsid w:val="00452709"/>
    <w:rsid w:val="00453079"/>
    <w:rsid w:val="004544D9"/>
    <w:rsid w:val="00460E9A"/>
    <w:rsid w:val="00472BAD"/>
    <w:rsid w:val="004811F8"/>
    <w:rsid w:val="00484009"/>
    <w:rsid w:val="00490E72"/>
    <w:rsid w:val="00491157"/>
    <w:rsid w:val="00491BA9"/>
    <w:rsid w:val="004921C8"/>
    <w:rsid w:val="0049261D"/>
    <w:rsid w:val="00495B0B"/>
    <w:rsid w:val="004A1B8B"/>
    <w:rsid w:val="004A37FD"/>
    <w:rsid w:val="004B25A1"/>
    <w:rsid w:val="004C6313"/>
    <w:rsid w:val="004D1851"/>
    <w:rsid w:val="004D599D"/>
    <w:rsid w:val="004E2463"/>
    <w:rsid w:val="004E2EA5"/>
    <w:rsid w:val="004E3AEB"/>
    <w:rsid w:val="004F4AD9"/>
    <w:rsid w:val="0050223C"/>
    <w:rsid w:val="005059B0"/>
    <w:rsid w:val="00512B9B"/>
    <w:rsid w:val="005243FF"/>
    <w:rsid w:val="005629D0"/>
    <w:rsid w:val="00564FBC"/>
    <w:rsid w:val="005800BC"/>
    <w:rsid w:val="00582442"/>
    <w:rsid w:val="005A1C7F"/>
    <w:rsid w:val="005F3269"/>
    <w:rsid w:val="00603026"/>
    <w:rsid w:val="00623AE3"/>
    <w:rsid w:val="00630C4D"/>
    <w:rsid w:val="00644EC6"/>
    <w:rsid w:val="0064737F"/>
    <w:rsid w:val="006535F1"/>
    <w:rsid w:val="00654ED1"/>
    <w:rsid w:val="0065557D"/>
    <w:rsid w:val="00660D50"/>
    <w:rsid w:val="00662984"/>
    <w:rsid w:val="006716BB"/>
    <w:rsid w:val="006B1859"/>
    <w:rsid w:val="006B5D8E"/>
    <w:rsid w:val="006B6680"/>
    <w:rsid w:val="006B6DCC"/>
    <w:rsid w:val="006B77F1"/>
    <w:rsid w:val="006C5ECF"/>
    <w:rsid w:val="006D16D8"/>
    <w:rsid w:val="006D48BB"/>
    <w:rsid w:val="00702DEF"/>
    <w:rsid w:val="00706861"/>
    <w:rsid w:val="00722551"/>
    <w:rsid w:val="0075051B"/>
    <w:rsid w:val="0077110E"/>
    <w:rsid w:val="00777A07"/>
    <w:rsid w:val="00793188"/>
    <w:rsid w:val="00794D34"/>
    <w:rsid w:val="007A3FCD"/>
    <w:rsid w:val="007B19CF"/>
    <w:rsid w:val="007C3AF8"/>
    <w:rsid w:val="007D01AF"/>
    <w:rsid w:val="00813E5E"/>
    <w:rsid w:val="0083581B"/>
    <w:rsid w:val="008609A7"/>
    <w:rsid w:val="00863874"/>
    <w:rsid w:val="00864AFF"/>
    <w:rsid w:val="00865925"/>
    <w:rsid w:val="00875874"/>
    <w:rsid w:val="008B4A6A"/>
    <w:rsid w:val="008C451C"/>
    <w:rsid w:val="008C7E27"/>
    <w:rsid w:val="008D49D6"/>
    <w:rsid w:val="008F7448"/>
    <w:rsid w:val="0090147A"/>
    <w:rsid w:val="009173EF"/>
    <w:rsid w:val="009240E1"/>
    <w:rsid w:val="00932906"/>
    <w:rsid w:val="00941899"/>
    <w:rsid w:val="009566A1"/>
    <w:rsid w:val="00961B0B"/>
    <w:rsid w:val="00962D33"/>
    <w:rsid w:val="00983C30"/>
    <w:rsid w:val="00983C71"/>
    <w:rsid w:val="0098497E"/>
    <w:rsid w:val="00986EE9"/>
    <w:rsid w:val="009B38C3"/>
    <w:rsid w:val="009E17BD"/>
    <w:rsid w:val="009E485A"/>
    <w:rsid w:val="00A04CEC"/>
    <w:rsid w:val="00A27F92"/>
    <w:rsid w:val="00A32257"/>
    <w:rsid w:val="00A36D20"/>
    <w:rsid w:val="00A46FD7"/>
    <w:rsid w:val="00A514A4"/>
    <w:rsid w:val="00A55622"/>
    <w:rsid w:val="00A56B3E"/>
    <w:rsid w:val="00A83502"/>
    <w:rsid w:val="00A94BAB"/>
    <w:rsid w:val="00AD15B3"/>
    <w:rsid w:val="00AD3606"/>
    <w:rsid w:val="00AD4A3D"/>
    <w:rsid w:val="00AD677D"/>
    <w:rsid w:val="00AF6E49"/>
    <w:rsid w:val="00B04A67"/>
    <w:rsid w:val="00B0583C"/>
    <w:rsid w:val="00B21B07"/>
    <w:rsid w:val="00B40A81"/>
    <w:rsid w:val="00B44910"/>
    <w:rsid w:val="00B61376"/>
    <w:rsid w:val="00B72267"/>
    <w:rsid w:val="00B76EB6"/>
    <w:rsid w:val="00B7737B"/>
    <w:rsid w:val="00B824C8"/>
    <w:rsid w:val="00B84B9D"/>
    <w:rsid w:val="00B9131F"/>
    <w:rsid w:val="00B97391"/>
    <w:rsid w:val="00BB0646"/>
    <w:rsid w:val="00BC251A"/>
    <w:rsid w:val="00BD032B"/>
    <w:rsid w:val="00BE01C6"/>
    <w:rsid w:val="00BE2640"/>
    <w:rsid w:val="00BF1FDE"/>
    <w:rsid w:val="00C01189"/>
    <w:rsid w:val="00C0458D"/>
    <w:rsid w:val="00C33061"/>
    <w:rsid w:val="00C374DE"/>
    <w:rsid w:val="00C47AD4"/>
    <w:rsid w:val="00C52D81"/>
    <w:rsid w:val="00C546C7"/>
    <w:rsid w:val="00C55198"/>
    <w:rsid w:val="00C6520B"/>
    <w:rsid w:val="00C86536"/>
    <w:rsid w:val="00CA6393"/>
    <w:rsid w:val="00CA7995"/>
    <w:rsid w:val="00CB18FF"/>
    <w:rsid w:val="00CB6255"/>
    <w:rsid w:val="00CB65EC"/>
    <w:rsid w:val="00CD0C08"/>
    <w:rsid w:val="00CE03FB"/>
    <w:rsid w:val="00CE433C"/>
    <w:rsid w:val="00CF0161"/>
    <w:rsid w:val="00CF33F3"/>
    <w:rsid w:val="00CF4A2B"/>
    <w:rsid w:val="00D024CA"/>
    <w:rsid w:val="00D06183"/>
    <w:rsid w:val="00D134C8"/>
    <w:rsid w:val="00D150E5"/>
    <w:rsid w:val="00D22C42"/>
    <w:rsid w:val="00D65041"/>
    <w:rsid w:val="00DB1936"/>
    <w:rsid w:val="00DB384B"/>
    <w:rsid w:val="00DD03B5"/>
    <w:rsid w:val="00DD11ED"/>
    <w:rsid w:val="00DE7863"/>
    <w:rsid w:val="00DF0189"/>
    <w:rsid w:val="00DF26C9"/>
    <w:rsid w:val="00E06FD5"/>
    <w:rsid w:val="00E10E80"/>
    <w:rsid w:val="00E124F0"/>
    <w:rsid w:val="00E20DFF"/>
    <w:rsid w:val="00E227F3"/>
    <w:rsid w:val="00E545C6"/>
    <w:rsid w:val="00E60F04"/>
    <w:rsid w:val="00E65B24"/>
    <w:rsid w:val="00E6767D"/>
    <w:rsid w:val="00E854E4"/>
    <w:rsid w:val="00E86DBF"/>
    <w:rsid w:val="00E95B46"/>
    <w:rsid w:val="00E969AF"/>
    <w:rsid w:val="00EB0D6F"/>
    <w:rsid w:val="00EB1DAB"/>
    <w:rsid w:val="00EB2232"/>
    <w:rsid w:val="00EC5337"/>
    <w:rsid w:val="00EE49E8"/>
    <w:rsid w:val="00EE7B59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72D2E"/>
    <w:rsid w:val="00F94A63"/>
    <w:rsid w:val="00FA1C28"/>
    <w:rsid w:val="00FB1279"/>
    <w:rsid w:val="00FB6B76"/>
    <w:rsid w:val="00FB7596"/>
    <w:rsid w:val="00FE32A1"/>
    <w:rsid w:val="00FE4077"/>
    <w:rsid w:val="00FE500D"/>
    <w:rsid w:val="00FE77D2"/>
    <w:rsid w:val="00FF35A3"/>
    <w:rsid w:val="00FF39B1"/>
    <w:rsid w:val="00FF6099"/>
    <w:rsid w:val="1CC267BF"/>
    <w:rsid w:val="2E37DDFD"/>
    <w:rsid w:val="46FB617A"/>
    <w:rsid w:val="60E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4F4AD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BodyA">
    <w:name w:val="Body A"/>
    <w:rsid w:val="006D48B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6D48B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6D48B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173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73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73E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7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73E0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059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59B0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4E246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2463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7C3AF8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rsid w:val="007C3AF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Pages/eg-itr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3-CL-C-0121/en" TargetMode="External"/><Relationship Id="rId17" Type="http://schemas.openxmlformats.org/officeDocument/2006/relationships/hyperlink" Target="https://www.itu.int/md/S25-EGITRS4-C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EGITRS3-C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146-E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EGITRS4-C-0009/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EGITRS3-C-0012/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A66C95AE4CC46BDA81D3B6BCD94C7" ma:contentTypeVersion="3" ma:contentTypeDescription="Crée un document." ma:contentTypeScope="" ma:versionID="c34b6fb7fc2b45debeef660ebd1cc9ef">
  <xsd:schema xmlns:xsd="http://www.w3.org/2001/XMLSchema" xmlns:xs="http://www.w3.org/2001/XMLSchema" xmlns:p="http://schemas.microsoft.com/office/2006/metadata/properties" xmlns:ns2="933e5fb7-26c4-4b63-9a61-e4cecab8237e" targetNamespace="http://schemas.microsoft.com/office/2006/metadata/properties" ma:root="true" ma:fieldsID="88cbbd8854adef1cb85675fbf86c6005" ns2:_="">
    <xsd:import namespace="933e5fb7-26c4-4b63-9a61-e4cecab8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e5fb7-26c4-4b63-9a61-e4cecab82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CD62-4C52-4450-99B5-2CB6FBC08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e5fb7-26c4-4b63-9a61-e4cecab8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6A3C7-6939-431D-A576-E8DB9CCEF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EA50C-78BB-4A41-957B-1EC33E8C35E8}">
  <ds:schemaRefs>
    <ds:schemaRef ds:uri="933e5fb7-26c4-4b63-9a61-e4cecab8237e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548A25-105F-44DD-9EF7-2B19DD2E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3528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by the Chair of the Expert Group on the International Telecommunication Regulations</vt:lpstr>
    </vt:vector>
  </TitlesOfParts>
  <Manager>General Secretariat</Manager>
  <Company>International Telecommunication Union (ITU)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by the Chair of the Expert Group on the International Telecommunication Regulations</dc:title>
  <dc:subject>Council 2025</dc:subject>
  <cp:keywords>C25; C2025; Council 2025; ITU160</cp:keywords>
  <dc:description/>
  <cp:lastPrinted>2000-07-18T13:30:00Z</cp:lastPrinted>
  <dcterms:created xsi:type="dcterms:W3CDTF">2025-04-17T06:57:00Z</dcterms:created>
  <dcterms:modified xsi:type="dcterms:W3CDTF">2025-04-17T08:33:00Z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0x010100835A66C95AE4CC46BDA81D3B6BCD94C7</vt:lpwstr>
  </property>
</Properties>
</file>