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5"/>
        <w:gridCol w:w="2966"/>
      </w:tblGrid>
      <w:tr w:rsidR="007B0AA0" w14:paraId="6ADB3454" w14:textId="77777777" w:rsidTr="00F363FE">
        <w:tc>
          <w:tcPr>
            <w:tcW w:w="6512" w:type="dxa"/>
          </w:tcPr>
          <w:p w14:paraId="459F6C33" w14:textId="739E9230" w:rsidR="007B0AA0" w:rsidRPr="007B0AA0" w:rsidRDefault="007B0AA0" w:rsidP="00F363FE">
            <w:pPr>
              <w:spacing w:before="60" w:after="60" w:line="260" w:lineRule="exact"/>
              <w:rPr>
                <w:b/>
                <w:bCs/>
                <w:rtl/>
                <w:lang w:bidi="ar-EG"/>
              </w:rPr>
            </w:pPr>
            <w:r w:rsidRPr="007B0AA0">
              <w:rPr>
                <w:rFonts w:hint="cs"/>
                <w:b/>
                <w:bCs/>
                <w:rtl/>
                <w:lang w:bidi="ar-EG"/>
              </w:rPr>
              <w:t>بند جدول الأعمال:</w:t>
            </w:r>
            <w:r w:rsidR="00B95F0F">
              <w:rPr>
                <w:rFonts w:hint="cs"/>
                <w:b/>
                <w:bCs/>
                <w:rtl/>
                <w:lang w:bidi="ar-EG"/>
              </w:rPr>
              <w:t xml:space="preserve"> </w:t>
            </w:r>
            <w:r w:rsidR="00B95F0F" w:rsidRPr="00F172F2">
              <w:rPr>
                <w:b/>
                <w:bCs/>
                <w:color w:val="000000"/>
                <w:rtl/>
              </w:rPr>
              <w:t>PL 2</w:t>
            </w:r>
          </w:p>
        </w:tc>
        <w:tc>
          <w:tcPr>
            <w:tcW w:w="3117" w:type="dxa"/>
          </w:tcPr>
          <w:p w14:paraId="1006AB02" w14:textId="6D16D40A"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w:t>
            </w:r>
            <w:r w:rsidR="006F363C">
              <w:rPr>
                <w:b/>
                <w:bCs/>
                <w:lang w:bidi="ar-EG"/>
              </w:rPr>
              <w:t>5</w:t>
            </w:r>
            <w:r w:rsidRPr="007B0AA0">
              <w:rPr>
                <w:b/>
                <w:bCs/>
                <w:lang w:bidi="ar-EG"/>
              </w:rPr>
              <w:t>/</w:t>
            </w:r>
            <w:r w:rsidR="00B95F0F">
              <w:rPr>
                <w:b/>
                <w:bCs/>
                <w:lang w:bidi="ar-EG"/>
              </w:rPr>
              <w:t>26</w:t>
            </w:r>
            <w:r w:rsidRPr="007B0AA0">
              <w:rPr>
                <w:b/>
                <w:bCs/>
                <w:lang w:bidi="ar-EG"/>
              </w:rPr>
              <w:t>-A</w:t>
            </w:r>
          </w:p>
        </w:tc>
      </w:tr>
      <w:tr w:rsidR="007B0AA0" w14:paraId="66C1D0DE" w14:textId="77777777" w:rsidTr="00F363FE">
        <w:tc>
          <w:tcPr>
            <w:tcW w:w="6512" w:type="dxa"/>
          </w:tcPr>
          <w:p w14:paraId="76737B17" w14:textId="77777777" w:rsidR="007B0AA0" w:rsidRPr="007B0AA0" w:rsidRDefault="007B0AA0" w:rsidP="00F363FE">
            <w:pPr>
              <w:spacing w:before="60" w:after="60" w:line="260" w:lineRule="exact"/>
              <w:rPr>
                <w:b/>
                <w:bCs/>
                <w:rtl/>
                <w:lang w:bidi="ar-EG"/>
              </w:rPr>
            </w:pPr>
          </w:p>
        </w:tc>
        <w:tc>
          <w:tcPr>
            <w:tcW w:w="3117" w:type="dxa"/>
          </w:tcPr>
          <w:p w14:paraId="474615DE" w14:textId="59223663" w:rsidR="007B0AA0" w:rsidRPr="007B0AA0" w:rsidRDefault="00B95F0F" w:rsidP="00F363FE">
            <w:pPr>
              <w:spacing w:before="60" w:after="60" w:line="260" w:lineRule="exact"/>
              <w:rPr>
                <w:b/>
                <w:bCs/>
                <w:rtl/>
                <w:lang w:bidi="ar-EG"/>
              </w:rPr>
            </w:pPr>
            <w:r>
              <w:rPr>
                <w:rFonts w:hint="cs"/>
                <w:b/>
                <w:bCs/>
                <w:rtl/>
              </w:rPr>
              <w:t>‏17‏ أبريل‏ 2025</w:t>
            </w:r>
          </w:p>
        </w:tc>
      </w:tr>
      <w:tr w:rsidR="007B0AA0" w14:paraId="62BF5015" w14:textId="77777777" w:rsidTr="00F363FE">
        <w:tc>
          <w:tcPr>
            <w:tcW w:w="6512" w:type="dxa"/>
          </w:tcPr>
          <w:p w14:paraId="3476D214" w14:textId="77777777" w:rsidR="007B0AA0" w:rsidRPr="007B0AA0" w:rsidRDefault="007B0AA0" w:rsidP="00F363FE">
            <w:pPr>
              <w:spacing w:before="60" w:after="60" w:line="260" w:lineRule="exact"/>
              <w:rPr>
                <w:b/>
                <w:bCs/>
                <w:rtl/>
                <w:lang w:bidi="ar-EG"/>
              </w:rPr>
            </w:pPr>
          </w:p>
        </w:tc>
        <w:tc>
          <w:tcPr>
            <w:tcW w:w="3117" w:type="dxa"/>
          </w:tcPr>
          <w:p w14:paraId="4D6625A7" w14:textId="77777777" w:rsidR="007B0AA0" w:rsidRPr="007B0AA0" w:rsidRDefault="001D64C7" w:rsidP="00F363FE">
            <w:pPr>
              <w:spacing w:before="60" w:after="60" w:line="260" w:lineRule="exact"/>
              <w:rPr>
                <w:b/>
                <w:bCs/>
                <w:rtl/>
                <w:lang w:bidi="ar-EG"/>
              </w:rPr>
            </w:pPr>
            <w:r w:rsidRPr="007B0AA0">
              <w:rPr>
                <w:rFonts w:hint="cs"/>
                <w:b/>
                <w:bCs/>
                <w:rtl/>
                <w:lang w:bidi="ar-EG"/>
              </w:rPr>
              <w:t>الأصل: بالإنكليزية</w:t>
            </w:r>
          </w:p>
        </w:tc>
      </w:tr>
      <w:tr w:rsidR="007B0AA0" w14:paraId="43136F49" w14:textId="77777777" w:rsidTr="00F363FE">
        <w:tc>
          <w:tcPr>
            <w:tcW w:w="6512" w:type="dxa"/>
          </w:tcPr>
          <w:p w14:paraId="60701C5B" w14:textId="77777777" w:rsidR="007B0AA0" w:rsidRDefault="007B0AA0" w:rsidP="00F363FE">
            <w:pPr>
              <w:spacing w:before="60" w:after="60" w:line="260" w:lineRule="exact"/>
              <w:rPr>
                <w:lang w:bidi="ar-EG"/>
              </w:rPr>
            </w:pPr>
          </w:p>
        </w:tc>
        <w:tc>
          <w:tcPr>
            <w:tcW w:w="3117" w:type="dxa"/>
          </w:tcPr>
          <w:p w14:paraId="47FCAA05" w14:textId="77777777" w:rsidR="007B0AA0" w:rsidRDefault="007B0AA0" w:rsidP="00F363FE">
            <w:pPr>
              <w:spacing w:before="60" w:after="60" w:line="260" w:lineRule="exact"/>
              <w:rPr>
                <w:rtl/>
                <w:lang w:bidi="ar-EG"/>
              </w:rPr>
            </w:pPr>
          </w:p>
        </w:tc>
      </w:tr>
      <w:tr w:rsidR="007B0AA0" w14:paraId="511AEB22" w14:textId="77777777" w:rsidTr="00EE7446">
        <w:tc>
          <w:tcPr>
            <w:tcW w:w="9629" w:type="dxa"/>
            <w:gridSpan w:val="2"/>
          </w:tcPr>
          <w:p w14:paraId="5BA12BD1" w14:textId="5B47AEA7" w:rsidR="007B0AA0" w:rsidRDefault="00B95F0F" w:rsidP="007B0AA0">
            <w:pPr>
              <w:pStyle w:val="Source"/>
              <w:jc w:val="left"/>
              <w:rPr>
                <w:lang w:bidi="ar-EG"/>
              </w:rPr>
            </w:pPr>
            <w:r w:rsidRPr="00B95F0F">
              <w:rPr>
                <w:rtl/>
                <w:lang w:bidi="ar-EG"/>
              </w:rPr>
              <w:t>رئيس</w:t>
            </w:r>
            <w:r w:rsidR="003D5F7D">
              <w:rPr>
                <w:rFonts w:hint="cs"/>
                <w:rtl/>
                <w:lang w:bidi="ar-EG"/>
              </w:rPr>
              <w:t>ة</w:t>
            </w:r>
            <w:r w:rsidRPr="00B95F0F">
              <w:rPr>
                <w:rtl/>
                <w:lang w:bidi="ar-EG"/>
              </w:rPr>
              <w:t xml:space="preserve"> فريق الخبراء المعني بلوائح الاتصالات الدولية</w:t>
            </w:r>
          </w:p>
        </w:tc>
      </w:tr>
      <w:tr w:rsidR="007B0AA0" w14:paraId="7E9F2587" w14:textId="77777777" w:rsidTr="007B0AA0">
        <w:tc>
          <w:tcPr>
            <w:tcW w:w="9629" w:type="dxa"/>
            <w:gridSpan w:val="2"/>
            <w:tcBorders>
              <w:bottom w:val="single" w:sz="4" w:space="0" w:color="auto"/>
            </w:tcBorders>
          </w:tcPr>
          <w:p w14:paraId="10BB5B02" w14:textId="68041F92" w:rsidR="007B0AA0" w:rsidRPr="005546CF" w:rsidRDefault="00B95F0F" w:rsidP="007B0AA0">
            <w:pPr>
              <w:pStyle w:val="Subtitle0"/>
              <w:rPr>
                <w:sz w:val="32"/>
                <w:szCs w:val="32"/>
              </w:rPr>
            </w:pPr>
            <w:r w:rsidRPr="00B95F0F">
              <w:rPr>
                <w:sz w:val="32"/>
                <w:szCs w:val="32"/>
                <w:rtl/>
              </w:rPr>
              <w:t>تقرير مرحلي من رئيس</w:t>
            </w:r>
            <w:r w:rsidR="003D5F7D">
              <w:rPr>
                <w:rFonts w:hint="cs"/>
                <w:sz w:val="32"/>
                <w:szCs w:val="32"/>
                <w:rtl/>
              </w:rPr>
              <w:t>ة</w:t>
            </w:r>
            <w:r w:rsidRPr="00B95F0F">
              <w:rPr>
                <w:sz w:val="32"/>
                <w:szCs w:val="32"/>
                <w:rtl/>
              </w:rPr>
              <w:t xml:space="preserve"> فريق الخبراء المعني بلوائح الاتصالات الدولية</w:t>
            </w:r>
          </w:p>
        </w:tc>
      </w:tr>
      <w:tr w:rsidR="007B0AA0" w14:paraId="053A0CD1" w14:textId="77777777" w:rsidTr="007B0AA0">
        <w:tc>
          <w:tcPr>
            <w:tcW w:w="9629" w:type="dxa"/>
            <w:gridSpan w:val="2"/>
            <w:tcBorders>
              <w:top w:val="single" w:sz="4" w:space="0" w:color="auto"/>
              <w:bottom w:val="single" w:sz="4" w:space="0" w:color="auto"/>
            </w:tcBorders>
          </w:tcPr>
          <w:p w14:paraId="3A6FA906" w14:textId="5C6A0204" w:rsidR="007B0AA0" w:rsidRPr="007B0AA0" w:rsidRDefault="007B0AA0" w:rsidP="007B0AA0">
            <w:pPr>
              <w:rPr>
                <w:b/>
                <w:bCs/>
                <w:rtl/>
              </w:rPr>
            </w:pPr>
            <w:r w:rsidRPr="007B0AA0">
              <w:rPr>
                <w:rFonts w:hint="cs"/>
                <w:b/>
                <w:bCs/>
                <w:rtl/>
              </w:rPr>
              <w:t>الغرض</w:t>
            </w:r>
          </w:p>
          <w:p w14:paraId="68B4241E" w14:textId="79774A9B" w:rsidR="007B0AA0" w:rsidRDefault="00B95F0F" w:rsidP="007B0AA0">
            <w:pPr>
              <w:rPr>
                <w:rtl/>
              </w:rPr>
            </w:pPr>
            <w:r w:rsidRPr="00B95F0F">
              <w:rPr>
                <w:rtl/>
              </w:rPr>
              <w:t>يلخص هذا التقرير النتائج الرئيسية للاجتماعين الثالث والرابع لفريق الخبراء المعني بلوائح الاتصالات الدولية اللذين عقدا في الفترة من 30 سبتمبر إلى 1 أكتوبر 2024 ومن 20 إلى 21 فبراير 2025 على التوالي، وفقاً للقرار 146 (المراج</w:t>
            </w:r>
            <w:r w:rsidR="00FE762E">
              <w:rPr>
                <w:rFonts w:hint="cs"/>
                <w:rtl/>
              </w:rPr>
              <w:t>َ</w:t>
            </w:r>
            <w:r w:rsidRPr="00B95F0F">
              <w:rPr>
                <w:rtl/>
              </w:rPr>
              <w:t>ع في بوخارست، 2022) لمؤتمر المندوبين المفوضين وقرار المجلس 1379 (المعدَّل في 2023).</w:t>
            </w:r>
          </w:p>
          <w:p w14:paraId="61DA840A" w14:textId="77777777" w:rsidR="007B0AA0" w:rsidRPr="007B0AA0" w:rsidRDefault="007B0AA0" w:rsidP="007B0AA0">
            <w:pPr>
              <w:rPr>
                <w:b/>
                <w:bCs/>
                <w:rtl/>
              </w:rPr>
            </w:pPr>
            <w:r w:rsidRPr="007B0AA0">
              <w:rPr>
                <w:rFonts w:hint="cs"/>
                <w:b/>
                <w:bCs/>
                <w:rtl/>
              </w:rPr>
              <w:t>الإجراء المطلوب من المجلس</w:t>
            </w:r>
          </w:p>
          <w:p w14:paraId="1708581D" w14:textId="75043BB9" w:rsidR="007B0AA0" w:rsidRDefault="00B95F0F" w:rsidP="007B0AA0">
            <w:pPr>
              <w:rPr>
                <w:rtl/>
              </w:rPr>
            </w:pPr>
            <w:r w:rsidRPr="00B95F0F">
              <w:rPr>
                <w:rtl/>
              </w:rPr>
              <w:t xml:space="preserve">يُدعى المجلس إلى </w:t>
            </w:r>
            <w:r w:rsidRPr="00E139A4">
              <w:rPr>
                <w:b/>
                <w:bCs/>
                <w:rtl/>
              </w:rPr>
              <w:t>الإحاطة علماً</w:t>
            </w:r>
            <w:r w:rsidRPr="00B95F0F">
              <w:rPr>
                <w:rtl/>
              </w:rPr>
              <w:t xml:space="preserve"> بالتقرير.</w:t>
            </w:r>
          </w:p>
          <w:p w14:paraId="36291A44" w14:textId="77777777" w:rsidR="007B0AA0" w:rsidRPr="007B0AA0" w:rsidRDefault="007B0AA0" w:rsidP="007B0AA0">
            <w:pPr>
              <w:rPr>
                <w:b/>
                <w:bCs/>
                <w:rtl/>
              </w:rPr>
            </w:pPr>
            <w:r w:rsidRPr="007B0AA0">
              <w:rPr>
                <w:b/>
                <w:bCs/>
                <w:rtl/>
              </w:rPr>
              <w:t>الارتباط ذو الصلة بالخطة (الخطط) ال</w:t>
            </w:r>
            <w:r w:rsidRPr="007B0AA0">
              <w:rPr>
                <w:rFonts w:hint="cs"/>
                <w:b/>
                <w:bCs/>
                <w:rtl/>
              </w:rPr>
              <w:t>ا</w:t>
            </w:r>
            <w:r w:rsidRPr="007B0AA0">
              <w:rPr>
                <w:b/>
                <w:bCs/>
                <w:rtl/>
              </w:rPr>
              <w:t>ستراتيجية</w:t>
            </w:r>
          </w:p>
          <w:p w14:paraId="61E1725A" w14:textId="76DE17A0" w:rsidR="007B0AA0" w:rsidRDefault="00B95F0F" w:rsidP="007B0AA0">
            <w:pPr>
              <w:rPr>
                <w:rtl/>
              </w:rPr>
            </w:pPr>
            <w:r w:rsidRPr="00B95F0F">
              <w:rPr>
                <w:rtl/>
              </w:rPr>
              <w:t>منصة جامعة؛ وضع اللوائح الإدارية للاتحاد وتطبيقها.</w:t>
            </w:r>
          </w:p>
          <w:p w14:paraId="20ECC3C2" w14:textId="77777777" w:rsidR="007B0AA0" w:rsidRDefault="007B0AA0" w:rsidP="00B97F32">
            <w:pPr>
              <w:rPr>
                <w:b/>
                <w:bCs/>
              </w:rPr>
            </w:pPr>
            <w:r w:rsidRPr="007B0AA0">
              <w:rPr>
                <w:rFonts w:hint="cs"/>
                <w:b/>
                <w:bCs/>
                <w:rtl/>
              </w:rPr>
              <w:t>الآثار المالية</w:t>
            </w:r>
          </w:p>
          <w:p w14:paraId="361EB3E2" w14:textId="2D17D42F" w:rsidR="006F363C" w:rsidRPr="005546CF" w:rsidRDefault="00B95F0F" w:rsidP="007B0AA0">
            <w:pPr>
              <w:rPr>
                <w:rtl/>
              </w:rPr>
            </w:pPr>
            <w:r w:rsidRPr="00B95F0F">
              <w:rPr>
                <w:rtl/>
              </w:rPr>
              <w:t>ضمن الميزانية المخصصة لفترة السنتين 2024-2025.</w:t>
            </w:r>
          </w:p>
          <w:p w14:paraId="52E7A6BD"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1BF47EFF" w14:textId="77777777" w:rsidR="007B0AA0" w:rsidRPr="007B0AA0" w:rsidRDefault="007B0AA0" w:rsidP="007B0AA0">
            <w:pPr>
              <w:rPr>
                <w:b/>
                <w:bCs/>
                <w:rtl/>
              </w:rPr>
            </w:pPr>
            <w:r w:rsidRPr="007B0AA0">
              <w:rPr>
                <w:rFonts w:hint="cs"/>
                <w:b/>
                <w:bCs/>
                <w:rtl/>
              </w:rPr>
              <w:t>المراجع</w:t>
            </w:r>
          </w:p>
          <w:p w14:paraId="0DB8CA6A" w14:textId="46441970" w:rsidR="007B0AA0" w:rsidRPr="005546CF" w:rsidRDefault="00B95F0F" w:rsidP="007B0AA0">
            <w:pPr>
              <w:rPr>
                <w:i/>
                <w:iCs/>
                <w:rtl/>
              </w:rPr>
            </w:pPr>
            <w:hyperlink r:id="rId8" w:history="1">
              <w:r w:rsidRPr="00E61D1B">
                <w:rPr>
                  <w:rStyle w:val="Hyperlink"/>
                  <w:rFonts w:ascii="Dubai" w:eastAsiaTheme="minorEastAsia" w:hAnsi="Dubai" w:cs="Dubai"/>
                  <w:i/>
                  <w:iCs/>
                  <w:noProof w:val="0"/>
                  <w:sz w:val="22"/>
                  <w:rtl/>
                  <w:lang w:val="en-US" w:eastAsia="zh-CN"/>
                </w:rPr>
                <w:t>القرار 146 (المراجَع في بوخارست، 2022)</w:t>
              </w:r>
            </w:hyperlink>
            <w:r w:rsidRPr="00B95F0F">
              <w:rPr>
                <w:i/>
                <w:iCs/>
                <w:rtl/>
              </w:rPr>
              <w:t xml:space="preserve"> لمؤتمر المندوبين المفوضين؛ و</w:t>
            </w:r>
            <w:hyperlink r:id="rId9" w:history="1">
              <w:r w:rsidRPr="00E61D1B">
                <w:rPr>
                  <w:rStyle w:val="Hyperlink"/>
                  <w:rFonts w:ascii="Dubai" w:eastAsiaTheme="minorEastAsia" w:hAnsi="Dubai" w:cs="Dubai"/>
                  <w:i/>
                  <w:iCs/>
                  <w:noProof w:val="0"/>
                  <w:sz w:val="22"/>
                  <w:rtl/>
                  <w:lang w:val="en-US" w:eastAsia="zh-CN"/>
                </w:rPr>
                <w:t>قرار المجلس 1379 (المعد</w:t>
              </w:r>
              <w:r w:rsidR="00CC2889">
                <w:rPr>
                  <w:rStyle w:val="Hyperlink"/>
                  <w:rFonts w:ascii="Dubai" w:eastAsiaTheme="minorEastAsia" w:hAnsi="Dubai" w:cs="Dubai" w:hint="cs"/>
                  <w:i/>
                  <w:iCs/>
                  <w:noProof w:val="0"/>
                  <w:sz w:val="22"/>
                  <w:rtl/>
                  <w:lang w:val="en-US" w:eastAsia="zh-CN"/>
                </w:rPr>
                <w:t>ّ</w:t>
              </w:r>
              <w:r w:rsidRPr="00E61D1B">
                <w:rPr>
                  <w:rStyle w:val="Hyperlink"/>
                  <w:rFonts w:ascii="Dubai" w:eastAsiaTheme="minorEastAsia" w:hAnsi="Dubai" w:cs="Dubai"/>
                  <w:i/>
                  <w:iCs/>
                  <w:noProof w:val="0"/>
                  <w:sz w:val="22"/>
                  <w:rtl/>
                  <w:lang w:val="en-US" w:eastAsia="zh-CN"/>
                </w:rPr>
                <w:t>َل في 2023)</w:t>
              </w:r>
            </w:hyperlink>
          </w:p>
        </w:tc>
      </w:tr>
    </w:tbl>
    <w:p w14:paraId="1F0A6C45" w14:textId="77777777" w:rsidR="00E61BE8" w:rsidRDefault="00E61BE8" w:rsidP="00E61BE8">
      <w:pPr>
        <w:rPr>
          <w:rtl/>
          <w:lang w:bidi="ar-EG"/>
        </w:rPr>
      </w:pPr>
    </w:p>
    <w:p w14:paraId="6DE84B56" w14:textId="77777777" w:rsidR="00F50E3F" w:rsidRDefault="00F50E3F" w:rsidP="0043260A">
      <w:pPr>
        <w:rPr>
          <w:rtl/>
          <w:lang w:bidi="ar-EG"/>
        </w:rPr>
      </w:pPr>
      <w:r>
        <w:rPr>
          <w:rtl/>
          <w:lang w:bidi="ar-EG"/>
        </w:rPr>
        <w:br w:type="page"/>
      </w:r>
    </w:p>
    <w:p w14:paraId="0F42872D" w14:textId="77777777" w:rsidR="00B95F0F" w:rsidRDefault="00B95F0F" w:rsidP="00EF5A92">
      <w:pPr>
        <w:pStyle w:val="Heading1"/>
        <w:rPr>
          <w:rtl/>
          <w:lang w:bidi="ar-EG"/>
        </w:rPr>
      </w:pPr>
      <w:r>
        <w:rPr>
          <w:rtl/>
          <w:lang w:bidi="ar-EG"/>
        </w:rPr>
        <w:lastRenderedPageBreak/>
        <w:t>1</w:t>
      </w:r>
      <w:r>
        <w:rPr>
          <w:rtl/>
          <w:lang w:bidi="ar-EG"/>
        </w:rPr>
        <w:tab/>
        <w:t>مقدمة</w:t>
      </w:r>
    </w:p>
    <w:p w14:paraId="0648843F" w14:textId="6BE56117" w:rsidR="00B95F0F" w:rsidRDefault="00EF5A92" w:rsidP="00EF5A92">
      <w:pPr>
        <w:rPr>
          <w:rtl/>
          <w:lang w:bidi="ar-EG"/>
        </w:rPr>
      </w:pPr>
      <w:r>
        <w:rPr>
          <w:lang w:bidi="ar-EG"/>
        </w:rPr>
        <w:t>1.1</w:t>
      </w:r>
      <w:r w:rsidR="00B95F0F">
        <w:rPr>
          <w:rtl/>
          <w:lang w:bidi="ar-EG"/>
        </w:rPr>
        <w:tab/>
        <w:t xml:space="preserve">دُعي </w:t>
      </w:r>
      <w:hyperlink r:id="rId10" w:anchor="/ar" w:history="1">
        <w:r w:rsidR="00B95F0F" w:rsidRPr="00EF5A92">
          <w:rPr>
            <w:rStyle w:val="Hyperlink"/>
            <w:rFonts w:ascii="Dubai" w:eastAsiaTheme="minorEastAsia" w:hAnsi="Dubai" w:cs="Dubai"/>
            <w:noProof w:val="0"/>
            <w:sz w:val="22"/>
            <w:rtl/>
            <w:lang w:val="en-US" w:eastAsia="zh-CN" w:bidi="ar-EG"/>
          </w:rPr>
          <w:t>فريق الخبراء المعني بلوائح الاتصالات الدولية (</w:t>
        </w:r>
        <w:r w:rsidR="00B95F0F" w:rsidRPr="00EF5A92">
          <w:rPr>
            <w:rStyle w:val="Hyperlink"/>
            <w:rFonts w:ascii="Dubai" w:eastAsiaTheme="minorEastAsia" w:hAnsi="Dubai" w:cs="Dubai"/>
            <w:noProof w:val="0"/>
            <w:sz w:val="22"/>
            <w:lang w:val="en-US" w:eastAsia="zh-CN" w:bidi="ar-EG"/>
          </w:rPr>
          <w:t>EG-ITR</w:t>
        </w:r>
        <w:r w:rsidR="00B95F0F" w:rsidRPr="00EF5A92">
          <w:rPr>
            <w:rStyle w:val="Hyperlink"/>
            <w:rFonts w:ascii="Dubai" w:eastAsiaTheme="minorEastAsia" w:hAnsi="Dubai" w:cs="Dubai"/>
            <w:noProof w:val="0"/>
            <w:sz w:val="22"/>
            <w:rtl/>
            <w:lang w:val="en-US" w:eastAsia="zh-CN" w:bidi="ar-EG"/>
          </w:rPr>
          <w:t>)</w:t>
        </w:r>
      </w:hyperlink>
      <w:r w:rsidR="00B95F0F">
        <w:rPr>
          <w:rtl/>
          <w:lang w:bidi="ar-EG"/>
        </w:rPr>
        <w:t>، المفتوح العضوية أمام جميع الدول الأعضاء وأعضاء القطاعات، مجدداً إلى الاجتماع بموجب قرار المجلس 1379 (المعدّل في 2023) لمواصلة النظر في القضايا المتعلقة بلوائح الاتصالات الدولية، بما في ذلك استعراضها، وتكون له الاختصاصات المحددة في الملحق 1 بهذا القرار.</w:t>
      </w:r>
    </w:p>
    <w:p w14:paraId="27060F86" w14:textId="71E49AA2" w:rsidR="00B95F0F" w:rsidRDefault="00EF5A92" w:rsidP="00E139A4">
      <w:pPr>
        <w:rPr>
          <w:rtl/>
          <w:lang w:bidi="ar-EG"/>
        </w:rPr>
      </w:pPr>
      <w:r>
        <w:rPr>
          <w:lang w:bidi="ar-EG"/>
        </w:rPr>
        <w:t>2.1</w:t>
      </w:r>
      <w:r w:rsidR="00B95F0F">
        <w:rPr>
          <w:rtl/>
          <w:lang w:bidi="ar-EG"/>
        </w:rPr>
        <w:tab/>
        <w:t>واختصاصات فريق الخبراء المعني بلوائح الاتصالات الدولية (‏</w:t>
      </w:r>
      <w:r w:rsidR="00B95F0F">
        <w:rPr>
          <w:lang w:bidi="ar-EG"/>
        </w:rPr>
        <w:t>EG-ITR</w:t>
      </w:r>
      <w:r w:rsidR="00B95F0F">
        <w:rPr>
          <w:rtl/>
          <w:lang w:bidi="ar-EG"/>
        </w:rPr>
        <w:t>‏) المحددة في قرار المجلس 1379 (‏</w:t>
      </w:r>
      <w:r w:rsidR="00E139A4" w:rsidRPr="00E139A4">
        <w:rPr>
          <w:rtl/>
        </w:rPr>
        <w:t xml:space="preserve">الصادر في دورة المجلس لعام </w:t>
      </w:r>
      <w:r w:rsidR="00E139A4">
        <w:t>2016</w:t>
      </w:r>
      <w:r w:rsidR="00B95F0F">
        <w:rPr>
          <w:cs/>
          <w:lang w:bidi="ar-EG"/>
        </w:rPr>
        <w:t>‎</w:t>
      </w:r>
      <w:r w:rsidR="00B95F0F">
        <w:rPr>
          <w:rtl/>
          <w:lang w:bidi="ar-EG"/>
        </w:rPr>
        <w:t>، بصيغته ‏المعدَّلة الأخيرة في دورة المجلس لعام 2023) هي مواصلة استعراض لوائح الاتصالات الدولية. ومع مراعاة عمل فريقي ‏الخبراء السابقَين، يمكن أن يشمل الاستعراض النظر في أمور منها:‏</w:t>
      </w:r>
    </w:p>
    <w:p w14:paraId="2E8E48B8" w14:textId="7F236FBE" w:rsidR="00B95F0F" w:rsidRDefault="00EF5A92" w:rsidP="00EF5A92">
      <w:pPr>
        <w:pStyle w:val="enumlev1"/>
        <w:rPr>
          <w:rtl/>
          <w:lang w:bidi="ar-EG"/>
        </w:rPr>
      </w:pPr>
      <w:r>
        <w:rPr>
          <w:rFonts w:hint="cs"/>
          <w:rtl/>
        </w:rPr>
        <w:t>-</w:t>
      </w:r>
      <w:r w:rsidR="00B95F0F">
        <w:rPr>
          <w:rtl/>
        </w:rPr>
        <w:tab/>
        <w:t>الاتجاهات الجديدة في مجال الاتصالات/تكنولوجيا المعلومات والاتصالات، والقضايا الناشئة في بيئة الاتصالات/تكنولوجيا المعلومات والاتصالات الدولية التي قد تؤثر على لوائح الاتصالات الدولية؛</w:t>
      </w:r>
    </w:p>
    <w:p w14:paraId="238887CC" w14:textId="6A8EC518" w:rsidR="00B95F0F" w:rsidRDefault="00EF5A92" w:rsidP="00EF5A92">
      <w:pPr>
        <w:pStyle w:val="enumlev1"/>
        <w:rPr>
          <w:rtl/>
        </w:rPr>
      </w:pPr>
      <w:r>
        <w:rPr>
          <w:rFonts w:hint="cs"/>
          <w:rtl/>
        </w:rPr>
        <w:t>-</w:t>
      </w:r>
      <w:r w:rsidR="00B95F0F">
        <w:rPr>
          <w:rtl/>
        </w:rPr>
        <w:tab/>
        <w:t>بيانات تجريبية بشأن الاستعمال الحالي للوائح الاتصالات الدولية من جانب وكالات التشغيل و/أو الإدارات، ونسبة خدمات الاتصالات العالمية التي تعتمد حالياً على لوائح الاتصالات الدولية؛</w:t>
      </w:r>
    </w:p>
    <w:p w14:paraId="47CE657D" w14:textId="7320369A" w:rsidR="00B95F0F" w:rsidRDefault="00EF5A92" w:rsidP="00EF5A92">
      <w:pPr>
        <w:pStyle w:val="enumlev1"/>
        <w:rPr>
          <w:rtl/>
        </w:rPr>
      </w:pPr>
      <w:r>
        <w:rPr>
          <w:rFonts w:hint="cs"/>
          <w:rtl/>
        </w:rPr>
        <w:t>-</w:t>
      </w:r>
      <w:r w:rsidR="00B95F0F">
        <w:rPr>
          <w:rtl/>
        </w:rPr>
        <w:tab/>
        <w:t>مدى ملاءمة لوائح الاتصالات الدولية التي "تتألف من مبادئ توجيهية رفيعة المستوى" في البيئة الحالية للاتصالات/تكنولوجيا المعلومات والاتصالات.</w:t>
      </w:r>
    </w:p>
    <w:p w14:paraId="54185815" w14:textId="77777777" w:rsidR="00B95F0F" w:rsidRDefault="00B95F0F" w:rsidP="00EF5A92">
      <w:pPr>
        <w:pStyle w:val="Heading1"/>
        <w:rPr>
          <w:rtl/>
          <w:lang w:bidi="ar-EG"/>
        </w:rPr>
      </w:pPr>
      <w:r>
        <w:rPr>
          <w:rtl/>
          <w:lang w:bidi="ar-EG"/>
        </w:rPr>
        <w:t>2</w:t>
      </w:r>
      <w:r>
        <w:rPr>
          <w:rtl/>
          <w:lang w:bidi="ar-EG"/>
        </w:rPr>
        <w:tab/>
        <w:t>أنشطة فريق الخبراء المعني بلوائح الاتصالات الدولية</w:t>
      </w:r>
    </w:p>
    <w:p w14:paraId="44F7F824" w14:textId="1640736A" w:rsidR="00B95F0F" w:rsidRDefault="00EF5A92" w:rsidP="00EF5A92">
      <w:pPr>
        <w:rPr>
          <w:rtl/>
          <w:lang w:bidi="ar-EG"/>
        </w:rPr>
      </w:pPr>
      <w:r>
        <w:rPr>
          <w:rFonts w:hint="cs"/>
          <w:rtl/>
          <w:lang w:bidi="ar-EG"/>
        </w:rPr>
        <w:t>1.2</w:t>
      </w:r>
      <w:r w:rsidR="00B95F0F">
        <w:rPr>
          <w:rtl/>
          <w:lang w:bidi="ar-EG"/>
        </w:rPr>
        <w:tab/>
        <w:t>عقد فريق الخبراء اجتماعيه الثالث والرابع في مقر الاتحاد في جنيف، سويسرا، في الفترة من 30 سبتمبر إلى 1</w:t>
      </w:r>
      <w:r>
        <w:rPr>
          <w:rFonts w:hint="cs"/>
          <w:rtl/>
          <w:lang w:bidi="ar-EG"/>
        </w:rPr>
        <w:t> </w:t>
      </w:r>
      <w:r w:rsidR="00B95F0F">
        <w:rPr>
          <w:rtl/>
          <w:lang w:bidi="ar-EG"/>
        </w:rPr>
        <w:t>أكتوبر 2024 ومن 20 إلى 21 فبراير 2025، على التوالي.</w:t>
      </w:r>
    </w:p>
    <w:p w14:paraId="77F76719" w14:textId="4911EC30" w:rsidR="00B95F0F" w:rsidRDefault="00EF5A92" w:rsidP="00EF5A92">
      <w:pPr>
        <w:rPr>
          <w:rtl/>
          <w:lang w:bidi="ar-EG"/>
        </w:rPr>
      </w:pPr>
      <w:r>
        <w:rPr>
          <w:rFonts w:hint="cs"/>
          <w:rtl/>
          <w:lang w:bidi="ar-EG"/>
        </w:rPr>
        <w:t>2.2</w:t>
      </w:r>
      <w:r w:rsidR="00B95F0F">
        <w:rPr>
          <w:rtl/>
          <w:lang w:bidi="ar-EG"/>
        </w:rPr>
        <w:tab/>
        <w:t xml:space="preserve">ووافق الفريق على تقريرَي الاجتماعين </w:t>
      </w:r>
      <w:hyperlink r:id="rId11" w:history="1">
        <w:r w:rsidR="00B95F0F" w:rsidRPr="00EF5A92">
          <w:rPr>
            <w:rStyle w:val="Hyperlink"/>
            <w:rFonts w:ascii="Dubai" w:eastAsiaTheme="minorEastAsia" w:hAnsi="Dubai" w:cs="Dubai"/>
            <w:noProof w:val="0"/>
            <w:sz w:val="22"/>
            <w:rtl/>
            <w:lang w:val="en-US" w:eastAsia="zh-CN" w:bidi="ar-EG"/>
          </w:rPr>
          <w:t>الثالث</w:t>
        </w:r>
      </w:hyperlink>
      <w:r w:rsidR="00B95F0F">
        <w:rPr>
          <w:rtl/>
          <w:lang w:bidi="ar-EG"/>
        </w:rPr>
        <w:t xml:space="preserve"> و</w:t>
      </w:r>
      <w:hyperlink r:id="rId12" w:history="1">
        <w:r w:rsidR="00B95F0F" w:rsidRPr="00EF5A92">
          <w:rPr>
            <w:rStyle w:val="Hyperlink"/>
            <w:rFonts w:ascii="Dubai" w:eastAsiaTheme="minorEastAsia" w:hAnsi="Dubai" w:cs="Dubai"/>
            <w:noProof w:val="0"/>
            <w:sz w:val="22"/>
            <w:rtl/>
            <w:lang w:val="en-US" w:eastAsia="zh-CN" w:bidi="ar-EG"/>
          </w:rPr>
          <w:t>الرابع</w:t>
        </w:r>
      </w:hyperlink>
      <w:r w:rsidR="00B95F0F">
        <w:rPr>
          <w:rtl/>
          <w:lang w:bidi="ar-EG"/>
        </w:rPr>
        <w:t>.</w:t>
      </w:r>
    </w:p>
    <w:p w14:paraId="693B2B1B" w14:textId="208199E0" w:rsidR="00B95F0F" w:rsidRDefault="00EF5A92" w:rsidP="00EF5A92">
      <w:pPr>
        <w:rPr>
          <w:rtl/>
          <w:lang w:bidi="ar-EG"/>
        </w:rPr>
      </w:pPr>
      <w:r>
        <w:rPr>
          <w:rFonts w:hint="cs"/>
          <w:rtl/>
          <w:lang w:bidi="ar-EG"/>
        </w:rPr>
        <w:t>3.2</w:t>
      </w:r>
      <w:r w:rsidR="00B95F0F">
        <w:rPr>
          <w:rtl/>
          <w:lang w:bidi="ar-EG"/>
        </w:rPr>
        <w:tab/>
        <w:t xml:space="preserve">في الاجتماع </w:t>
      </w:r>
      <w:r w:rsidR="00B95F0F" w:rsidRPr="00EF5A92">
        <w:rPr>
          <w:rtl/>
          <w:lang w:bidi="ar-EG"/>
        </w:rPr>
        <w:t>الثالث</w:t>
      </w:r>
      <w:r w:rsidR="00B95F0F">
        <w:rPr>
          <w:rtl/>
          <w:lang w:bidi="ar-EG"/>
        </w:rPr>
        <w:t xml:space="preserve"> للفريق، نظر الفريق في </w:t>
      </w:r>
      <w:hyperlink r:id="rId13" w:history="1">
        <w:r w:rsidR="00B95F0F" w:rsidRPr="00EF5A92">
          <w:rPr>
            <w:rStyle w:val="Hyperlink"/>
            <w:rFonts w:ascii="Dubai" w:eastAsiaTheme="minorEastAsia" w:hAnsi="Dubai" w:cs="Dubai"/>
            <w:noProof w:val="0"/>
            <w:sz w:val="22"/>
            <w:rtl/>
            <w:lang w:val="en-US" w:eastAsia="zh-CN" w:bidi="ar-EG"/>
          </w:rPr>
          <w:t>المساهمات الواردة</w:t>
        </w:r>
      </w:hyperlink>
      <w:r w:rsidR="00B95F0F">
        <w:rPr>
          <w:rtl/>
          <w:lang w:bidi="ar-EG"/>
        </w:rPr>
        <w:t>، بما في ذلك المساهمات المتعلقة بالاتجاهات الجديدة التي قد تؤثر على لوائح الاتصالات الدولية، والبيانات التجريبية بشأن الاستخدام الحالي للوائح الاتصالات الدولية، وشكل ومحتوى التقرير النهائي للفريق المقدم إلى المجلس في دورته لعام 2026، والمساهمات العامة الأخرى.</w:t>
      </w:r>
    </w:p>
    <w:p w14:paraId="1DF1A2EC" w14:textId="2D3A23E4" w:rsidR="00B95F0F" w:rsidRDefault="00EF5A92" w:rsidP="00EF5A92">
      <w:pPr>
        <w:rPr>
          <w:rtl/>
          <w:lang w:bidi="ar-EG"/>
        </w:rPr>
      </w:pPr>
      <w:r>
        <w:rPr>
          <w:rFonts w:hint="cs"/>
          <w:rtl/>
          <w:lang w:bidi="ar-EG"/>
        </w:rPr>
        <w:t>4.2</w:t>
      </w:r>
      <w:r w:rsidR="00B95F0F">
        <w:rPr>
          <w:rtl/>
          <w:lang w:bidi="ar-EG"/>
        </w:rPr>
        <w:tab/>
        <w:t xml:space="preserve">وفي الاجتماع الرابع للفريق، نظر الفريق في </w:t>
      </w:r>
      <w:hyperlink r:id="rId14" w:history="1">
        <w:r w:rsidR="00B95F0F" w:rsidRPr="00EF5A92">
          <w:rPr>
            <w:rStyle w:val="Hyperlink"/>
            <w:rFonts w:ascii="Dubai" w:eastAsiaTheme="minorEastAsia" w:hAnsi="Dubai" w:cs="Dubai"/>
            <w:noProof w:val="0"/>
            <w:sz w:val="22"/>
            <w:rtl/>
            <w:lang w:val="en-US" w:eastAsia="zh-CN" w:bidi="ar-EG"/>
          </w:rPr>
          <w:t>المساهمات الواردة</w:t>
        </w:r>
      </w:hyperlink>
      <w:r w:rsidR="00B95F0F">
        <w:rPr>
          <w:rtl/>
          <w:lang w:bidi="ar-EG"/>
        </w:rPr>
        <w:t xml:space="preserve">، ووافق الاجتماع على الخطوط العريضة للتقرير النهائي المقدم إلى المجلس في دورته لعام 2026 على النحو المبين في الملحق 1 بتقرير الاجتماع الرابع. وطلب الفريق أيضاً أن يقوم فريق الإدارة والأمانة بإعداد مشروع أول للتقرير النهائي قبل شهر واحد على الأقل من الاجتماع المقبل لفريق الخبراء المعني بلوائح الاتصالات الدولية. كما أرفق بيانان أدلى بهما ممثلا </w:t>
      </w:r>
      <w:r w:rsidR="00B95F0F">
        <w:rPr>
          <w:lang w:bidi="ar-EG"/>
        </w:rPr>
        <w:t>Hill</w:t>
      </w:r>
      <w:r w:rsidR="00B95F0F">
        <w:rPr>
          <w:rtl/>
          <w:lang w:bidi="ar-EG"/>
        </w:rPr>
        <w:t xml:space="preserve"> وكندا على التوالي بوصفهما الملحقين 2 و3 بتقرير الاجتماع الرابع.</w:t>
      </w:r>
    </w:p>
    <w:p w14:paraId="5A03F1BA" w14:textId="77777777" w:rsidR="00B95F0F" w:rsidRDefault="00B95F0F" w:rsidP="00EF5A92">
      <w:pPr>
        <w:pStyle w:val="Heading1"/>
        <w:rPr>
          <w:rtl/>
          <w:lang w:bidi="ar-EG"/>
        </w:rPr>
      </w:pPr>
      <w:r>
        <w:rPr>
          <w:rtl/>
          <w:lang w:bidi="ar-EG"/>
        </w:rPr>
        <w:t>3</w:t>
      </w:r>
      <w:r>
        <w:rPr>
          <w:rtl/>
          <w:lang w:bidi="ar-EG"/>
        </w:rPr>
        <w:tab/>
        <w:t>خلاصة</w:t>
      </w:r>
    </w:p>
    <w:p w14:paraId="645D5D09" w14:textId="0E2E899F" w:rsidR="00B95F0F" w:rsidRDefault="00EF5A92" w:rsidP="00EF5A92">
      <w:pPr>
        <w:rPr>
          <w:rtl/>
          <w:lang w:bidi="ar-EG"/>
        </w:rPr>
      </w:pPr>
      <w:r>
        <w:rPr>
          <w:rFonts w:hint="cs"/>
          <w:rtl/>
          <w:lang w:bidi="ar-EG"/>
        </w:rPr>
        <w:t>1.3</w:t>
      </w:r>
      <w:r w:rsidR="00B95F0F">
        <w:rPr>
          <w:rtl/>
          <w:lang w:bidi="ar-EG"/>
        </w:rPr>
        <w:tab/>
        <w:t>يُدعى المجلس إلى الإحاطة علماً بهذا التقرير المرحلي لفريق الخبراء المعني بلوائح الاتصالات الدولية.</w:t>
      </w:r>
    </w:p>
    <w:p w14:paraId="6CC714C2" w14:textId="013C1B41" w:rsidR="00B95F0F" w:rsidRDefault="00EF5A92" w:rsidP="00EF5A92">
      <w:pPr>
        <w:rPr>
          <w:rtl/>
          <w:lang w:bidi="ar-EG"/>
        </w:rPr>
      </w:pPr>
      <w:r>
        <w:rPr>
          <w:rFonts w:hint="cs"/>
          <w:rtl/>
          <w:lang w:bidi="ar-EG"/>
        </w:rPr>
        <w:t>2.3</w:t>
      </w:r>
      <w:r w:rsidR="00B95F0F">
        <w:rPr>
          <w:rtl/>
          <w:lang w:bidi="ar-EG"/>
        </w:rPr>
        <w:tab/>
      </w:r>
      <w:r w:rsidR="00B95F0F" w:rsidRPr="00AE3FE6">
        <w:rPr>
          <w:spacing w:val="-4"/>
          <w:rtl/>
          <w:lang w:bidi="ar-EG"/>
        </w:rPr>
        <w:t>وتتوجه الرئيسة، نيابةً عن فريق الخبراء المعني بلوائح الاتصالات الدولية، بشكرها الخاص إلى جميع الدول الأعضاء في الاتحاد التي قدمت مساهمات وشاركت في عمل الفريق، ونواب الرئيس</w:t>
      </w:r>
      <w:r w:rsidR="003D5F7D">
        <w:rPr>
          <w:rFonts w:hint="cs"/>
          <w:spacing w:val="-4"/>
          <w:rtl/>
          <w:lang w:bidi="ar-EG"/>
        </w:rPr>
        <w:t>ة</w:t>
      </w:r>
      <w:r w:rsidR="00B95F0F" w:rsidRPr="00AE3FE6">
        <w:rPr>
          <w:spacing w:val="-4"/>
          <w:rtl/>
          <w:lang w:bidi="ar-EG"/>
        </w:rPr>
        <w:t>، والأمينة العامة، ونائب الأمينة العامة، ومديري مكتب تقييس الاتصالات ومكتب الاتصالات الراديوية ومكتب تنمية الاتصالات، والأمانة العامة، فضلاً عن المترجمين الفوريين وموظفي دعم المشاركة عن بعد، على ما قدموه من مساعدة فعالة خلال الاجتماعين الثالث والرابع للفريق.</w:t>
      </w:r>
    </w:p>
    <w:tbl>
      <w:tblPr>
        <w:tblStyle w:val="TableGrid"/>
        <w:bidiVisual/>
        <w:tblW w:w="0" w:type="auto"/>
        <w:tblInd w:w="3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6"/>
      </w:tblGrid>
      <w:tr w:rsidR="00EF5A92" w14:paraId="54897475" w14:textId="77777777" w:rsidTr="00EF5A92">
        <w:tc>
          <w:tcPr>
            <w:tcW w:w="5666" w:type="dxa"/>
          </w:tcPr>
          <w:p w14:paraId="3ABB86EE" w14:textId="7D5A72D6" w:rsidR="00EF5A92" w:rsidRDefault="00EF5A92" w:rsidP="00AE3FE6">
            <w:pPr>
              <w:spacing w:before="600"/>
              <w:jc w:val="center"/>
              <w:rPr>
                <w:rtl/>
                <w:lang w:bidi="ar-EG"/>
              </w:rPr>
            </w:pPr>
            <w:r>
              <w:rPr>
                <w:rtl/>
                <w:lang w:bidi="ar-EG"/>
              </w:rPr>
              <w:t>السيدة شهيرة سليم (مصر)</w:t>
            </w:r>
          </w:p>
          <w:p w14:paraId="184CC760" w14:textId="4D3BCD6B" w:rsidR="00EF5A92" w:rsidRDefault="00EF5A92" w:rsidP="00AE3FE6">
            <w:pPr>
              <w:jc w:val="center"/>
              <w:rPr>
                <w:rtl/>
                <w:lang w:bidi="ar-EG"/>
              </w:rPr>
            </w:pPr>
            <w:r>
              <w:rPr>
                <w:rtl/>
                <w:lang w:bidi="ar-EG"/>
              </w:rPr>
              <w:t>رئيسة فريق الخبراء المعني بلوائح الاتصالات الدولية (</w:t>
            </w:r>
            <w:r>
              <w:rPr>
                <w:lang w:bidi="ar-EG"/>
              </w:rPr>
              <w:t>EG-ITR</w:t>
            </w:r>
            <w:r>
              <w:rPr>
                <w:rtl/>
                <w:lang w:bidi="ar-EG"/>
              </w:rPr>
              <w:t>)</w:t>
            </w:r>
          </w:p>
        </w:tc>
      </w:tr>
    </w:tbl>
    <w:p w14:paraId="72FA7E93" w14:textId="3F4B77B2" w:rsidR="00F50E3F" w:rsidRDefault="00F50E3F" w:rsidP="00AE3FE6">
      <w:pPr>
        <w:rPr>
          <w:rtl/>
          <w:lang w:bidi="ar-EG"/>
        </w:rPr>
      </w:pPr>
    </w:p>
    <w:sectPr w:rsidR="00F50E3F" w:rsidSect="006F363C">
      <w:footerReference w:type="default" r:id="rId15"/>
      <w:headerReference w:type="first" r:id="rId16"/>
      <w:footerReference w:type="first" r:id="rId17"/>
      <w:type w:val="oddPage"/>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3EE64" w14:textId="77777777" w:rsidR="000675F7" w:rsidRDefault="000675F7" w:rsidP="006C3242">
      <w:pPr>
        <w:spacing w:before="0" w:line="240" w:lineRule="auto"/>
      </w:pPr>
      <w:r>
        <w:separator/>
      </w:r>
    </w:p>
  </w:endnote>
  <w:endnote w:type="continuationSeparator" w:id="0">
    <w:p w14:paraId="4C1D96C2" w14:textId="77777777" w:rsidR="000675F7" w:rsidRDefault="000675F7"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7874"/>
      <w:gridCol w:w="443"/>
    </w:tblGrid>
    <w:tr w:rsidR="00F50E3F" w:rsidRPr="007B0AA0" w14:paraId="31D8B4BE" w14:textId="77777777" w:rsidTr="00A67F05">
      <w:trPr>
        <w:jc w:val="center"/>
      </w:trPr>
      <w:tc>
        <w:tcPr>
          <w:tcW w:w="868" w:type="pct"/>
          <w:vAlign w:val="center"/>
        </w:tcPr>
        <w:p w14:paraId="61C9C50C" w14:textId="3BBE730C" w:rsidR="00F50E3F" w:rsidRPr="00CC2889" w:rsidRDefault="00CC2889" w:rsidP="006F363C">
          <w:pPr>
            <w:tabs>
              <w:tab w:val="clear" w:pos="794"/>
            </w:tabs>
            <w:overflowPunct w:val="0"/>
            <w:autoSpaceDE w:val="0"/>
            <w:autoSpaceDN w:val="0"/>
            <w:bidi w:val="0"/>
            <w:adjustRightInd w:val="0"/>
            <w:spacing w:before="0" w:line="240" w:lineRule="auto"/>
            <w:jc w:val="right"/>
            <w:textAlignment w:val="baseline"/>
            <w:rPr>
              <w:rFonts w:ascii="Calibri" w:hAnsi="Calibri" w:cs="Arial"/>
              <w:noProof/>
              <w:sz w:val="18"/>
              <w:lang w:val="en-US"/>
            </w:rPr>
          </w:pPr>
          <w:r>
            <w:rPr>
              <w:rFonts w:ascii="Calibri" w:hAnsi="Calibri" w:cs="Arial"/>
              <w:noProof/>
              <w:sz w:val="18"/>
              <w:lang w:val="en-US"/>
            </w:rPr>
            <w:t>2500696</w:t>
          </w:r>
        </w:p>
      </w:tc>
      <w:tc>
        <w:tcPr>
          <w:tcW w:w="3912" w:type="pct"/>
        </w:tcPr>
        <w:p w14:paraId="14994BE2" w14:textId="22B297D9"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B95F0F">
            <w:rPr>
              <w:rFonts w:ascii="Calibri" w:hAnsi="Calibri" w:cs="Arial"/>
              <w:bCs/>
              <w:color w:val="7F7F7F"/>
              <w:sz w:val="18"/>
            </w:rPr>
            <w:t>26</w:t>
          </w:r>
          <w:r w:rsidRPr="007B0AA0">
            <w:rPr>
              <w:rFonts w:ascii="Calibri" w:hAnsi="Calibri" w:cs="Arial"/>
              <w:bCs/>
              <w:color w:val="7F7F7F"/>
              <w:sz w:val="18"/>
            </w:rPr>
            <w:t>-</w:t>
          </w:r>
          <w:r>
            <w:rPr>
              <w:rFonts w:ascii="Calibri" w:hAnsi="Calibri" w:cs="Arial"/>
              <w:bCs/>
              <w:color w:val="7F7F7F"/>
              <w:sz w:val="18"/>
            </w:rPr>
            <w:t>A</w:t>
          </w:r>
        </w:p>
      </w:tc>
      <w:tc>
        <w:tcPr>
          <w:tcW w:w="220" w:type="pct"/>
        </w:tcPr>
        <w:p w14:paraId="5800CD81" w14:textId="77777777"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619A9F8F" w14:textId="77777777" w:rsidR="006C3242" w:rsidRPr="0026373E" w:rsidRDefault="006C3242" w:rsidP="00BA04B2">
    <w:pPr>
      <w:pStyle w:val="Footer"/>
      <w:tabs>
        <w:tab w:val="clear" w:pos="4153"/>
        <w:tab w:val="clear" w:pos="8306"/>
        <w:tab w:val="center" w:pos="5103"/>
        <w:tab w:val="right" w:pos="9639"/>
      </w:tabs>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9"/>
      <w:gridCol w:w="7584"/>
      <w:gridCol w:w="441"/>
    </w:tblGrid>
    <w:tr w:rsidR="007B0AA0" w:rsidRPr="007B0AA0" w14:paraId="40D09DA7" w14:textId="77777777" w:rsidTr="00A67F05">
      <w:trPr>
        <w:jc w:val="center"/>
      </w:trPr>
      <w:tc>
        <w:tcPr>
          <w:tcW w:w="1013" w:type="pct"/>
          <w:vAlign w:val="center"/>
        </w:tcPr>
        <w:p w14:paraId="03F0E072" w14:textId="77777777" w:rsidR="007B0AA0" w:rsidRPr="00660DEA" w:rsidRDefault="00660DEA" w:rsidP="00A67F05">
          <w:pPr>
            <w:tabs>
              <w:tab w:val="clear" w:pos="794"/>
            </w:tabs>
            <w:overflowPunct w:val="0"/>
            <w:autoSpaceDE w:val="0"/>
            <w:autoSpaceDN w:val="0"/>
            <w:bidi w:val="0"/>
            <w:adjustRightInd w:val="0"/>
            <w:spacing w:before="0" w:line="240" w:lineRule="auto"/>
            <w:jc w:val="right"/>
            <w:textAlignment w:val="baseline"/>
            <w:rPr>
              <w:rFonts w:ascii="Calibri" w:hAnsi="Calibri" w:cs="Arial"/>
              <w:noProof/>
              <w:color w:val="7F7F7F"/>
              <w:sz w:val="18"/>
            </w:rPr>
          </w:pPr>
          <w:hyperlink r:id="rId1" w:history="1">
            <w:r w:rsidRPr="00660DEA">
              <w:rPr>
                <w:rStyle w:val="Hyperlink"/>
              </w:rPr>
              <w:t>council.itu.int/2025</w:t>
            </w:r>
          </w:hyperlink>
        </w:p>
      </w:tc>
      <w:tc>
        <w:tcPr>
          <w:tcW w:w="3768" w:type="pct"/>
        </w:tcPr>
        <w:p w14:paraId="4ADF2392" w14:textId="101B05D4" w:rsidR="007B0AA0" w:rsidRPr="007B0AA0" w:rsidRDefault="007B0AA0"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B95F0F">
            <w:rPr>
              <w:rFonts w:ascii="Calibri" w:hAnsi="Calibri" w:cs="Arial"/>
              <w:bCs/>
              <w:color w:val="7F7F7F"/>
              <w:sz w:val="18"/>
            </w:rPr>
            <w:t>26</w:t>
          </w:r>
          <w:r w:rsidRPr="007B0AA0">
            <w:rPr>
              <w:rFonts w:ascii="Calibri" w:hAnsi="Calibri" w:cs="Arial"/>
              <w:bCs/>
              <w:color w:val="7F7F7F"/>
              <w:sz w:val="18"/>
            </w:rPr>
            <w:t>-</w:t>
          </w:r>
          <w:r>
            <w:rPr>
              <w:rFonts w:ascii="Calibri" w:hAnsi="Calibri" w:cs="Arial"/>
              <w:bCs/>
              <w:color w:val="7F7F7F"/>
              <w:sz w:val="18"/>
            </w:rPr>
            <w:t>A</w:t>
          </w:r>
        </w:p>
      </w:tc>
      <w:tc>
        <w:tcPr>
          <w:tcW w:w="220" w:type="pct"/>
        </w:tcPr>
        <w:p w14:paraId="6D646DAE" w14:textId="77777777" w:rsidR="007B0AA0"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1E3CE9CF" w14:textId="77777777" w:rsidR="0006468A" w:rsidRPr="007B0AA0" w:rsidRDefault="0006468A" w:rsidP="00BA04B2">
    <w:pPr>
      <w:pStyle w:val="Footer"/>
      <w:tabs>
        <w:tab w:val="clear" w:pos="4153"/>
        <w:tab w:val="clear" w:pos="8306"/>
        <w:tab w:val="center" w:pos="5103"/>
        <w:tab w:val="right" w:pos="9639"/>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6B22F" w14:textId="77777777" w:rsidR="000675F7" w:rsidRDefault="000675F7" w:rsidP="006C3242">
      <w:pPr>
        <w:spacing w:before="0" w:line="240" w:lineRule="auto"/>
      </w:pPr>
      <w:r>
        <w:separator/>
      </w:r>
    </w:p>
  </w:footnote>
  <w:footnote w:type="continuationSeparator" w:id="0">
    <w:p w14:paraId="5743E676" w14:textId="77777777" w:rsidR="000675F7" w:rsidRDefault="000675F7"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7A565" w14:textId="77777777" w:rsidR="007B0AA0" w:rsidRDefault="007648A6" w:rsidP="00935AAC">
    <w:pPr>
      <w:pStyle w:val="Header"/>
      <w:spacing w:before="120" w:after="60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F229BF4" wp14:editId="0DC59D4F">
              <wp:simplePos x="0" y="0"/>
              <wp:positionH relativeFrom="page">
                <wp:posOffset>7453630</wp:posOffset>
              </wp:positionH>
              <wp:positionV relativeFrom="topMargin">
                <wp:posOffset>641294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A9A16" id="Rectangle 5" o:spid="_x0000_s1026" style="position:absolute;margin-left:586.9pt;margin-top:50.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" fillcolor="#009cd5" stroked="f">
              <w10:wrap anchorx="page" anchory="margin"/>
            </v:rect>
          </w:pict>
        </mc:Fallback>
      </mc:AlternateContent>
    </w:r>
    <w:r w:rsidR="00420F8A">
      <w:rPr>
        <w:rFonts w:ascii="Avenir Nxt2 W1G Medium" w:eastAsia="Avenir Nxt2 W1G Medium" w:hAnsi="Avenir Nxt2 W1G Medium" w:cs="Avenir Nxt2 W1G Medium"/>
        <w:noProof/>
      </w:rPr>
      <w:drawing>
        <wp:inline distT="0" distB="0" distL="0" distR="0" wp14:anchorId="7130A5FB" wp14:editId="725C768E">
          <wp:extent cx="2999433" cy="612775"/>
          <wp:effectExtent l="0" t="0" r="0" b="0"/>
          <wp:docPr id="1631567398"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567398"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8302"/>
                  <a:stretch/>
                </pic:blipFill>
                <pic:spPr bwMode="auto">
                  <a:xfrm>
                    <a:off x="0" y="0"/>
                    <a:ext cx="2999932" cy="61287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5F7"/>
    <w:rsid w:val="0006468A"/>
    <w:rsid w:val="000675F7"/>
    <w:rsid w:val="0008478C"/>
    <w:rsid w:val="00090574"/>
    <w:rsid w:val="000C1C0E"/>
    <w:rsid w:val="000C548A"/>
    <w:rsid w:val="00191059"/>
    <w:rsid w:val="001B6E2B"/>
    <w:rsid w:val="001C0169"/>
    <w:rsid w:val="001C0C21"/>
    <w:rsid w:val="001D1D50"/>
    <w:rsid w:val="001D64C7"/>
    <w:rsid w:val="001D6745"/>
    <w:rsid w:val="001E446E"/>
    <w:rsid w:val="002154EE"/>
    <w:rsid w:val="002276D2"/>
    <w:rsid w:val="0023283D"/>
    <w:rsid w:val="00254393"/>
    <w:rsid w:val="0026373E"/>
    <w:rsid w:val="00271C43"/>
    <w:rsid w:val="00290728"/>
    <w:rsid w:val="002978F4"/>
    <w:rsid w:val="002B028D"/>
    <w:rsid w:val="002C3F32"/>
    <w:rsid w:val="002E6541"/>
    <w:rsid w:val="00334924"/>
    <w:rsid w:val="003409BC"/>
    <w:rsid w:val="00357185"/>
    <w:rsid w:val="00383829"/>
    <w:rsid w:val="003D5F7D"/>
    <w:rsid w:val="003F4B29"/>
    <w:rsid w:val="00420F8A"/>
    <w:rsid w:val="0042686F"/>
    <w:rsid w:val="004317D8"/>
    <w:rsid w:val="0043260A"/>
    <w:rsid w:val="00434183"/>
    <w:rsid w:val="00443869"/>
    <w:rsid w:val="00447F32"/>
    <w:rsid w:val="00491BA9"/>
    <w:rsid w:val="004A4701"/>
    <w:rsid w:val="004B7334"/>
    <w:rsid w:val="004E11DC"/>
    <w:rsid w:val="005130DE"/>
    <w:rsid w:val="00513157"/>
    <w:rsid w:val="00525DDD"/>
    <w:rsid w:val="005409AC"/>
    <w:rsid w:val="005434E0"/>
    <w:rsid w:val="005546CF"/>
    <w:rsid w:val="0055516A"/>
    <w:rsid w:val="0058491B"/>
    <w:rsid w:val="00592EA5"/>
    <w:rsid w:val="005A3170"/>
    <w:rsid w:val="00660DEA"/>
    <w:rsid w:val="00677396"/>
    <w:rsid w:val="0069200F"/>
    <w:rsid w:val="006A65CB"/>
    <w:rsid w:val="006B12E5"/>
    <w:rsid w:val="006C3242"/>
    <w:rsid w:val="006C7CC0"/>
    <w:rsid w:val="006F363C"/>
    <w:rsid w:val="006F63F7"/>
    <w:rsid w:val="007025C7"/>
    <w:rsid w:val="00706D7A"/>
    <w:rsid w:val="00722F0D"/>
    <w:rsid w:val="0074420E"/>
    <w:rsid w:val="007648A6"/>
    <w:rsid w:val="0077110E"/>
    <w:rsid w:val="00783E26"/>
    <w:rsid w:val="007A6684"/>
    <w:rsid w:val="007B0AA0"/>
    <w:rsid w:val="007C3BC7"/>
    <w:rsid w:val="007C3BCD"/>
    <w:rsid w:val="007D4ACF"/>
    <w:rsid w:val="007F0787"/>
    <w:rsid w:val="00810B7B"/>
    <w:rsid w:val="0082358A"/>
    <w:rsid w:val="008235CD"/>
    <w:rsid w:val="008247DE"/>
    <w:rsid w:val="008339C0"/>
    <w:rsid w:val="00840B10"/>
    <w:rsid w:val="008513CB"/>
    <w:rsid w:val="00874E9F"/>
    <w:rsid w:val="008A7F84"/>
    <w:rsid w:val="0091702E"/>
    <w:rsid w:val="00923B0C"/>
    <w:rsid w:val="00924F46"/>
    <w:rsid w:val="00935AAC"/>
    <w:rsid w:val="0094021C"/>
    <w:rsid w:val="00952F86"/>
    <w:rsid w:val="00982B28"/>
    <w:rsid w:val="009D313F"/>
    <w:rsid w:val="00A366C0"/>
    <w:rsid w:val="00A47A5A"/>
    <w:rsid w:val="00A63AE6"/>
    <w:rsid w:val="00A6683B"/>
    <w:rsid w:val="00A67F05"/>
    <w:rsid w:val="00A97F94"/>
    <w:rsid w:val="00AA7EA2"/>
    <w:rsid w:val="00AE3FE6"/>
    <w:rsid w:val="00B03099"/>
    <w:rsid w:val="00B05BC8"/>
    <w:rsid w:val="00B30F5E"/>
    <w:rsid w:val="00B64B47"/>
    <w:rsid w:val="00B95654"/>
    <w:rsid w:val="00B95F0F"/>
    <w:rsid w:val="00B97F32"/>
    <w:rsid w:val="00BA04B2"/>
    <w:rsid w:val="00C002DE"/>
    <w:rsid w:val="00C0602B"/>
    <w:rsid w:val="00C224DA"/>
    <w:rsid w:val="00C53BF8"/>
    <w:rsid w:val="00C66157"/>
    <w:rsid w:val="00C674FE"/>
    <w:rsid w:val="00C67501"/>
    <w:rsid w:val="00C75633"/>
    <w:rsid w:val="00CC2889"/>
    <w:rsid w:val="00CE2EE1"/>
    <w:rsid w:val="00CE3349"/>
    <w:rsid w:val="00CE36E5"/>
    <w:rsid w:val="00CE4360"/>
    <w:rsid w:val="00CF27F5"/>
    <w:rsid w:val="00CF3FFD"/>
    <w:rsid w:val="00D10CCF"/>
    <w:rsid w:val="00D13941"/>
    <w:rsid w:val="00D23F5F"/>
    <w:rsid w:val="00D43F7D"/>
    <w:rsid w:val="00D63735"/>
    <w:rsid w:val="00D77D0F"/>
    <w:rsid w:val="00DA1CF0"/>
    <w:rsid w:val="00DC1E02"/>
    <w:rsid w:val="00DC24B4"/>
    <w:rsid w:val="00DC5FB0"/>
    <w:rsid w:val="00DD2129"/>
    <w:rsid w:val="00DF16DC"/>
    <w:rsid w:val="00E139A4"/>
    <w:rsid w:val="00E45211"/>
    <w:rsid w:val="00E473C5"/>
    <w:rsid w:val="00E61BE8"/>
    <w:rsid w:val="00E61D1B"/>
    <w:rsid w:val="00E83FF1"/>
    <w:rsid w:val="00E92863"/>
    <w:rsid w:val="00E979B2"/>
    <w:rsid w:val="00EB796D"/>
    <w:rsid w:val="00EF5A92"/>
    <w:rsid w:val="00F058DC"/>
    <w:rsid w:val="00F24FC4"/>
    <w:rsid w:val="00F2676C"/>
    <w:rsid w:val="00F363FE"/>
    <w:rsid w:val="00F50E3F"/>
    <w:rsid w:val="00F84366"/>
    <w:rsid w:val="00F85089"/>
    <w:rsid w:val="00F974C5"/>
    <w:rsid w:val="00FA3763"/>
    <w:rsid w:val="00FA6F46"/>
    <w:rsid w:val="00FC0E94"/>
    <w:rsid w:val="00FC4592"/>
    <w:rsid w:val="00FD527F"/>
    <w:rsid w:val="00FE5872"/>
    <w:rsid w:val="00FE762E"/>
    <w:rsid w:val="00FE7FCA"/>
    <w:rsid w:val="00FF20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07C652"/>
  <w15:chartTrackingRefBased/>
  <w15:docId w15:val="{BE8812F3-6660-4E5D-A600-5DD999AE2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_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_No"/>
    <w:basedOn w:val="AgendaItem"/>
    <w:qFormat/>
    <w:rsid w:val="00F974C5"/>
  </w:style>
  <w:style w:type="paragraph" w:customStyle="1" w:styleId="Annextitle">
    <w:name w:val="Annex_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_No"/>
    <w:basedOn w:val="Normal"/>
    <w:qFormat/>
    <w:rsid w:val="00F974C5"/>
    <w:pPr>
      <w:keepNext/>
      <w:keepLines/>
      <w:spacing w:before="360" w:after="120"/>
      <w:jc w:val="center"/>
    </w:pPr>
    <w:rPr>
      <w:sz w:val="26"/>
      <w:szCs w:val="26"/>
      <w:lang w:bidi="ar-SY"/>
    </w:rPr>
  </w:style>
  <w:style w:type="paragraph" w:customStyle="1" w:styleId="Appendixtitle">
    <w:name w:val="Appendix_title"/>
    <w:basedOn w:val="Normal"/>
    <w:qFormat/>
    <w:rsid w:val="00F974C5"/>
    <w:pPr>
      <w:keepNext/>
      <w:keepLines/>
      <w:spacing w:after="360"/>
      <w:jc w:val="center"/>
    </w:pPr>
    <w:rPr>
      <w:b/>
      <w:bCs/>
      <w:sz w:val="28"/>
      <w:szCs w:val="28"/>
    </w:rPr>
  </w:style>
  <w:style w:type="paragraph" w:customStyle="1" w:styleId="ArticleNo">
    <w:name w:val="Article_No"/>
    <w:basedOn w:val="Normal"/>
    <w:qFormat/>
    <w:rsid w:val="00F974C5"/>
    <w:pPr>
      <w:keepNext/>
      <w:keepLines/>
      <w:spacing w:after="360"/>
      <w:jc w:val="center"/>
    </w:pPr>
    <w:rPr>
      <w:sz w:val="26"/>
      <w:szCs w:val="26"/>
      <w:lang w:bidi="ar-SY"/>
    </w:rPr>
  </w:style>
  <w:style w:type="paragraph" w:customStyle="1" w:styleId="Articletitle">
    <w:name w:val="Article_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_No"/>
    <w:basedOn w:val="Normal"/>
    <w:qFormat/>
    <w:rsid w:val="00F974C5"/>
    <w:pPr>
      <w:keepNext/>
      <w:keepLines/>
      <w:spacing w:before="600" w:after="120"/>
      <w:jc w:val="center"/>
    </w:pPr>
    <w:rPr>
      <w:sz w:val="28"/>
      <w:szCs w:val="28"/>
      <w:lang w:bidi="ar-SY"/>
    </w:rPr>
  </w:style>
  <w:style w:type="paragraph" w:customStyle="1" w:styleId="Chaptertitle">
    <w:name w:val="Chapter_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1"/>
    <w:basedOn w:val="Normal"/>
    <w:qFormat/>
    <w:rsid w:val="00F974C5"/>
    <w:pPr>
      <w:spacing w:before="80"/>
      <w:ind w:left="794" w:hanging="794"/>
      <w:outlineLvl w:val="0"/>
    </w:pPr>
    <w:rPr>
      <w:lang w:bidi="ar-SY"/>
    </w:rPr>
  </w:style>
  <w:style w:type="paragraph" w:customStyle="1" w:styleId="enumlev2">
    <w:name w:val="enumlev2"/>
    <w:basedOn w:val="Normal"/>
    <w:next w:val="enumlev1"/>
    <w:qFormat/>
    <w:rsid w:val="00F974C5"/>
    <w:pPr>
      <w:spacing w:before="80"/>
      <w:ind w:left="1588" w:hanging="794"/>
      <w:outlineLvl w:val="1"/>
    </w:pPr>
  </w:style>
  <w:style w:type="paragraph" w:customStyle="1" w:styleId="enumlev3">
    <w:name w:val="enumlev3"/>
    <w:basedOn w:val="Normal"/>
    <w:qFormat/>
    <w:rsid w:val="008A7F84"/>
    <w:pPr>
      <w:spacing w:before="80"/>
      <w:ind w:left="2382" w:hanging="794"/>
      <w:outlineLvl w:val="2"/>
    </w:pPr>
    <w:rPr>
      <w:lang w:bidi="ar-SY"/>
    </w:rPr>
  </w:style>
  <w:style w:type="paragraph" w:customStyle="1" w:styleId="Figurelegend">
    <w:name w:val="Figure_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Footnote_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_No"/>
    <w:basedOn w:val="Normal"/>
    <w:qFormat/>
    <w:rsid w:val="00F974C5"/>
    <w:pPr>
      <w:keepNext/>
      <w:keepLines/>
      <w:spacing w:before="360" w:after="120"/>
      <w:jc w:val="center"/>
    </w:pPr>
    <w:rPr>
      <w:sz w:val="26"/>
      <w:szCs w:val="26"/>
    </w:rPr>
  </w:style>
  <w:style w:type="paragraph" w:customStyle="1" w:styleId="Parttitle">
    <w:name w:val="Part_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_1"/>
    <w:basedOn w:val="Normal"/>
    <w:qFormat/>
    <w:rsid w:val="00F974C5"/>
    <w:pPr>
      <w:keepNext/>
      <w:spacing w:before="360" w:after="240"/>
      <w:jc w:val="center"/>
    </w:pPr>
    <w:rPr>
      <w:b/>
      <w:bCs/>
      <w:sz w:val="26"/>
      <w:szCs w:val="26"/>
      <w:lang w:bidi="ar-SY"/>
    </w:rPr>
  </w:style>
  <w:style w:type="paragraph" w:customStyle="1" w:styleId="Section2">
    <w:name w:val="Section_2"/>
    <w:basedOn w:val="Section1"/>
    <w:qFormat/>
    <w:rsid w:val="00F974C5"/>
    <w:pPr>
      <w:spacing w:before="240"/>
    </w:pPr>
    <w:rPr>
      <w:b w:val="0"/>
      <w:bCs w:val="0"/>
    </w:rPr>
  </w:style>
  <w:style w:type="paragraph" w:customStyle="1" w:styleId="SectionNo">
    <w:name w:val="Section_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_No"/>
    <w:basedOn w:val="Normal"/>
    <w:qFormat/>
    <w:rsid w:val="00F974C5"/>
    <w:pPr>
      <w:keepNext/>
      <w:spacing w:before="240" w:after="120"/>
      <w:jc w:val="center"/>
    </w:pPr>
    <w:rPr>
      <w:lang w:bidi="ar-SY"/>
    </w:rPr>
  </w:style>
  <w:style w:type="paragraph" w:customStyle="1" w:styleId="Figuretitle">
    <w:name w:val="Figure_title"/>
    <w:basedOn w:val="Normal"/>
    <w:qFormat/>
    <w:rsid w:val="00F974C5"/>
    <w:pPr>
      <w:keepNext/>
      <w:spacing w:after="240"/>
      <w:jc w:val="center"/>
    </w:pPr>
    <w:rPr>
      <w:b/>
      <w:bCs/>
    </w:rPr>
  </w:style>
  <w:style w:type="paragraph" w:customStyle="1" w:styleId="TableNo">
    <w:name w:val="Table_No"/>
    <w:basedOn w:val="Normal"/>
    <w:qFormat/>
    <w:rsid w:val="00F974C5"/>
    <w:pPr>
      <w:keepNext/>
      <w:spacing w:before="240" w:after="120"/>
      <w:jc w:val="center"/>
    </w:pPr>
    <w:rPr>
      <w:lang w:bidi="ar-SY"/>
    </w:rPr>
  </w:style>
  <w:style w:type="paragraph" w:customStyle="1" w:styleId="Tabletitle">
    <w:name w:val="Table_title"/>
    <w:basedOn w:val="TableNo"/>
    <w:qFormat/>
    <w:rsid w:val="00F974C5"/>
    <w:pPr>
      <w:spacing w:before="120" w:after="240"/>
    </w:pPr>
    <w:rPr>
      <w:b/>
      <w:bCs/>
    </w:rPr>
  </w:style>
  <w:style w:type="paragraph" w:customStyle="1" w:styleId="Tablehead">
    <w:name w:val="Table_head"/>
    <w:basedOn w:val="Normal"/>
    <w:qFormat/>
    <w:rsid w:val="00F974C5"/>
    <w:pPr>
      <w:keepNext/>
      <w:spacing w:before="60" w:after="60" w:line="260" w:lineRule="exact"/>
      <w:jc w:val="center"/>
    </w:pPr>
    <w:rPr>
      <w:b/>
      <w:bCs/>
      <w:sz w:val="20"/>
      <w:szCs w:val="20"/>
    </w:rPr>
  </w:style>
  <w:style w:type="paragraph" w:customStyle="1" w:styleId="Tabletexte">
    <w:name w:val="Table_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_No"/>
    <w:basedOn w:val="Normal"/>
    <w:qFormat/>
    <w:rsid w:val="00F974C5"/>
    <w:pPr>
      <w:keepNext/>
      <w:spacing w:before="360" w:after="120"/>
      <w:jc w:val="center"/>
    </w:pPr>
    <w:rPr>
      <w:sz w:val="26"/>
      <w:szCs w:val="26"/>
      <w:lang w:bidi="ar-SY"/>
    </w:rPr>
  </w:style>
  <w:style w:type="paragraph" w:customStyle="1" w:styleId="Volumetitle">
    <w:name w:val="Volume_title"/>
    <w:basedOn w:val="VolumeNo"/>
    <w:qFormat/>
    <w:rsid w:val="00F974C5"/>
    <w:pPr>
      <w:spacing w:before="120" w:after="360"/>
    </w:pPr>
    <w:rPr>
      <w:b/>
      <w:bCs/>
      <w:sz w:val="28"/>
      <w:szCs w:val="28"/>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_No"/>
    <w:basedOn w:val="Normal"/>
    <w:qFormat/>
    <w:rsid w:val="00F974C5"/>
    <w:pPr>
      <w:keepNext/>
      <w:keepLines/>
      <w:spacing w:before="360" w:after="120"/>
      <w:jc w:val="center"/>
    </w:pPr>
    <w:rPr>
      <w:sz w:val="26"/>
      <w:szCs w:val="26"/>
    </w:rPr>
  </w:style>
  <w:style w:type="paragraph" w:customStyle="1" w:styleId="Opiniontitle">
    <w:name w:val="Opinion_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660DEA"/>
    <w:rPr>
      <w:rFonts w:ascii="Calibri" w:eastAsia="Calibri" w:hAnsi="Calibri" w:cs="Arial"/>
      <w:noProof/>
      <w:color w:val="5B9BD5" w:themeColor="accent1"/>
      <w:sz w:val="18"/>
      <w:lang w:val="en-GB" w:eastAsia="en-US"/>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_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_legend"/>
    <w:basedOn w:val="Normal"/>
    <w:qFormat/>
    <w:rsid w:val="00F974C5"/>
    <w:pPr>
      <w:spacing w:before="80"/>
    </w:pPr>
    <w:rPr>
      <w:lang w:bidi="ar-SY"/>
    </w:rPr>
  </w:style>
  <w:style w:type="paragraph" w:customStyle="1" w:styleId="Headingb">
    <w:name w:val="Heading_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60DEA"/>
    <w:rPr>
      <w:color w:val="605E5C"/>
      <w:shd w:val="clear" w:color="auto" w:fill="E1DFDD"/>
    </w:rPr>
  </w:style>
  <w:style w:type="character" w:styleId="FollowedHyperlink">
    <w:name w:val="FollowedHyperlink"/>
    <w:basedOn w:val="DefaultParagraphFont"/>
    <w:uiPriority w:val="99"/>
    <w:semiHidden/>
    <w:unhideWhenUsed/>
    <w:rsid w:val="00E61D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4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146-a.pdf" TargetMode="External"/><Relationship Id="rId13" Type="http://schemas.openxmlformats.org/officeDocument/2006/relationships/hyperlink" Target="https://www.itu.int/md/S24-EGITRS3-C/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25-EGITRS4-C-0009/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4-EGITRS3-C-0012/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en/council/Pages/eg-itrs.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S23-CL-C-0121/en" TargetMode="External"/><Relationship Id="rId14" Type="http://schemas.openxmlformats.org/officeDocument/2006/relationships/hyperlink" Target="https://www.itu.int/md/S25-EGITRS4-C/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5\SG\PA_Council%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 2025.dotx</Template>
  <TotalTime>2</TotalTime>
  <Pages>2</Pages>
  <Words>557</Words>
  <Characters>3139</Characters>
  <Application>Microsoft Office Word</Application>
  <DocSecurity>0</DocSecurity>
  <Lines>58</Lines>
  <Paragraphs>33</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report by the Chair of the Expert Group on the International Telecommunication Regulations</dc:title>
  <dc:subject>Council 2025</dc:subject>
  <cp:keywords>C2025, C25, Council-25</cp:keywords>
  <dc:description/>
  <dcterms:created xsi:type="dcterms:W3CDTF">2025-05-06T07:20:00Z</dcterms:created>
  <dcterms:modified xsi:type="dcterms:W3CDTF">2025-05-06T07:21:00Z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4764bc0ed8aab6cc3f228418da0bf4d692034987165b3c327d8e9737cd820415</vt:lpwstr>
  </property>
</Properties>
</file>