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9E5AB1" w14:paraId="27E8562E" w14:textId="77777777" w:rsidTr="00D72F49">
        <w:trPr>
          <w:cantSplit/>
          <w:trHeight w:val="23"/>
        </w:trPr>
        <w:tc>
          <w:tcPr>
            <w:tcW w:w="3969" w:type="dxa"/>
            <w:vMerge w:val="restart"/>
            <w:tcMar>
              <w:left w:w="0" w:type="dxa"/>
            </w:tcMar>
          </w:tcPr>
          <w:p w14:paraId="6B946329" w14:textId="24303FDC" w:rsidR="00D72F49" w:rsidRPr="009E5AB1" w:rsidRDefault="00D72F49" w:rsidP="00D72F49">
            <w:pPr>
              <w:tabs>
                <w:tab w:val="left" w:pos="851"/>
              </w:tabs>
              <w:spacing w:before="0" w:line="240" w:lineRule="atLeast"/>
              <w:rPr>
                <w:b/>
              </w:rPr>
            </w:pPr>
            <w:r w:rsidRPr="009E5AB1">
              <w:rPr>
                <w:b/>
              </w:rPr>
              <w:t>Point de l'ordre du jour:</w:t>
            </w:r>
            <w:r w:rsidR="005D1AA2" w:rsidRPr="009E5AB1">
              <w:rPr>
                <w:b/>
              </w:rPr>
              <w:t xml:space="preserve"> PL 2</w:t>
            </w:r>
          </w:p>
        </w:tc>
        <w:tc>
          <w:tcPr>
            <w:tcW w:w="5245" w:type="dxa"/>
          </w:tcPr>
          <w:p w14:paraId="36AD0D69" w14:textId="2BF28B56" w:rsidR="00D72F49" w:rsidRPr="009E5AB1" w:rsidRDefault="003232EF" w:rsidP="00D72F49">
            <w:pPr>
              <w:tabs>
                <w:tab w:val="left" w:pos="851"/>
              </w:tabs>
              <w:spacing w:before="0" w:line="240" w:lineRule="atLeast"/>
              <w:jc w:val="right"/>
              <w:rPr>
                <w:b/>
              </w:rPr>
            </w:pPr>
            <w:r w:rsidRPr="009E5AB1">
              <w:rPr>
                <w:b/>
              </w:rPr>
              <w:t>Révision 1 du</w:t>
            </w:r>
            <w:r w:rsidR="00F07A51" w:rsidRPr="009E5AB1">
              <w:rPr>
                <w:b/>
              </w:rPr>
              <w:br/>
            </w:r>
            <w:r w:rsidR="00D72F49" w:rsidRPr="009E5AB1">
              <w:rPr>
                <w:b/>
              </w:rPr>
              <w:t>Document C2</w:t>
            </w:r>
            <w:r w:rsidR="00FC6D7D" w:rsidRPr="009E5AB1">
              <w:rPr>
                <w:b/>
              </w:rPr>
              <w:t>5</w:t>
            </w:r>
            <w:r w:rsidR="00D72F49" w:rsidRPr="009E5AB1">
              <w:rPr>
                <w:b/>
              </w:rPr>
              <w:t>/</w:t>
            </w:r>
            <w:r w:rsidR="005D1AA2" w:rsidRPr="009E5AB1">
              <w:rPr>
                <w:b/>
              </w:rPr>
              <w:t>25</w:t>
            </w:r>
            <w:r w:rsidR="00D72F49" w:rsidRPr="009E5AB1">
              <w:rPr>
                <w:b/>
              </w:rPr>
              <w:t>-F</w:t>
            </w:r>
          </w:p>
        </w:tc>
      </w:tr>
      <w:tr w:rsidR="00D72F49" w:rsidRPr="009E5AB1" w14:paraId="41BDB9FD" w14:textId="77777777" w:rsidTr="00D72F49">
        <w:trPr>
          <w:cantSplit/>
        </w:trPr>
        <w:tc>
          <w:tcPr>
            <w:tcW w:w="3969" w:type="dxa"/>
            <w:vMerge/>
          </w:tcPr>
          <w:p w14:paraId="173EDECE" w14:textId="77777777" w:rsidR="00D72F49" w:rsidRPr="009E5AB1" w:rsidRDefault="00D72F49" w:rsidP="00D72F49">
            <w:pPr>
              <w:tabs>
                <w:tab w:val="left" w:pos="851"/>
              </w:tabs>
              <w:spacing w:line="240" w:lineRule="atLeast"/>
              <w:rPr>
                <w:b/>
              </w:rPr>
            </w:pPr>
          </w:p>
        </w:tc>
        <w:tc>
          <w:tcPr>
            <w:tcW w:w="5245" w:type="dxa"/>
          </w:tcPr>
          <w:p w14:paraId="61F6523C" w14:textId="3EC4BC79" w:rsidR="00D72F49" w:rsidRPr="009E5AB1" w:rsidRDefault="003232EF" w:rsidP="00D72F49">
            <w:pPr>
              <w:tabs>
                <w:tab w:val="left" w:pos="851"/>
              </w:tabs>
              <w:spacing w:before="0"/>
              <w:jc w:val="right"/>
              <w:rPr>
                <w:b/>
              </w:rPr>
            </w:pPr>
            <w:r w:rsidRPr="009E5AB1">
              <w:rPr>
                <w:b/>
              </w:rPr>
              <w:t>28</w:t>
            </w:r>
            <w:r w:rsidR="005D1AA2" w:rsidRPr="009E5AB1">
              <w:rPr>
                <w:b/>
              </w:rPr>
              <w:t xml:space="preserve"> mai 2025</w:t>
            </w:r>
          </w:p>
        </w:tc>
      </w:tr>
      <w:tr w:rsidR="00D72F49" w:rsidRPr="009E5AB1" w14:paraId="52638DAF" w14:textId="77777777" w:rsidTr="00D72F49">
        <w:trPr>
          <w:cantSplit/>
          <w:trHeight w:val="23"/>
        </w:trPr>
        <w:tc>
          <w:tcPr>
            <w:tcW w:w="3969" w:type="dxa"/>
            <w:vMerge/>
          </w:tcPr>
          <w:p w14:paraId="2694F1DC" w14:textId="77777777" w:rsidR="00D72F49" w:rsidRPr="009E5AB1" w:rsidRDefault="00D72F49" w:rsidP="00D72F49">
            <w:pPr>
              <w:tabs>
                <w:tab w:val="left" w:pos="851"/>
              </w:tabs>
              <w:spacing w:line="240" w:lineRule="atLeast"/>
              <w:rPr>
                <w:b/>
              </w:rPr>
            </w:pPr>
          </w:p>
        </w:tc>
        <w:tc>
          <w:tcPr>
            <w:tcW w:w="5245" w:type="dxa"/>
          </w:tcPr>
          <w:p w14:paraId="3B0F3B52" w14:textId="77777777" w:rsidR="00D72F49" w:rsidRPr="009E5AB1" w:rsidRDefault="00D72F49" w:rsidP="00D72F49">
            <w:pPr>
              <w:tabs>
                <w:tab w:val="left" w:pos="851"/>
              </w:tabs>
              <w:spacing w:before="0" w:line="240" w:lineRule="atLeast"/>
              <w:jc w:val="right"/>
              <w:rPr>
                <w:b/>
              </w:rPr>
            </w:pPr>
            <w:r w:rsidRPr="009E5AB1">
              <w:rPr>
                <w:b/>
              </w:rPr>
              <w:t>Original: anglais</w:t>
            </w:r>
          </w:p>
        </w:tc>
      </w:tr>
      <w:tr w:rsidR="00D72F49" w:rsidRPr="009E5AB1" w14:paraId="49B3335D" w14:textId="77777777" w:rsidTr="00D72F49">
        <w:trPr>
          <w:cantSplit/>
          <w:trHeight w:val="23"/>
        </w:trPr>
        <w:tc>
          <w:tcPr>
            <w:tcW w:w="3969" w:type="dxa"/>
          </w:tcPr>
          <w:p w14:paraId="503F44B2" w14:textId="77777777" w:rsidR="00D72F49" w:rsidRPr="009E5AB1" w:rsidRDefault="00D72F49" w:rsidP="00D72F49">
            <w:pPr>
              <w:tabs>
                <w:tab w:val="left" w:pos="851"/>
              </w:tabs>
              <w:spacing w:line="240" w:lineRule="atLeast"/>
              <w:rPr>
                <w:b/>
              </w:rPr>
            </w:pPr>
          </w:p>
        </w:tc>
        <w:tc>
          <w:tcPr>
            <w:tcW w:w="5245" w:type="dxa"/>
          </w:tcPr>
          <w:p w14:paraId="263B3D81" w14:textId="77777777" w:rsidR="00D72F49" w:rsidRPr="009E5AB1" w:rsidRDefault="00D72F49" w:rsidP="00D72F49">
            <w:pPr>
              <w:tabs>
                <w:tab w:val="left" w:pos="851"/>
              </w:tabs>
              <w:spacing w:before="0" w:line="240" w:lineRule="atLeast"/>
              <w:jc w:val="right"/>
              <w:rPr>
                <w:b/>
              </w:rPr>
            </w:pPr>
          </w:p>
        </w:tc>
      </w:tr>
      <w:tr w:rsidR="00D72F49" w:rsidRPr="009E5AB1" w14:paraId="2349B03B" w14:textId="77777777" w:rsidTr="00D72F49">
        <w:trPr>
          <w:cantSplit/>
        </w:trPr>
        <w:tc>
          <w:tcPr>
            <w:tcW w:w="9214" w:type="dxa"/>
            <w:gridSpan w:val="2"/>
            <w:tcMar>
              <w:left w:w="0" w:type="dxa"/>
            </w:tcMar>
          </w:tcPr>
          <w:p w14:paraId="7AC644C8" w14:textId="77777777" w:rsidR="00D72F49" w:rsidRPr="009E5AB1" w:rsidRDefault="00D72F49" w:rsidP="00D72F49">
            <w:pPr>
              <w:pStyle w:val="Source"/>
              <w:jc w:val="left"/>
              <w:rPr>
                <w:sz w:val="34"/>
                <w:szCs w:val="34"/>
              </w:rPr>
            </w:pPr>
            <w:r w:rsidRPr="009E5AB1">
              <w:rPr>
                <w:rFonts w:cstheme="minorHAnsi"/>
                <w:color w:val="000000"/>
                <w:sz w:val="34"/>
                <w:szCs w:val="34"/>
              </w:rPr>
              <w:t xml:space="preserve">Rapport </w:t>
            </w:r>
            <w:r w:rsidR="00E95647" w:rsidRPr="009E5AB1">
              <w:rPr>
                <w:rFonts w:cstheme="minorHAnsi"/>
                <w:color w:val="000000"/>
                <w:sz w:val="34"/>
                <w:szCs w:val="34"/>
              </w:rPr>
              <w:t xml:space="preserve">de la </w:t>
            </w:r>
            <w:r w:rsidRPr="009E5AB1">
              <w:rPr>
                <w:rFonts w:cstheme="minorHAnsi"/>
                <w:color w:val="000000"/>
                <w:sz w:val="34"/>
                <w:szCs w:val="34"/>
              </w:rPr>
              <w:t>Secrétaire général</w:t>
            </w:r>
            <w:r w:rsidR="00E95647" w:rsidRPr="009E5AB1">
              <w:rPr>
                <w:rFonts w:cstheme="minorHAnsi"/>
                <w:color w:val="000000"/>
                <w:sz w:val="34"/>
                <w:szCs w:val="34"/>
              </w:rPr>
              <w:t>e</w:t>
            </w:r>
          </w:p>
        </w:tc>
      </w:tr>
      <w:tr w:rsidR="00D72F49" w:rsidRPr="009E5AB1" w14:paraId="15D04EB1" w14:textId="77777777" w:rsidTr="00D72F49">
        <w:trPr>
          <w:cantSplit/>
        </w:trPr>
        <w:tc>
          <w:tcPr>
            <w:tcW w:w="9214" w:type="dxa"/>
            <w:gridSpan w:val="2"/>
            <w:tcMar>
              <w:left w:w="0" w:type="dxa"/>
            </w:tcMar>
          </w:tcPr>
          <w:p w14:paraId="5CFA9FC6" w14:textId="00933BEC" w:rsidR="00D72F49" w:rsidRPr="009E5AB1" w:rsidRDefault="009149DE" w:rsidP="00D72F49">
            <w:pPr>
              <w:pStyle w:val="Subtitle"/>
              <w:framePr w:hSpace="0" w:wrap="auto" w:hAnchor="text" w:xAlign="left" w:yAlign="inline"/>
              <w:rPr>
                <w:sz w:val="32"/>
                <w:szCs w:val="32"/>
                <w:lang w:val="fr-FR"/>
              </w:rPr>
            </w:pPr>
            <w:r w:rsidRPr="009E5AB1">
              <w:rPr>
                <w:rFonts w:cstheme="minorHAnsi"/>
                <w:sz w:val="32"/>
                <w:szCs w:val="32"/>
                <w:lang w:val="fr-FR"/>
              </w:rPr>
              <w:t>RENFORCER LA PRÉSENCE RÉGIONALE DE L'UIT</w:t>
            </w:r>
          </w:p>
        </w:tc>
      </w:tr>
      <w:tr w:rsidR="00D72F49" w:rsidRPr="009E5AB1" w14:paraId="0B15AC53" w14:textId="77777777" w:rsidTr="00D72F49">
        <w:trPr>
          <w:cantSplit/>
        </w:trPr>
        <w:tc>
          <w:tcPr>
            <w:tcW w:w="9214" w:type="dxa"/>
            <w:gridSpan w:val="2"/>
            <w:tcBorders>
              <w:top w:val="single" w:sz="4" w:space="0" w:color="auto"/>
              <w:bottom w:val="single" w:sz="4" w:space="0" w:color="auto"/>
            </w:tcBorders>
            <w:tcMar>
              <w:left w:w="0" w:type="dxa"/>
            </w:tcMar>
          </w:tcPr>
          <w:p w14:paraId="73679505" w14:textId="77777777" w:rsidR="00D72F49" w:rsidRPr="009E5AB1" w:rsidRDefault="00F37FE5" w:rsidP="00D72F49">
            <w:pPr>
              <w:spacing w:before="160"/>
              <w:rPr>
                <w:b/>
                <w:bCs/>
                <w:sz w:val="26"/>
                <w:szCs w:val="26"/>
              </w:rPr>
            </w:pPr>
            <w:r w:rsidRPr="009E5AB1">
              <w:rPr>
                <w:b/>
                <w:bCs/>
                <w:sz w:val="26"/>
                <w:szCs w:val="26"/>
              </w:rPr>
              <w:t>Objet</w:t>
            </w:r>
          </w:p>
          <w:p w14:paraId="67CCCDE9" w14:textId="2EC39909" w:rsidR="00D72F49" w:rsidRPr="009E5AB1" w:rsidRDefault="005D1AA2" w:rsidP="00650B5F">
            <w:pPr>
              <w:jc w:val="both"/>
            </w:pPr>
            <w:r w:rsidRPr="009E5AB1">
              <w:t>Le présent document rend compte de la contribution de la présence régionale de l'UIT à l'accomplissement du mandat de l'Union. Il donne des renseignements sur les activités menées au niveau régional pour mettre en application le plan stratégique de l'UIT, le Plan d'action de Kigali et les initiatives régionales.</w:t>
            </w:r>
          </w:p>
          <w:p w14:paraId="37044F78" w14:textId="77777777" w:rsidR="00D72F49" w:rsidRPr="009E5AB1" w:rsidRDefault="00D72F49" w:rsidP="00D72F49">
            <w:pPr>
              <w:spacing w:before="160"/>
              <w:rPr>
                <w:b/>
                <w:bCs/>
                <w:sz w:val="26"/>
                <w:szCs w:val="26"/>
              </w:rPr>
            </w:pPr>
            <w:r w:rsidRPr="009E5AB1">
              <w:rPr>
                <w:b/>
                <w:bCs/>
                <w:sz w:val="26"/>
                <w:szCs w:val="26"/>
              </w:rPr>
              <w:t>Suite à donner par le Conseil</w:t>
            </w:r>
          </w:p>
          <w:p w14:paraId="3B6970AE" w14:textId="7716836F" w:rsidR="00D72F49" w:rsidRPr="009E5AB1" w:rsidRDefault="005D1AA2" w:rsidP="00D72F49">
            <w:r w:rsidRPr="009E5AB1">
              <w:t xml:space="preserve">Le Conseil est invité à </w:t>
            </w:r>
            <w:r w:rsidRPr="009E5AB1">
              <w:rPr>
                <w:b/>
                <w:bCs/>
              </w:rPr>
              <w:t>prendre note</w:t>
            </w:r>
            <w:r w:rsidRPr="009E5AB1">
              <w:t xml:space="preserve"> du rapport figurant dans le présent document.</w:t>
            </w:r>
          </w:p>
          <w:p w14:paraId="5714A4FE" w14:textId="77777777" w:rsidR="00D72F49" w:rsidRPr="009E5AB1" w:rsidRDefault="00D72F49" w:rsidP="00D72F49">
            <w:pPr>
              <w:spacing w:before="160"/>
              <w:rPr>
                <w:b/>
                <w:bCs/>
                <w:sz w:val="26"/>
                <w:szCs w:val="26"/>
              </w:rPr>
            </w:pPr>
            <w:r w:rsidRPr="009E5AB1">
              <w:rPr>
                <w:b/>
                <w:bCs/>
                <w:sz w:val="26"/>
                <w:szCs w:val="26"/>
              </w:rPr>
              <w:t xml:space="preserve">Lien(s) pertinent(s) avec le </w:t>
            </w:r>
            <w:r w:rsidR="00F37FE5" w:rsidRPr="009E5AB1">
              <w:rPr>
                <w:b/>
                <w:bCs/>
                <w:sz w:val="26"/>
                <w:szCs w:val="26"/>
              </w:rPr>
              <w:t>p</w:t>
            </w:r>
            <w:r w:rsidRPr="009E5AB1">
              <w:rPr>
                <w:b/>
                <w:bCs/>
                <w:sz w:val="26"/>
                <w:szCs w:val="26"/>
              </w:rPr>
              <w:t>lan stratégique</w:t>
            </w:r>
          </w:p>
          <w:p w14:paraId="4E0A7FAF" w14:textId="324071C4" w:rsidR="00D72F49" w:rsidRPr="009E5AB1" w:rsidRDefault="005D1AA2" w:rsidP="00D72F49">
            <w:r w:rsidRPr="009E5AB1">
              <w:t>Présence régionale.</w:t>
            </w:r>
          </w:p>
          <w:p w14:paraId="03D14D7F" w14:textId="77777777" w:rsidR="00E95647" w:rsidRPr="009E5AB1" w:rsidRDefault="00D72F49" w:rsidP="00D72F49">
            <w:pPr>
              <w:spacing w:before="160"/>
              <w:rPr>
                <w:b/>
                <w:bCs/>
                <w:sz w:val="26"/>
                <w:szCs w:val="26"/>
              </w:rPr>
            </w:pPr>
            <w:r w:rsidRPr="009E5AB1">
              <w:rPr>
                <w:b/>
                <w:bCs/>
                <w:sz w:val="26"/>
                <w:szCs w:val="26"/>
              </w:rPr>
              <w:t>Incidences financières</w:t>
            </w:r>
          </w:p>
          <w:p w14:paraId="0F96AA5A" w14:textId="5127413D" w:rsidR="00D72F49" w:rsidRPr="009E5AB1" w:rsidRDefault="005D1AA2" w:rsidP="00882919">
            <w:pPr>
              <w:rPr>
                <w:szCs w:val="24"/>
              </w:rPr>
            </w:pPr>
            <w:r w:rsidRPr="009E5AB1">
              <w:rPr>
                <w:szCs w:val="24"/>
              </w:rPr>
              <w:t>Dans les limites du budget alloué pour 2024-2025.</w:t>
            </w:r>
          </w:p>
          <w:p w14:paraId="2211EE6D" w14:textId="77777777" w:rsidR="00D72F49" w:rsidRPr="009E5AB1" w:rsidRDefault="00D72F49" w:rsidP="00D72F49">
            <w:pPr>
              <w:spacing w:before="160"/>
              <w:rPr>
                <w:caps/>
                <w:sz w:val="22"/>
              </w:rPr>
            </w:pPr>
            <w:r w:rsidRPr="009E5AB1">
              <w:rPr>
                <w:sz w:val="22"/>
              </w:rPr>
              <w:t>__________________</w:t>
            </w:r>
          </w:p>
          <w:p w14:paraId="24F49A20" w14:textId="77777777" w:rsidR="00D72F49" w:rsidRPr="009E5AB1" w:rsidRDefault="00D72F49" w:rsidP="00D72F49">
            <w:pPr>
              <w:spacing w:before="160"/>
              <w:rPr>
                <w:b/>
                <w:bCs/>
                <w:sz w:val="26"/>
                <w:szCs w:val="26"/>
              </w:rPr>
            </w:pPr>
            <w:r w:rsidRPr="009E5AB1">
              <w:rPr>
                <w:b/>
                <w:bCs/>
                <w:sz w:val="26"/>
                <w:szCs w:val="26"/>
              </w:rPr>
              <w:t>Références</w:t>
            </w:r>
          </w:p>
          <w:p w14:paraId="56C97EE3" w14:textId="34F72B78" w:rsidR="00D72F49" w:rsidRPr="00650B5F" w:rsidRDefault="00650B5F" w:rsidP="00650B5F">
            <w:pPr>
              <w:spacing w:after="160"/>
              <w:jc w:val="both"/>
              <w:rPr>
                <w:i/>
                <w:iCs/>
                <w:sz w:val="22"/>
                <w:szCs w:val="22"/>
              </w:rPr>
            </w:pPr>
            <w:r w:rsidRPr="00650B5F">
              <w:rPr>
                <w:i/>
                <w:iCs/>
                <w:sz w:val="22"/>
                <w:szCs w:val="22"/>
              </w:rPr>
              <w:t>Résolution</w:t>
            </w:r>
            <w:r>
              <w:rPr>
                <w:i/>
                <w:iCs/>
                <w:sz w:val="22"/>
                <w:szCs w:val="22"/>
              </w:rPr>
              <w:t>s</w:t>
            </w:r>
            <w:r w:rsidRPr="00650B5F">
              <w:rPr>
                <w:i/>
                <w:iCs/>
                <w:sz w:val="22"/>
                <w:szCs w:val="22"/>
              </w:rPr>
              <w:t xml:space="preserve"> </w:t>
            </w:r>
            <w:hyperlink r:id="rId6" w:history="1">
              <w:r w:rsidRPr="00650B5F">
                <w:rPr>
                  <w:rStyle w:val="Hyperlink"/>
                  <w:rFonts w:eastAsia="Times New Roman" w:cs="Times New Roman"/>
                  <w:i/>
                  <w:iCs/>
                  <w:sz w:val="22"/>
                </w:rPr>
                <w:t>25 (Rév. Dubaï, 2018)</w:t>
              </w:r>
            </w:hyperlink>
            <w:r w:rsidR="005D1AA2" w:rsidRPr="00650B5F">
              <w:rPr>
                <w:i/>
                <w:iCs/>
                <w:sz w:val="22"/>
                <w:szCs w:val="22"/>
              </w:rPr>
              <w:t xml:space="preserve">, </w:t>
            </w:r>
            <w:hyperlink r:id="rId7" w:history="1">
              <w:r w:rsidR="005D1AA2" w:rsidRPr="00650B5F">
                <w:rPr>
                  <w:rStyle w:val="Hyperlink"/>
                  <w:rFonts w:eastAsia="Times New Roman" w:cs="Times New Roman"/>
                  <w:i/>
                  <w:iCs/>
                  <w:sz w:val="22"/>
                </w:rPr>
                <w:t>25 (Rév. Bucarest, 2022)</w:t>
              </w:r>
            </w:hyperlink>
            <w:r w:rsidR="005D1AA2" w:rsidRPr="00650B5F">
              <w:rPr>
                <w:i/>
                <w:iCs/>
                <w:sz w:val="22"/>
                <w:szCs w:val="22"/>
              </w:rPr>
              <w:t xml:space="preserve">, </w:t>
            </w:r>
            <w:hyperlink r:id="rId8" w:history="1">
              <w:r w:rsidR="005D1AA2" w:rsidRPr="00650B5F">
                <w:rPr>
                  <w:rStyle w:val="Hyperlink"/>
                  <w:rFonts w:eastAsia="Times New Roman" w:cs="Times New Roman"/>
                  <w:i/>
                  <w:iCs/>
                  <w:sz w:val="22"/>
                </w:rPr>
                <w:t>135 (Rév.</w:t>
              </w:r>
              <w:r w:rsidR="00D41FBB" w:rsidRPr="00650B5F">
                <w:rPr>
                  <w:rStyle w:val="Hyperlink"/>
                  <w:rFonts w:eastAsia="Times New Roman" w:cs="Times New Roman"/>
                  <w:i/>
                  <w:iCs/>
                  <w:sz w:val="22"/>
                </w:rPr>
                <w:t> </w:t>
              </w:r>
              <w:r w:rsidR="005D1AA2" w:rsidRPr="00650B5F">
                <w:rPr>
                  <w:rStyle w:val="Hyperlink"/>
                  <w:rFonts w:eastAsia="Times New Roman" w:cs="Times New Roman"/>
                  <w:i/>
                  <w:iCs/>
                  <w:sz w:val="22"/>
                </w:rPr>
                <w:t>Bucarest, 2022)</w:t>
              </w:r>
            </w:hyperlink>
            <w:r w:rsidR="005D1AA2" w:rsidRPr="00650B5F">
              <w:rPr>
                <w:i/>
                <w:iCs/>
                <w:sz w:val="22"/>
                <w:szCs w:val="22"/>
              </w:rPr>
              <w:t xml:space="preserve"> et </w:t>
            </w:r>
            <w:hyperlink r:id="rId9" w:history="1">
              <w:r w:rsidR="005D1AA2" w:rsidRPr="00650B5F">
                <w:rPr>
                  <w:rStyle w:val="Hyperlink"/>
                  <w:rFonts w:eastAsia="Times New Roman" w:cs="Times New Roman"/>
                  <w:i/>
                  <w:iCs/>
                  <w:sz w:val="22"/>
                </w:rPr>
                <w:t>157 (Rév. Bucarest, 2022)</w:t>
              </w:r>
            </w:hyperlink>
            <w:r w:rsidR="005D1AA2" w:rsidRPr="00650B5F">
              <w:rPr>
                <w:i/>
                <w:iCs/>
                <w:sz w:val="22"/>
                <w:szCs w:val="22"/>
              </w:rPr>
              <w:t xml:space="preserve"> de la Conférence de plénipotentiaires; </w:t>
            </w:r>
            <w:hyperlink r:id="rId10" w:history="1">
              <w:r w:rsidR="005D1AA2" w:rsidRPr="00650B5F">
                <w:rPr>
                  <w:rStyle w:val="Hyperlink"/>
                  <w:rFonts w:eastAsia="Times New Roman" w:cs="Times New Roman"/>
                  <w:i/>
                  <w:iCs/>
                  <w:sz w:val="22"/>
                </w:rPr>
                <w:t>Plan d'action de Kigali, Rapport final de la Conférence mondiale de développement des télécommunications (Kigali, 2022)</w:t>
              </w:r>
            </w:hyperlink>
            <w:r w:rsidR="005D1AA2" w:rsidRPr="00650B5F">
              <w:rPr>
                <w:i/>
                <w:iCs/>
                <w:sz w:val="22"/>
                <w:szCs w:val="22"/>
              </w:rPr>
              <w:t>;</w:t>
            </w:r>
            <w:r>
              <w:rPr>
                <w:i/>
                <w:iCs/>
                <w:sz w:val="22"/>
                <w:szCs w:val="22"/>
              </w:rPr>
              <w:t xml:space="preserve"> </w:t>
            </w:r>
            <w:r w:rsidRPr="00650B5F">
              <w:rPr>
                <w:i/>
                <w:iCs/>
                <w:sz w:val="22"/>
                <w:szCs w:val="22"/>
              </w:rPr>
              <w:t xml:space="preserve">Document </w:t>
            </w:r>
            <w:hyperlink r:id="rId11" w:history="1">
              <w:proofErr w:type="spellStart"/>
              <w:r>
                <w:rPr>
                  <w:rStyle w:val="Hyperlink"/>
                  <w:rFonts w:eastAsia="Times New Roman" w:cs="Times New Roman"/>
                  <w:i/>
                  <w:iCs/>
                  <w:sz w:val="22"/>
                </w:rPr>
                <w:t>TDAG</w:t>
              </w:r>
              <w:proofErr w:type="spellEnd"/>
              <w:r>
                <w:rPr>
                  <w:rStyle w:val="Hyperlink"/>
                  <w:rFonts w:eastAsia="Times New Roman" w:cs="Times New Roman"/>
                  <w:i/>
                  <w:iCs/>
                  <w:sz w:val="22"/>
                </w:rPr>
                <w:t>-31/2</w:t>
              </w:r>
            </w:hyperlink>
            <w:r w:rsidR="005D1AA2" w:rsidRPr="00650B5F">
              <w:rPr>
                <w:i/>
                <w:iCs/>
                <w:sz w:val="22"/>
                <w:szCs w:val="22"/>
              </w:rPr>
              <w:t>.</w:t>
            </w:r>
          </w:p>
        </w:tc>
      </w:tr>
    </w:tbl>
    <w:p w14:paraId="37C0666B" w14:textId="77777777" w:rsidR="00A51849" w:rsidRPr="009E5AB1" w:rsidRDefault="00A51849">
      <w:pPr>
        <w:tabs>
          <w:tab w:val="clear" w:pos="567"/>
          <w:tab w:val="clear" w:pos="1134"/>
          <w:tab w:val="clear" w:pos="1701"/>
          <w:tab w:val="clear" w:pos="2268"/>
          <w:tab w:val="clear" w:pos="2835"/>
        </w:tabs>
        <w:overflowPunct/>
        <w:autoSpaceDE/>
        <w:autoSpaceDN/>
        <w:adjustRightInd/>
        <w:spacing w:before="0"/>
        <w:textAlignment w:val="auto"/>
      </w:pPr>
      <w:r w:rsidRPr="009E5AB1">
        <w:br w:type="page"/>
      </w:r>
    </w:p>
    <w:p w14:paraId="72674BEE" w14:textId="68258FBC" w:rsidR="005D1AA2" w:rsidRPr="009E5AB1" w:rsidRDefault="005D1AA2" w:rsidP="00650B5F">
      <w:pPr>
        <w:pStyle w:val="Heading1"/>
      </w:pPr>
      <w:r w:rsidRPr="009E5AB1">
        <w:lastRenderedPageBreak/>
        <w:t>1</w:t>
      </w:r>
      <w:r w:rsidRPr="009E5AB1">
        <w:tab/>
      </w:r>
      <w:r w:rsidRPr="00650B5F">
        <w:t>Considérations</w:t>
      </w:r>
      <w:r w:rsidRPr="009E5AB1">
        <w:t xml:space="preserve"> générales</w:t>
      </w:r>
    </w:p>
    <w:p w14:paraId="7FD8CBC3" w14:textId="77777777" w:rsidR="005D1AA2" w:rsidRPr="009E5AB1" w:rsidRDefault="005D1AA2" w:rsidP="00650B5F">
      <w:pPr>
        <w:jc w:val="both"/>
      </w:pPr>
      <w:r w:rsidRPr="009E5AB1">
        <w:t>1.1</w:t>
      </w:r>
      <w:r w:rsidRPr="009E5AB1">
        <w:tab/>
        <w:t>En application des articles 1 et 21 de la Constitution de l'UIT et des articles 5 et 14 de la Convention de l'UIT, ainsi que de la Résolution 17 (Rév. Buenos Aires, 2017) de la Conférence mondiale de développement des télécommunications (CMDT), la Conférence de plénipotentiaires invite l'UIT, dans sa Résolution 25 (Rév. Bucarest, 2022), entre autres, à "continuer de renforcer les fonctions des bureaux régionaux et des bureaux de zone, afin qu'ils puissent jouer un rôle important dans la mise en œuvre du plan stratégique, des programmes et des projets de l'UIT, ainsi que des initiatives régionales établies dans le Plan d'action de Kigali conformément à la Résolution 17 (Rév. Kigali, 2022) de la Conférence mondiale de développement des télécommunications (CMDT), dans les limites des ressources disponibles, notamment celles allouées par le plan financier et celles provenant d'autres sources pertinentes, telles que les contributions volontaires et les parrainages".</w:t>
      </w:r>
    </w:p>
    <w:p w14:paraId="3B0E0408" w14:textId="1990F91D" w:rsidR="005D1AA2" w:rsidRPr="009E5AB1" w:rsidRDefault="005D1AA2" w:rsidP="00650B5F">
      <w:pPr>
        <w:jc w:val="both"/>
      </w:pPr>
      <w:r w:rsidRPr="009E5AB1">
        <w:t>1.2</w:t>
      </w:r>
      <w:r w:rsidRPr="009E5AB1">
        <w:tab/>
        <w:t xml:space="preserve">La Résolution 25 met l'accent sur le rôle important que jouent les bureaux régionaux et les bureaux de zone pour permettre à l'UIT (soit les trois Secteurs et le </w:t>
      </w:r>
      <w:r w:rsidR="008C0FB0" w:rsidRPr="009E5AB1">
        <w:t>S</w:t>
      </w:r>
      <w:r w:rsidRPr="009E5AB1">
        <w:t>ecrétariat général) de travailler en collaboration aussi étroite que possible avec ses membres, en ce qu'ils constituent un moyen d'exécuter des programmes, des projets et des activités, de diffuser des informations sur les activités de l'Union, d'instaurer des liens plus étroits avec des organisations régionales ou sous-régionales et des institutions des Nations Unies, et de fournir une assistance technique aux pays ayant des besoins particuliers, y compris les pays les moins avancés (PMA). L'accent est également mis sur l'importance de la participation des pays en développement aux activités de l'UIT.</w:t>
      </w:r>
    </w:p>
    <w:p w14:paraId="23BD7B0E" w14:textId="20CE8CF1" w:rsidR="005D1AA2" w:rsidRPr="009E5AB1" w:rsidRDefault="005D1AA2" w:rsidP="00650B5F">
      <w:pPr>
        <w:jc w:val="both"/>
      </w:pPr>
      <w:r w:rsidRPr="009E5AB1">
        <w:t>1.3</w:t>
      </w:r>
      <w:r w:rsidRPr="009E5AB1">
        <w:tab/>
        <w:t>La Conférence de plénipotentiaires de 2022 (PP-22) a demandé de rendre compte des activités des bureaux régionaux et des bureaux de zone, en mettant en œuvre des mesures propres à chaque région, alignées sur le plan stratégique de l'Union, afin de faciliter la réalisation de l'objectif général consistant à atteindre les buts stratégiques de l'UIT, tout en assurant une représentation efficace des travaux de l'Union ainsi que la diversité géographique, et en tenant compte des besoins propres à chaque région.</w:t>
      </w:r>
    </w:p>
    <w:p w14:paraId="37267AE3" w14:textId="77777777" w:rsidR="005D1AA2" w:rsidRPr="009E5AB1" w:rsidRDefault="005D1AA2" w:rsidP="00650B5F">
      <w:pPr>
        <w:jc w:val="both"/>
      </w:pPr>
      <w:r w:rsidRPr="009E5AB1">
        <w:t>1.4</w:t>
      </w:r>
      <w:r w:rsidRPr="009E5AB1">
        <w:tab/>
        <w:t>Le présent rapport fournit des informations sur la mise en œuvre pratique des activités des bureaux hors siège de l'UIT concernant les trois Secteurs de l'Union.</w:t>
      </w:r>
    </w:p>
    <w:p w14:paraId="5A453626" w14:textId="77777777" w:rsidR="005D1AA2" w:rsidRPr="009E5AB1" w:rsidRDefault="005D1AA2" w:rsidP="00650B5F">
      <w:pPr>
        <w:pStyle w:val="Heading1"/>
      </w:pPr>
      <w:r w:rsidRPr="009E5AB1">
        <w:t>2</w:t>
      </w:r>
      <w:r w:rsidRPr="009E5AB1">
        <w:tab/>
        <w:t>Activités liées au Secteur du développement de l'UIT et au BDT</w:t>
      </w:r>
    </w:p>
    <w:p w14:paraId="2C3B27EC" w14:textId="2F01BF4F" w:rsidR="005D1AA2" w:rsidRPr="009E5AB1" w:rsidRDefault="005D1AA2" w:rsidP="00F71BA5">
      <w:pPr>
        <w:pStyle w:val="Heading2"/>
      </w:pPr>
      <w:r w:rsidRPr="009E5AB1">
        <w:t>2.1</w:t>
      </w:r>
      <w:r w:rsidRPr="009E5AB1">
        <w:tab/>
        <w:t>Forums régionaux sur le développement (RDF) et réunions préparatoires régionales (RPM)</w:t>
      </w:r>
    </w:p>
    <w:p w14:paraId="42D0505B" w14:textId="74775396" w:rsidR="00897553" w:rsidRPr="009E5AB1" w:rsidRDefault="005D1AA2" w:rsidP="00650B5F">
      <w:pPr>
        <w:jc w:val="both"/>
      </w:pPr>
      <w:r w:rsidRPr="009E5AB1">
        <w:t>En 2025, les forums régionaux sur le développement se sont tenus juste avant les réunions préparatoires régionales en vue de la CMDT-25, comme indiqué dans le tableau ci-dessous:</w:t>
      </w:r>
    </w:p>
    <w:p w14:paraId="5466EBB2" w14:textId="52F149EF" w:rsidR="005D1AA2" w:rsidRPr="00650B5F" w:rsidRDefault="005D1AA2" w:rsidP="00650B5F">
      <w:pPr>
        <w:pStyle w:val="TableNo"/>
      </w:pPr>
      <w:r w:rsidRPr="00650B5F">
        <w:lastRenderedPageBreak/>
        <w:t>Tableau 1</w:t>
      </w:r>
    </w:p>
    <w:p w14:paraId="762B165A" w14:textId="77777777" w:rsidR="008C0FB0" w:rsidRPr="009E5AB1" w:rsidRDefault="008C0FB0" w:rsidP="00650B5F">
      <w:pPr>
        <w:pStyle w:val="Tabletitle"/>
        <w:rPr>
          <w:rFonts w:eastAsia="SimSun"/>
        </w:rPr>
      </w:pPr>
      <w:r w:rsidRPr="009E5AB1">
        <w:t>Dates et lieux des RDF et des RPM organisés en 2025</w:t>
      </w:r>
    </w:p>
    <w:tbl>
      <w:tblPr>
        <w:tblStyle w:val="TableGrid"/>
        <w:tblW w:w="10060" w:type="dxa"/>
        <w:tblLook w:val="04A0" w:firstRow="1" w:lastRow="0" w:firstColumn="1" w:lastColumn="0" w:noHBand="0" w:noVBand="1"/>
      </w:tblPr>
      <w:tblGrid>
        <w:gridCol w:w="1812"/>
        <w:gridCol w:w="1869"/>
        <w:gridCol w:w="2126"/>
        <w:gridCol w:w="1559"/>
        <w:gridCol w:w="2694"/>
      </w:tblGrid>
      <w:tr w:rsidR="00C95F97" w:rsidRPr="009E5AB1" w14:paraId="5EF744E9" w14:textId="77777777" w:rsidTr="008C0FB0">
        <w:tc>
          <w:tcPr>
            <w:tcW w:w="1812" w:type="dxa"/>
          </w:tcPr>
          <w:p w14:paraId="1C7FB9D1" w14:textId="7DDDC565" w:rsidR="00C95F97" w:rsidRPr="009E5AB1" w:rsidRDefault="00C95F97" w:rsidP="00884562">
            <w:pPr>
              <w:pStyle w:val="Tablehead"/>
            </w:pPr>
            <w:r w:rsidRPr="00F71BA5">
              <w:t>Région</w:t>
            </w:r>
          </w:p>
        </w:tc>
        <w:tc>
          <w:tcPr>
            <w:tcW w:w="1869" w:type="dxa"/>
          </w:tcPr>
          <w:p w14:paraId="6B0835C1" w14:textId="3FEAC102" w:rsidR="00C95F97" w:rsidRPr="009E5AB1" w:rsidRDefault="00C95F97" w:rsidP="00884562">
            <w:pPr>
              <w:pStyle w:val="Tablehead"/>
            </w:pPr>
            <w:r w:rsidRPr="009E5AB1">
              <w:t>Dates</w:t>
            </w:r>
          </w:p>
        </w:tc>
        <w:tc>
          <w:tcPr>
            <w:tcW w:w="2126" w:type="dxa"/>
          </w:tcPr>
          <w:p w14:paraId="35031B1C" w14:textId="073A50B0" w:rsidR="00C95F97" w:rsidRPr="009E5AB1" w:rsidRDefault="00C95F97" w:rsidP="00884562">
            <w:pPr>
              <w:pStyle w:val="Tablehead"/>
            </w:pPr>
            <w:r w:rsidRPr="009E5AB1">
              <w:t>Ville d'accueil et pays hôte</w:t>
            </w:r>
          </w:p>
        </w:tc>
        <w:tc>
          <w:tcPr>
            <w:tcW w:w="1559" w:type="dxa"/>
          </w:tcPr>
          <w:p w14:paraId="5333CD86" w14:textId="5EEEFF48" w:rsidR="00C95F97" w:rsidRPr="009E5AB1" w:rsidRDefault="00C95F97" w:rsidP="00884562">
            <w:pPr>
              <w:pStyle w:val="Tablehead"/>
            </w:pPr>
            <w:r w:rsidRPr="009E5AB1">
              <w:t>Rapport final de la RPM</w:t>
            </w:r>
          </w:p>
        </w:tc>
        <w:tc>
          <w:tcPr>
            <w:tcW w:w="2694" w:type="dxa"/>
          </w:tcPr>
          <w:p w14:paraId="05606B0B" w14:textId="11C44E57" w:rsidR="00C95F97" w:rsidRPr="009E5AB1" w:rsidRDefault="00C95F97" w:rsidP="00884562">
            <w:pPr>
              <w:pStyle w:val="Tablehead"/>
            </w:pPr>
            <w:r w:rsidRPr="009E5AB1">
              <w:t>Lien vers la vidéo sur la mise en œuvre du Plan d'action de Kigali</w:t>
            </w:r>
          </w:p>
        </w:tc>
      </w:tr>
      <w:tr w:rsidR="00C95F97" w:rsidRPr="009E5AB1" w14:paraId="35D29E91" w14:textId="77777777" w:rsidTr="008C0FB0">
        <w:tc>
          <w:tcPr>
            <w:tcW w:w="1812" w:type="dxa"/>
          </w:tcPr>
          <w:p w14:paraId="166B8350" w14:textId="345ADD10" w:rsidR="00C95F97" w:rsidRPr="009E5AB1" w:rsidRDefault="00C95F97" w:rsidP="00884562">
            <w:pPr>
              <w:pStyle w:val="Tabletext"/>
            </w:pPr>
            <w:hyperlink r:id="rId12" w:anchor="/fr" w:history="1">
              <w:r w:rsidRPr="009E5AB1">
                <w:rPr>
                  <w:rStyle w:val="Hyperlink"/>
                </w:rPr>
                <w:t>RDF</w:t>
              </w:r>
            </w:hyperlink>
            <w:r w:rsidRPr="009E5AB1">
              <w:t xml:space="preserve"> et </w:t>
            </w:r>
            <w:hyperlink r:id="rId13" w:anchor="/fr" w:history="1">
              <w:r w:rsidRPr="009E5AB1">
                <w:rPr>
                  <w:rStyle w:val="Hyperlink"/>
                </w:rPr>
                <w:t>RPM-ARB</w:t>
              </w:r>
            </w:hyperlink>
          </w:p>
        </w:tc>
        <w:tc>
          <w:tcPr>
            <w:tcW w:w="1869" w:type="dxa"/>
          </w:tcPr>
          <w:p w14:paraId="35995494" w14:textId="6CA0ABC6" w:rsidR="00C95F97" w:rsidRPr="009E5AB1" w:rsidRDefault="00C95F97" w:rsidP="00884562">
            <w:pPr>
              <w:pStyle w:val="Tabletext"/>
            </w:pPr>
            <w:r w:rsidRPr="009E5AB1">
              <w:t>3 février 2025</w:t>
            </w:r>
            <w:r w:rsidRPr="009E5AB1">
              <w:br/>
              <w:t>4-5 février 2025</w:t>
            </w:r>
          </w:p>
        </w:tc>
        <w:tc>
          <w:tcPr>
            <w:tcW w:w="2126" w:type="dxa"/>
          </w:tcPr>
          <w:p w14:paraId="564E744D" w14:textId="16720281" w:rsidR="00C95F97" w:rsidRPr="009E5AB1" w:rsidRDefault="00C95F97" w:rsidP="00884562">
            <w:pPr>
              <w:pStyle w:val="Tabletext"/>
            </w:pPr>
            <w:r w:rsidRPr="009E5AB1">
              <w:t>Amman (Jordanie)</w:t>
            </w:r>
          </w:p>
        </w:tc>
        <w:tc>
          <w:tcPr>
            <w:tcW w:w="1559" w:type="dxa"/>
          </w:tcPr>
          <w:p w14:paraId="1AD09334" w14:textId="15F2789E" w:rsidR="00C95F97" w:rsidRPr="009E5AB1" w:rsidRDefault="00C95F97" w:rsidP="00884562">
            <w:pPr>
              <w:pStyle w:val="Tabletext"/>
              <w:jc w:val="center"/>
            </w:pPr>
            <w:hyperlink r:id="rId14" w:history="1">
              <w:r w:rsidRPr="009E5AB1">
                <w:rPr>
                  <w:rStyle w:val="Hyperlink"/>
                </w:rPr>
                <w:t>Rapport</w:t>
              </w:r>
            </w:hyperlink>
          </w:p>
        </w:tc>
        <w:tc>
          <w:tcPr>
            <w:tcW w:w="2694" w:type="dxa"/>
          </w:tcPr>
          <w:p w14:paraId="4EABF494" w14:textId="74397261" w:rsidR="00C95F97" w:rsidRPr="009E5AB1" w:rsidRDefault="00C95F97" w:rsidP="00884562">
            <w:pPr>
              <w:pStyle w:val="Tabletext"/>
              <w:jc w:val="center"/>
            </w:pPr>
            <w:hyperlink r:id="rId15" w:history="1">
              <w:r w:rsidRPr="009E5AB1">
                <w:rPr>
                  <w:rStyle w:val="Hyperlink"/>
                </w:rPr>
                <w:t>Vidéo</w:t>
              </w:r>
            </w:hyperlink>
          </w:p>
        </w:tc>
      </w:tr>
      <w:tr w:rsidR="00C95F97" w:rsidRPr="009E5AB1" w14:paraId="42A412A8" w14:textId="77777777" w:rsidTr="008C0FB0">
        <w:tc>
          <w:tcPr>
            <w:tcW w:w="1812" w:type="dxa"/>
          </w:tcPr>
          <w:p w14:paraId="1F922F74" w14:textId="7A1D4A40" w:rsidR="00C95F97" w:rsidRPr="009E5AB1" w:rsidRDefault="00504BD6" w:rsidP="00884562">
            <w:pPr>
              <w:pStyle w:val="Tabletext"/>
            </w:pPr>
            <w:hyperlink r:id="rId16" w:anchor="/fr" w:history="1">
              <w:r w:rsidRPr="009E5AB1">
                <w:rPr>
                  <w:rStyle w:val="Hyperlink"/>
                </w:rPr>
                <w:t>RDF</w:t>
              </w:r>
            </w:hyperlink>
            <w:r w:rsidRPr="009E5AB1">
              <w:t xml:space="preserve"> et </w:t>
            </w:r>
            <w:hyperlink r:id="rId17" w:anchor="/fr" w:history="1">
              <w:r w:rsidRPr="009E5AB1">
                <w:rPr>
                  <w:rStyle w:val="Hyperlink"/>
                </w:rPr>
                <w:t>RPM-EUR</w:t>
              </w:r>
            </w:hyperlink>
          </w:p>
        </w:tc>
        <w:tc>
          <w:tcPr>
            <w:tcW w:w="1869" w:type="dxa"/>
          </w:tcPr>
          <w:p w14:paraId="463338A7" w14:textId="7D2A873B" w:rsidR="00C95F97" w:rsidRPr="009E5AB1" w:rsidRDefault="00504BD6" w:rsidP="00884562">
            <w:pPr>
              <w:pStyle w:val="Tabletext"/>
            </w:pPr>
            <w:r w:rsidRPr="009E5AB1">
              <w:t>24 février 2025</w:t>
            </w:r>
            <w:r w:rsidRPr="009E5AB1">
              <w:br/>
              <w:t>25-26 février 2025</w:t>
            </w:r>
          </w:p>
        </w:tc>
        <w:tc>
          <w:tcPr>
            <w:tcW w:w="2126" w:type="dxa"/>
          </w:tcPr>
          <w:p w14:paraId="36112B65" w14:textId="0C42F79A" w:rsidR="00C95F97" w:rsidRPr="009E5AB1" w:rsidRDefault="00504BD6" w:rsidP="00884562">
            <w:pPr>
              <w:pStyle w:val="Tabletext"/>
            </w:pPr>
            <w:r w:rsidRPr="009E5AB1">
              <w:t>Budapest (Hongrie)</w:t>
            </w:r>
          </w:p>
        </w:tc>
        <w:tc>
          <w:tcPr>
            <w:tcW w:w="1559" w:type="dxa"/>
          </w:tcPr>
          <w:p w14:paraId="4BBA9B88" w14:textId="321758BC" w:rsidR="00C95F97" w:rsidRPr="009E5AB1" w:rsidRDefault="00504BD6" w:rsidP="00884562">
            <w:pPr>
              <w:pStyle w:val="Tabletext"/>
              <w:jc w:val="center"/>
            </w:pPr>
            <w:hyperlink r:id="rId18" w:history="1">
              <w:r w:rsidRPr="009E5AB1">
                <w:rPr>
                  <w:rStyle w:val="Hyperlink"/>
                </w:rPr>
                <w:t>Rapport</w:t>
              </w:r>
            </w:hyperlink>
          </w:p>
        </w:tc>
        <w:tc>
          <w:tcPr>
            <w:tcW w:w="2694" w:type="dxa"/>
          </w:tcPr>
          <w:p w14:paraId="50ED8214" w14:textId="58C2D8DB" w:rsidR="00C95F97" w:rsidRPr="009E5AB1" w:rsidRDefault="00504BD6" w:rsidP="00884562">
            <w:pPr>
              <w:pStyle w:val="Tabletext"/>
              <w:jc w:val="center"/>
            </w:pPr>
            <w:hyperlink r:id="rId19" w:history="1">
              <w:r w:rsidRPr="009E5AB1">
                <w:rPr>
                  <w:rStyle w:val="Hyperlink"/>
                </w:rPr>
                <w:t>Vidéo</w:t>
              </w:r>
            </w:hyperlink>
          </w:p>
        </w:tc>
      </w:tr>
      <w:tr w:rsidR="00C95F97" w:rsidRPr="009E5AB1" w14:paraId="011ED933" w14:textId="77777777" w:rsidTr="008C0FB0">
        <w:tc>
          <w:tcPr>
            <w:tcW w:w="1812" w:type="dxa"/>
          </w:tcPr>
          <w:p w14:paraId="687628BC" w14:textId="368A7ABE" w:rsidR="00C95F97" w:rsidRPr="009E5AB1" w:rsidRDefault="00504BD6" w:rsidP="00884562">
            <w:pPr>
              <w:pStyle w:val="Tabletext"/>
            </w:pPr>
            <w:hyperlink r:id="rId20" w:anchor="/fr" w:history="1">
              <w:r w:rsidRPr="009E5AB1">
                <w:rPr>
                  <w:rStyle w:val="Hyperlink"/>
                </w:rPr>
                <w:t>RDF</w:t>
              </w:r>
            </w:hyperlink>
            <w:r w:rsidRPr="009E5AB1">
              <w:t xml:space="preserve"> et </w:t>
            </w:r>
            <w:hyperlink r:id="rId21" w:anchor="/fr" w:history="1">
              <w:r w:rsidRPr="009E5AB1">
                <w:rPr>
                  <w:rStyle w:val="Hyperlink"/>
                </w:rPr>
                <w:t>RPM-ASP</w:t>
              </w:r>
            </w:hyperlink>
          </w:p>
        </w:tc>
        <w:tc>
          <w:tcPr>
            <w:tcW w:w="1869" w:type="dxa"/>
          </w:tcPr>
          <w:p w14:paraId="1805A67E" w14:textId="020C535A" w:rsidR="00C95F97" w:rsidRPr="009E5AB1" w:rsidRDefault="00504BD6" w:rsidP="00884562">
            <w:pPr>
              <w:pStyle w:val="Tabletext"/>
            </w:pPr>
            <w:r w:rsidRPr="009E5AB1">
              <w:t>19 mars 2025</w:t>
            </w:r>
            <w:r w:rsidRPr="009E5AB1">
              <w:br/>
              <w:t>20-21 mars 2025</w:t>
            </w:r>
          </w:p>
        </w:tc>
        <w:tc>
          <w:tcPr>
            <w:tcW w:w="2126" w:type="dxa"/>
          </w:tcPr>
          <w:p w14:paraId="2BD0DC5B" w14:textId="02D09C0B" w:rsidR="00C95F97" w:rsidRPr="009E5AB1" w:rsidRDefault="00504BD6" w:rsidP="00884562">
            <w:pPr>
              <w:pStyle w:val="Tabletext"/>
            </w:pPr>
            <w:r w:rsidRPr="009E5AB1">
              <w:t>Bangkok (Thaïlande)</w:t>
            </w:r>
          </w:p>
        </w:tc>
        <w:tc>
          <w:tcPr>
            <w:tcW w:w="1559" w:type="dxa"/>
          </w:tcPr>
          <w:p w14:paraId="06A26BD3" w14:textId="705254BF" w:rsidR="00C95F97" w:rsidRPr="009E5AB1" w:rsidRDefault="00504BD6" w:rsidP="00884562">
            <w:pPr>
              <w:pStyle w:val="Tabletext"/>
              <w:jc w:val="center"/>
            </w:pPr>
            <w:hyperlink r:id="rId22" w:history="1">
              <w:r w:rsidRPr="009E5AB1">
                <w:rPr>
                  <w:rStyle w:val="Hyperlink"/>
                </w:rPr>
                <w:t>Rapport</w:t>
              </w:r>
            </w:hyperlink>
          </w:p>
        </w:tc>
        <w:tc>
          <w:tcPr>
            <w:tcW w:w="2694" w:type="dxa"/>
          </w:tcPr>
          <w:p w14:paraId="200F2C2F" w14:textId="1044B78C" w:rsidR="00C95F97" w:rsidRPr="009E5AB1" w:rsidRDefault="00504BD6" w:rsidP="00884562">
            <w:pPr>
              <w:pStyle w:val="Tabletext"/>
              <w:jc w:val="center"/>
            </w:pPr>
            <w:hyperlink r:id="rId23" w:history="1">
              <w:r w:rsidRPr="009E5AB1">
                <w:rPr>
                  <w:rStyle w:val="Hyperlink"/>
                </w:rPr>
                <w:t>Vidéo</w:t>
              </w:r>
            </w:hyperlink>
          </w:p>
        </w:tc>
      </w:tr>
      <w:tr w:rsidR="00C95F97" w:rsidRPr="009E5AB1" w14:paraId="4C278399" w14:textId="77777777" w:rsidTr="008C0FB0">
        <w:tc>
          <w:tcPr>
            <w:tcW w:w="1812" w:type="dxa"/>
          </w:tcPr>
          <w:p w14:paraId="650FF1D0" w14:textId="06042803" w:rsidR="00C95F97" w:rsidRPr="009E5AB1" w:rsidRDefault="00504BD6" w:rsidP="00884562">
            <w:pPr>
              <w:pStyle w:val="Tabletext"/>
            </w:pPr>
            <w:hyperlink r:id="rId24" w:anchor="/fr" w:history="1">
              <w:r w:rsidRPr="009E5AB1">
                <w:rPr>
                  <w:rStyle w:val="Hyperlink"/>
                </w:rPr>
                <w:t>RDF</w:t>
              </w:r>
            </w:hyperlink>
            <w:r w:rsidRPr="009E5AB1">
              <w:t xml:space="preserve"> et </w:t>
            </w:r>
            <w:hyperlink r:id="rId25" w:anchor="/fr" w:history="1">
              <w:r w:rsidRPr="009E5AB1">
                <w:rPr>
                  <w:rStyle w:val="Hyperlink"/>
                </w:rPr>
                <w:t>RPM-AMS</w:t>
              </w:r>
            </w:hyperlink>
          </w:p>
        </w:tc>
        <w:tc>
          <w:tcPr>
            <w:tcW w:w="1869" w:type="dxa"/>
          </w:tcPr>
          <w:p w14:paraId="2FBCA2D0" w14:textId="51FCDFAE" w:rsidR="00C95F97" w:rsidRPr="009E5AB1" w:rsidRDefault="00504BD6" w:rsidP="00884562">
            <w:pPr>
              <w:pStyle w:val="Tabletext"/>
            </w:pPr>
            <w:r w:rsidRPr="009E5AB1">
              <w:t>31 mars 2025</w:t>
            </w:r>
            <w:r w:rsidRPr="009E5AB1">
              <w:br/>
              <w:t>1er-2 avril 2025</w:t>
            </w:r>
          </w:p>
        </w:tc>
        <w:tc>
          <w:tcPr>
            <w:tcW w:w="2126" w:type="dxa"/>
          </w:tcPr>
          <w:p w14:paraId="72BECEC4" w14:textId="2D2453FA" w:rsidR="00C95F97" w:rsidRPr="009E5AB1" w:rsidRDefault="00FA4BFF" w:rsidP="00884562">
            <w:pPr>
              <w:pStyle w:val="Tabletext"/>
            </w:pPr>
            <w:r w:rsidRPr="009E5AB1">
              <w:t>Asunción</w:t>
            </w:r>
            <w:r w:rsidR="00504BD6" w:rsidRPr="009E5AB1">
              <w:t xml:space="preserve"> (Paraguay)</w:t>
            </w:r>
          </w:p>
        </w:tc>
        <w:tc>
          <w:tcPr>
            <w:tcW w:w="1559" w:type="dxa"/>
          </w:tcPr>
          <w:p w14:paraId="1D0F20CD" w14:textId="2FD5BDE4" w:rsidR="00C95F97" w:rsidRPr="009E5AB1" w:rsidRDefault="00504BD6" w:rsidP="00884562">
            <w:pPr>
              <w:pStyle w:val="Tabletext"/>
              <w:jc w:val="center"/>
            </w:pPr>
            <w:hyperlink r:id="rId26" w:history="1">
              <w:r w:rsidRPr="009E5AB1">
                <w:rPr>
                  <w:rStyle w:val="Hyperlink"/>
                </w:rPr>
                <w:t>Rapport</w:t>
              </w:r>
            </w:hyperlink>
          </w:p>
        </w:tc>
        <w:tc>
          <w:tcPr>
            <w:tcW w:w="2694" w:type="dxa"/>
          </w:tcPr>
          <w:p w14:paraId="686A2C04" w14:textId="0F228B2E" w:rsidR="00C95F97" w:rsidRPr="009E5AB1" w:rsidRDefault="00504BD6" w:rsidP="00884562">
            <w:pPr>
              <w:pStyle w:val="Tabletext"/>
              <w:jc w:val="center"/>
            </w:pPr>
            <w:hyperlink r:id="rId27" w:history="1">
              <w:r w:rsidRPr="009E5AB1">
                <w:rPr>
                  <w:rStyle w:val="Hyperlink"/>
                </w:rPr>
                <w:t>Vidéo</w:t>
              </w:r>
            </w:hyperlink>
          </w:p>
        </w:tc>
      </w:tr>
      <w:tr w:rsidR="00C95F97" w:rsidRPr="009E5AB1" w14:paraId="553E4C2B" w14:textId="77777777" w:rsidTr="008C0FB0">
        <w:tc>
          <w:tcPr>
            <w:tcW w:w="1812" w:type="dxa"/>
          </w:tcPr>
          <w:p w14:paraId="754EAA51" w14:textId="0F69A96F" w:rsidR="00C95F97" w:rsidRPr="009E5AB1" w:rsidRDefault="00504BD6" w:rsidP="00884562">
            <w:pPr>
              <w:pStyle w:val="Tabletext"/>
            </w:pPr>
            <w:hyperlink r:id="rId28" w:anchor="/fr" w:history="1">
              <w:r w:rsidRPr="009E5AB1">
                <w:rPr>
                  <w:rStyle w:val="Hyperlink"/>
                </w:rPr>
                <w:t>RDF</w:t>
              </w:r>
            </w:hyperlink>
            <w:r w:rsidRPr="009E5AB1">
              <w:t xml:space="preserve"> et </w:t>
            </w:r>
            <w:hyperlink r:id="rId29" w:anchor="/fr" w:history="1">
              <w:r w:rsidRPr="009E5AB1">
                <w:rPr>
                  <w:rStyle w:val="Hyperlink"/>
                </w:rPr>
                <w:t>RPM-AFR</w:t>
              </w:r>
            </w:hyperlink>
          </w:p>
        </w:tc>
        <w:tc>
          <w:tcPr>
            <w:tcW w:w="1869" w:type="dxa"/>
          </w:tcPr>
          <w:p w14:paraId="65E8D1EC" w14:textId="2CC4462D" w:rsidR="00C95F97" w:rsidRPr="009E5AB1" w:rsidRDefault="00504BD6" w:rsidP="00884562">
            <w:pPr>
              <w:pStyle w:val="Tabletext"/>
            </w:pPr>
            <w:r w:rsidRPr="009E5AB1">
              <w:t>7 avril 2025</w:t>
            </w:r>
            <w:r w:rsidRPr="009E5AB1">
              <w:br/>
              <w:t>8-9 avril 2025</w:t>
            </w:r>
          </w:p>
        </w:tc>
        <w:tc>
          <w:tcPr>
            <w:tcW w:w="2126" w:type="dxa"/>
          </w:tcPr>
          <w:p w14:paraId="2FCA252D" w14:textId="1E660060" w:rsidR="00C95F97" w:rsidRPr="009E5AB1" w:rsidRDefault="00504BD6" w:rsidP="00884562">
            <w:pPr>
              <w:pStyle w:val="Tabletext"/>
            </w:pPr>
            <w:r w:rsidRPr="009E5AB1">
              <w:t>Nairobi (Kenya)</w:t>
            </w:r>
          </w:p>
        </w:tc>
        <w:tc>
          <w:tcPr>
            <w:tcW w:w="1559" w:type="dxa"/>
          </w:tcPr>
          <w:p w14:paraId="7900EC09" w14:textId="6F31D0D8" w:rsidR="00C95F97" w:rsidRPr="009E5AB1" w:rsidRDefault="00504BD6" w:rsidP="00884562">
            <w:pPr>
              <w:pStyle w:val="Tabletext"/>
              <w:jc w:val="center"/>
            </w:pPr>
            <w:hyperlink r:id="rId30" w:history="1">
              <w:r w:rsidRPr="009E5AB1">
                <w:rPr>
                  <w:rStyle w:val="Hyperlink"/>
                </w:rPr>
                <w:t>Rapport</w:t>
              </w:r>
            </w:hyperlink>
          </w:p>
        </w:tc>
        <w:tc>
          <w:tcPr>
            <w:tcW w:w="2694" w:type="dxa"/>
          </w:tcPr>
          <w:p w14:paraId="336C1A6B" w14:textId="036937DB" w:rsidR="00C95F97" w:rsidRPr="009E5AB1" w:rsidRDefault="00504BD6" w:rsidP="00884562">
            <w:pPr>
              <w:pStyle w:val="Tabletext"/>
              <w:jc w:val="center"/>
            </w:pPr>
            <w:hyperlink r:id="rId31" w:history="1">
              <w:r w:rsidRPr="009E5AB1">
                <w:rPr>
                  <w:rStyle w:val="Hyperlink"/>
                </w:rPr>
                <w:t>Vidéo</w:t>
              </w:r>
            </w:hyperlink>
          </w:p>
        </w:tc>
      </w:tr>
      <w:tr w:rsidR="00C95F97" w:rsidRPr="009E5AB1" w14:paraId="327BD756" w14:textId="77777777" w:rsidTr="008C0FB0">
        <w:tc>
          <w:tcPr>
            <w:tcW w:w="1812" w:type="dxa"/>
          </w:tcPr>
          <w:p w14:paraId="3B9A7031" w14:textId="2E1979B8" w:rsidR="00C95F97" w:rsidRPr="009E5AB1" w:rsidRDefault="00375269" w:rsidP="00884562">
            <w:pPr>
              <w:pStyle w:val="Tabletext"/>
            </w:pPr>
            <w:hyperlink r:id="rId32" w:anchor="/fr" w:history="1">
              <w:r w:rsidRPr="009E5AB1">
                <w:rPr>
                  <w:rStyle w:val="Hyperlink"/>
                </w:rPr>
                <w:t>RDF</w:t>
              </w:r>
            </w:hyperlink>
            <w:r w:rsidRPr="009E5AB1">
              <w:t xml:space="preserve"> et </w:t>
            </w:r>
            <w:hyperlink r:id="rId33" w:anchor="/fr" w:history="1">
              <w:r w:rsidRPr="009E5AB1">
                <w:rPr>
                  <w:rStyle w:val="Hyperlink"/>
                </w:rPr>
                <w:t>RPM-CEI</w:t>
              </w:r>
            </w:hyperlink>
          </w:p>
        </w:tc>
        <w:tc>
          <w:tcPr>
            <w:tcW w:w="1869" w:type="dxa"/>
          </w:tcPr>
          <w:p w14:paraId="2ECEE982" w14:textId="660015B9" w:rsidR="00C95F97" w:rsidRPr="009E5AB1" w:rsidRDefault="00375269" w:rsidP="00884562">
            <w:pPr>
              <w:pStyle w:val="Tabletext"/>
            </w:pPr>
            <w:r w:rsidRPr="009E5AB1">
              <w:t>23 avril 2025</w:t>
            </w:r>
            <w:r w:rsidRPr="009E5AB1">
              <w:br/>
              <w:t>24-25 avril 2025</w:t>
            </w:r>
          </w:p>
        </w:tc>
        <w:tc>
          <w:tcPr>
            <w:tcW w:w="2126" w:type="dxa"/>
          </w:tcPr>
          <w:p w14:paraId="52E0F4AB" w14:textId="77257561" w:rsidR="00C95F97" w:rsidRPr="009E5AB1" w:rsidRDefault="00375269" w:rsidP="00884562">
            <w:pPr>
              <w:pStyle w:val="Tabletext"/>
            </w:pPr>
            <w:r w:rsidRPr="009E5AB1">
              <w:t>Bichkek (Kirghizistan)</w:t>
            </w:r>
          </w:p>
        </w:tc>
        <w:tc>
          <w:tcPr>
            <w:tcW w:w="1559" w:type="dxa"/>
          </w:tcPr>
          <w:p w14:paraId="1B173929" w14:textId="28E8A208" w:rsidR="00C95F97" w:rsidRPr="009E5AB1" w:rsidRDefault="00375269" w:rsidP="00884562">
            <w:pPr>
              <w:pStyle w:val="Tabletext"/>
              <w:jc w:val="center"/>
            </w:pPr>
            <w:hyperlink r:id="rId34" w:history="1">
              <w:r w:rsidRPr="009E5AB1">
                <w:rPr>
                  <w:rStyle w:val="Hyperlink"/>
                </w:rPr>
                <w:t>Rapport</w:t>
              </w:r>
            </w:hyperlink>
          </w:p>
        </w:tc>
        <w:tc>
          <w:tcPr>
            <w:tcW w:w="2694" w:type="dxa"/>
          </w:tcPr>
          <w:p w14:paraId="64F8A918" w14:textId="727B5305" w:rsidR="00C95F97" w:rsidRPr="009E5AB1" w:rsidRDefault="00375269" w:rsidP="00884562">
            <w:pPr>
              <w:pStyle w:val="Tabletext"/>
              <w:jc w:val="center"/>
            </w:pPr>
            <w:hyperlink r:id="rId35" w:history="1">
              <w:r w:rsidRPr="009E5AB1">
                <w:rPr>
                  <w:rStyle w:val="Hyperlink"/>
                </w:rPr>
                <w:t>Vidéo</w:t>
              </w:r>
            </w:hyperlink>
          </w:p>
        </w:tc>
      </w:tr>
    </w:tbl>
    <w:p w14:paraId="225CF9EB" w14:textId="77777777" w:rsidR="00451174" w:rsidRDefault="00451174" w:rsidP="00884562">
      <w:pPr>
        <w:pStyle w:val="Tablefin"/>
      </w:pPr>
    </w:p>
    <w:p w14:paraId="5EBBF4FA" w14:textId="4C4C3368" w:rsidR="00375269" w:rsidRPr="009E5AB1" w:rsidRDefault="00375269" w:rsidP="00F71BA5">
      <w:pPr>
        <w:pStyle w:val="Heading2"/>
      </w:pPr>
      <w:r w:rsidRPr="009E5AB1">
        <w:t>2.2</w:t>
      </w:r>
      <w:r w:rsidRPr="009E5AB1">
        <w:tab/>
        <w:t>Forums régionaux sur le développement</w:t>
      </w:r>
    </w:p>
    <w:p w14:paraId="6BB1F601" w14:textId="5F505E96" w:rsidR="00375269" w:rsidRPr="009E5AB1" w:rsidRDefault="00375269" w:rsidP="00F71BA5">
      <w:pPr>
        <w:jc w:val="both"/>
      </w:pPr>
      <w:r w:rsidRPr="009E5AB1">
        <w:t>2.2.1</w:t>
      </w:r>
      <w:r w:rsidRPr="009E5AB1">
        <w:tab/>
        <w:t>Entre février et avril 2025, le Bureau de développement des télécommunications (BDT) a organisé six Forums régionaux sur le développement, qui ont eu lieu avant chaque réunion préparatoire régionale en vue de la CMDT-25. Les Forums régionaux sur le développement ont pour objectif de favoriser les partenariats multi-parties prenantes entre les États</w:t>
      </w:r>
      <w:r w:rsidR="00D41FBB" w:rsidRPr="009E5AB1">
        <w:t> </w:t>
      </w:r>
      <w:r w:rsidRPr="009E5AB1">
        <w:t>Membres, les entreprises, les établissements universitaires, la société civile, le système des Nations Unies et les organismes ou organisations de développement, régionaux ou internationaux, sur des questions liées aux télécommunications/TIC. Ils offrent un cadre pour la tenue de dialogues de haut niveau entre le BDT, les États Membres et les Membres</w:t>
      </w:r>
      <w:r w:rsidR="00D41FBB" w:rsidRPr="009E5AB1">
        <w:t> </w:t>
      </w:r>
      <w:r w:rsidRPr="009E5AB1">
        <w:t>du Secteur de l'UIT-D, principalement sur la mise en œuvre des initiatives régionales et du Plan d'action de Kigali adopté par la CMDT-22.</w:t>
      </w:r>
    </w:p>
    <w:p w14:paraId="253786BE" w14:textId="7ECA9114" w:rsidR="00375269" w:rsidRPr="009E5AB1" w:rsidRDefault="00375269" w:rsidP="00F71BA5">
      <w:pPr>
        <w:jc w:val="both"/>
      </w:pPr>
      <w:r w:rsidRPr="009E5AB1">
        <w:t>2.2.2</w:t>
      </w:r>
      <w:r w:rsidRPr="009E5AB1">
        <w:tab/>
        <w:t>Tables rondes de mise en relation P2C: chaque Forum régional sur le développement a donné lieu à des tables rondes de mise en relation Partner2Connect (P2C), comme suit:</w:t>
      </w:r>
    </w:p>
    <w:p w14:paraId="5E38DC98" w14:textId="4A17669A" w:rsidR="00375269" w:rsidRPr="009E5AB1" w:rsidRDefault="00375269" w:rsidP="00F71BA5">
      <w:pPr>
        <w:pStyle w:val="enumlev1"/>
      </w:pPr>
      <w:r w:rsidRPr="009E5AB1">
        <w:t>–</w:t>
      </w:r>
      <w:r w:rsidRPr="009E5AB1">
        <w:tab/>
        <w:t>États arabes (Forum régional sur le développement/Tables rondes de mise en relation</w:t>
      </w:r>
      <w:r w:rsidR="006679F9" w:rsidRPr="009E5AB1">
        <w:t> </w:t>
      </w:r>
      <w:r w:rsidRPr="009E5AB1">
        <w:t>P2C): le 3 février 2025 à Amman (Jordanie)</w:t>
      </w:r>
      <w:r w:rsidR="00D41FBB" w:rsidRPr="009E5AB1">
        <w:t>.</w:t>
      </w:r>
    </w:p>
    <w:p w14:paraId="4673AE8D" w14:textId="073F4E81" w:rsidR="00375269" w:rsidRPr="009E5AB1" w:rsidRDefault="00375269" w:rsidP="00F71BA5">
      <w:pPr>
        <w:pStyle w:val="enumlev1"/>
      </w:pPr>
      <w:r w:rsidRPr="009E5AB1">
        <w:t>–</w:t>
      </w:r>
      <w:r w:rsidRPr="009E5AB1">
        <w:tab/>
        <w:t>Europe (Forum régional sur le développement/Tables rondes de mise en relation P2C): le 24 février 2025 à Budapest (Hongrie)</w:t>
      </w:r>
      <w:r w:rsidR="00D41FBB" w:rsidRPr="009E5AB1">
        <w:t>.</w:t>
      </w:r>
    </w:p>
    <w:p w14:paraId="5EFC3050" w14:textId="589B45BB" w:rsidR="00375269" w:rsidRPr="009E5AB1" w:rsidRDefault="00375269" w:rsidP="00F71BA5">
      <w:pPr>
        <w:pStyle w:val="enumlev1"/>
      </w:pPr>
      <w:r w:rsidRPr="009E5AB1">
        <w:t>–</w:t>
      </w:r>
      <w:r w:rsidRPr="009E5AB1">
        <w:tab/>
        <w:t>Asie-Pacifique (Forum régional sur le développement/Tables rondes de mise en relation P2C): le 19 mars 2025 à Bangkok (Thaïlande)</w:t>
      </w:r>
      <w:r w:rsidR="00D41FBB" w:rsidRPr="009E5AB1">
        <w:t>.</w:t>
      </w:r>
    </w:p>
    <w:p w14:paraId="0BD645C8" w14:textId="3995C67D" w:rsidR="00375269" w:rsidRPr="009E5AB1" w:rsidRDefault="00375269" w:rsidP="00F71BA5">
      <w:pPr>
        <w:pStyle w:val="enumlev1"/>
      </w:pPr>
      <w:r w:rsidRPr="009E5AB1">
        <w:t>–</w:t>
      </w:r>
      <w:r w:rsidRPr="009E5AB1">
        <w:tab/>
        <w:t>Amériques (Forum régional sur le développement/Tables rondes de mise en relation</w:t>
      </w:r>
      <w:r w:rsidR="00933535" w:rsidRPr="009E5AB1">
        <w:t> </w:t>
      </w:r>
      <w:r w:rsidRPr="009E5AB1">
        <w:t>P2C): le 31 mars 2025 à Asunción (Paraguay)</w:t>
      </w:r>
      <w:r w:rsidR="00D41FBB" w:rsidRPr="009E5AB1">
        <w:t>.</w:t>
      </w:r>
    </w:p>
    <w:p w14:paraId="363FBF88" w14:textId="29E9DA9F" w:rsidR="00375269" w:rsidRPr="009E5AB1" w:rsidRDefault="00375269" w:rsidP="00F71BA5">
      <w:pPr>
        <w:pStyle w:val="enumlev1"/>
      </w:pPr>
      <w:r w:rsidRPr="009E5AB1">
        <w:t>–</w:t>
      </w:r>
      <w:r w:rsidRPr="009E5AB1">
        <w:tab/>
        <w:t>Afrique (Forum régional sur le développement/Tables rondes de mise en relation P2C): le 7 avril 2025 à Nairobi (Kenya)</w:t>
      </w:r>
      <w:r w:rsidR="00D41FBB" w:rsidRPr="009E5AB1">
        <w:t>.</w:t>
      </w:r>
    </w:p>
    <w:p w14:paraId="46A38EE3" w14:textId="6FB729D7" w:rsidR="00375269" w:rsidRPr="009E5AB1" w:rsidRDefault="00375269" w:rsidP="00F71BA5">
      <w:pPr>
        <w:pStyle w:val="enumlev1"/>
      </w:pPr>
      <w:r w:rsidRPr="009E5AB1">
        <w:lastRenderedPageBreak/>
        <w:t>–</w:t>
      </w:r>
      <w:r w:rsidRPr="009E5AB1">
        <w:tab/>
        <w:t>Communauté des États indépendants – CEI (Forum régional sur le développement/Tables rondes de mise en relation P2C): le 23 avril 2025 à Bichkek</w:t>
      </w:r>
      <w:r w:rsidR="00933535" w:rsidRPr="009E5AB1">
        <w:t> </w:t>
      </w:r>
      <w:r w:rsidRPr="009E5AB1">
        <w:t>(Kirghizistan).</w:t>
      </w:r>
    </w:p>
    <w:p w14:paraId="0BAD6313" w14:textId="278DEFD8" w:rsidR="00375269" w:rsidRPr="009E5AB1" w:rsidRDefault="00375269" w:rsidP="00F71BA5">
      <w:pPr>
        <w:jc w:val="both"/>
      </w:pPr>
      <w:r w:rsidRPr="009E5AB1">
        <w:t>2.2.3</w:t>
      </w:r>
      <w:r w:rsidRPr="009E5AB1">
        <w:tab/>
        <w:t>Le Forum régional de l'UIT sur le développement pour l'Afrique (RDF-AFR) 2025 a eu lieu le 7 avril 2025 à Nairobi (Kenya). Ce Forum, organisé à l'aimable invitation de l'Autorité des communications du Kenya (CA) en coopération avec l'Union africaine des télécommunications (UAT), a précédé la Réunion préparatoire régionale en vue de la CMDT</w:t>
      </w:r>
      <w:r w:rsidR="00933535" w:rsidRPr="009E5AB1">
        <w:noBreakHyphen/>
      </w:r>
      <w:r w:rsidRPr="009E5AB1">
        <w:t>25. Il a rassemblé 304 participants (représentant 35 États Membres, Membres du Secteur de l'UIT-D, établissements universitaires et observateurs et le personnel de l'UIT) à l'occasion d'un dialogue de haut niveau sur la façon de parvenir à une connectivité efficace et de réaliser une transformation numérique durable en Afrique. Les discussions ont essentiellement visé à évaluer les progrès accomplis depuis l'adoption du Plan d'action de Kigali, à relever les défis liés notamment aux coûts de connectivité et à la fracture numérique et à encourager les partenariats, y compris dans le cadre de la coalition "Partner2Connect" (P2C), qui a mobilisé 189 engagements d'un montant d'environ 32</w:t>
      </w:r>
      <w:r w:rsidR="00933535" w:rsidRPr="009E5AB1">
        <w:t> </w:t>
      </w:r>
      <w:r w:rsidRPr="009E5AB1">
        <w:t>milliards USD pour l'Afrique. Le Forum a été l'occasion de mettre en avant le rôle de la coopération régionale, des investissements dans les infrastructures, des compétences numériques et de l'innovation dans la mise à profit des TIC pour la réalisation des Objectifs de développement durable (ODD) sur tout le continent. Il a également été marqué par le lancement du projet portant sur les systèmes de cartographie nationale du large bande en</w:t>
      </w:r>
      <w:r w:rsidR="00933535" w:rsidRPr="009E5AB1">
        <w:t> </w:t>
      </w:r>
      <w:r w:rsidRPr="009E5AB1">
        <w:t>Afrique (Africa-BB-Maps).</w:t>
      </w:r>
    </w:p>
    <w:p w14:paraId="15BE83C1" w14:textId="37540208" w:rsidR="00375269" w:rsidRPr="00F71BA5" w:rsidRDefault="00375269" w:rsidP="00F71BA5">
      <w:pPr>
        <w:jc w:val="both"/>
        <w:rPr>
          <w:spacing w:val="-2"/>
        </w:rPr>
      </w:pPr>
      <w:r w:rsidRPr="00F71BA5">
        <w:rPr>
          <w:spacing w:val="-2"/>
        </w:rPr>
        <w:t>2.2.4</w:t>
      </w:r>
      <w:r w:rsidRPr="00F71BA5">
        <w:rPr>
          <w:spacing w:val="-2"/>
        </w:rPr>
        <w:tab/>
        <w:t>Le Forum régional de l'UIT sur le développement pour les Amériques (RDF-AMS) 2025, organisé par le BDT et accueilli par la Commission nationale des télécommunications (CONATEL) du Paraguay, a eu lieu à Asunción le 31 mars 2025. Ce Forum, qui s'est tenu juste avant la Réunion préparatoire régionale en vue de la CMDT-25 et une réunion de la CITEL, a facilité un dialogue de haut niveau sur la façon de parvenir à une connectivité efficace et de réaliser une transformation numérique durable dans les Amériques. Les discussions ont mis en évidence les progrès accomplis au niveau régional. Le rôle de la Coalition P2C a été souligné, dans la mesure où près de</w:t>
      </w:r>
      <w:r w:rsidR="00D41FBB" w:rsidRPr="00F71BA5">
        <w:rPr>
          <w:spacing w:val="-2"/>
        </w:rPr>
        <w:t> </w:t>
      </w:r>
      <w:r w:rsidRPr="00F71BA5">
        <w:rPr>
          <w:spacing w:val="-2"/>
        </w:rPr>
        <w:t>225</w:t>
      </w:r>
      <w:r w:rsidR="00933535" w:rsidRPr="00F71BA5">
        <w:rPr>
          <w:spacing w:val="-2"/>
        </w:rPr>
        <w:t> </w:t>
      </w:r>
      <w:r w:rsidRPr="00F71BA5">
        <w:rPr>
          <w:spacing w:val="-2"/>
        </w:rPr>
        <w:t>engagements d'un montant supérieur à 25</w:t>
      </w:r>
      <w:r w:rsidR="001C3A3E" w:rsidRPr="00F71BA5">
        <w:rPr>
          <w:spacing w:val="-2"/>
        </w:rPr>
        <w:t> </w:t>
      </w:r>
      <w:r w:rsidRPr="00F71BA5">
        <w:rPr>
          <w:spacing w:val="-2"/>
        </w:rPr>
        <w:t>milliards</w:t>
      </w:r>
      <w:r w:rsidR="001C3A3E" w:rsidRPr="00F71BA5">
        <w:rPr>
          <w:spacing w:val="-2"/>
        </w:rPr>
        <w:t> </w:t>
      </w:r>
      <w:r w:rsidRPr="00F71BA5">
        <w:rPr>
          <w:spacing w:val="-2"/>
        </w:rPr>
        <w:t>USD en matière d'accès, d'accessibilité financière et de cybersécurité ont été enregistrés dans la région. Des tables rondes de mise en relation ont été organisées pour faire progresser ces engagements. Le Forum a également été marqué par l'annonce d'un nouveau projet financé par l'Union européenne (UE) sur l'innovation réglementaire régionale pour l'Amérique centrale.</w:t>
      </w:r>
    </w:p>
    <w:p w14:paraId="48D15143" w14:textId="6E2FD19B" w:rsidR="00375269" w:rsidRPr="00F71BA5" w:rsidRDefault="00375269" w:rsidP="00F71BA5">
      <w:pPr>
        <w:jc w:val="both"/>
        <w:rPr>
          <w:spacing w:val="-2"/>
        </w:rPr>
      </w:pPr>
      <w:r w:rsidRPr="00F71BA5">
        <w:rPr>
          <w:spacing w:val="-2"/>
        </w:rPr>
        <w:t>2.2.5</w:t>
      </w:r>
      <w:r w:rsidRPr="00F71BA5">
        <w:rPr>
          <w:spacing w:val="-2"/>
        </w:rPr>
        <w:tab/>
        <w:t>Le Forum régional de l'UIT sur le développement pour la région des États arabes (RDF</w:t>
      </w:r>
      <w:r w:rsidR="00933535" w:rsidRPr="00F71BA5">
        <w:rPr>
          <w:spacing w:val="-2"/>
        </w:rPr>
        <w:noBreakHyphen/>
      </w:r>
      <w:r w:rsidRPr="00F71BA5">
        <w:rPr>
          <w:spacing w:val="-2"/>
        </w:rPr>
        <w:t>ARB) 2025, organisé par le BDT et accueilli par la Commission de régulation des télécommunications (TRC) de la Jordanie, s'est tenu à Amman le 3 février 2025, juste avant la Réunion préparatoire régionale en vue de la CMDT-25. Ce Forum a permis un dialogue de haut niveau entre 111 participants représentant 17 États Membres et divers groupes de parties prenantes incluant des Membres de Secteur, des établissements universitaires, des institutions des Nations Unies et des organisations régionales. Les débats ont principalement porté sur la mise en œuvre des initiatives régionales pour les États arabes adoptées à la</w:t>
      </w:r>
      <w:r w:rsidR="00D41FBB" w:rsidRPr="00F71BA5">
        <w:rPr>
          <w:spacing w:val="-2"/>
        </w:rPr>
        <w:t> </w:t>
      </w:r>
      <w:r w:rsidRPr="00F71BA5">
        <w:rPr>
          <w:spacing w:val="-2"/>
        </w:rPr>
        <w:t xml:space="preserve">CMDT-22, sur les défis à relever et les possibilités à saisir pour parvenir à une connectivité efficace et sur la promotion d'une transformation numérique durable. L'accent a été mis sur la Coalition pour le numérique Partner2Connect (P2C) et les tables rondes organisées étaient conçues pour mettre les engagements des partenaires en adéquation avec les besoins des États Membres. Il a été indiqué que le montant des engagements enregistrés en faveur de la Coalition Partner2Connect dans la région des États arabes s'élevait à 24,7 milliards USD. En outre, à l'occasion de cette </w:t>
      </w:r>
      <w:r w:rsidRPr="00F71BA5">
        <w:rPr>
          <w:spacing w:val="-2"/>
        </w:rPr>
        <w:lastRenderedPageBreak/>
        <w:t>manifestation, l'UIT et le Centre de coordination des réseaux IP européens (RIPE NCC) ont signé une déclaration conjointe afin de promouvoir le développement des infrastructures Internet et le déploiement du protocole IPv6 dans la région.</w:t>
      </w:r>
    </w:p>
    <w:p w14:paraId="2127627D" w14:textId="2CA5518E" w:rsidR="00375269" w:rsidRPr="009E5AB1" w:rsidRDefault="00375269" w:rsidP="00F71BA5">
      <w:pPr>
        <w:jc w:val="both"/>
      </w:pPr>
      <w:r w:rsidRPr="009E5AB1">
        <w:t>2.2.6</w:t>
      </w:r>
      <w:r w:rsidRPr="009E5AB1">
        <w:tab/>
        <w:t>Le Forum régional de l'UIT sur le développement pour l'Asie et le Pacifique (RDF</w:t>
      </w:r>
      <w:r w:rsidR="00C43911" w:rsidRPr="009E5AB1">
        <w:noBreakHyphen/>
      </w:r>
      <w:r w:rsidRPr="009E5AB1">
        <w:t>ASP)</w:t>
      </w:r>
      <w:r w:rsidR="00C43911" w:rsidRPr="009E5AB1">
        <w:t> </w:t>
      </w:r>
      <w:r w:rsidRPr="009E5AB1">
        <w:t>2025 a été organisé par le BDT et accueilli par la Commission nationale de la radiodiffusion et des télécommunications (NBTC) de la Thaïlande en coopération avec la Télécommunauté Asie-Pacifique (APT). Ce Forum, qui s'est tenu à Bangkok le 19 mars 2025, a rassemblé</w:t>
      </w:r>
      <w:r w:rsidR="00D41FBB" w:rsidRPr="009E5AB1">
        <w:t> </w:t>
      </w:r>
      <w:r w:rsidRPr="009E5AB1">
        <w:t>167</w:t>
      </w:r>
      <w:r w:rsidR="00933535" w:rsidRPr="009E5AB1">
        <w:t> </w:t>
      </w:r>
      <w:r w:rsidRPr="009E5AB1">
        <w:t>participants représentant 36 États Membres, Membres de Secteur et autres parties prenantes. Le dialogue était axé sur la façon de parvenir à une connectivité efficace et de réaliser une transformation numérique durable à l'échelle de la région, sur la définition de priorités stratégiques et sur l'examen des progrès liés aux initiatives régionales et à la mise en œuvre du Plan d'action de Kigali. Les débats ont porté sur les défis liés notamment à la fracture numérique, en particulier dans les PEID et les PMA, à la cybersécurité et à la durabilité et sur les possibilités offertes par les technologies émergentes. Dans la région, la Coalition P2C a mobilisé des engagements d'une valeur de 17,5 milliards USD consacrés à l'accès, à l'accessibilité financière et à la cybersécurité, et des séances de mise en relation ont été organisées dans le but d'encourager les partenariats. Les efforts de collaboration avec des partenaires comme le Japon (concernant le renforcement des capacités dans le domaine de l'IA et l'infrastructure numérique) et la Thaïlande (concernant l'édition de 2025 de la Journée internationale des jeunes filles dans le secteur des TIC) ont également été mis en relief.</w:t>
      </w:r>
    </w:p>
    <w:p w14:paraId="7EFA2581" w14:textId="5A254A41" w:rsidR="00375269" w:rsidRPr="009E5AB1" w:rsidRDefault="00375269" w:rsidP="00F71BA5">
      <w:pPr>
        <w:jc w:val="both"/>
      </w:pPr>
      <w:r w:rsidRPr="009E5AB1">
        <w:t>2.2.7</w:t>
      </w:r>
      <w:r w:rsidRPr="009E5AB1">
        <w:tab/>
        <w:t>Le Forum régional de l'UIT sur le développement pour la Communauté des États indépendants (RDF-CEI) 2025 s'est tenu le 23 avril 2025 à Bichkek (République kirghize), à l'invitation du Ministère du développement du numérique et des technologies innovantes de la République kirghize. Ce Forum, qui a réuni 75 participants représentant des États</w:t>
      </w:r>
      <w:r w:rsidR="00933535" w:rsidRPr="009E5AB1">
        <w:t> </w:t>
      </w:r>
      <w:r w:rsidRPr="009E5AB1">
        <w:t>Membres, des Membres de Secteur, des établissements universitaires, des institutions des Nations Unies et des organisations régionales, entre autres, a offert une tribune pour un dialogue de haut niveau sur les moyens de garantir une connectivité efficace et une transformation numérique durable pour accélérer la réalisation des ODD dans la région. Les discussions ont été l'occasion d'examiner les progrès réalisés dans la mise en œuvre des résultats de la CMDT-22, y compris des cinq initiatives régionales pour la région de la CEI, et de se pencher sur les tendances, perspectives et enjeux régionaux qui sont décrits dans le rapport sur le niveau de développement du numérique et les tendances dans ce domaine dans la région de la CEI. Lors de ce Forum, des séances étaient dédiées à la Coalition pour le numérique P2C, avec des tables rondes de mise en relation visant à encourager les partenariats et à faire en sorte que les 60 engagements (d'une valeur de 4,4 milliards USD) reçus pour la région soient en adéquation avec les besoins prioritaires pour faire progresser le développement du numérique.</w:t>
      </w:r>
    </w:p>
    <w:p w14:paraId="5D7DCCBC" w14:textId="77777777" w:rsidR="00375269" w:rsidRPr="00F71BA5" w:rsidRDefault="00375269" w:rsidP="00F71BA5">
      <w:pPr>
        <w:jc w:val="both"/>
        <w:rPr>
          <w:spacing w:val="-2"/>
        </w:rPr>
      </w:pPr>
      <w:r w:rsidRPr="00F71BA5">
        <w:rPr>
          <w:spacing w:val="-2"/>
        </w:rPr>
        <w:t>2.2.8</w:t>
      </w:r>
      <w:r w:rsidRPr="00F71BA5">
        <w:rPr>
          <w:spacing w:val="-2"/>
        </w:rPr>
        <w:tab/>
        <w:t xml:space="preserve">Le Forum régional de l'UIT sur le développement pour l'Europe (RDF-EUR) 2025 s'est tenu le 24 février à Budapest (Hongrie), juste avant la RPM-EUR, et a été accueilli par l'Autorité nationale des médias et de l'infocommunication de la Hongrie en coopération avec la CEPT. Ce Forum, qui a réuni 98 participants représentant 32 États Membres, Membres du Secteur de l'UIT-D et des invités, a permis d'engager un dialogue de haut niveau sur les moyens de parvenir à une connectivité efficace et de réaliser une transformation numérique durable. Les discussions ont été l'occasion d'examiner la mise en œuvre des cinq initiatives régionales pour l'Europe et de se pencher sur les tendances, les perspectives et les enjeux régionaux, y compris le rôle de chef de file de l'Europe dans des domaines comme la cybersécurité et l'accessibilité financière, et sur les lacunes qui subsistent en matière de connectivité dans les zones rurales. Ce Forum </w:t>
      </w:r>
      <w:r w:rsidRPr="00F71BA5">
        <w:rPr>
          <w:spacing w:val="-2"/>
        </w:rPr>
        <w:lastRenderedPageBreak/>
        <w:t>comprenait des séances de mise en relation dans le cadre de l'Initiative P2C axées sur la stimulation des partenariats pour le développement. Les principales annonces ont notamment porté sur la fourniture d'un appui sur les systèmes d'alerte avancée pour les Balkans occidentaux, sur les accords passés avec Chypre concernant le développement des capacités en matière de résilience des infrastructures et avec Andorre concernant la protection en ligne des enfants et sur un accord entre l'Organisation des Nations Unies (ONU) et l'Organisation internationale du travail (OIT) consacré à la maîtrise des outils numériques en Moldova.</w:t>
      </w:r>
    </w:p>
    <w:p w14:paraId="3E242057" w14:textId="77777777" w:rsidR="00375269" w:rsidRPr="00F71BA5" w:rsidRDefault="00375269" w:rsidP="00F71BA5">
      <w:pPr>
        <w:pStyle w:val="Heading2"/>
      </w:pPr>
      <w:r w:rsidRPr="00F71BA5">
        <w:t>2.3</w:t>
      </w:r>
      <w:r w:rsidRPr="00F71BA5">
        <w:tab/>
        <w:t xml:space="preserve">Réunions préparatoires régionales en vue de la </w:t>
      </w:r>
      <w:proofErr w:type="spellStart"/>
      <w:r w:rsidRPr="00F71BA5">
        <w:t>CMDT</w:t>
      </w:r>
      <w:proofErr w:type="spellEnd"/>
      <w:r w:rsidRPr="00F71BA5">
        <w:t xml:space="preserve"> de 2025</w:t>
      </w:r>
    </w:p>
    <w:p w14:paraId="0AF96D7E" w14:textId="76031C45" w:rsidR="00375269" w:rsidRPr="009E5AB1" w:rsidRDefault="00375269" w:rsidP="00F71BA5">
      <w:pPr>
        <w:jc w:val="both"/>
      </w:pPr>
      <w:r w:rsidRPr="009E5AB1">
        <w:t>2.3.1</w:t>
      </w:r>
      <w:r w:rsidRPr="009E5AB1">
        <w:tab/>
        <w:t xml:space="preserve">Conformément à la </w:t>
      </w:r>
      <w:hyperlink r:id="rId36" w:history="1">
        <w:r w:rsidRPr="009E5AB1">
          <w:rPr>
            <w:rStyle w:val="Hyperlink"/>
            <w:rFonts w:eastAsia="Times New Roman" w:cs="Times New Roman"/>
            <w:szCs w:val="20"/>
          </w:rPr>
          <w:t>Résolution 31</w:t>
        </w:r>
      </w:hyperlink>
      <w:r w:rsidRPr="009E5AB1">
        <w:t xml:space="preserve"> (Rév. Kigali, 2022), six réunions préparatoires régionales (RPM) ont été organisées, comme indiqué dans le Tableau 1 ci-dessus. Les RPM visaient à associer les membres aux activités de préparation en vue de la CMDT-25, afin de permettre la coordination au niveau régional avant la tenue de la Conférence. Elles visaient aussi à déterminer, au niveau régional, les problèmes auxquels il faut trouver une solution, afin d'encourager le développement des télécommunications/TIC, compte tenu des besoins les plus urgents exprimés par les États Membres et les Membres de Secteur de la région. Les résultats des RPM seront regroupés lors de la réunion de coordination interrégionale et examinés à la réunion de 2025 du Groupe consultatif pour le développement des télécommunications (GCDT). Les résultats de la réunion du GCDT seront soumis à l'examen de la CMDT en tant que projets de document.</w:t>
      </w:r>
    </w:p>
    <w:p w14:paraId="1DEA43FB" w14:textId="77777777" w:rsidR="00375269" w:rsidRPr="009E5AB1" w:rsidRDefault="00375269" w:rsidP="00F71BA5">
      <w:pPr>
        <w:jc w:val="both"/>
      </w:pPr>
      <w:r w:rsidRPr="009E5AB1">
        <w:t>2.3.2</w:t>
      </w:r>
      <w:r w:rsidRPr="009E5AB1">
        <w:tab/>
        <w:t>Les participants aux RPM ont examiné plusieurs documents, y compris ceux sur la mise en œuvre du Plan d'action de Kigali de la CMDT-22, le niveau de développement du numérique et les tendances dans ce domaine en Europe, les décisions d'autres conférences de l'UIT concernant les travaux de l'UIT-D, les progrès du Groupe de travail du GCDT sur les priorités de l'UIT-D et l'avenir des Questions confiées aux commissions d'études, et les activités de rationalisation des Résolutions et de la Déclaration de la CMDT.</w:t>
      </w:r>
    </w:p>
    <w:p w14:paraId="3F3EB96B" w14:textId="13AF5AED" w:rsidR="00375269" w:rsidRPr="009E5AB1" w:rsidRDefault="00375269" w:rsidP="00F71BA5">
      <w:pPr>
        <w:jc w:val="both"/>
      </w:pPr>
      <w:r w:rsidRPr="009E5AB1">
        <w:t>2.3.3</w:t>
      </w:r>
      <w:r w:rsidRPr="009E5AB1">
        <w:tab/>
        <w:t xml:space="preserve">En outre, les participants ont discuté et pris note des contributions des différents pays sur les nouvelles initiatives régionales, qui portaient notamment sur le renforcement de la cybersécurité, la promotion de l'égalité hommes-femmes, la promotion de l'inclusion des jeunes, l'amélioration des télécommunications d'urgence et la création de conditions propices aux écosystèmes d'innovation numérique. Les participants aux RPM ont aussi énoncé de manière plus détaillée les projets d'initiatives régionales pour chacune des régions pour la période 2026-2029. Pour en savoir plus sur les contributions soumises aux différentes RPM, veuillez consulter le </w:t>
      </w:r>
      <w:hyperlink r:id="rId37" w:anchor="/fr" w:history="1">
        <w:r w:rsidRPr="009E5AB1">
          <w:rPr>
            <w:rStyle w:val="Hyperlink"/>
            <w:rFonts w:eastAsia="Times New Roman" w:cs="Times New Roman"/>
            <w:szCs w:val="20"/>
          </w:rPr>
          <w:t>site web des RPM</w:t>
        </w:r>
      </w:hyperlink>
      <w:r w:rsidRPr="009E5AB1">
        <w:t>.</w:t>
      </w:r>
    </w:p>
    <w:p w14:paraId="645C116A" w14:textId="77777777" w:rsidR="00375269" w:rsidRPr="009E5AB1" w:rsidRDefault="00375269" w:rsidP="00F71BA5">
      <w:pPr>
        <w:pStyle w:val="Heading2"/>
      </w:pPr>
      <w:r w:rsidRPr="009E5AB1">
        <w:t>2.4</w:t>
      </w:r>
      <w:r w:rsidRPr="009E5AB1">
        <w:tab/>
        <w:t>Mise en œuvre du plan opérationnel de l'UIT-D</w:t>
      </w:r>
    </w:p>
    <w:p w14:paraId="3B14FDA7" w14:textId="5D368429" w:rsidR="00375269" w:rsidRPr="009E5AB1" w:rsidRDefault="00375269" w:rsidP="00F71BA5">
      <w:pPr>
        <w:jc w:val="both"/>
      </w:pPr>
      <w:r w:rsidRPr="009E5AB1">
        <w:t>2.4.1</w:t>
      </w:r>
      <w:r w:rsidRPr="009E5AB1">
        <w:tab/>
        <w:t>L'efficacité des activités régionales menées par l'UIT contribue de manière significative à la mission globale de l'organisation qui est de connecter le monde et de favoriser une transformation numérique durable, ce qui permet de créer des effets à l'échelle locale dans le cadre des activités de développement du BDT et des services fournis aux États Membres. Ces actions s'inscrivent dans un cadre stratégique conçu pour garantir que l'Union demeure en mesure de répondre à l'évolution rapide des besoins des économies et sociétés numériques dans le monde.</w:t>
      </w:r>
    </w:p>
    <w:p w14:paraId="2F53C9F5" w14:textId="0F78EEFE" w:rsidR="00375269" w:rsidRPr="00F71BA5" w:rsidRDefault="00375269" w:rsidP="00F71BA5">
      <w:pPr>
        <w:jc w:val="both"/>
        <w:rPr>
          <w:spacing w:val="-2"/>
        </w:rPr>
      </w:pPr>
      <w:r w:rsidRPr="00F71BA5">
        <w:rPr>
          <w:spacing w:val="-2"/>
        </w:rPr>
        <w:t>2.4.2</w:t>
      </w:r>
      <w:r w:rsidRPr="00F71BA5">
        <w:rPr>
          <w:spacing w:val="-2"/>
        </w:rPr>
        <w:tab/>
        <w:t xml:space="preserve">Le plan opérationnel de l'UIT-D est aligné sur la structure du Plan stratégique de l'Union pour la période 2024-2027. La structure de ce plan est conforme au Plan d'action de Kigali dans lequel sont définis, d'une part, les priorités et les catalyseurs de l'UIT-D ainsi que les réalisations, </w:t>
      </w:r>
      <w:r w:rsidRPr="00F71BA5">
        <w:rPr>
          <w:spacing w:val="-2"/>
        </w:rPr>
        <w:lastRenderedPageBreak/>
        <w:t>produits et services correspondants, et, d'autre part, les indicateurs de performance (IFP) permettant de mesurer les niveaux de réalisation découlant des activités du Secteur. Au total, cent trente-cinq (135) activités sont actuellement déployées à l'échelle mondiale et au niveau des régions. Pour renforcer la mise en œuvre, d'autres synergies sont recherchées en ce qui concerne les produits régionaux, ainsi qu'entre les initiatives régionales et les initiatives mondiales, en collaboration avec les autres Bureaux et le Secrétariat général de l'UIT.</w:t>
      </w:r>
    </w:p>
    <w:p w14:paraId="3C77911F" w14:textId="03833FF4" w:rsidR="00375269" w:rsidRPr="009E5AB1" w:rsidRDefault="00375269" w:rsidP="00F71BA5">
      <w:pPr>
        <w:jc w:val="both"/>
      </w:pPr>
      <w:r w:rsidRPr="009E5AB1">
        <w:t>2.4.3</w:t>
      </w:r>
      <w:r w:rsidRPr="009E5AB1">
        <w:tab/>
        <w:t>Les bureaux régionaux font partie intégrante du processus de planification opérationnelle, comme le montrent les tableaux de bord du BDT pour les plans opérationnels et les projets. Les bureaux régionaux et les bureaux de zone de l'UIT travaillent en étroite collaboration avec le siège à la définition, à la mise en œuvre et au suivi des plans opérationnels, ainsi qu'à la conception, à la mise en œuvre et au suivi des projets d'assistance technique dans leurs régions respectives. L'affectation du budget et l'évaluation des performances sont réalisées conjointement avec les bureaux régionaux. Cela concerne les produits (produits et services de l'UIT-D) fournis aux États Membres, les réalisations (résultats) au bénéfice de ces derniers et la prise en compte des besoins particuliers des pays, conformément aux priorités et catalyseurs de l'UIT-D et aux initiatives régionales adoptés lors de la CMDT-22. Cette approche intégrée permet au BDT de produire des résultats concrets au bénéfice des États Membres de l'UIT et d'exploiter les synergies entre les activités inscrites au budget ordinaire et les activités extrabudgétaires menées par le</w:t>
      </w:r>
      <w:r w:rsidR="00C43911" w:rsidRPr="009E5AB1">
        <w:t> </w:t>
      </w:r>
      <w:r w:rsidRPr="009E5AB1">
        <w:t>Bureau.</w:t>
      </w:r>
    </w:p>
    <w:p w14:paraId="5207394A" w14:textId="5ECEDF50" w:rsidR="00375269" w:rsidRPr="009E5AB1" w:rsidRDefault="00375269" w:rsidP="00F71BA5">
      <w:pPr>
        <w:jc w:val="both"/>
      </w:pPr>
      <w:r w:rsidRPr="009E5AB1">
        <w:t>2.4.4</w:t>
      </w:r>
      <w:r w:rsidRPr="009E5AB1">
        <w:tab/>
        <w:t>Les plans opérationnels du BDT, qui reposent sur des produits et des réalisations assortis d'indicateurs IFP, sont élaborés et gérés de manière conjointe et transparente par les bureaux régionaux et le siège, qui en rendent compte de la même manière. Les bureaux régionaux sont au plus près des membres, ce qui leur permet de répondre efficacement à leurs besoins.</w:t>
      </w:r>
    </w:p>
    <w:p w14:paraId="7A2D9C5A" w14:textId="77777777" w:rsidR="00375269" w:rsidRPr="009E5AB1" w:rsidRDefault="00375269" w:rsidP="00F71BA5">
      <w:pPr>
        <w:jc w:val="both"/>
      </w:pPr>
      <w:r w:rsidRPr="009E5AB1">
        <w:t>2.4.5</w:t>
      </w:r>
      <w:r w:rsidRPr="009E5AB1">
        <w:tab/>
        <w:t>Pour les activités liées aux plans opérationnels, les bureaux régionaux et les bureaux de zone sont chargés de la mise en œuvre, tandis que les services du BDT basés au siège gèrent les activités multirégionales. Pour les projets propres à une région ou à un pays, les responsables de projet sont basés dans les bureaux régionaux ou les bureaux de zone. Tous les résultats des activités et projets de planification opérationnelle sont mesurés à l'aide d'indicateurs IFP adoptés par le GCDT.</w:t>
      </w:r>
    </w:p>
    <w:p w14:paraId="2E82C9EC" w14:textId="1CDAB0F1" w:rsidR="002C060B" w:rsidRPr="009E5AB1" w:rsidRDefault="00375269" w:rsidP="00F71BA5">
      <w:pPr>
        <w:jc w:val="both"/>
      </w:pPr>
      <w:r w:rsidRPr="009E5AB1">
        <w:t>2.4.6</w:t>
      </w:r>
      <w:r w:rsidRPr="009E5AB1">
        <w:tab/>
      </w:r>
      <w:r w:rsidR="002C060B" w:rsidRPr="009E5AB1">
        <w:t xml:space="preserve">À sa 32ème réunion, qui s'est tenue du 12 au 16 mai 2025, le GCDT a examiné le rapport sur la présence régionale figurant dans le </w:t>
      </w:r>
      <w:hyperlink r:id="rId38" w:history="1">
        <w:r w:rsidR="002C060B" w:rsidRPr="009E5AB1">
          <w:rPr>
            <w:rStyle w:val="Hyperlink"/>
            <w:rFonts w:eastAsia="Times New Roman" w:cs="Times New Roman"/>
            <w:szCs w:val="20"/>
          </w:rPr>
          <w:t>Document TDAG-25/24</w:t>
        </w:r>
      </w:hyperlink>
      <w:r w:rsidR="002C060B" w:rsidRPr="009E5AB1">
        <w:t>. Le GCDT a pris note du rapport et a reconnu l'importance cruciale des bureaux régionaux dans la mise en œuvre des initiatives régionales et du Plan d'action de Kigali, et a confirmé le rôle complémentaire des bureaux régionaux de l'UIT dans les activités liées au développement, ainsi que dans celles mises en œuvre par l'UIT-T et l'UIT-R. Lors de sa réunion, le GCDT a reconnu et salué l'étroite collaboration entre les bureaux régionaux et le BDT en mettant en avant les directeurs régionaux et les actions ayant produit des effets concrets dans les régions. Le GCDT a noté avec satisfaction les synergies entre les bureaux régionaux et le BDT en ce qui concerne la planification, la mise en œuvre, le suivi et l'évaluation des activités et des projets, comme en témoigne la reconnaissance exprimée à cet égard par de nombreux membres lors de leurs interventions. Les mesures d'examen relatives au renforcement de la présence régionale devraient tenir pleinement compte de la Résolution</w:t>
      </w:r>
      <w:r w:rsidR="002918CE" w:rsidRPr="009E5AB1">
        <w:t> </w:t>
      </w:r>
      <w:r w:rsidR="002C060B" w:rsidRPr="009E5AB1">
        <w:t>25</w:t>
      </w:r>
      <w:r w:rsidR="002918CE" w:rsidRPr="009E5AB1">
        <w:t> </w:t>
      </w:r>
      <w:r w:rsidR="002C060B" w:rsidRPr="009E5AB1">
        <w:t>(Rév.</w:t>
      </w:r>
      <w:r w:rsidR="002918CE" w:rsidRPr="009E5AB1">
        <w:t> </w:t>
      </w:r>
      <w:r w:rsidR="002C060B" w:rsidRPr="009E5AB1">
        <w:t>Bucarest,</w:t>
      </w:r>
      <w:r w:rsidR="002918CE" w:rsidRPr="009E5AB1">
        <w:t> </w:t>
      </w:r>
      <w:r w:rsidR="002C060B" w:rsidRPr="009E5AB1">
        <w:t>2022).</w:t>
      </w:r>
    </w:p>
    <w:p w14:paraId="42D42C0B" w14:textId="732CC0D0" w:rsidR="00375269" w:rsidRPr="009E5AB1" w:rsidRDefault="002C060B" w:rsidP="00F71BA5">
      <w:pPr>
        <w:jc w:val="both"/>
      </w:pPr>
      <w:r w:rsidRPr="009E5AB1">
        <w:t>2.4.7</w:t>
      </w:r>
      <w:r w:rsidRPr="009E5AB1">
        <w:tab/>
      </w:r>
      <w:r w:rsidR="00375269" w:rsidRPr="009E5AB1">
        <w:t xml:space="preserve">Les bureaux régionaux et les bureaux de zone de l'UIT travaillent en coordination avec les départements et divisions du BDT à la mise en œuvre du Plan d'action de Kigali, approuvé par la CMDT-22. Le Plan d'action de Kigali suit un cadre de gestion axée sur les résultats (GAR) </w:t>
      </w:r>
      <w:r w:rsidR="00375269" w:rsidRPr="009E5AB1">
        <w:lastRenderedPageBreak/>
        <w:t>reposant sur les priorités de l'UIT-D recensées en tant que principaux domaines de travail, qui contribuent à la mise en œuvre du Plan stratégique de l'UIT pour la période</w:t>
      </w:r>
      <w:r w:rsidR="00CB50DE" w:rsidRPr="009E5AB1">
        <w:t> </w:t>
      </w:r>
      <w:r w:rsidR="00375269" w:rsidRPr="009E5AB1">
        <w:t>2024</w:t>
      </w:r>
      <w:r w:rsidR="00CB50DE" w:rsidRPr="009E5AB1">
        <w:noBreakHyphen/>
      </w:r>
      <w:r w:rsidR="00375269" w:rsidRPr="009E5AB1">
        <w:t>2027.</w:t>
      </w:r>
    </w:p>
    <w:p w14:paraId="60AA8BDE" w14:textId="1AFAB9F5" w:rsidR="00375269" w:rsidRPr="009E5AB1" w:rsidRDefault="00375269" w:rsidP="00F71BA5">
      <w:pPr>
        <w:jc w:val="both"/>
      </w:pPr>
      <w:r w:rsidRPr="009E5AB1">
        <w:t>2.4.</w:t>
      </w:r>
      <w:r w:rsidR="00AD593C" w:rsidRPr="009E5AB1">
        <w:t>8</w:t>
      </w:r>
      <w:r w:rsidRPr="009E5AB1">
        <w:tab/>
        <w:t xml:space="preserve">Le </w:t>
      </w:r>
      <w:hyperlink r:id="rId39" w:history="1">
        <w:r w:rsidRPr="009E5AB1">
          <w:rPr>
            <w:rStyle w:val="Hyperlink"/>
            <w:rFonts w:eastAsia="Times New Roman" w:cs="Times New Roman"/>
            <w:szCs w:val="20"/>
          </w:rPr>
          <w:t>Document TDAG-25/2</w:t>
        </w:r>
      </w:hyperlink>
      <w:r w:rsidRPr="009E5AB1">
        <w:t xml:space="preserve"> contient des informations détaillées sur la mise en œuvre des activités sur le terrain concernant le BDT, durant la période allant de juin 2024 à mai 2025, et met en évidence les principales réalisations dans l'ensemble des régions.</w:t>
      </w:r>
    </w:p>
    <w:p w14:paraId="09C4B6BE" w14:textId="78412BD5" w:rsidR="00375269" w:rsidRPr="009E5AB1" w:rsidRDefault="00375269" w:rsidP="00F71BA5">
      <w:pPr>
        <w:pStyle w:val="Heading2"/>
      </w:pPr>
      <w:r w:rsidRPr="009E5AB1">
        <w:t>2.5</w:t>
      </w:r>
      <w:r w:rsidRPr="009E5AB1">
        <w:tab/>
        <w:t>Participation des bureaux régionaux à la mise en œuvre des projets de l'UIT-D</w:t>
      </w:r>
    </w:p>
    <w:p w14:paraId="5AA34A7F" w14:textId="77777777" w:rsidR="00375269" w:rsidRPr="009E5AB1" w:rsidRDefault="00375269" w:rsidP="00F71BA5">
      <w:pPr>
        <w:jc w:val="both"/>
      </w:pPr>
      <w:r w:rsidRPr="009E5AB1">
        <w:t>2.5.1</w:t>
      </w:r>
      <w:r w:rsidRPr="009E5AB1">
        <w:tab/>
        <w:t>Les projets de l'UIT-D, conçus pour faciliter et améliorer le développement des télécommunications/TIC par une coopération et une assistance sur le plan technique, sont mis en œuvre dans les six régions de l'UIT: Afrique, Amériques, États arabes, Asie-Pacifique, CEI et Europe. Le BDT est responsable de la conception, de l'élaboration, de la mise en œuvre et de l'évaluation des projets dans ces régions.</w:t>
      </w:r>
    </w:p>
    <w:p w14:paraId="456DE22C" w14:textId="75D20DBB" w:rsidR="00375269" w:rsidRPr="009E5AB1" w:rsidRDefault="00375269" w:rsidP="00F71BA5">
      <w:pPr>
        <w:jc w:val="both"/>
      </w:pPr>
      <w:r w:rsidRPr="009E5AB1">
        <w:t>2.5.2</w:t>
      </w:r>
      <w:r w:rsidRPr="009E5AB1">
        <w:tab/>
        <w:t>Les bureaux régionaux et les bureaux de zone jouent un rôle essentiel, en contribuant de manière décisive à la collaboration de l'UIT avec les parties prenantes locales et les gouvernements. Ils travaillent en coordination étroite avec le siège à l'identification, à la mise en œuvre et au suivi des projets visant à fournir une assistance technique, des produits de l'UIT-D et des services et à la prise en compte des besoins propres aux pays, dans la droite lignée du Plan d'action de Kigali et des initiatives régionales. Cette approche intégrée, qui consiste à exploiter les synergies entre les activités inscrites au budget ordinaire et les activités extrabudgétaires, permet au BDT d'améliorer les services offerts aux États</w:t>
      </w:r>
      <w:r w:rsidR="00C43911" w:rsidRPr="009E5AB1">
        <w:t> </w:t>
      </w:r>
      <w:r w:rsidRPr="009E5AB1">
        <w:t>Membres.</w:t>
      </w:r>
    </w:p>
    <w:p w14:paraId="238A8B60" w14:textId="77777777" w:rsidR="00375269" w:rsidRPr="009E5AB1" w:rsidRDefault="00375269" w:rsidP="00F71BA5">
      <w:pPr>
        <w:jc w:val="both"/>
      </w:pPr>
      <w:r w:rsidRPr="009E5AB1">
        <w:t>2.5.3</w:t>
      </w:r>
      <w:r w:rsidRPr="009E5AB1">
        <w:tab/>
        <w:t>Le BDT a consolidé les pratiques en matière de gestion des projets, y compris en renforçant les compétences des responsables de projet au moyen de formations, en établissant une structure de gouvernance claire via le Comité directeur des projets du BDT, en améliorant l'établissement de rapports à l'intention des partenaires et en mettant en œuvre des systèmes de suivi robustes. L'exécution des projets fait l'objet d'un suivi continu et il en est rendu compte chaque trimestre dans des rapports d'évaluation et des tableaux de bord internes pour favoriser une prise de décisions fondée sur des données. Le Comité directeur des projets du BDT joue un rôle important en assurant que les projets sont élaborés et mis en œuvre conformément au Plan d'action de Kigali, et en veillant à la bonne gouvernance du portefeuille de projets gérés par le Bureau.</w:t>
      </w:r>
    </w:p>
    <w:p w14:paraId="1511B01A" w14:textId="77777777" w:rsidR="00375269" w:rsidRPr="009E5AB1" w:rsidRDefault="00375269" w:rsidP="00F71BA5">
      <w:pPr>
        <w:jc w:val="both"/>
      </w:pPr>
      <w:r w:rsidRPr="009E5AB1">
        <w:t>2.5.4</w:t>
      </w:r>
      <w:r w:rsidRPr="009E5AB1">
        <w:tab/>
        <w:t>L'exécution réussie du portefeuille de projets, y compris des activités menées dans le cadre des 105 projets qui étaient en cours en 2024, est le fruit d'une coordination et d'une coopération étroites entre toutes les équipes du BDT, tant sur le terrain (bureaux régionaux) qu'au siège. Cette collaboration permet de faire en sorte que les projets de l'UIT contribuent efficacement à l'application du Plan d'action de Kigali, mais aussi que les États Membres bénéficient d'une assistance technique efficace et de solutions en matière de développement du numérique.</w:t>
      </w:r>
    </w:p>
    <w:p w14:paraId="629DA132" w14:textId="40299FEE" w:rsidR="00375269" w:rsidRPr="009E5AB1" w:rsidRDefault="00375269" w:rsidP="00F71BA5">
      <w:pPr>
        <w:jc w:val="both"/>
      </w:pPr>
      <w:r w:rsidRPr="009E5AB1">
        <w:t>2.5.5</w:t>
      </w:r>
      <w:r w:rsidRPr="009E5AB1">
        <w:tab/>
        <w:t>Après la CMDT-22, le BDT, en collaboration avec les partenaires concernés, a recensé, élaboré et mis en œuvre un large éventail de projets qui ont contribué à la réalisation des priorités qui avaient été définies lors de la CMDT-22. Ces projets contribuent également à la mise en œuvre des initiatives régionales afin</w:t>
      </w:r>
      <w:r w:rsidR="00CF085D" w:rsidRPr="009E5AB1">
        <w:t xml:space="preserve"> </w:t>
      </w:r>
      <w:r w:rsidRPr="009E5AB1">
        <w:t>de répondre aux besoins particuliers des régions. Les projets menés par le BDT participent à la mise au point de produits et services variés, conformes aux priorités et catalyseurs de l'UIT-D définis dans le Plan d'action de Kigali, ainsi que dans le Plan stratégique de l'UIT pour chacune des six régions de l'Union.</w:t>
      </w:r>
    </w:p>
    <w:p w14:paraId="543DED81" w14:textId="0FF25BC6" w:rsidR="00375269" w:rsidRPr="009E5AB1" w:rsidRDefault="00375269" w:rsidP="00F71BA5">
      <w:pPr>
        <w:jc w:val="both"/>
      </w:pPr>
      <w:r w:rsidRPr="009E5AB1">
        <w:lastRenderedPageBreak/>
        <w:t>2.5.6</w:t>
      </w:r>
      <w:r w:rsidRPr="009E5AB1">
        <w:tab/>
        <w:t xml:space="preserve">Tous les projets sont mis en œuvre dans les régions par les responsables de projet des bureaux régionaux ou des bureaux de zone concernés, avec l'appui du siège et au moyen des produits et services élaborés au sein de ce dernier. D'autres services du BDT fournissent un appui aux responsables de projet pour l'élaboration, le suivi et l'évaluation des projets. Les rapports trimestriels sont examinés et évalués par des équipes indépendantes (appui aux projets) qui n'interviennent pas dans la mise en œuvre des projets, cela afin de permettre une évaluation impartiale des progrès réalisés. Les projets mis en œuvre ou en cours au titre de chaque initiative régionale adoptée à la CMDT-22 pour la période 2023-2025 sont répertoriés dans le </w:t>
      </w:r>
      <w:hyperlink r:id="rId40" w:history="1">
        <w:r w:rsidRPr="009E5AB1">
          <w:rPr>
            <w:rStyle w:val="Hyperlink"/>
            <w:rFonts w:eastAsia="Times New Roman" w:cs="Times New Roman"/>
            <w:szCs w:val="20"/>
          </w:rPr>
          <w:t>Document d'information TDAG-25/INF/4</w:t>
        </w:r>
      </w:hyperlink>
      <w:r w:rsidRPr="009E5AB1">
        <w:t>.</w:t>
      </w:r>
    </w:p>
    <w:p w14:paraId="66CD4EBE" w14:textId="44467980" w:rsidR="00375269" w:rsidRPr="009E5AB1" w:rsidRDefault="00375269" w:rsidP="00F71BA5">
      <w:pPr>
        <w:jc w:val="both"/>
      </w:pPr>
      <w:r w:rsidRPr="009E5AB1">
        <w:t>2.5.7</w:t>
      </w:r>
      <w:r w:rsidRPr="009E5AB1">
        <w:tab/>
        <w:t xml:space="preserve">En 2024, le BDT a continué de renforcer les pratiques en matière de gestion des projets pour tous les projets de l'UIT. Les mesures mises en œuvre au cours de l'année concernaient notamment le renforcement de l'établissement de rapports à l'intention des partenaires financiers, le fonctionnement du Comité directeur des projets du BDT et l'amélioration de la structure du Bureau et visaient à renforcer davantage l'appui à l'exécution des projets. On trouvera de plus amples renseignements sur les projets de l'UIT-D dans le </w:t>
      </w:r>
      <w:hyperlink r:id="rId41" w:history="1">
        <w:r w:rsidRPr="009E5AB1">
          <w:rPr>
            <w:rStyle w:val="Hyperlink"/>
            <w:rFonts w:eastAsia="Times New Roman" w:cs="Times New Roman"/>
            <w:szCs w:val="20"/>
          </w:rPr>
          <w:t>Document</w:t>
        </w:r>
        <w:r w:rsidR="00933535" w:rsidRPr="009E5AB1">
          <w:rPr>
            <w:rStyle w:val="Hyperlink"/>
            <w:rFonts w:eastAsia="Times New Roman" w:cs="Times New Roman"/>
            <w:szCs w:val="20"/>
          </w:rPr>
          <w:t> </w:t>
        </w:r>
        <w:r w:rsidRPr="009E5AB1">
          <w:rPr>
            <w:rStyle w:val="Hyperlink"/>
            <w:rFonts w:eastAsia="Times New Roman" w:cs="Times New Roman"/>
            <w:szCs w:val="20"/>
          </w:rPr>
          <w:t>TDAG</w:t>
        </w:r>
        <w:r w:rsidR="00933535" w:rsidRPr="009E5AB1">
          <w:rPr>
            <w:rStyle w:val="Hyperlink"/>
            <w:rFonts w:eastAsia="Times New Roman" w:cs="Times New Roman"/>
            <w:szCs w:val="20"/>
          </w:rPr>
          <w:noBreakHyphen/>
        </w:r>
        <w:r w:rsidRPr="009E5AB1">
          <w:rPr>
            <w:rStyle w:val="Hyperlink"/>
            <w:rFonts w:eastAsia="Times New Roman" w:cs="Times New Roman"/>
            <w:szCs w:val="20"/>
          </w:rPr>
          <w:t>25/5</w:t>
        </w:r>
      </w:hyperlink>
      <w:r w:rsidRPr="009E5AB1">
        <w:t>.</w:t>
      </w:r>
    </w:p>
    <w:p w14:paraId="6D52C9E7" w14:textId="5EAFFADD" w:rsidR="00375269" w:rsidRPr="009E5AB1" w:rsidRDefault="00375269" w:rsidP="00F71BA5">
      <w:pPr>
        <w:jc w:val="both"/>
      </w:pPr>
      <w:r w:rsidRPr="009E5AB1">
        <w:t>2.5.8</w:t>
      </w:r>
      <w:r w:rsidRPr="009E5AB1">
        <w:tab/>
        <w:t>Entre mai 2024 et mars 2025, l'UIT a signé au total 35 nouveaux projets et addenda pour un montant de 26,7 millions CHF. Ces chiffres montrent que les efforts déployés par le BDT pour mobiliser des ressources ont porté leurs fruits. On trouvera de plus amples renseignements sur le portefeuille de projets de l'UIT-D dans le Document TDAG-25/5, ainsi que sur le portail des projets de l'UIT-D.</w:t>
      </w:r>
    </w:p>
    <w:p w14:paraId="1C189EED" w14:textId="0440C048" w:rsidR="00375269" w:rsidRPr="009E5AB1" w:rsidRDefault="00375269" w:rsidP="00F71BA5">
      <w:pPr>
        <w:jc w:val="both"/>
      </w:pPr>
      <w:r w:rsidRPr="009E5AB1">
        <w:t>2.5.9</w:t>
      </w:r>
      <w:r w:rsidRPr="009E5AB1">
        <w:tab/>
        <w:t>Entre mai 2024 et mars 2025, l'UIT a conclu 73 accords avec un large éventail de partenaires. De plus amples informations sont publiées sur la page web consacrée aux partenariats de l'UIT-D.</w:t>
      </w:r>
    </w:p>
    <w:p w14:paraId="7795B53F" w14:textId="77777777" w:rsidR="00375269" w:rsidRPr="009E5AB1" w:rsidRDefault="00375269" w:rsidP="00650B5F">
      <w:pPr>
        <w:pStyle w:val="Heading1"/>
      </w:pPr>
      <w:r w:rsidRPr="009E5AB1">
        <w:t>3</w:t>
      </w:r>
      <w:r w:rsidRPr="009E5AB1">
        <w:tab/>
        <w:t>Activités liées aux autres Secteurs et aux Bureaux de l'UIT</w:t>
      </w:r>
    </w:p>
    <w:p w14:paraId="45573935" w14:textId="77777777" w:rsidR="00375269" w:rsidRPr="009E5AB1" w:rsidRDefault="00375269" w:rsidP="00F71BA5">
      <w:pPr>
        <w:pStyle w:val="Heading2"/>
      </w:pPr>
      <w:r w:rsidRPr="009E5AB1">
        <w:t>3.1</w:t>
      </w:r>
      <w:r w:rsidRPr="009E5AB1">
        <w:tab/>
        <w:t>Collaboration générale</w:t>
      </w:r>
    </w:p>
    <w:p w14:paraId="3E3A81E4" w14:textId="1BE10ACB" w:rsidR="00375269" w:rsidRPr="009E5AB1" w:rsidRDefault="00375269" w:rsidP="00F71BA5">
      <w:pPr>
        <w:jc w:val="both"/>
      </w:pPr>
      <w:r w:rsidRPr="009E5AB1">
        <w:t>Le BDT, en collaboration et en étroite coordination avec le Bureau des radiocommunications (BR), le Bureau de la normalisation des télécommunications (TSB) et le Secrétariat général, s'emploie activement à renforcer la présence régionale, dans le but d'améliorer la fourniture de services aux États Membres. De plus, trois fonctionnaires du TSB sont détachés auprès du Bureau régional pour l'Afrique. De même, le Bureau régional de l'UIT pour l'Asie-Pacifique compte aussi un fonctionnaire détaché par le TSB.</w:t>
      </w:r>
    </w:p>
    <w:p w14:paraId="6595E749" w14:textId="77777777" w:rsidR="00375269" w:rsidRPr="009E5AB1" w:rsidRDefault="00375269" w:rsidP="00F71BA5">
      <w:pPr>
        <w:pStyle w:val="Heading2"/>
      </w:pPr>
      <w:r w:rsidRPr="009E5AB1">
        <w:t>3.2</w:t>
      </w:r>
      <w:r w:rsidRPr="009E5AB1">
        <w:tab/>
        <w:t>Bureau régional pour l'Afrique/Activités dans la région Afrique</w:t>
      </w:r>
    </w:p>
    <w:p w14:paraId="42D6C518" w14:textId="2037E88C" w:rsidR="00375269" w:rsidRPr="009E5AB1" w:rsidRDefault="00375269" w:rsidP="00650B5F">
      <w:pPr>
        <w:pStyle w:val="Headingb"/>
      </w:pPr>
      <w:r w:rsidRPr="009E5AB1">
        <w:t>Activités liées au BR</w:t>
      </w:r>
    </w:p>
    <w:p w14:paraId="445400EF" w14:textId="77777777" w:rsidR="00375269" w:rsidRPr="009E5AB1" w:rsidRDefault="00375269" w:rsidP="00F71BA5">
      <w:pPr>
        <w:pStyle w:val="enumlev1"/>
      </w:pPr>
      <w:r w:rsidRPr="009E5AB1">
        <w:t>–</w:t>
      </w:r>
      <w:r w:rsidRPr="009E5AB1">
        <w:tab/>
        <w:t xml:space="preserve">Le Bureau régional pour l'Afrique a prêté son concours à l'UIT dans le cadre de son atelier sur les Tableaux </w:t>
      </w:r>
      <w:r w:rsidRPr="00F71BA5">
        <w:t>nationaux</w:t>
      </w:r>
      <w:r w:rsidRPr="009E5AB1">
        <w:t xml:space="preserve"> d'attribution des bandes de fréquences pour la Région 1, qui s'est tenu du 20 au 23 mai 2024 à Addis-Abeba.</w:t>
      </w:r>
    </w:p>
    <w:p w14:paraId="65B4BB25" w14:textId="3D9BB95C" w:rsidR="00375269" w:rsidRPr="009E5AB1" w:rsidRDefault="00375269" w:rsidP="00F71BA5">
      <w:pPr>
        <w:pStyle w:val="enumlev1"/>
      </w:pPr>
      <w:r w:rsidRPr="009E5AB1">
        <w:t>–</w:t>
      </w:r>
      <w:r w:rsidRPr="009E5AB1">
        <w:tab/>
        <w:t>Le Bureau régional pour l'Afrique fournit actuellement un appui à l'organisation du Séminaire régional des radiocommunications de l'UIT de 2025 pour l'Afrique</w:t>
      </w:r>
      <w:r w:rsidR="00282635" w:rsidRPr="009E5AB1">
        <w:t> </w:t>
      </w:r>
      <w:r w:rsidRPr="009E5AB1">
        <w:t>(RRS</w:t>
      </w:r>
      <w:r w:rsidR="00282635" w:rsidRPr="009E5AB1">
        <w:noBreakHyphen/>
      </w:r>
      <w:r w:rsidRPr="009E5AB1">
        <w:t>25</w:t>
      </w:r>
      <w:r w:rsidR="00282635" w:rsidRPr="009E5AB1">
        <w:noBreakHyphen/>
      </w:r>
      <w:r w:rsidRPr="009E5AB1">
        <w:t>Afrique), prévu du 5 au 8 mai 2025 à Djibouti.</w:t>
      </w:r>
    </w:p>
    <w:p w14:paraId="617C70FA" w14:textId="554DB074" w:rsidR="00375269" w:rsidRPr="009E5AB1" w:rsidRDefault="00375269" w:rsidP="00F71BA5">
      <w:pPr>
        <w:pStyle w:val="enumlev1"/>
      </w:pPr>
      <w:r w:rsidRPr="009E5AB1">
        <w:lastRenderedPageBreak/>
        <w:t>–</w:t>
      </w:r>
      <w:r w:rsidRPr="009E5AB1">
        <w:tab/>
        <w:t>Une formation technique sur le logiciel de méthode de calcul harmonisée pour l'Afrique (HCM4A), en particulier pour la coordination des fréquences, a été dispensée à Addis-Abeba (Éthiopie) en mars 2025, en présence de représentants de</w:t>
      </w:r>
      <w:r w:rsidR="00C43911" w:rsidRPr="009E5AB1">
        <w:t> </w:t>
      </w:r>
      <w:r w:rsidRPr="009E5AB1">
        <w:t>45</w:t>
      </w:r>
      <w:r w:rsidR="00282635" w:rsidRPr="009E5AB1">
        <w:t> </w:t>
      </w:r>
      <w:r w:rsidRPr="009E5AB1">
        <w:t>États</w:t>
      </w:r>
      <w:r w:rsidR="00282635" w:rsidRPr="009E5AB1">
        <w:t> </w:t>
      </w:r>
      <w:r w:rsidRPr="009E5AB1">
        <w:t>Membres.</w:t>
      </w:r>
    </w:p>
    <w:p w14:paraId="7E070E4B" w14:textId="1702C184" w:rsidR="00375269" w:rsidRPr="009E5AB1" w:rsidRDefault="00375269" w:rsidP="00F71BA5">
      <w:pPr>
        <w:pStyle w:val="enumlev1"/>
      </w:pPr>
      <w:r w:rsidRPr="009E5AB1">
        <w:t>–</w:t>
      </w:r>
      <w:r w:rsidRPr="009E5AB1">
        <w:tab/>
        <w:t xml:space="preserve">Le projet de systèmes de cartographie </w:t>
      </w:r>
      <w:proofErr w:type="gramStart"/>
      <w:r w:rsidRPr="009E5AB1">
        <w:t>du large bande</w:t>
      </w:r>
      <w:proofErr w:type="gramEnd"/>
      <w:r w:rsidRPr="009E5AB1">
        <w:t xml:space="preserve"> en Afrique, soutenu par la Commission européenne, a été lancé pour aider </w:t>
      </w:r>
      <w:r w:rsidR="003D5A1E" w:rsidRPr="009E5AB1">
        <w:t>11</w:t>
      </w:r>
      <w:r w:rsidRPr="009E5AB1">
        <w:t xml:space="preserve"> pays à établir des systèmes de cartographie des infrastructures. (La contribution du BR s'est avérée particulièrement pertinente pour les aspects relatifs au spectre.)</w:t>
      </w:r>
    </w:p>
    <w:p w14:paraId="6FBC4D87" w14:textId="77777777" w:rsidR="00375269" w:rsidRPr="009E5AB1" w:rsidRDefault="00375269" w:rsidP="00650B5F">
      <w:pPr>
        <w:pStyle w:val="Headingb"/>
      </w:pPr>
      <w:r w:rsidRPr="009E5AB1">
        <w:t>Activités liées au TSB</w:t>
      </w:r>
    </w:p>
    <w:p w14:paraId="25F71EAB" w14:textId="15C55A88" w:rsidR="00375269" w:rsidRPr="009E5AB1" w:rsidRDefault="00375269" w:rsidP="00F71BA5">
      <w:pPr>
        <w:pStyle w:val="enumlev1"/>
      </w:pPr>
      <w:r w:rsidRPr="009E5AB1">
        <w:t>–</w:t>
      </w:r>
      <w:r w:rsidRPr="009E5AB1">
        <w:tab/>
        <w:t>En collaboration avec le TSB, une série de stages pratiques sur la sécurité des services financiers numériques (DFS) ont été organisés dans les pays suivants: Gambie, Soudan</w:t>
      </w:r>
      <w:r w:rsidR="00C43911" w:rsidRPr="009E5AB1">
        <w:t> </w:t>
      </w:r>
      <w:r w:rsidRPr="009E5AB1">
        <w:t>du Sud, Ghana, Zimbabwe, Malawi, Lesotho, Éthiopie, Eswatini, Sierra Leone, Burkina Faso et Gabon.</w:t>
      </w:r>
    </w:p>
    <w:p w14:paraId="4D4BD4B3" w14:textId="0FE9B697" w:rsidR="00375269" w:rsidRPr="009E5AB1" w:rsidRDefault="00375269" w:rsidP="00F71BA5">
      <w:pPr>
        <w:pStyle w:val="enumlev1"/>
      </w:pPr>
      <w:r w:rsidRPr="009E5AB1">
        <w:t>–</w:t>
      </w:r>
      <w:r w:rsidRPr="009E5AB1">
        <w:tab/>
      </w:r>
      <w:r w:rsidR="002C060B" w:rsidRPr="009E5AB1">
        <w:t>Le webinaire organisé conjointement par l'UIT et l'UAT sur l'Initiative EW4All s'est tenu le 12 septembre 2024. Lors de cet événement, le TSB et le BDT ont présenté des exposés sur les thèmes suivants: mandat de l'UIT sur les systèmes d'alerte avancée</w:t>
      </w:r>
      <w:r w:rsidR="001C3A3E" w:rsidRPr="009E5AB1">
        <w:t>;</w:t>
      </w:r>
      <w:r w:rsidR="002C060B" w:rsidRPr="009E5AB1">
        <w:t xml:space="preserve"> Plan d'action pour l'Afrique dans le cadre de l'Initiative EW4ALL</w:t>
      </w:r>
      <w:r w:rsidR="001C3A3E" w:rsidRPr="009E5AB1">
        <w:t>;</w:t>
      </w:r>
      <w:r w:rsidR="002C060B" w:rsidRPr="009E5AB1">
        <w:t xml:space="preserve"> normalisation au service de l'Initiative EW4ALL; et intelligence artificielle au service de l'Initiative</w:t>
      </w:r>
      <w:r w:rsidR="00044F41" w:rsidRPr="009E5AB1">
        <w:t> </w:t>
      </w:r>
      <w:r w:rsidR="002C060B" w:rsidRPr="009E5AB1">
        <w:t>EW4ALL.</w:t>
      </w:r>
    </w:p>
    <w:p w14:paraId="712BA852" w14:textId="77777777" w:rsidR="00375269" w:rsidRPr="009E5AB1" w:rsidRDefault="00375269" w:rsidP="00F71BA5">
      <w:pPr>
        <w:pStyle w:val="Heading2"/>
      </w:pPr>
      <w:r w:rsidRPr="009E5AB1">
        <w:t>3.3</w:t>
      </w:r>
      <w:r w:rsidRPr="009E5AB1">
        <w:tab/>
        <w:t>Bureau régional pour les Amériques/Activités dans la région Amériques</w:t>
      </w:r>
    </w:p>
    <w:p w14:paraId="32E55511" w14:textId="77777777" w:rsidR="00375269" w:rsidRPr="009E5AB1" w:rsidRDefault="00375269" w:rsidP="00650B5F">
      <w:pPr>
        <w:pStyle w:val="Headingb"/>
      </w:pPr>
      <w:r w:rsidRPr="009E5AB1">
        <w:t>Activités liées au BR</w:t>
      </w:r>
    </w:p>
    <w:p w14:paraId="22FD29A5" w14:textId="77777777" w:rsidR="00375269" w:rsidRPr="009E5AB1" w:rsidRDefault="00375269" w:rsidP="00F71BA5">
      <w:pPr>
        <w:pStyle w:val="enumlev1"/>
      </w:pPr>
      <w:r w:rsidRPr="009E5AB1">
        <w:t>–</w:t>
      </w:r>
      <w:r w:rsidRPr="009E5AB1">
        <w:tab/>
        <w:t>Des équipements satellitaires ont été déployés pour couvrir la Jamaïque, Grenade et Saint-Vincent-et-les-Grenadines afin d'appuyer les interventions après les ouragans. (Un point de positionnement préalable a également été mis en place à la Barbade.)</w:t>
      </w:r>
    </w:p>
    <w:p w14:paraId="653368D2" w14:textId="77777777" w:rsidR="00375269" w:rsidRPr="009E5AB1" w:rsidRDefault="00375269" w:rsidP="00F71BA5">
      <w:pPr>
        <w:pStyle w:val="enumlev1"/>
      </w:pPr>
      <w:r w:rsidRPr="009E5AB1">
        <w:t>–</w:t>
      </w:r>
      <w:r w:rsidRPr="009E5AB1">
        <w:tab/>
        <w:t>Le BDT et Intelsat ont annoncé la conclusion d'un accord de coopération visant à améliorer la préparation en prévision des catastrophes et les interventions en cas de catastrophe grâce aux télécommunications par satellite, y compris le don d'équipements et la formation.</w:t>
      </w:r>
    </w:p>
    <w:p w14:paraId="00491DE1" w14:textId="54A3832F" w:rsidR="00375269" w:rsidRPr="009E5AB1" w:rsidRDefault="00375269" w:rsidP="00F71BA5">
      <w:pPr>
        <w:pStyle w:val="enumlev1"/>
      </w:pPr>
      <w:r w:rsidRPr="009E5AB1">
        <w:t>–</w:t>
      </w:r>
      <w:r w:rsidRPr="009E5AB1">
        <w:tab/>
        <w:t>Le Bureau régional et les Bureaux de zone ont collaboré dans le cadre de l'organisation de séminaires régionaux des radiocommunications. Le prochain séminaire aura lieu du</w:t>
      </w:r>
      <w:r w:rsidR="00C43911" w:rsidRPr="009E5AB1">
        <w:t> </w:t>
      </w:r>
      <w:r w:rsidRPr="009E5AB1">
        <w:t>12 au 16 juin à Tegucigalpa, au Honduras.</w:t>
      </w:r>
    </w:p>
    <w:p w14:paraId="100BEF32" w14:textId="77777777" w:rsidR="00375269" w:rsidRPr="009E5AB1" w:rsidRDefault="00375269" w:rsidP="00F71BA5">
      <w:pPr>
        <w:pStyle w:val="enumlev1"/>
      </w:pPr>
      <w:r w:rsidRPr="009E5AB1">
        <w:t>–</w:t>
      </w:r>
      <w:r w:rsidRPr="009E5AB1">
        <w:tab/>
        <w:t>Dans la même veine, le BDT a collaboré à divers programmes de renforcement des capacités sur des thèmes liés à la gestion du spectre radioélectrique, en partenariat avec les Centres de formation de l'Académie de l'UIT (ATC) du Pérou et du Brésil.</w:t>
      </w:r>
    </w:p>
    <w:p w14:paraId="34E41C52" w14:textId="236E2F23" w:rsidR="00375269" w:rsidRPr="009E5AB1" w:rsidRDefault="00375269" w:rsidP="00650B5F">
      <w:pPr>
        <w:pStyle w:val="Headingb"/>
      </w:pPr>
      <w:r w:rsidRPr="009E5AB1">
        <w:t>Activités liées au TSB</w:t>
      </w:r>
    </w:p>
    <w:p w14:paraId="35954B8D" w14:textId="77777777" w:rsidR="002C060B" w:rsidRPr="009E5AB1" w:rsidRDefault="002C060B" w:rsidP="00F71BA5">
      <w:pPr>
        <w:pStyle w:val="enumlev1"/>
      </w:pPr>
      <w:r w:rsidRPr="009E5AB1">
        <w:t>–</w:t>
      </w:r>
      <w:r w:rsidRPr="009E5AB1">
        <w:tab/>
        <w:t>Par l'intermédiaire de son bureau régional, le BDT a encouragé les États Membres de la région Amériques et les membres du secteur privé à participer activement aux travaux des commissions d'études du TSB lors de diverses réunions.</w:t>
      </w:r>
    </w:p>
    <w:p w14:paraId="3B803C9C" w14:textId="77777777" w:rsidR="002C060B" w:rsidRPr="009E5AB1" w:rsidRDefault="002C060B" w:rsidP="00F71BA5">
      <w:pPr>
        <w:pStyle w:val="enumlev1"/>
      </w:pPr>
      <w:r w:rsidRPr="009E5AB1">
        <w:t>–</w:t>
      </w:r>
      <w:r w:rsidRPr="009E5AB1">
        <w:tab/>
        <w:t>Le Bureau régional de l'UIT pour les Amériques et ses Bureaux de zone situés au Chili (Amérique du Sud), au Honduras (Amérique centrale) et à la Barbade (Caraïbes) ont continué de coordonner étroitement avec le TSB toutes les activités menées dans la région des Amériques.</w:t>
      </w:r>
    </w:p>
    <w:p w14:paraId="41A20516" w14:textId="77777777" w:rsidR="002C060B" w:rsidRPr="009E5AB1" w:rsidRDefault="002C060B" w:rsidP="00F71BA5">
      <w:pPr>
        <w:pStyle w:val="enumlev1"/>
      </w:pPr>
      <w:r w:rsidRPr="009E5AB1">
        <w:lastRenderedPageBreak/>
        <w:t>–</w:t>
      </w:r>
      <w:r w:rsidRPr="009E5AB1">
        <w:tab/>
        <w:t>Des appels ont été organisés à intervalles réguliers avec le directeur et l'équipe de direction du TSB à des fins de coordination. En complément, des consultations ont été menées au niveau opérationnel, lorsque cela était pertinent ou nécessaire.</w:t>
      </w:r>
    </w:p>
    <w:p w14:paraId="7FAA03B7" w14:textId="77777777" w:rsidR="002C060B" w:rsidRPr="009E5AB1" w:rsidRDefault="002C060B" w:rsidP="00F71BA5">
      <w:pPr>
        <w:pStyle w:val="enumlev1"/>
      </w:pPr>
      <w:r w:rsidRPr="009E5AB1">
        <w:t>–</w:t>
      </w:r>
      <w:r w:rsidRPr="009E5AB1">
        <w:tab/>
        <w:t>Le Bureau régional de l'UIT pour les Amériques a continué de coordonner étroitement avec le TSB les activités menées dans la région, en aidant les États Membres à mettre en œuvre plusieurs projets et initiatives dans l'ensemble de la région, y compris un appui à la mise en œuvre d'initiatives régionales, en vue de déployer l'infrastructure des TIC, de renforcer l'inclusion numérique et de favoriser l'innovation et la transformation numérique.</w:t>
      </w:r>
    </w:p>
    <w:p w14:paraId="385D84CF" w14:textId="77777777" w:rsidR="002C060B" w:rsidRPr="009E5AB1" w:rsidRDefault="002C060B" w:rsidP="00F71BA5">
      <w:pPr>
        <w:pStyle w:val="enumlev1"/>
      </w:pPr>
      <w:r w:rsidRPr="009E5AB1">
        <w:t>–</w:t>
      </w:r>
      <w:r w:rsidRPr="009E5AB1">
        <w:tab/>
        <w:t>Le Bureau régional de l'UIT pour les Amériques a également facilité la coordination entre le TSB et les organisations régionales (CITEL, principalement au sein du PCC.I) pour le processus préparatoire de l'AMNT et fourni l'appui nécessaire pour garantir une participation au niveau régional. En ce qui concerne le programme de réduction de l'écart en matière de normalisation (BSG), le Bureau régional pour les Amériques a fourni un appui au TSB au plus haut niveau des manifestations et des plates-formes pertinentes dans les Régions, en procédant à la refonte des produits et des services du programme BSG (voir les Résolutions 123 de la PP-22 et 44 de l'AMNT-24). De manière générale, le Bureau régional facilite l'organisation de réunions bilatérales dans la région à la demande du TSB.</w:t>
      </w:r>
    </w:p>
    <w:p w14:paraId="76BCC074" w14:textId="77777777" w:rsidR="002C060B" w:rsidRPr="009E5AB1" w:rsidRDefault="002C060B" w:rsidP="00F71BA5">
      <w:pPr>
        <w:pStyle w:val="enumlev1"/>
      </w:pPr>
      <w:r w:rsidRPr="009E5AB1">
        <w:t>–</w:t>
      </w:r>
      <w:r w:rsidRPr="009E5AB1">
        <w:tab/>
        <w:t>Le TSB a participé activement à la 11ème édition du forum "Une région des Amériques accessible: Les TIC pour TOUS", qui s'est tenu en novembre 2024 à Mexico (Mexique), en partageant des connaissances et une expertise autour du thème "Technologies émergentes: l'intelligence artificielle comme catalyseur de l'inclusion numérique".</w:t>
      </w:r>
    </w:p>
    <w:p w14:paraId="42301861" w14:textId="77777777" w:rsidR="002C060B" w:rsidRPr="009E5AB1" w:rsidRDefault="002C060B" w:rsidP="00F71BA5">
      <w:pPr>
        <w:pStyle w:val="enumlev1"/>
      </w:pPr>
      <w:r w:rsidRPr="009E5AB1">
        <w:t>–</w:t>
      </w:r>
      <w:r w:rsidRPr="009E5AB1">
        <w:tab/>
        <w:t>Le TSB a participé activement au Dialogue économique régional (RED-AMS), qui s'est tenu en septembre 2024 à Lima (Pérou), en partageant des connaissances et une expertise au sujet des travaux menés actuellement par la Commission d'études 3 de l'UIT-T et le Groupe spécialisé de l'UIT sur les modèles de coûts pour des services de données financièrement abordables (FG-CD), ainsi que sur la question de l'économie circulaire.</w:t>
      </w:r>
    </w:p>
    <w:p w14:paraId="61A6E31D" w14:textId="4A240CFE" w:rsidR="002C060B" w:rsidRPr="009E5AB1" w:rsidRDefault="002C060B" w:rsidP="00F71BA5">
      <w:pPr>
        <w:pStyle w:val="enumlev1"/>
      </w:pPr>
      <w:r w:rsidRPr="009E5AB1">
        <w:t>–</w:t>
      </w:r>
      <w:r w:rsidRPr="009E5AB1">
        <w:tab/>
        <w:t>Le Bureau régional a appuyé la mise en œuvre de la réunion du Groupe régional de la Commission d'études 3 de l'UIT-T pour l'Amérique latine et les Caraïbes (SG3RG-LAC), la réunion du Groupe régional de la Commission d'études 5 de l'UIT-T pour l'Amérique latine (SG5RG-LATAM) et les manifestations en lien avec l'environnement, les changements climatiques et l'économie circulaire, qui se sont déroulées à Lima (Pérou) en novembre 2024.</w:t>
      </w:r>
    </w:p>
    <w:p w14:paraId="4B352A1D" w14:textId="77777777" w:rsidR="00375269" w:rsidRPr="009E5AB1" w:rsidRDefault="00375269" w:rsidP="00F71BA5">
      <w:pPr>
        <w:pStyle w:val="Heading2"/>
      </w:pPr>
      <w:r w:rsidRPr="009E5AB1">
        <w:t>3.4</w:t>
      </w:r>
      <w:r w:rsidRPr="009E5AB1">
        <w:tab/>
        <w:t>Bureau régional pour les États arabes/Activités dans la région des États arabes</w:t>
      </w:r>
    </w:p>
    <w:p w14:paraId="519D6D1B" w14:textId="77777777" w:rsidR="00375269" w:rsidRPr="009E5AB1" w:rsidRDefault="00375269" w:rsidP="00650B5F">
      <w:pPr>
        <w:pStyle w:val="Headingb"/>
      </w:pPr>
      <w:r w:rsidRPr="009E5AB1">
        <w:t>Activités liées au BR</w:t>
      </w:r>
    </w:p>
    <w:p w14:paraId="1F6F8518" w14:textId="77777777" w:rsidR="00375269" w:rsidRPr="009E5AB1" w:rsidRDefault="00375269" w:rsidP="00F71BA5">
      <w:pPr>
        <w:pStyle w:val="enumlev1"/>
      </w:pPr>
      <w:r w:rsidRPr="009E5AB1">
        <w:t>–</w:t>
      </w:r>
      <w:r w:rsidRPr="009E5AB1">
        <w:tab/>
        <w:t>L'atelier régional de l'UIT intitulé "Vers une connectivité universelle et efficace pour la région des États arabes" s'est tenu à Alger et portait sur les défis liés au développement des infrastructures et à la connectivité.</w:t>
      </w:r>
    </w:p>
    <w:p w14:paraId="1451ACDC" w14:textId="77777777" w:rsidR="00375269" w:rsidRPr="009E5AB1" w:rsidRDefault="00375269" w:rsidP="00F71BA5">
      <w:pPr>
        <w:pStyle w:val="enumlev1"/>
      </w:pPr>
      <w:r w:rsidRPr="009E5AB1">
        <w:t>–</w:t>
      </w:r>
      <w:r w:rsidRPr="009E5AB1">
        <w:tab/>
        <w:t xml:space="preserve">Des ateliers de consultation nationaux, y compris des formations sur les plans NETP et le protocole d'alerte commun (CAP), ont été organisés aux Comores, à Djibouti, en Somalie, en Mauritanie et au Soudan. (La contribution du BR s'est avérée </w:t>
      </w:r>
      <w:r w:rsidRPr="009E5AB1">
        <w:lastRenderedPageBreak/>
        <w:t>particulièrement pertinente pour les aspects liés à la radiodiffusion radioélectrique/cellulaire.)</w:t>
      </w:r>
    </w:p>
    <w:p w14:paraId="1C611DCF" w14:textId="614EFBE2" w:rsidR="00375269" w:rsidRPr="009E5AB1" w:rsidRDefault="00375269" w:rsidP="00650B5F">
      <w:pPr>
        <w:pStyle w:val="Headingb"/>
      </w:pPr>
      <w:r w:rsidRPr="009E5AB1">
        <w:t>Activités liées au TSB</w:t>
      </w:r>
    </w:p>
    <w:p w14:paraId="54C15647" w14:textId="3C3B0156" w:rsidR="00375269" w:rsidRPr="009E5AB1" w:rsidRDefault="00375269" w:rsidP="00F71BA5">
      <w:pPr>
        <w:pStyle w:val="enumlev1"/>
      </w:pPr>
      <w:r w:rsidRPr="009E5AB1">
        <w:t>–</w:t>
      </w:r>
      <w:r w:rsidRPr="009E5AB1">
        <w:tab/>
      </w:r>
      <w:r w:rsidR="002C060B" w:rsidRPr="009E5AB1">
        <w:t>Le BDT a soutenu les travaux de la réunion du Groupe régional de la Commission d'études 3 de l'UIT-T, qui s'est tenue à Amman (Jordanie) en février 2025.</w:t>
      </w:r>
    </w:p>
    <w:p w14:paraId="1817D7F5" w14:textId="77777777" w:rsidR="00375269" w:rsidRPr="009E5AB1" w:rsidRDefault="00375269" w:rsidP="00F71BA5">
      <w:pPr>
        <w:pStyle w:val="Heading2"/>
      </w:pPr>
      <w:r w:rsidRPr="009E5AB1">
        <w:t>3.5</w:t>
      </w:r>
      <w:r w:rsidRPr="009E5AB1">
        <w:tab/>
        <w:t>Bureau régional pour l'Asie-Pacifique/Activités pour la région Asie-Pacifique</w:t>
      </w:r>
    </w:p>
    <w:p w14:paraId="65C496A3" w14:textId="2E21F76E" w:rsidR="00375269" w:rsidRPr="009E5AB1" w:rsidRDefault="00375269" w:rsidP="00650B5F">
      <w:pPr>
        <w:pStyle w:val="Headingb"/>
      </w:pPr>
      <w:r w:rsidRPr="009E5AB1">
        <w:t>Activités liées au BR</w:t>
      </w:r>
    </w:p>
    <w:p w14:paraId="41D3D3BD" w14:textId="77777777" w:rsidR="00375269" w:rsidRPr="009E5AB1" w:rsidRDefault="00375269" w:rsidP="00F71BA5">
      <w:pPr>
        <w:pStyle w:val="enumlev1"/>
      </w:pPr>
      <w:r w:rsidRPr="009E5AB1">
        <w:t>–</w:t>
      </w:r>
      <w:r w:rsidRPr="009E5AB1">
        <w:tab/>
        <w:t>Le BDT a aidé le BR à organiser le Séminaire régional des radiocommunications (RRS) pour la région Asie-Pacifique en septembre 2024 à Samoa, afin d'échanger de bonnes pratiques sur des sujets tels que le passage de l'analogique au numérique et le Système de gestion du spectre pour les pays en développement (SMS4DC).</w:t>
      </w:r>
    </w:p>
    <w:p w14:paraId="766EE268" w14:textId="77777777" w:rsidR="00375269" w:rsidRPr="009E5AB1" w:rsidRDefault="00375269" w:rsidP="00F71BA5">
      <w:pPr>
        <w:pStyle w:val="enumlev1"/>
      </w:pPr>
      <w:r w:rsidRPr="009E5AB1">
        <w:t>–</w:t>
      </w:r>
      <w:r w:rsidRPr="009E5AB1">
        <w:tab/>
        <w:t>Le Bureau régional pour l'Asie-Pacifique a prêté son concours à l'UIT dans le cadre de son atelier sur les Tableaux nationaux d'attribution des bandes de fréquences pour la Région 3, qui s'est tenu du 28 au 31 mai 2024 à Shanghai.</w:t>
      </w:r>
    </w:p>
    <w:p w14:paraId="16F0AD70" w14:textId="77777777" w:rsidR="00375269" w:rsidRPr="009E5AB1" w:rsidRDefault="00375269" w:rsidP="00F71BA5">
      <w:pPr>
        <w:pStyle w:val="enumlev1"/>
      </w:pPr>
      <w:r w:rsidRPr="009E5AB1">
        <w:t>–</w:t>
      </w:r>
      <w:r w:rsidRPr="009E5AB1">
        <w:tab/>
        <w:t>L'UIT a organisé une formation sur le logiciel SMS4DC à l'occasion de l'Assemblée générale annuelle de l'Association des télécommunications des îles du Pacifique (PITA) tenue au Vanuatu (avril/mai 2024).</w:t>
      </w:r>
    </w:p>
    <w:p w14:paraId="2A3A6CB1" w14:textId="2DF1FFB4" w:rsidR="00375269" w:rsidRPr="009E5AB1" w:rsidRDefault="00375269" w:rsidP="00650B5F">
      <w:pPr>
        <w:pStyle w:val="Headingb"/>
      </w:pPr>
      <w:r w:rsidRPr="009E5AB1">
        <w:t>Activités liées au TSB</w:t>
      </w:r>
    </w:p>
    <w:p w14:paraId="1E689553" w14:textId="77777777" w:rsidR="00375269" w:rsidRPr="009E5AB1" w:rsidRDefault="00375269" w:rsidP="00F71BA5">
      <w:pPr>
        <w:pStyle w:val="enumlev1"/>
      </w:pPr>
      <w:r w:rsidRPr="009E5AB1">
        <w:t>–</w:t>
      </w:r>
      <w:r w:rsidRPr="009E5AB1">
        <w:tab/>
        <w:t>À la suite de consultations avec le TSB et de discussions avec le Département des affaires étrangères et du commerce (DFAT) du Gouvernement australien, l'équipe de l'UIT a signé le 4 juin 2021 un accord de subvention avec le Département DFAT pour un projet, dans le cadre de son programme sur la cybersécurité et les technologies essentielles. Ce projet a été prolongé en 2022 pour une durée totale de quatre ans et s'est achevé avec succès le 31 décembre 2024. Le Bureau régional et le Bureau de zone de l'UIT à Delhi ont apporté leur appui à l'organisation de l'Assemblée mondiale de normalisation des télécommunications de 2024 (AMNT-24) de diverses manières, notamment en organisant des réunions de coordination mensuelles ou hebdomadaires avec le Gouvernement indien, en organisant des manifestations parallèles avec divers partenaires, en proposant des orateurs et en facilitant la participation de l'équipe de pays des Nations Unies à la Journée des Nations Unies le 24 octobre, aux manifestations parallèles et à la zone d'exposition consacrée aux ODD.</w:t>
      </w:r>
    </w:p>
    <w:p w14:paraId="2D354E85" w14:textId="77777777" w:rsidR="00375269" w:rsidRPr="009E5AB1" w:rsidRDefault="00375269" w:rsidP="00F71BA5">
      <w:pPr>
        <w:pStyle w:val="enumlev1"/>
      </w:pPr>
      <w:r w:rsidRPr="009E5AB1">
        <w:t>–</w:t>
      </w:r>
      <w:r w:rsidRPr="009E5AB1">
        <w:tab/>
        <w:t>À l'issue de consultations avec le Département de l'infrastructure, des transports, du développement régional, des communications et des arts (DITRDCA) du Gouvernement australien, l'UIT a signé le 18 juin 2024 un accord relatif au projet SAPEIC. Ce projet vise à renforcer la participation des États Membres de l'UIT de la région Asie-Pacifique faisant partie de la catégorie des pays en développement aux conférences mondiales de l'Union, en leur donnant les moyens de contribuer efficacement aux conférences de l'UIT, à savoir l'AMNT-24 et la CMDT-25.</w:t>
      </w:r>
    </w:p>
    <w:p w14:paraId="71121516" w14:textId="42335A4E" w:rsidR="00375269" w:rsidRPr="009E5AB1" w:rsidRDefault="00375269" w:rsidP="00F71BA5">
      <w:pPr>
        <w:pStyle w:val="enumlev1"/>
      </w:pPr>
      <w:r w:rsidRPr="009E5AB1">
        <w:t>–</w:t>
      </w:r>
      <w:r w:rsidRPr="009E5AB1">
        <w:tab/>
        <w:t>Dans ce contexte, il est prévu de dispenser une formation structurée et spécialisée afin de mieux faire comprendre le fonctionnement des Secteurs de la normalisation et du développement des télécommunications de l'UIT, ainsi que les méthodes de travail de l'AMNT et de la CMDT, de sorte que les délégués puissent contribuer efficacement à ces conférences. Au cours de la période considérée, 23 participants de</w:t>
      </w:r>
      <w:r w:rsidR="000C6773" w:rsidRPr="009E5AB1">
        <w:t> </w:t>
      </w:r>
      <w:r w:rsidRPr="009E5AB1">
        <w:t>13</w:t>
      </w:r>
      <w:r w:rsidR="000C6773" w:rsidRPr="009E5AB1">
        <w:t> </w:t>
      </w:r>
      <w:r w:rsidRPr="009E5AB1">
        <w:t>États</w:t>
      </w:r>
      <w:r w:rsidR="000C6773" w:rsidRPr="009E5AB1">
        <w:t> </w:t>
      </w:r>
      <w:r w:rsidRPr="009E5AB1">
        <w:t xml:space="preserve">Membres </w:t>
      </w:r>
      <w:r w:rsidRPr="009E5AB1">
        <w:lastRenderedPageBreak/>
        <w:t>de l'UIT ont suivi le volet du programme dédié à l'AMNT. Ils ont pris part à la formation virtuelle sur l'AMNT du 10 au 13 septembre 2024 et ont suivi une heure ouvrable facultative de formation le 18 septembre 2024. La formation était animée par des fonctionnaires du TSB et du Bureau régional de l'UIT pour la région</w:t>
      </w:r>
      <w:r w:rsidR="000C6773" w:rsidRPr="009E5AB1">
        <w:t> </w:t>
      </w:r>
      <w:r w:rsidRPr="009E5AB1">
        <w:t>Asie-Pacifique, et comprenait des exercices interactifs et des simulations relatives à l'élaboration de contributions. Par la suite, les 23 participants ont reçu des bourses dans le cadre du projet SAPEIC pour participer au Colloque mondial sur la normalisation (GSS) et à l'AMNT qui se sont tenus à Delhi (Inde) le 14 octobre 2024 et du 15 au 24 octobre 2024, respectivement. Les boursiers ont participé avec succès aux deux manifestations et remplissent actuellement leurs obligations en matière d'établissement de rapports.</w:t>
      </w:r>
    </w:p>
    <w:p w14:paraId="5DBFE5DA" w14:textId="3174DEF6" w:rsidR="00375269" w:rsidRPr="009E5AB1" w:rsidRDefault="00375269" w:rsidP="00F71BA5">
      <w:pPr>
        <w:pStyle w:val="enumlev1"/>
      </w:pPr>
      <w:r w:rsidRPr="009E5AB1">
        <w:t>–</w:t>
      </w:r>
      <w:r w:rsidRPr="009E5AB1">
        <w:tab/>
      </w:r>
      <w:r w:rsidR="002C060B" w:rsidRPr="009E5AB1">
        <w:t>À l'issue de consultations avec le TSB et de discussions avec le Ministère des affaires intérieures et des communications (MIC) du Japon, l'équipe de l'UIT et le MIC ont échangé une correspondance le 6 février 2025, à la suite de laquelle des fonds ont été alloués à l'UIT pour mener des activités au titre du projet intitulé "Renforcement des capacités sur les technologies et les normes dans le domaine de l'IA en Asie-Pacifique", actuellement financé pour une période d'un an, soit jusqu'en février 2026.</w:t>
      </w:r>
    </w:p>
    <w:p w14:paraId="25E1B596" w14:textId="77777777" w:rsidR="00375269" w:rsidRPr="009E5AB1" w:rsidRDefault="00375269" w:rsidP="00F71BA5">
      <w:pPr>
        <w:pStyle w:val="enumlev1"/>
      </w:pPr>
      <w:r w:rsidRPr="009E5AB1">
        <w:t>–</w:t>
      </w:r>
      <w:r w:rsidRPr="009E5AB1">
        <w:tab/>
        <w:t>Les 2 et 3 septembre 2024, le Bureau de zone de l'UIT, en collaboration avec l'Académie nationale des communications – Finances (National Communications Academy – Finance NCA-F, anciennement NICF) et le Département des télécommunications, a organisé un atelier sur la réduction de l'écart en matière de normalisation à l'Institut indien des sciences (IISc), à Bangalore. L'atelier, qui a réuni plus de 270 participants provenant du secteur public, du secteur privé, du monde universitaire et de start-up, a été l'occasion d'apprendre comment contribuer à l'élaboration et à la mise en œuvre des normes de l'UIT-T et mener des négociations à ces fins. L'atelier a également permis de renforcer les capacités des participants de sorte qu'ils puissent jouer un rôle de premier plan dans ce domaine, grâce à des jeux de rôle et des quiz interactifs.</w:t>
      </w:r>
    </w:p>
    <w:p w14:paraId="5F0009B7" w14:textId="77777777" w:rsidR="00375269" w:rsidRPr="009E5AB1" w:rsidRDefault="00375269" w:rsidP="00F71BA5">
      <w:pPr>
        <w:pStyle w:val="enumlev1"/>
      </w:pPr>
      <w:r w:rsidRPr="009E5AB1">
        <w:t>–</w:t>
      </w:r>
      <w:r w:rsidRPr="009E5AB1">
        <w:tab/>
        <w:t>Le 10 octobre 2024, le Bureau régional et le Bureau de zone de l'UIT à Delhi ont facilité les discussions avec l'Autorité de l'infocommunication et des médias du Bhoutan (BICMA) et le TSB au sujet du laboratoire de sécurité sur les services DFS. Depuis, l'UIT et la BICMA envisagent un éventuel programme de transfert de connaissances de l'UIT sur la sécurité des services DFS.</w:t>
      </w:r>
    </w:p>
    <w:p w14:paraId="1F81A399" w14:textId="77777777" w:rsidR="00375269" w:rsidRPr="009E5AB1" w:rsidRDefault="00375269" w:rsidP="00F71BA5">
      <w:pPr>
        <w:pStyle w:val="enumlev1"/>
      </w:pPr>
      <w:r w:rsidRPr="009E5AB1">
        <w:t>–</w:t>
      </w:r>
      <w:r w:rsidRPr="009E5AB1">
        <w:tab/>
        <w:t>À l'issue de ces discussions, le Directeur du TSB et la BICMA ont échangé des courriers les 14 et 22 octobre 2024. La BICMA évalue actuellement la situation des finances de son côté, et une réponse officielle de sa part est attendue.</w:t>
      </w:r>
    </w:p>
    <w:p w14:paraId="4B6DF08F" w14:textId="77777777" w:rsidR="00375269" w:rsidRPr="009E5AB1" w:rsidRDefault="00375269" w:rsidP="00F71BA5">
      <w:pPr>
        <w:pStyle w:val="Heading2"/>
      </w:pPr>
      <w:r w:rsidRPr="009E5AB1">
        <w:t>3.6</w:t>
      </w:r>
      <w:r w:rsidRPr="009E5AB1">
        <w:tab/>
        <w:t>Activités du Bureau régional pour la Communauté des États indépendants (CEI)/Activités dans la région de la CEI</w:t>
      </w:r>
    </w:p>
    <w:p w14:paraId="53B27ED5" w14:textId="60B74556" w:rsidR="00375269" w:rsidRPr="009E5AB1" w:rsidRDefault="00375269" w:rsidP="00650B5F">
      <w:pPr>
        <w:pStyle w:val="Headingb"/>
      </w:pPr>
      <w:r w:rsidRPr="009E5AB1">
        <w:t>Activités liées au BR</w:t>
      </w:r>
    </w:p>
    <w:p w14:paraId="01B885E7" w14:textId="77777777" w:rsidR="00375269" w:rsidRPr="009E5AB1" w:rsidRDefault="00375269" w:rsidP="00F71BA5">
      <w:pPr>
        <w:pStyle w:val="enumlev1"/>
      </w:pPr>
      <w:r w:rsidRPr="009E5AB1">
        <w:t>–</w:t>
      </w:r>
      <w:r w:rsidRPr="009E5AB1">
        <w:tab/>
        <w:t>Un projet de planification des fréquences pour la radiodiffusion audionumérique (DAB) dans la bande de fréquences 174-230 MHz pour l'Arménie, l'Azerbaïdjan et la Géorgie a été lancé.</w:t>
      </w:r>
    </w:p>
    <w:p w14:paraId="1EF59E33" w14:textId="77777777" w:rsidR="00375269" w:rsidRPr="009E5AB1" w:rsidRDefault="00375269" w:rsidP="00F71BA5">
      <w:pPr>
        <w:pStyle w:val="enumlev1"/>
      </w:pPr>
      <w:r w:rsidRPr="009E5AB1">
        <w:t>–</w:t>
      </w:r>
      <w:r w:rsidRPr="009E5AB1">
        <w:tab/>
        <w:t>Une table ronde sur l'interconnexion des technologies VoLTE (voix sur LTE) et les services de voix sur WiFi (VoWiFi) a été organisée à Tachkent (Ouzbékistan), afin d'examiner les aspects techniques et les stratégies de mise en œuvre.</w:t>
      </w:r>
    </w:p>
    <w:p w14:paraId="4FC2D59B" w14:textId="77777777" w:rsidR="00375269" w:rsidRPr="009E5AB1" w:rsidRDefault="00375269" w:rsidP="00F71BA5">
      <w:pPr>
        <w:pStyle w:val="enumlev1"/>
      </w:pPr>
      <w:r w:rsidRPr="009E5AB1">
        <w:lastRenderedPageBreak/>
        <w:t>–</w:t>
      </w:r>
      <w:r w:rsidRPr="009E5AB1">
        <w:tab/>
        <w:t>Le sous-groupe "L'IA au service de l'Initiative EW4All", coordonné et dirigé par l'UIT, vise à étudier, à mettre en œuvre et à développer les applications d'IA à l'appui de l'Initiative EW4All. (La contribution du BR s'est avérée particulièrement pertinente pour les données relatives au spectre/à la propagation.)</w:t>
      </w:r>
    </w:p>
    <w:p w14:paraId="00898C4E" w14:textId="6C1E223C" w:rsidR="00375269" w:rsidRPr="009E5AB1" w:rsidRDefault="00375269" w:rsidP="00F71BA5">
      <w:pPr>
        <w:pStyle w:val="enumlev1"/>
      </w:pPr>
      <w:r w:rsidRPr="009E5AB1">
        <w:t>–</w:t>
      </w:r>
      <w:r w:rsidRPr="009E5AB1">
        <w:tab/>
        <w:t>Un séminaire régional UIT/OMM sur le thème "Observations de la Terre aux fins de la réalisation des Objectifs de développement durable: technologies, spectre, applications et incidences" a été organisé en septembre 2024, conjointement avec le</w:t>
      </w:r>
      <w:r w:rsidR="000C6773" w:rsidRPr="009E5AB1">
        <w:t> </w:t>
      </w:r>
      <w:r w:rsidRPr="009E5AB1">
        <w:t>BR, à Almaty (Kazakhstan). Réunissant plus de 100 spécialistes, cette manifestation s'est tenue en concomitance avec la réunion des Groupes de travail de la Commission</w:t>
      </w:r>
      <w:r w:rsidR="000C6773" w:rsidRPr="009E5AB1">
        <w:t> </w:t>
      </w:r>
      <w:r w:rsidRPr="009E5AB1">
        <w:t>d'études 7 de l'UIT-R.</w:t>
      </w:r>
    </w:p>
    <w:p w14:paraId="37D83C84" w14:textId="77777777" w:rsidR="00375269" w:rsidRPr="009E5AB1" w:rsidRDefault="00375269" w:rsidP="00F71BA5">
      <w:pPr>
        <w:pStyle w:val="enumlev1"/>
      </w:pPr>
      <w:r w:rsidRPr="009E5AB1">
        <w:t>–</w:t>
      </w:r>
      <w:r w:rsidRPr="009E5AB1">
        <w:tab/>
        <w:t>En février 2025, le BDT, conjointement avec Intersputnik et avec la participation d'experts du BR, a organisé un atelier intitulé "Les activités spatiales dans les réalités modernes". Cette manifestation, qui a réuni des acteurs du secteur des communications par satellite et a été très appréciée des participants, a offert une occasion unique d'échanger de bonnes pratiques concernant l'élaboration ou l'amélioration d'une législation nationale relative aux activités spatiales, tout en examinant les enjeux liés aux politiques nationales d'accès aux marchés pour les systèmes à satellites.</w:t>
      </w:r>
    </w:p>
    <w:p w14:paraId="7D9665EC" w14:textId="71EBEF59" w:rsidR="00375269" w:rsidRPr="009E5AB1" w:rsidRDefault="00375269" w:rsidP="00650B5F">
      <w:pPr>
        <w:pStyle w:val="Headingb"/>
      </w:pPr>
      <w:r w:rsidRPr="009E5AB1">
        <w:t>Activités liées au TSB</w:t>
      </w:r>
    </w:p>
    <w:p w14:paraId="0DD10F77" w14:textId="62538DDD" w:rsidR="00375269" w:rsidRPr="009E5AB1" w:rsidRDefault="00375269" w:rsidP="00F71BA5">
      <w:pPr>
        <w:pStyle w:val="enumlev1"/>
      </w:pPr>
      <w:r w:rsidRPr="009E5AB1">
        <w:t>–</w:t>
      </w:r>
      <w:r w:rsidRPr="009E5AB1">
        <w:tab/>
        <w:t xml:space="preserve">Dans le cadre d'activités de sensibilisation, le Bureau régional de la CEI a appuyé l'adoption de </w:t>
      </w:r>
      <w:r w:rsidR="00A04D3D" w:rsidRPr="009E5AB1">
        <w:t>R</w:t>
      </w:r>
      <w:r w:rsidRPr="009E5AB1">
        <w:t>ecommandations et d'indicateurs IFP relatifs aux villes et communautés intelligentes élaborés dans le cadre de l'Initiative "Tous unis pour des villes intelligentes et durables" (U4SSC).</w:t>
      </w:r>
    </w:p>
    <w:p w14:paraId="284AFE1B" w14:textId="77777777" w:rsidR="00375269" w:rsidRPr="009E5AB1" w:rsidRDefault="00375269" w:rsidP="00F71BA5">
      <w:pPr>
        <w:pStyle w:val="enumlev1"/>
      </w:pPr>
      <w:r w:rsidRPr="009E5AB1">
        <w:t>–</w:t>
      </w:r>
      <w:r w:rsidRPr="009E5AB1">
        <w:tab/>
        <w:t>Les préparatifs se poursuivent conjointement avec le TSB pour le Forum régional de l'UIT sur le thème "Technologies de demain: intelligence artificielle, métavers, holographie et autres applications et services TIC. Vision 2030", qui se tiendra du 9 au 11 juin 2025 à Saint-Pétersbourg (Fédération de Russie). Le Forum se tiendra juste avant ou juste après les réunions des groupes régionaux des Commissions d'études 11, 13 et 20 de l'UIT-T.</w:t>
      </w:r>
    </w:p>
    <w:p w14:paraId="60031C49" w14:textId="77777777" w:rsidR="00375269" w:rsidRPr="009E5AB1" w:rsidRDefault="00375269" w:rsidP="00F71BA5">
      <w:pPr>
        <w:pStyle w:val="Heading2"/>
      </w:pPr>
      <w:r w:rsidRPr="009E5AB1">
        <w:t>3.7</w:t>
      </w:r>
      <w:r w:rsidRPr="009E5AB1">
        <w:tab/>
        <w:t>Bureau de l'UIT pour l'Europe/Activités pour la région Europe</w:t>
      </w:r>
    </w:p>
    <w:p w14:paraId="72610B7C" w14:textId="034A13E2" w:rsidR="00375269" w:rsidRPr="009E5AB1" w:rsidRDefault="00375269" w:rsidP="00650B5F">
      <w:pPr>
        <w:pStyle w:val="Headingb"/>
      </w:pPr>
      <w:r w:rsidRPr="009E5AB1">
        <w:t>Activités liées au BR</w:t>
      </w:r>
    </w:p>
    <w:p w14:paraId="100294A1" w14:textId="587883C8" w:rsidR="00375269" w:rsidRPr="009E5AB1" w:rsidRDefault="00375269" w:rsidP="00F71BA5">
      <w:pPr>
        <w:pStyle w:val="enumlev1"/>
      </w:pPr>
      <w:r w:rsidRPr="009E5AB1">
        <w:t>–</w:t>
      </w:r>
      <w:r w:rsidRPr="009E5AB1">
        <w:tab/>
        <w:t>Une séance d'information à l'intention du Groupe de travail du Conseil de l'Union européenne (UE) sur les télécommunications et la société de l'information sur les questions liées au BR a été organisée le 27 mars 2025 à Bruxelles.</w:t>
      </w:r>
    </w:p>
    <w:p w14:paraId="4E0C8C46" w14:textId="77777777" w:rsidR="00375269" w:rsidRPr="009E5AB1" w:rsidRDefault="00375269" w:rsidP="00F71BA5">
      <w:pPr>
        <w:pStyle w:val="enumlev1"/>
      </w:pPr>
      <w:r w:rsidRPr="009E5AB1">
        <w:t>–</w:t>
      </w:r>
      <w:r w:rsidRPr="009E5AB1">
        <w:tab/>
        <w:t>Des experts du BR ont contribué à fournir une assistance technique à l'Ukraine, conformément à la Résolution 1408 du Conseil de l'UIT. Il s'agissait notamment d'apporter un appui spécialisé pour l'évaluation technique des stations de radiodiffusion, d'organiser un atelier spécial en ligne sur le spectre à l'intention des fonctionnaires ukrainiens, ainsi que l'atelier UIT-CE sur l'assistance technique et l'échange d'informations (TAIEX), qui s'est tenu en décembre 2024, à Varsovie (Pologne).</w:t>
      </w:r>
    </w:p>
    <w:p w14:paraId="526E4494" w14:textId="4BE983F7" w:rsidR="00375269" w:rsidRPr="009E5AB1" w:rsidRDefault="00375269" w:rsidP="00F71BA5">
      <w:pPr>
        <w:pStyle w:val="enumlev1"/>
      </w:pPr>
      <w:r w:rsidRPr="009E5AB1">
        <w:t>–</w:t>
      </w:r>
      <w:r w:rsidRPr="009E5AB1">
        <w:tab/>
        <w:t>Des experts du BR ont apporté leur contribution aux ateliers du Réseau des régulateurs des communications électroniques du partenariat oriental (EaPeReg), ce qui a permis de renforcer davantage la coopération entre l'UIT et les membres du Réseau EaPeReg.</w:t>
      </w:r>
    </w:p>
    <w:p w14:paraId="6B49B1DD" w14:textId="22647376" w:rsidR="00375269" w:rsidRPr="009E5AB1" w:rsidRDefault="00375269" w:rsidP="00F71BA5">
      <w:pPr>
        <w:pStyle w:val="enumlev1"/>
      </w:pPr>
      <w:r w:rsidRPr="009E5AB1">
        <w:t>–</w:t>
      </w:r>
      <w:r w:rsidRPr="009E5AB1">
        <w:tab/>
        <w:t>Un séminaire régional des radiocommunications de l'UIT pour l'Europe est prévu en février 2026 afin de renforcer encore les capacités humaines des pays européens.</w:t>
      </w:r>
    </w:p>
    <w:p w14:paraId="05394BCC" w14:textId="77777777" w:rsidR="00375269" w:rsidRPr="009E5AB1" w:rsidRDefault="00375269" w:rsidP="00650B5F">
      <w:pPr>
        <w:pStyle w:val="Headingb"/>
      </w:pPr>
      <w:r w:rsidRPr="009E5AB1">
        <w:lastRenderedPageBreak/>
        <w:t>Activités liées au TSB</w:t>
      </w:r>
    </w:p>
    <w:p w14:paraId="021D82CA" w14:textId="77777777" w:rsidR="00375269" w:rsidRPr="009E5AB1" w:rsidRDefault="00375269" w:rsidP="00F71BA5">
      <w:pPr>
        <w:pStyle w:val="enumlev1"/>
      </w:pPr>
      <w:r w:rsidRPr="009E5AB1">
        <w:t>–</w:t>
      </w:r>
      <w:r w:rsidRPr="009E5AB1">
        <w:tab/>
        <w:t>Un atelier sur l'avenir de la télévision en Europe, organisé en coopération avec le BR et le TSB, a eu lieu en novembre 2024.</w:t>
      </w:r>
    </w:p>
    <w:p w14:paraId="412F4345" w14:textId="73E4280B" w:rsidR="00375269" w:rsidRPr="009E5AB1" w:rsidRDefault="00375269" w:rsidP="00F71BA5">
      <w:pPr>
        <w:pStyle w:val="enumlev1"/>
      </w:pPr>
      <w:r w:rsidRPr="009E5AB1">
        <w:t>–</w:t>
      </w:r>
      <w:r w:rsidRPr="009E5AB1">
        <w:tab/>
        <w:t>Un atelier de synchronisation entre le TSB et la Commission européenne a été organisé le 19 février 2025 à Bruxelles, afin de déterminer les domaines où il serait possible de renforcer la coopération.</w:t>
      </w:r>
    </w:p>
    <w:p w14:paraId="4D347746" w14:textId="02AE4D9D" w:rsidR="00375269" w:rsidRPr="009E5AB1" w:rsidRDefault="00375269" w:rsidP="00F71BA5">
      <w:pPr>
        <w:pStyle w:val="enumlev1"/>
      </w:pPr>
      <w:r w:rsidRPr="009E5AB1">
        <w:t>–</w:t>
      </w:r>
      <w:r w:rsidRPr="009E5AB1">
        <w:tab/>
        <w:t>Une séance d'information à l'intention du Groupe de travail du Conseil de l'UE sur les télécommunications et la société de l'information sur les questions liées au TSB a été organisée le 20 février 2025 à Bruxelles.</w:t>
      </w:r>
    </w:p>
    <w:p w14:paraId="70D094AA" w14:textId="77777777" w:rsidR="00375269" w:rsidRPr="009E5AB1" w:rsidRDefault="00375269" w:rsidP="00F71BA5">
      <w:pPr>
        <w:pStyle w:val="Heading2"/>
      </w:pPr>
      <w:r w:rsidRPr="009E5AB1">
        <w:t>3.8</w:t>
      </w:r>
      <w:r w:rsidRPr="009E5AB1">
        <w:tab/>
        <w:t>Coordination interrégionale</w:t>
      </w:r>
    </w:p>
    <w:p w14:paraId="0CE42E9A" w14:textId="77777777" w:rsidR="00375269" w:rsidRPr="009E5AB1" w:rsidRDefault="00375269" w:rsidP="00650B5F">
      <w:pPr>
        <w:pStyle w:val="Headingb"/>
      </w:pPr>
      <w:r w:rsidRPr="009E5AB1">
        <w:t>Activités liées au BR</w:t>
      </w:r>
    </w:p>
    <w:p w14:paraId="28DC92B4" w14:textId="65415389" w:rsidR="00375269" w:rsidRPr="009E5AB1" w:rsidRDefault="00375269" w:rsidP="00E55689">
      <w:pPr>
        <w:jc w:val="both"/>
      </w:pPr>
      <w:r w:rsidRPr="009E5AB1">
        <w:t>Des équipements de télécommunication d'urgence par satellite ont été positionnés au préalable et de manière stratégique dans les pays suivants: Dubaï (pour couvrir la région des États arabes, ainsi que l'Afrique et l'Asie-Pacifique), Zimbabwe (pour desservir les États</w:t>
      </w:r>
      <w:r w:rsidR="00CB50DE" w:rsidRPr="009E5AB1">
        <w:t> </w:t>
      </w:r>
      <w:r w:rsidR="00A04D3D" w:rsidRPr="009E5AB1">
        <w:t>M</w:t>
      </w:r>
      <w:r w:rsidRPr="009E5AB1">
        <w:t>embres de la SADC) et la Barbade (pour desservir la région des Amériques et les Caraïbes).</w:t>
      </w:r>
    </w:p>
    <w:p w14:paraId="30F4C52E" w14:textId="77777777" w:rsidR="00375269" w:rsidRPr="009E5AB1" w:rsidRDefault="00375269" w:rsidP="00650B5F">
      <w:pPr>
        <w:pStyle w:val="Headingb"/>
      </w:pPr>
      <w:r w:rsidRPr="009E5AB1">
        <w:t>Activités liées au TSB</w:t>
      </w:r>
    </w:p>
    <w:p w14:paraId="393D3B9F" w14:textId="508C56A0" w:rsidR="00375269" w:rsidRDefault="00375269" w:rsidP="00E55689">
      <w:pPr>
        <w:jc w:val="both"/>
      </w:pPr>
      <w:r w:rsidRPr="009E5AB1">
        <w:t>En tant que membre du groupe sur l'IA au service de l'Initiative EW4All, l'UIT élabore actuellement un catalogue de solutions fondées sur l'IA. Il s'agit d'un répertoire en ligne d'outils d'IA présentant un intérêt pour les systèmes d'alerte avancée. Des membres de l'équipe du BDT sont également intervenus à l'occasion du Colloque du TSB sur les TIC, l'environnement, les changements climatiques et l'économie circulaire, qui s'est tenu en mai</w:t>
      </w:r>
      <w:r w:rsidR="00CB50DE" w:rsidRPr="009E5AB1">
        <w:t> </w:t>
      </w:r>
      <w:r w:rsidRPr="009E5AB1">
        <w:t>2024.</w:t>
      </w:r>
    </w:p>
    <w:p w14:paraId="18B36B0D" w14:textId="77777777" w:rsidR="00E55689" w:rsidRPr="009E5AB1" w:rsidRDefault="00E55689" w:rsidP="00E55689">
      <w:pPr>
        <w:jc w:val="both"/>
      </w:pPr>
    </w:p>
    <w:p w14:paraId="63700421" w14:textId="77777777" w:rsidR="00375269" w:rsidRPr="009E5AB1" w:rsidRDefault="00375269">
      <w:pPr>
        <w:jc w:val="center"/>
      </w:pPr>
      <w:r w:rsidRPr="009E5AB1">
        <w:t>______________</w:t>
      </w:r>
    </w:p>
    <w:sectPr w:rsidR="00375269" w:rsidRPr="009E5AB1" w:rsidSect="00D72F49">
      <w:headerReference w:type="even" r:id="rId42"/>
      <w:footerReference w:type="even" r:id="rId43"/>
      <w:footerReference w:type="default" r:id="rId44"/>
      <w:headerReference w:type="first" r:id="rId45"/>
      <w:footerReference w:type="first" r:id="rId46"/>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4286" w14:textId="77777777" w:rsidR="00C5289D" w:rsidRDefault="00C5289D">
      <w:r>
        <w:separator/>
      </w:r>
    </w:p>
  </w:endnote>
  <w:endnote w:type="continuationSeparator" w:id="0">
    <w:p w14:paraId="3C71220B" w14:textId="77777777" w:rsidR="00C5289D" w:rsidRDefault="00C5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7D4B" w14:textId="03B48410" w:rsidR="00732045" w:rsidRPr="001570C9" w:rsidRDefault="00C5289D">
    <w:pPr>
      <w:pStyle w:val="Footer"/>
      <w:rPr>
        <w:lang w:val="en-US"/>
      </w:rPr>
    </w:pPr>
    <w:r>
      <w:fldChar w:fldCharType="begin"/>
    </w:r>
    <w:r w:rsidRPr="001570C9">
      <w:rPr>
        <w:lang w:val="en-US"/>
      </w:rPr>
      <w:instrText xml:space="preserve"> FILENAME \p \* MERGEFORMAT </w:instrText>
    </w:r>
    <w:r>
      <w:fldChar w:fldCharType="separate"/>
    </w:r>
    <w:r w:rsidR="009E5AB1">
      <w:rPr>
        <w:lang w:val="en-US"/>
      </w:rPr>
      <w:t>P:\FRA\gDoc\SG\C25\2501304F.docx</w:t>
    </w:r>
    <w:r>
      <w:fldChar w:fldCharType="end"/>
    </w:r>
    <w:r w:rsidR="00732045" w:rsidRPr="001570C9">
      <w:rPr>
        <w:lang w:val="en-US"/>
      </w:rPr>
      <w:tab/>
    </w:r>
    <w:r w:rsidR="002F1B76">
      <w:fldChar w:fldCharType="begin"/>
    </w:r>
    <w:r w:rsidR="00732045">
      <w:instrText xml:space="preserve"> savedate \@ dd.MM.yy </w:instrText>
    </w:r>
    <w:r w:rsidR="002F1B76">
      <w:fldChar w:fldCharType="separate"/>
    </w:r>
    <w:r w:rsidR="0092698B">
      <w:t>03.06.25</w:t>
    </w:r>
    <w:r w:rsidR="002F1B76">
      <w:fldChar w:fldCharType="end"/>
    </w:r>
    <w:r w:rsidR="00732045" w:rsidRPr="001570C9">
      <w:rPr>
        <w:lang w:val="en-US"/>
      </w:rPr>
      <w:tab/>
    </w:r>
    <w:r w:rsidR="002F1B76">
      <w:fldChar w:fldCharType="begin"/>
    </w:r>
    <w:r w:rsidR="00732045">
      <w:instrText xml:space="preserve"> printdate \@ dd.MM.yy </w:instrText>
    </w:r>
    <w:r w:rsidR="002F1B76">
      <w:fldChar w:fldCharType="separate"/>
    </w:r>
    <w:r w:rsidR="009E5AB1">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1B2D2B4" w14:textId="77777777" w:rsidTr="00E31DCE">
      <w:trPr>
        <w:jc w:val="center"/>
      </w:trPr>
      <w:tc>
        <w:tcPr>
          <w:tcW w:w="1803" w:type="dxa"/>
          <w:vAlign w:val="center"/>
        </w:tcPr>
        <w:p w14:paraId="7D932DB2" w14:textId="3BF3638C" w:rsidR="00A51849" w:rsidRDefault="005D1AA2" w:rsidP="00A51849">
          <w:pPr>
            <w:pStyle w:val="Header"/>
            <w:jc w:val="left"/>
            <w:rPr>
              <w:noProof/>
            </w:rPr>
          </w:pPr>
          <w:r>
            <w:rPr>
              <w:noProof/>
            </w:rPr>
            <w:t>2501</w:t>
          </w:r>
          <w:r w:rsidR="001C3A3E">
            <w:rPr>
              <w:noProof/>
            </w:rPr>
            <w:t>304</w:t>
          </w:r>
        </w:p>
      </w:tc>
      <w:tc>
        <w:tcPr>
          <w:tcW w:w="8261" w:type="dxa"/>
        </w:tcPr>
        <w:p w14:paraId="124D11DC" w14:textId="2D4F55D0" w:rsidR="00A51849" w:rsidRPr="00E06FD5" w:rsidRDefault="00A51849" w:rsidP="001570C9">
          <w:pPr>
            <w:pStyle w:val="Header"/>
            <w:tabs>
              <w:tab w:val="left" w:pos="6589"/>
              <w:tab w:val="right" w:pos="8505"/>
              <w:tab w:val="right" w:pos="9639"/>
            </w:tabs>
            <w:jc w:val="left"/>
            <w:rPr>
              <w:rFonts w:ascii="Arial" w:hAnsi="Arial" w:cs="Arial"/>
              <w:b/>
              <w:bCs/>
              <w:szCs w:val="18"/>
            </w:rPr>
          </w:pPr>
          <w:r>
            <w:rPr>
              <w:bCs/>
            </w:rPr>
            <w:tab/>
          </w:r>
          <w:r w:rsidR="001C3A3E" w:rsidRPr="00623AE3">
            <w:rPr>
              <w:bCs/>
            </w:rPr>
            <w:t>C</w:t>
          </w:r>
          <w:r w:rsidR="001C3A3E">
            <w:rPr>
              <w:bCs/>
            </w:rPr>
            <w:t>25</w:t>
          </w:r>
          <w:r w:rsidR="001C3A3E" w:rsidRPr="00623AE3">
            <w:rPr>
              <w:bCs/>
            </w:rPr>
            <w:t>/</w:t>
          </w:r>
          <w:r w:rsidR="001C3A3E">
            <w:rPr>
              <w:bCs/>
            </w:rPr>
            <w:t>25(Rév.1)-F</w:t>
          </w:r>
          <w:r>
            <w:rPr>
              <w:bCs/>
            </w:rPr>
            <w:tab/>
          </w:r>
          <w:r>
            <w:fldChar w:fldCharType="begin"/>
          </w:r>
          <w:r>
            <w:instrText>PAGE</w:instrText>
          </w:r>
          <w:r>
            <w:fldChar w:fldCharType="separate"/>
          </w:r>
          <w:r>
            <w:t>1</w:t>
          </w:r>
          <w:r>
            <w:rPr>
              <w:noProof/>
            </w:rPr>
            <w:fldChar w:fldCharType="end"/>
          </w:r>
        </w:p>
      </w:tc>
    </w:tr>
  </w:tbl>
  <w:p w14:paraId="344A1C8E"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0AC656D" w14:textId="77777777" w:rsidTr="00E31DCE">
      <w:trPr>
        <w:jc w:val="center"/>
      </w:trPr>
      <w:tc>
        <w:tcPr>
          <w:tcW w:w="1803" w:type="dxa"/>
          <w:vAlign w:val="center"/>
        </w:tcPr>
        <w:p w14:paraId="72249B1B"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015F50D3" w14:textId="33847CC4" w:rsidR="00A51849" w:rsidRPr="00E06FD5" w:rsidRDefault="00A51849" w:rsidP="001570C9">
          <w:pPr>
            <w:pStyle w:val="Header"/>
            <w:tabs>
              <w:tab w:val="left" w:pos="6589"/>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5D1AA2">
            <w:rPr>
              <w:bCs/>
            </w:rPr>
            <w:t>25</w:t>
          </w:r>
          <w:r w:rsidR="001C3A3E">
            <w:rPr>
              <w:bCs/>
            </w:rPr>
            <w:t>(Rév.1)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0BBD7F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9640" w14:textId="77777777" w:rsidR="00C5289D" w:rsidRDefault="00C5289D">
      <w:r>
        <w:t>____________________</w:t>
      </w:r>
    </w:p>
  </w:footnote>
  <w:footnote w:type="continuationSeparator" w:id="0">
    <w:p w14:paraId="370C7260" w14:textId="77777777" w:rsidR="00C5289D" w:rsidRDefault="00C5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33B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9FE4CF9"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33D1568C" w14:textId="77777777" w:rsidTr="00D37B53">
      <w:trPr>
        <w:trHeight w:val="1104"/>
        <w:jc w:val="center"/>
      </w:trPr>
      <w:tc>
        <w:tcPr>
          <w:tcW w:w="5317" w:type="dxa"/>
          <w:vAlign w:val="center"/>
        </w:tcPr>
        <w:p w14:paraId="3125562F"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0E60026" wp14:editId="52A07876">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006813EF" w14:textId="77777777" w:rsidR="00524E8D" w:rsidRDefault="00524E8D" w:rsidP="00A51849">
          <w:pPr>
            <w:pStyle w:val="Header"/>
            <w:jc w:val="right"/>
            <w:rPr>
              <w:rFonts w:ascii="Arial" w:hAnsi="Arial" w:cs="Arial"/>
              <w:b/>
              <w:bCs/>
              <w:color w:val="009CD6"/>
              <w:szCs w:val="18"/>
            </w:rPr>
          </w:pPr>
        </w:p>
      </w:tc>
    </w:tr>
  </w:tbl>
  <w:p w14:paraId="00F1FE79"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13A2BB8" wp14:editId="5FAC1E6A">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D0085"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9D"/>
    <w:rsid w:val="00044F41"/>
    <w:rsid w:val="000736A3"/>
    <w:rsid w:val="00076A2C"/>
    <w:rsid w:val="000C6773"/>
    <w:rsid w:val="000D0D0A"/>
    <w:rsid w:val="00103163"/>
    <w:rsid w:val="00106B19"/>
    <w:rsid w:val="001133EF"/>
    <w:rsid w:val="00115D93"/>
    <w:rsid w:val="001247A8"/>
    <w:rsid w:val="001370B2"/>
    <w:rsid w:val="001378C0"/>
    <w:rsid w:val="001570C9"/>
    <w:rsid w:val="0018694A"/>
    <w:rsid w:val="001958D1"/>
    <w:rsid w:val="001A3287"/>
    <w:rsid w:val="001A6508"/>
    <w:rsid w:val="001C3A3E"/>
    <w:rsid w:val="001D4C31"/>
    <w:rsid w:val="001E4D21"/>
    <w:rsid w:val="001E4E02"/>
    <w:rsid w:val="00207CD1"/>
    <w:rsid w:val="00226657"/>
    <w:rsid w:val="002477A2"/>
    <w:rsid w:val="002629C4"/>
    <w:rsid w:val="00263A51"/>
    <w:rsid w:val="00267E02"/>
    <w:rsid w:val="00282635"/>
    <w:rsid w:val="002918CE"/>
    <w:rsid w:val="002A5D44"/>
    <w:rsid w:val="002C060B"/>
    <w:rsid w:val="002C15F6"/>
    <w:rsid w:val="002C3F32"/>
    <w:rsid w:val="002C4E3D"/>
    <w:rsid w:val="002D1FEF"/>
    <w:rsid w:val="002E0BC4"/>
    <w:rsid w:val="002F1B76"/>
    <w:rsid w:val="003232EF"/>
    <w:rsid w:val="0033568E"/>
    <w:rsid w:val="00355FF5"/>
    <w:rsid w:val="00361350"/>
    <w:rsid w:val="00375269"/>
    <w:rsid w:val="003A38A0"/>
    <w:rsid w:val="003C3FAE"/>
    <w:rsid w:val="003D5A1E"/>
    <w:rsid w:val="003D79FB"/>
    <w:rsid w:val="004038CB"/>
    <w:rsid w:val="0040546F"/>
    <w:rsid w:val="004177BD"/>
    <w:rsid w:val="0042404A"/>
    <w:rsid w:val="0044618F"/>
    <w:rsid w:val="00451174"/>
    <w:rsid w:val="0046769A"/>
    <w:rsid w:val="00475FB3"/>
    <w:rsid w:val="004B374A"/>
    <w:rsid w:val="004C37A9"/>
    <w:rsid w:val="004D1D50"/>
    <w:rsid w:val="004E4F14"/>
    <w:rsid w:val="004F259E"/>
    <w:rsid w:val="004F4200"/>
    <w:rsid w:val="00504BD6"/>
    <w:rsid w:val="00511F1D"/>
    <w:rsid w:val="00520F36"/>
    <w:rsid w:val="00524E8D"/>
    <w:rsid w:val="00534E13"/>
    <w:rsid w:val="00535C54"/>
    <w:rsid w:val="00540615"/>
    <w:rsid w:val="00540A6D"/>
    <w:rsid w:val="00566679"/>
    <w:rsid w:val="00571EEA"/>
    <w:rsid w:val="00575417"/>
    <w:rsid w:val="005768E1"/>
    <w:rsid w:val="005B1938"/>
    <w:rsid w:val="005C3890"/>
    <w:rsid w:val="005D1AA2"/>
    <w:rsid w:val="005F7BFE"/>
    <w:rsid w:val="00600017"/>
    <w:rsid w:val="006235CA"/>
    <w:rsid w:val="0062366E"/>
    <w:rsid w:val="00650B5F"/>
    <w:rsid w:val="006643AB"/>
    <w:rsid w:val="006679F9"/>
    <w:rsid w:val="006A11AE"/>
    <w:rsid w:val="006F0A53"/>
    <w:rsid w:val="007210CD"/>
    <w:rsid w:val="00732045"/>
    <w:rsid w:val="0073275D"/>
    <w:rsid w:val="007369DB"/>
    <w:rsid w:val="0073762E"/>
    <w:rsid w:val="0077110E"/>
    <w:rsid w:val="007816E8"/>
    <w:rsid w:val="007956C2"/>
    <w:rsid w:val="007A187E"/>
    <w:rsid w:val="007C72C2"/>
    <w:rsid w:val="007D4436"/>
    <w:rsid w:val="007F257A"/>
    <w:rsid w:val="007F3665"/>
    <w:rsid w:val="00800037"/>
    <w:rsid w:val="0082299A"/>
    <w:rsid w:val="0083391C"/>
    <w:rsid w:val="00836083"/>
    <w:rsid w:val="00861D73"/>
    <w:rsid w:val="00882919"/>
    <w:rsid w:val="00884562"/>
    <w:rsid w:val="00896EF9"/>
    <w:rsid w:val="00897553"/>
    <w:rsid w:val="008A4E87"/>
    <w:rsid w:val="008C0FB0"/>
    <w:rsid w:val="008D514E"/>
    <w:rsid w:val="008D76E6"/>
    <w:rsid w:val="009149DE"/>
    <w:rsid w:val="0092392D"/>
    <w:rsid w:val="0092698B"/>
    <w:rsid w:val="0093234A"/>
    <w:rsid w:val="00933535"/>
    <w:rsid w:val="00937FB7"/>
    <w:rsid w:val="00956A78"/>
    <w:rsid w:val="0097363B"/>
    <w:rsid w:val="00973F53"/>
    <w:rsid w:val="009A6BAA"/>
    <w:rsid w:val="009C307F"/>
    <w:rsid w:val="009C353C"/>
    <w:rsid w:val="009E5AB1"/>
    <w:rsid w:val="009F0FB8"/>
    <w:rsid w:val="00A04D3D"/>
    <w:rsid w:val="00A2113E"/>
    <w:rsid w:val="00A23A51"/>
    <w:rsid w:val="00A24607"/>
    <w:rsid w:val="00A25CD3"/>
    <w:rsid w:val="00A51849"/>
    <w:rsid w:val="00A709FE"/>
    <w:rsid w:val="00A73C60"/>
    <w:rsid w:val="00A82767"/>
    <w:rsid w:val="00A946F3"/>
    <w:rsid w:val="00AA332F"/>
    <w:rsid w:val="00AA7BBB"/>
    <w:rsid w:val="00AB64A8"/>
    <w:rsid w:val="00AC0266"/>
    <w:rsid w:val="00AD24EC"/>
    <w:rsid w:val="00AD593C"/>
    <w:rsid w:val="00B27B00"/>
    <w:rsid w:val="00B309F9"/>
    <w:rsid w:val="00B32B60"/>
    <w:rsid w:val="00B40B44"/>
    <w:rsid w:val="00B51005"/>
    <w:rsid w:val="00B601DA"/>
    <w:rsid w:val="00B61619"/>
    <w:rsid w:val="00BB4545"/>
    <w:rsid w:val="00BC6883"/>
    <w:rsid w:val="00BD5873"/>
    <w:rsid w:val="00BF4B60"/>
    <w:rsid w:val="00C049D7"/>
    <w:rsid w:val="00C04BE3"/>
    <w:rsid w:val="00C25D29"/>
    <w:rsid w:val="00C27A7C"/>
    <w:rsid w:val="00C42437"/>
    <w:rsid w:val="00C43911"/>
    <w:rsid w:val="00C5289D"/>
    <w:rsid w:val="00C95F97"/>
    <w:rsid w:val="00CA08ED"/>
    <w:rsid w:val="00CB50DE"/>
    <w:rsid w:val="00CC6EAA"/>
    <w:rsid w:val="00CF085D"/>
    <w:rsid w:val="00CF183B"/>
    <w:rsid w:val="00D375CD"/>
    <w:rsid w:val="00D37B53"/>
    <w:rsid w:val="00D41FBB"/>
    <w:rsid w:val="00D553A2"/>
    <w:rsid w:val="00D72F49"/>
    <w:rsid w:val="00D774D3"/>
    <w:rsid w:val="00D904E8"/>
    <w:rsid w:val="00DA08C3"/>
    <w:rsid w:val="00DB5A3E"/>
    <w:rsid w:val="00DC22AA"/>
    <w:rsid w:val="00DD1A99"/>
    <w:rsid w:val="00DF74DD"/>
    <w:rsid w:val="00E25AD0"/>
    <w:rsid w:val="00E4428F"/>
    <w:rsid w:val="00E47427"/>
    <w:rsid w:val="00E55689"/>
    <w:rsid w:val="00E9191C"/>
    <w:rsid w:val="00E93668"/>
    <w:rsid w:val="00E95647"/>
    <w:rsid w:val="00EB6350"/>
    <w:rsid w:val="00EC53FB"/>
    <w:rsid w:val="00F07A51"/>
    <w:rsid w:val="00F15B57"/>
    <w:rsid w:val="00F35EF4"/>
    <w:rsid w:val="00F37FE5"/>
    <w:rsid w:val="00F427DB"/>
    <w:rsid w:val="00F71BA5"/>
    <w:rsid w:val="00FA4BFF"/>
    <w:rsid w:val="00FA5EB1"/>
    <w:rsid w:val="00FA7439"/>
    <w:rsid w:val="00FC4EC0"/>
    <w:rsid w:val="00FC6D7D"/>
    <w:rsid w:val="00FE32D6"/>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3EA9A"/>
  <w15:docId w15:val="{949022DC-66C3-451B-9756-FC2BD86E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650B5F"/>
    <w:pPr>
      <w:keepNext/>
      <w:keepLines/>
      <w:spacing w:before="240"/>
      <w:ind w:left="567" w:hanging="567"/>
      <w:outlineLvl w:val="0"/>
    </w:pPr>
    <w:rPr>
      <w:b/>
      <w:sz w:val="28"/>
    </w:rPr>
  </w:style>
  <w:style w:type="paragraph" w:styleId="Heading2">
    <w:name w:val="heading 2"/>
    <w:basedOn w:val="Heading1"/>
    <w:next w:val="Normal"/>
    <w:qFormat/>
    <w:rsid w:val="00F71BA5"/>
    <w:pPr>
      <w:spacing w:before="20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F71BA5"/>
    <w:pPr>
      <w:spacing w:before="80"/>
      <w:ind w:left="567" w:hanging="567"/>
      <w:jc w:val="both"/>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650B5F"/>
    <w:pPr>
      <w:keepNext/>
      <w:spacing w:before="48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884562"/>
    <w:pPr>
      <w:tabs>
        <w:tab w:val="clear" w:pos="567"/>
        <w:tab w:val="clear" w:pos="1134"/>
        <w:tab w:val="clear" w:pos="1701"/>
        <w:tab w:val="clear" w:pos="2268"/>
        <w:tab w:val="clear" w:pos="2835"/>
      </w:tabs>
      <w:spacing w:before="40" w:after="40"/>
    </w:pPr>
    <w:rPr>
      <w:rFonts w:eastAsiaTheme="minorHAnsi" w:cstheme="minorBidi"/>
      <w:sz w:val="22"/>
      <w:szCs w:val="22"/>
    </w:rPr>
  </w:style>
  <w:style w:type="paragraph" w:customStyle="1" w:styleId="Tablehead">
    <w:name w:val="Table_head"/>
    <w:basedOn w:val="Tabletext"/>
    <w:rsid w:val="00F71BA5"/>
    <w:pPr>
      <w:keepNext/>
      <w:keepLines/>
      <w:spacing w:before="80" w:after="8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styleId="CommentReference">
    <w:name w:val="annotation reference"/>
    <w:basedOn w:val="DefaultParagraphFont"/>
    <w:semiHidden/>
    <w:unhideWhenUsed/>
    <w:rsid w:val="00C43911"/>
    <w:rPr>
      <w:sz w:val="16"/>
      <w:szCs w:val="16"/>
    </w:rPr>
  </w:style>
  <w:style w:type="paragraph" w:styleId="CommentText">
    <w:name w:val="annotation text"/>
    <w:basedOn w:val="Normal"/>
    <w:link w:val="CommentTextChar"/>
    <w:unhideWhenUsed/>
    <w:rsid w:val="00C43911"/>
    <w:rPr>
      <w:sz w:val="20"/>
    </w:rPr>
  </w:style>
  <w:style w:type="character" w:customStyle="1" w:styleId="CommentTextChar">
    <w:name w:val="Comment Text Char"/>
    <w:basedOn w:val="DefaultParagraphFont"/>
    <w:link w:val="CommentText"/>
    <w:rsid w:val="00C43911"/>
    <w:rPr>
      <w:rFonts w:ascii="Calibri" w:hAnsi="Calibri"/>
      <w:lang w:val="fr-FR" w:eastAsia="en-US"/>
    </w:rPr>
  </w:style>
  <w:style w:type="paragraph" w:styleId="CommentSubject">
    <w:name w:val="annotation subject"/>
    <w:basedOn w:val="CommentText"/>
    <w:next w:val="CommentText"/>
    <w:link w:val="CommentSubjectChar"/>
    <w:semiHidden/>
    <w:unhideWhenUsed/>
    <w:rsid w:val="00C43911"/>
    <w:rPr>
      <w:b/>
      <w:bCs/>
    </w:rPr>
  </w:style>
  <w:style w:type="character" w:customStyle="1" w:styleId="CommentSubjectChar">
    <w:name w:val="Comment Subject Char"/>
    <w:basedOn w:val="CommentTextChar"/>
    <w:link w:val="CommentSubject"/>
    <w:semiHidden/>
    <w:rsid w:val="00C43911"/>
    <w:rPr>
      <w:rFonts w:ascii="Calibri" w:hAnsi="Calibri"/>
      <w:b/>
      <w:bCs/>
      <w:lang w:val="fr-FR" w:eastAsia="en-US"/>
    </w:rPr>
  </w:style>
  <w:style w:type="paragraph" w:customStyle="1" w:styleId="Tablefin">
    <w:name w:val="Table_fin"/>
    <w:basedOn w:val="Tabletext"/>
    <w:rsid w:val="00451174"/>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d/meetings/wtdc25/rpm/arb/home/" TargetMode="External"/><Relationship Id="rId18" Type="http://schemas.openxmlformats.org/officeDocument/2006/relationships/hyperlink" Target="https://www.itu.int/md/D22-RPMEUR-C-0030/fr" TargetMode="External"/><Relationship Id="rId26" Type="http://schemas.openxmlformats.org/officeDocument/2006/relationships/hyperlink" Target="https://www.itu.int/md/D22-RPMAMS-C-0021/fr" TargetMode="External"/><Relationship Id="rId39" Type="http://schemas.openxmlformats.org/officeDocument/2006/relationships/hyperlink" Target="https://www.itu.int/md/D22-TDAG32-C-0002/fr" TargetMode="External"/><Relationship Id="rId21" Type="http://schemas.openxmlformats.org/officeDocument/2006/relationships/hyperlink" Target="https://www.itu.int/itu-d/meetings/wtdc25/rpm/asp/home/" TargetMode="External"/><Relationship Id="rId34" Type="http://schemas.openxmlformats.org/officeDocument/2006/relationships/hyperlink" Target="https://www.itu.int/md/D22-RPMCIS-C-0018/fr"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www.itu.int/en/council/Documents/basic-texts-2023/RES-025-f.pdf" TargetMode="External"/><Relationship Id="rId2" Type="http://schemas.openxmlformats.org/officeDocument/2006/relationships/settings" Target="settings.xml"/><Relationship Id="rId16" Type="http://schemas.openxmlformats.org/officeDocument/2006/relationships/hyperlink" Target="https://www.itu.int/itu-d/meetings/rdf/eur/home/" TargetMode="External"/><Relationship Id="rId29" Type="http://schemas.openxmlformats.org/officeDocument/2006/relationships/hyperlink" Target="https://www.itu.int/itu-d/meetings/wtdc25/rpm/afr/home/" TargetMode="External"/><Relationship Id="rId1" Type="http://schemas.openxmlformats.org/officeDocument/2006/relationships/styles" Target="styles.xml"/><Relationship Id="rId6" Type="http://schemas.openxmlformats.org/officeDocument/2006/relationships/hyperlink" Target="https://www.itu.int/en/council/Documents/basic-texts/RES-025-F.pdf" TargetMode="External"/><Relationship Id="rId11" Type="http://schemas.openxmlformats.org/officeDocument/2006/relationships/hyperlink" Target="https://www.itu.int/md/D22-TDAG31-C-0002/fr" TargetMode="External"/><Relationship Id="rId24" Type="http://schemas.openxmlformats.org/officeDocument/2006/relationships/hyperlink" Target="https://www.itu.int/itu-d/meetings/rdf/ams/home/" TargetMode="External"/><Relationship Id="rId32" Type="http://schemas.openxmlformats.org/officeDocument/2006/relationships/hyperlink" Target="https://www.itu.int/itu-d/meetings/rdf/cis/home/" TargetMode="External"/><Relationship Id="rId37" Type="http://schemas.openxmlformats.org/officeDocument/2006/relationships/hyperlink" Target="https://www.itu.int/itu-d/meetings/wtdc25/rpm/home/" TargetMode="External"/><Relationship Id="rId40" Type="http://schemas.openxmlformats.org/officeDocument/2006/relationships/hyperlink" Target="https://www.itu.int/md/D22-TDAG32-INF-0004/fr"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youtube.com/watch?v=_TmRrANEy9Y" TargetMode="External"/><Relationship Id="rId23" Type="http://schemas.openxmlformats.org/officeDocument/2006/relationships/hyperlink" Target="https://www.youtube.com/watch?v=n-9xwzs0i9I" TargetMode="External"/><Relationship Id="rId28" Type="http://schemas.openxmlformats.org/officeDocument/2006/relationships/hyperlink" Target="https://www.itu.int/itu-d/meetings/rdf/afr/home/" TargetMode="External"/><Relationship Id="rId36" Type="http://schemas.openxmlformats.org/officeDocument/2006/relationships/hyperlink" Target="https://www.itu.int/dms_pub/itu-d/opb/res/D-RES-D.31-2022-PDF-F.pdf" TargetMode="External"/><Relationship Id="rId10" Type="http://schemas.openxmlformats.org/officeDocument/2006/relationships/hyperlink" Target="https://www.itu.int/fr/publications/ITU-D/Pages/publications.aspx?parent=D-TDC-WTDC-2022&amp;media=electronic" TargetMode="External"/><Relationship Id="rId19" Type="http://schemas.openxmlformats.org/officeDocument/2006/relationships/hyperlink" Target="https://www.youtube.com/watch?v=KbGUKDoOwoU" TargetMode="External"/><Relationship Id="rId31" Type="http://schemas.openxmlformats.org/officeDocument/2006/relationships/hyperlink" Target="https://www.youtube.com/watch?v=TQMlkFoVHQ4"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itu.int/en/council/Documents/basic-texts-2023/RES-157-F.pdf" TargetMode="External"/><Relationship Id="rId14" Type="http://schemas.openxmlformats.org/officeDocument/2006/relationships/hyperlink" Target="https://www.itu.int/md/D22-RPMARB-C-0020/fr" TargetMode="External"/><Relationship Id="rId22" Type="http://schemas.openxmlformats.org/officeDocument/2006/relationships/hyperlink" Target="https://www.itu.int/md/D22-RPMASP-C-0018/fr" TargetMode="External"/><Relationship Id="rId27" Type="http://schemas.openxmlformats.org/officeDocument/2006/relationships/hyperlink" Target="https://www.youtube.com/watch?v=0Q1A-_uFb2U" TargetMode="External"/><Relationship Id="rId30" Type="http://schemas.openxmlformats.org/officeDocument/2006/relationships/hyperlink" Target="https://www.itu.int/md/D22-RPMAFR-C-0019/fr" TargetMode="External"/><Relationship Id="rId35" Type="http://schemas.openxmlformats.org/officeDocument/2006/relationships/hyperlink" Target="https://www.youtube.com/watch?v=lWymn4RNG0I"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itu.int/en/council/Documents/basic-texts-2023/RES-135-F.pdf" TargetMode="External"/><Relationship Id="rId3" Type="http://schemas.openxmlformats.org/officeDocument/2006/relationships/webSettings" Target="webSettings.xml"/><Relationship Id="rId12" Type="http://schemas.openxmlformats.org/officeDocument/2006/relationships/hyperlink" Target="https://www.itu.int/itu-d/meetings/rdf/arb/home/" TargetMode="External"/><Relationship Id="rId17" Type="http://schemas.openxmlformats.org/officeDocument/2006/relationships/hyperlink" Target="https://www.itu.int/itu-d/meetings/wtdc25/rpm/eur/home/" TargetMode="External"/><Relationship Id="rId25" Type="http://schemas.openxmlformats.org/officeDocument/2006/relationships/hyperlink" Target="https://www.itu.int/itu-d/meetings/wtdc25/rpm/ams/home/" TargetMode="External"/><Relationship Id="rId33" Type="http://schemas.openxmlformats.org/officeDocument/2006/relationships/hyperlink" Target="https://www.itu.int/itu-d/meetings/wtdc25/rpm/cis/home/" TargetMode="External"/><Relationship Id="rId38" Type="http://schemas.openxmlformats.org/officeDocument/2006/relationships/hyperlink" Target="https://www.itu.int/md/D22-TDAG32-C-0024/fr" TargetMode="External"/><Relationship Id="rId46" Type="http://schemas.openxmlformats.org/officeDocument/2006/relationships/footer" Target="footer3.xml"/><Relationship Id="rId20" Type="http://schemas.openxmlformats.org/officeDocument/2006/relationships/hyperlink" Target="https://www.itu.int/itu-d/meetings/rdf/asp/home/" TargetMode="External"/><Relationship Id="rId41" Type="http://schemas.openxmlformats.org/officeDocument/2006/relationships/hyperlink" Target="https://www.itu.int/md/D22-TDAG32-C-0005/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10</TotalTime>
  <Pages>15</Pages>
  <Words>7298</Words>
  <Characters>41958</Characters>
  <Application>Microsoft Office Word</Application>
  <DocSecurity>0</DocSecurity>
  <Lines>676</Lines>
  <Paragraphs>215</Paragraphs>
  <ScaleCrop>false</ScaleCrop>
  <HeadingPairs>
    <vt:vector size="2" baseType="variant">
      <vt:variant>
        <vt:lpstr>Title</vt:lpstr>
      </vt:variant>
      <vt:variant>
        <vt:i4>1</vt:i4>
      </vt:variant>
    </vt:vector>
  </HeadingPairs>
  <TitlesOfParts>
    <vt:vector size="1" baseType="lpstr">
      <vt:lpstr>Renforcer la présence régionale de L'UIT</vt:lpstr>
    </vt:vector>
  </TitlesOfParts>
  <Manager>Secrétariat général - Pool</Manager>
  <Company>Union internationale des télécommunications (UIT)</Company>
  <LinksUpToDate>false</LinksUpToDate>
  <CharactersWithSpaces>49041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Renforcer la présence régionale de L'UIT</dc:title>
  <dc:subject>Conseil 2025 de l'UIT</dc:subject>
  <cp:keywords>C2025, C25, Council-25</cp:keywords>
  <dc:description/>
  <cp:lastPrinted>2000-07-18T08:55:00Z</cp:lastPrinted>
  <dcterms:created xsi:type="dcterms:W3CDTF">2025-06-09T12:56:00Z</dcterms:created>
  <dcterms:modified xsi:type="dcterms:W3CDTF">2025-06-09T13:05:00Z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