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6B0FE5" w:rsidRPr="00BB6FD8" w14:paraId="5AD43620" w14:textId="77777777" w:rsidTr="00C538FC">
        <w:trPr>
          <w:cantSplit/>
          <w:trHeight w:val="23"/>
        </w:trPr>
        <w:tc>
          <w:tcPr>
            <w:tcW w:w="3969" w:type="dxa"/>
            <w:vMerge w:val="restart"/>
            <w:tcMar>
              <w:left w:w="0" w:type="dxa"/>
            </w:tcMar>
          </w:tcPr>
          <w:p w14:paraId="2BEAC390" w14:textId="3E9AC55C" w:rsidR="006B0FE5" w:rsidRPr="00BB6FD8" w:rsidRDefault="006B0FE5" w:rsidP="006B0FE5">
            <w:pPr>
              <w:tabs>
                <w:tab w:val="left" w:pos="851"/>
              </w:tabs>
              <w:spacing w:before="0" w:line="240" w:lineRule="atLeast"/>
              <w:rPr>
                <w:b/>
              </w:rPr>
            </w:pPr>
            <w:bookmarkStart w:id="0" w:name="_Hlk133421839"/>
            <w:r>
              <w:rPr>
                <w:b/>
              </w:rPr>
              <w:t>Punto del o</w:t>
            </w:r>
            <w:r w:rsidRPr="00BB6FD8">
              <w:rPr>
                <w:b/>
              </w:rPr>
              <w:t xml:space="preserve">rden del día: </w:t>
            </w:r>
            <w:r w:rsidRPr="0024612A">
              <w:rPr>
                <w:b/>
                <w:lang w:val="es-ES"/>
              </w:rPr>
              <w:t>PL 2</w:t>
            </w:r>
          </w:p>
        </w:tc>
        <w:tc>
          <w:tcPr>
            <w:tcW w:w="5245" w:type="dxa"/>
          </w:tcPr>
          <w:p w14:paraId="685D3557" w14:textId="6B17B999" w:rsidR="006B0FE5" w:rsidRPr="00BB6FD8" w:rsidRDefault="006B0FE5" w:rsidP="006B0FE5">
            <w:pPr>
              <w:tabs>
                <w:tab w:val="left" w:pos="851"/>
              </w:tabs>
              <w:spacing w:before="0" w:line="240" w:lineRule="atLeast"/>
              <w:jc w:val="right"/>
              <w:rPr>
                <w:b/>
              </w:rPr>
            </w:pPr>
            <w:r w:rsidRPr="00922311">
              <w:rPr>
                <w:b/>
              </w:rPr>
              <w:t>Document</w:t>
            </w:r>
            <w:r>
              <w:rPr>
                <w:b/>
              </w:rPr>
              <w:t>o</w:t>
            </w:r>
            <w:r w:rsidRPr="00922311">
              <w:rPr>
                <w:b/>
              </w:rPr>
              <w:t xml:space="preserve"> C25/25-</w:t>
            </w:r>
            <w:r>
              <w:rPr>
                <w:b/>
              </w:rPr>
              <w:t>S</w:t>
            </w:r>
          </w:p>
        </w:tc>
      </w:tr>
      <w:tr w:rsidR="006B0FE5" w:rsidRPr="00666D09" w14:paraId="451AF1AE" w14:textId="77777777" w:rsidTr="00C538FC">
        <w:trPr>
          <w:cantSplit/>
        </w:trPr>
        <w:tc>
          <w:tcPr>
            <w:tcW w:w="3969" w:type="dxa"/>
            <w:vMerge/>
          </w:tcPr>
          <w:p w14:paraId="1A2D5C91" w14:textId="77777777" w:rsidR="006B0FE5" w:rsidRPr="00BB6FD8" w:rsidRDefault="006B0FE5" w:rsidP="006B0FE5">
            <w:pPr>
              <w:tabs>
                <w:tab w:val="left" w:pos="851"/>
              </w:tabs>
              <w:spacing w:line="240" w:lineRule="atLeast"/>
              <w:rPr>
                <w:b/>
              </w:rPr>
            </w:pPr>
          </w:p>
        </w:tc>
        <w:tc>
          <w:tcPr>
            <w:tcW w:w="5245" w:type="dxa"/>
          </w:tcPr>
          <w:p w14:paraId="5944F294" w14:textId="6C986AF8" w:rsidR="006B0FE5" w:rsidRPr="00666D09" w:rsidRDefault="006B0FE5" w:rsidP="006B0FE5">
            <w:pPr>
              <w:tabs>
                <w:tab w:val="left" w:pos="851"/>
              </w:tabs>
              <w:spacing w:before="0"/>
              <w:jc w:val="right"/>
              <w:rPr>
                <w:b/>
                <w:lang w:val="en-GB"/>
              </w:rPr>
            </w:pPr>
            <w:r>
              <w:rPr>
                <w:b/>
              </w:rPr>
              <w:t>1</w:t>
            </w:r>
            <w:r w:rsidRPr="00922311">
              <w:rPr>
                <w:b/>
              </w:rPr>
              <w:t xml:space="preserve">9 </w:t>
            </w:r>
            <w:r>
              <w:rPr>
                <w:b/>
              </w:rPr>
              <w:t>de mayo de</w:t>
            </w:r>
            <w:r w:rsidRPr="00922311">
              <w:rPr>
                <w:b/>
              </w:rPr>
              <w:t xml:space="preserve"> 2025</w:t>
            </w:r>
          </w:p>
        </w:tc>
      </w:tr>
      <w:tr w:rsidR="006B0FE5" w:rsidRPr="00BB6FD8" w14:paraId="26825BD5" w14:textId="77777777" w:rsidTr="00C538FC">
        <w:trPr>
          <w:cantSplit/>
          <w:trHeight w:val="23"/>
        </w:trPr>
        <w:tc>
          <w:tcPr>
            <w:tcW w:w="3969" w:type="dxa"/>
            <w:vMerge/>
          </w:tcPr>
          <w:p w14:paraId="35B678DA" w14:textId="77777777" w:rsidR="006B0FE5" w:rsidRPr="00666D09" w:rsidRDefault="006B0FE5" w:rsidP="006B0FE5">
            <w:pPr>
              <w:tabs>
                <w:tab w:val="left" w:pos="851"/>
              </w:tabs>
              <w:spacing w:line="240" w:lineRule="atLeast"/>
              <w:rPr>
                <w:b/>
                <w:lang w:val="en-GB"/>
              </w:rPr>
            </w:pPr>
          </w:p>
        </w:tc>
        <w:tc>
          <w:tcPr>
            <w:tcW w:w="5245" w:type="dxa"/>
          </w:tcPr>
          <w:p w14:paraId="34471877" w14:textId="4B5E7541" w:rsidR="006B0FE5" w:rsidRPr="00BB6FD8" w:rsidRDefault="006B0FE5" w:rsidP="006B0FE5">
            <w:pPr>
              <w:tabs>
                <w:tab w:val="left" w:pos="851"/>
              </w:tabs>
              <w:spacing w:before="0" w:line="240" w:lineRule="atLeast"/>
              <w:jc w:val="right"/>
              <w:rPr>
                <w:b/>
                <w:bCs/>
              </w:rPr>
            </w:pPr>
            <w:r w:rsidRPr="00922311">
              <w:rPr>
                <w:b/>
              </w:rPr>
              <w:t xml:space="preserve">Original: </w:t>
            </w:r>
            <w:r>
              <w:rPr>
                <w:b/>
              </w:rPr>
              <w:t>inglés</w:t>
            </w:r>
          </w:p>
        </w:tc>
      </w:tr>
      <w:tr w:rsidR="00FE57F6" w:rsidRPr="00BB6FD8" w14:paraId="545E509C" w14:textId="77777777" w:rsidTr="00C538FC">
        <w:trPr>
          <w:cantSplit/>
          <w:trHeight w:val="23"/>
        </w:trPr>
        <w:tc>
          <w:tcPr>
            <w:tcW w:w="3969" w:type="dxa"/>
          </w:tcPr>
          <w:p w14:paraId="7209C29B" w14:textId="77777777" w:rsidR="00FE57F6" w:rsidRPr="00BB6FD8" w:rsidRDefault="00FE57F6" w:rsidP="00C538FC">
            <w:pPr>
              <w:tabs>
                <w:tab w:val="left" w:pos="851"/>
              </w:tabs>
              <w:spacing w:line="240" w:lineRule="atLeast"/>
              <w:rPr>
                <w:b/>
              </w:rPr>
            </w:pPr>
          </w:p>
        </w:tc>
        <w:tc>
          <w:tcPr>
            <w:tcW w:w="5245" w:type="dxa"/>
          </w:tcPr>
          <w:p w14:paraId="7B7BB867" w14:textId="77777777" w:rsidR="00FE57F6" w:rsidRPr="00BB6FD8" w:rsidRDefault="00FE57F6" w:rsidP="00C538FC">
            <w:pPr>
              <w:tabs>
                <w:tab w:val="left" w:pos="851"/>
              </w:tabs>
              <w:spacing w:before="0" w:line="240" w:lineRule="atLeast"/>
              <w:jc w:val="right"/>
              <w:rPr>
                <w:b/>
              </w:rPr>
            </w:pPr>
          </w:p>
        </w:tc>
      </w:tr>
      <w:tr w:rsidR="00FE57F6" w:rsidRPr="00BB6FD8" w14:paraId="6A60AE76" w14:textId="77777777" w:rsidTr="00C538FC">
        <w:trPr>
          <w:cantSplit/>
        </w:trPr>
        <w:tc>
          <w:tcPr>
            <w:tcW w:w="9214" w:type="dxa"/>
            <w:gridSpan w:val="2"/>
            <w:tcMar>
              <w:left w:w="0" w:type="dxa"/>
            </w:tcMar>
          </w:tcPr>
          <w:p w14:paraId="414760FD" w14:textId="77777777" w:rsidR="00FE57F6" w:rsidRPr="00BB6FD8" w:rsidRDefault="00157AC4" w:rsidP="00C538FC">
            <w:pPr>
              <w:pStyle w:val="Source"/>
              <w:jc w:val="left"/>
              <w:rPr>
                <w:sz w:val="34"/>
                <w:szCs w:val="34"/>
              </w:rPr>
            </w:pPr>
            <w:r>
              <w:rPr>
                <w:rFonts w:cstheme="minorHAnsi"/>
                <w:sz w:val="34"/>
                <w:szCs w:val="34"/>
              </w:rPr>
              <w:t>Informe de la Secretaria General</w:t>
            </w:r>
          </w:p>
        </w:tc>
      </w:tr>
      <w:tr w:rsidR="00FE57F6" w:rsidRPr="00BB6FD8" w14:paraId="3A2F04FD" w14:textId="77777777" w:rsidTr="00C538FC">
        <w:trPr>
          <w:cantSplit/>
        </w:trPr>
        <w:tc>
          <w:tcPr>
            <w:tcW w:w="9214" w:type="dxa"/>
            <w:gridSpan w:val="2"/>
            <w:tcMar>
              <w:left w:w="0" w:type="dxa"/>
            </w:tcMar>
          </w:tcPr>
          <w:p w14:paraId="1A11DBEE" w14:textId="0B8CC109" w:rsidR="00FE57F6" w:rsidRPr="00F92BED" w:rsidRDefault="00931CFA" w:rsidP="00F92BED">
            <w:pPr>
              <w:pStyle w:val="Subtitle"/>
              <w:framePr w:hSpace="0" w:wrap="auto" w:vAnchor="margin" w:hAnchor="text" w:xAlign="left" w:yAlign="inline"/>
            </w:pPr>
            <w:r w:rsidRPr="0024612A">
              <w:rPr>
                <w:lang w:val="es-ES"/>
              </w:rPr>
              <w:t>Fortalecimiento de la presencia r</w:t>
            </w:r>
            <w:r>
              <w:rPr>
                <w:lang w:val="es-ES"/>
              </w:rPr>
              <w:t xml:space="preserve">egional de la </w:t>
            </w:r>
            <w:r w:rsidR="006B0FE5">
              <w:rPr>
                <w:lang w:val="es-ES"/>
              </w:rPr>
              <w:t>UIT</w:t>
            </w:r>
          </w:p>
        </w:tc>
      </w:tr>
      <w:tr w:rsidR="00FE57F6" w:rsidRPr="00BB6FD8" w14:paraId="133CE725" w14:textId="77777777" w:rsidTr="00C538FC">
        <w:trPr>
          <w:cantSplit/>
        </w:trPr>
        <w:tc>
          <w:tcPr>
            <w:tcW w:w="9214" w:type="dxa"/>
            <w:gridSpan w:val="2"/>
            <w:tcBorders>
              <w:top w:val="single" w:sz="4" w:space="0" w:color="auto"/>
              <w:bottom w:val="single" w:sz="4" w:space="0" w:color="auto"/>
            </w:tcBorders>
            <w:tcMar>
              <w:left w:w="0" w:type="dxa"/>
            </w:tcMar>
          </w:tcPr>
          <w:p w14:paraId="38DF3B59" w14:textId="77777777" w:rsidR="00FE57F6" w:rsidRPr="00BB6FD8" w:rsidRDefault="00F24B71" w:rsidP="00C538FC">
            <w:pPr>
              <w:spacing w:before="160"/>
              <w:rPr>
                <w:b/>
                <w:bCs/>
                <w:sz w:val="26"/>
                <w:szCs w:val="26"/>
              </w:rPr>
            </w:pPr>
            <w:r w:rsidRPr="00BB6FD8">
              <w:rPr>
                <w:b/>
                <w:bCs/>
                <w:sz w:val="26"/>
                <w:szCs w:val="26"/>
              </w:rPr>
              <w:t>Finalidad</w:t>
            </w:r>
          </w:p>
          <w:p w14:paraId="3FC0E1A7" w14:textId="77777777" w:rsidR="006B0FE5" w:rsidRPr="0024612A" w:rsidRDefault="006B0FE5" w:rsidP="006B0FE5">
            <w:pPr>
              <w:jc w:val="both"/>
              <w:rPr>
                <w:lang w:val="es-ES"/>
              </w:rPr>
            </w:pPr>
            <w:r w:rsidRPr="0024612A">
              <w:rPr>
                <w:lang w:val="es-ES"/>
              </w:rPr>
              <w:t>En el presente documento se describe la contribución de la presencia regional de</w:t>
            </w:r>
            <w:r>
              <w:rPr>
                <w:lang w:val="es-ES"/>
              </w:rPr>
              <w:t xml:space="preserve"> </w:t>
            </w:r>
            <w:r w:rsidRPr="0024612A">
              <w:rPr>
                <w:lang w:val="es-ES"/>
              </w:rPr>
              <w:t>la UIT al cumplimiento del mandato de la</w:t>
            </w:r>
            <w:r>
              <w:rPr>
                <w:lang w:val="es-ES"/>
              </w:rPr>
              <w:t xml:space="preserve"> UIT. </w:t>
            </w:r>
            <w:r w:rsidRPr="0024612A">
              <w:rPr>
                <w:lang w:val="es-ES"/>
              </w:rPr>
              <w:t>Se presenta información sobre el trabajo realizado a nivel regional para la</w:t>
            </w:r>
            <w:r>
              <w:rPr>
                <w:lang w:val="es-ES"/>
              </w:rPr>
              <w:t xml:space="preserve"> aplicación del Plan Estratégico de la UIT, el Plan de Acción de Kigali y las Iniciativas regionales.</w:t>
            </w:r>
          </w:p>
          <w:p w14:paraId="4EB3ED60" w14:textId="77777777" w:rsidR="00FE57F6" w:rsidRPr="00BB6FD8" w:rsidRDefault="00F24B71" w:rsidP="00C538FC">
            <w:pPr>
              <w:spacing w:before="160"/>
              <w:rPr>
                <w:b/>
                <w:bCs/>
                <w:sz w:val="26"/>
                <w:szCs w:val="26"/>
              </w:rPr>
            </w:pPr>
            <w:r w:rsidRPr="00BB6FD8">
              <w:rPr>
                <w:b/>
                <w:bCs/>
                <w:sz w:val="26"/>
                <w:szCs w:val="26"/>
              </w:rPr>
              <w:t xml:space="preserve">Acción solicitada </w:t>
            </w:r>
            <w:r w:rsidR="00677A97" w:rsidRPr="00BB6FD8">
              <w:rPr>
                <w:b/>
                <w:bCs/>
                <w:sz w:val="26"/>
                <w:szCs w:val="26"/>
              </w:rPr>
              <w:t>al</w:t>
            </w:r>
            <w:r w:rsidRPr="00BB6FD8">
              <w:rPr>
                <w:b/>
                <w:bCs/>
                <w:sz w:val="26"/>
                <w:szCs w:val="26"/>
              </w:rPr>
              <w:t xml:space="preserve"> Consejo</w:t>
            </w:r>
          </w:p>
          <w:p w14:paraId="585E09D4" w14:textId="77777777" w:rsidR="006B0FE5" w:rsidRDefault="006B0FE5" w:rsidP="00F92BED">
            <w:pPr>
              <w:spacing w:before="160"/>
              <w:rPr>
                <w:lang w:val="es-ES"/>
              </w:rPr>
            </w:pPr>
            <w:r w:rsidRPr="0024612A">
              <w:rPr>
                <w:lang w:val="es-ES"/>
              </w:rPr>
              <w:t xml:space="preserve">Se invita al Consejo a </w:t>
            </w:r>
            <w:r w:rsidRPr="0024612A">
              <w:rPr>
                <w:b/>
                <w:bCs/>
                <w:lang w:val="es-ES"/>
              </w:rPr>
              <w:t xml:space="preserve">tomar nota </w:t>
            </w:r>
            <w:r w:rsidRPr="0024612A">
              <w:rPr>
                <w:lang w:val="es-ES"/>
              </w:rPr>
              <w:t>del Informe presentado en este documento.</w:t>
            </w:r>
          </w:p>
          <w:p w14:paraId="74277428" w14:textId="4AC08FEB" w:rsidR="00F92BED" w:rsidRPr="00F24B71" w:rsidRDefault="00F92BED" w:rsidP="00F92BED">
            <w:pPr>
              <w:spacing w:before="160"/>
              <w:rPr>
                <w:b/>
                <w:bCs/>
                <w:sz w:val="26"/>
                <w:szCs w:val="26"/>
                <w:lang w:val="es-ES"/>
              </w:rPr>
            </w:pPr>
            <w:r w:rsidRPr="00F24B71">
              <w:rPr>
                <w:b/>
                <w:bCs/>
                <w:sz w:val="26"/>
                <w:szCs w:val="26"/>
                <w:lang w:val="es-ES"/>
              </w:rPr>
              <w:t>Vínculo</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pertinente</w:t>
            </w:r>
            <w:r>
              <w:rPr>
                <w:b/>
                <w:bCs/>
                <w:sz w:val="26"/>
                <w:szCs w:val="26"/>
                <w:lang w:val="es-ES"/>
              </w:rPr>
              <w:t>(</w:t>
            </w:r>
            <w:r w:rsidRPr="00F24B71">
              <w:rPr>
                <w:b/>
                <w:bCs/>
                <w:sz w:val="26"/>
                <w:szCs w:val="26"/>
                <w:lang w:val="es-ES"/>
              </w:rPr>
              <w:t>s</w:t>
            </w:r>
            <w:r>
              <w:rPr>
                <w:b/>
                <w:bCs/>
                <w:sz w:val="26"/>
                <w:szCs w:val="26"/>
                <w:lang w:val="es-ES"/>
              </w:rPr>
              <w:t>)</w:t>
            </w:r>
            <w:r w:rsidRPr="00F24B71">
              <w:rPr>
                <w:b/>
                <w:bCs/>
                <w:sz w:val="26"/>
                <w:szCs w:val="26"/>
                <w:lang w:val="es-ES"/>
              </w:rPr>
              <w:t xml:space="preserve"> con el Plan Estratégico</w:t>
            </w:r>
          </w:p>
          <w:p w14:paraId="3817ACDA" w14:textId="77777777" w:rsidR="006B0FE5" w:rsidRDefault="006B0FE5" w:rsidP="00F92BED">
            <w:pPr>
              <w:spacing w:before="160"/>
            </w:pPr>
            <w:r>
              <w:t>Presencia regional</w:t>
            </w:r>
            <w:r w:rsidRPr="00922311">
              <w:t>.</w:t>
            </w:r>
          </w:p>
          <w:p w14:paraId="218F8190" w14:textId="77955CD7" w:rsidR="00F92BED" w:rsidRDefault="00F92BED" w:rsidP="00F92BED">
            <w:pPr>
              <w:spacing w:before="160"/>
              <w:rPr>
                <w:b/>
                <w:bCs/>
                <w:sz w:val="26"/>
                <w:szCs w:val="26"/>
              </w:rPr>
            </w:pPr>
            <w:r w:rsidRPr="00F24B71">
              <w:rPr>
                <w:b/>
                <w:bCs/>
                <w:sz w:val="26"/>
                <w:szCs w:val="26"/>
              </w:rPr>
              <w:t>Repercusiones financieras</w:t>
            </w:r>
          </w:p>
          <w:p w14:paraId="45B7C7CD" w14:textId="77777777" w:rsidR="006B0FE5" w:rsidRDefault="006B0FE5" w:rsidP="00C538FC">
            <w:pPr>
              <w:spacing w:before="160"/>
              <w:rPr>
                <w:szCs w:val="24"/>
                <w:lang w:val="es-ES"/>
              </w:rPr>
            </w:pPr>
            <w:r w:rsidRPr="0024612A">
              <w:rPr>
                <w:szCs w:val="24"/>
                <w:lang w:val="es-ES"/>
              </w:rPr>
              <w:t>Con cargo al presupuesto asignado para 2024-2025.</w:t>
            </w:r>
          </w:p>
          <w:p w14:paraId="192EBE41" w14:textId="11034697" w:rsidR="00FE57F6" w:rsidRPr="00BB6FD8" w:rsidRDefault="00FE57F6" w:rsidP="00C538FC">
            <w:pPr>
              <w:spacing w:before="160"/>
              <w:rPr>
                <w:caps/>
                <w:sz w:val="22"/>
              </w:rPr>
            </w:pPr>
            <w:r w:rsidRPr="00BB6FD8">
              <w:rPr>
                <w:sz w:val="22"/>
              </w:rPr>
              <w:t>__________________</w:t>
            </w:r>
          </w:p>
          <w:p w14:paraId="314584A7" w14:textId="77777777" w:rsidR="00FE57F6" w:rsidRPr="00BB6FD8" w:rsidRDefault="00F24B71" w:rsidP="00C538FC">
            <w:pPr>
              <w:spacing w:before="160"/>
              <w:rPr>
                <w:b/>
                <w:bCs/>
                <w:sz w:val="26"/>
                <w:szCs w:val="26"/>
              </w:rPr>
            </w:pPr>
            <w:r w:rsidRPr="00BB6FD8">
              <w:rPr>
                <w:b/>
                <w:bCs/>
                <w:sz w:val="26"/>
                <w:szCs w:val="26"/>
              </w:rPr>
              <w:t>Referencia</w:t>
            </w:r>
            <w:r w:rsidR="00F92BED">
              <w:rPr>
                <w:b/>
                <w:bCs/>
                <w:sz w:val="26"/>
                <w:szCs w:val="26"/>
              </w:rPr>
              <w:t>s</w:t>
            </w:r>
            <w:r w:rsidR="00D375E0" w:rsidRPr="00BB6FD8">
              <w:rPr>
                <w:sz w:val="26"/>
                <w:szCs w:val="26"/>
              </w:rPr>
              <w:t xml:space="preserve"> </w:t>
            </w:r>
          </w:p>
          <w:p w14:paraId="52FEC79E" w14:textId="5C7CC1DE" w:rsidR="00FE57F6" w:rsidRPr="00815A7D" w:rsidRDefault="006B0FE5" w:rsidP="00C538FC">
            <w:pPr>
              <w:spacing w:after="160"/>
              <w:rPr>
                <w:i/>
                <w:iCs/>
                <w:sz w:val="22"/>
                <w:szCs w:val="22"/>
              </w:rPr>
            </w:pPr>
            <w:r w:rsidRPr="00815A7D">
              <w:rPr>
                <w:i/>
                <w:iCs/>
                <w:sz w:val="22"/>
                <w:szCs w:val="22"/>
                <w:lang w:val="es-ES"/>
              </w:rPr>
              <w:t xml:space="preserve">Resoluciones </w:t>
            </w:r>
            <w:hyperlink r:id="rId6" w:history="1">
              <w:r w:rsidRPr="00815A7D">
                <w:rPr>
                  <w:rStyle w:val="Hyperlink"/>
                  <w:i/>
                  <w:iCs/>
                  <w:sz w:val="22"/>
                  <w:szCs w:val="22"/>
                  <w:lang w:val="es-ES"/>
                </w:rPr>
                <w:t>25 (Rev. Dubái, 2018)</w:t>
              </w:r>
            </w:hyperlink>
            <w:r w:rsidRPr="00815A7D">
              <w:rPr>
                <w:i/>
                <w:iCs/>
                <w:sz w:val="22"/>
                <w:szCs w:val="22"/>
                <w:lang w:val="es-ES"/>
              </w:rPr>
              <w:t xml:space="preserve">, </w:t>
            </w:r>
            <w:hyperlink r:id="rId7" w:history="1">
              <w:r w:rsidRPr="00815A7D">
                <w:rPr>
                  <w:rStyle w:val="Hyperlink"/>
                  <w:i/>
                  <w:iCs/>
                  <w:sz w:val="22"/>
                  <w:szCs w:val="22"/>
                  <w:lang w:val="es-ES"/>
                </w:rPr>
                <w:t>25 (Rev. Bucarest, 2022)</w:t>
              </w:r>
            </w:hyperlink>
            <w:r w:rsidRPr="00815A7D">
              <w:rPr>
                <w:i/>
                <w:iCs/>
                <w:sz w:val="22"/>
                <w:szCs w:val="22"/>
                <w:lang w:val="es-ES"/>
              </w:rPr>
              <w:t xml:space="preserve">, </w:t>
            </w:r>
            <w:hyperlink r:id="rId8" w:history="1">
              <w:r w:rsidRPr="00815A7D">
                <w:rPr>
                  <w:rStyle w:val="Hyperlink"/>
                  <w:i/>
                  <w:iCs/>
                  <w:sz w:val="22"/>
                  <w:szCs w:val="22"/>
                  <w:lang w:val="es-ES"/>
                </w:rPr>
                <w:t>135 (Rev. Bucarest, 2022)</w:t>
              </w:r>
            </w:hyperlink>
            <w:r w:rsidRPr="00815A7D">
              <w:rPr>
                <w:i/>
                <w:iCs/>
                <w:sz w:val="22"/>
                <w:szCs w:val="22"/>
                <w:lang w:val="es-ES"/>
              </w:rPr>
              <w:t xml:space="preserve"> y </w:t>
            </w:r>
            <w:r w:rsidRPr="00815A7D">
              <w:rPr>
                <w:i/>
                <w:iCs/>
                <w:sz w:val="22"/>
                <w:szCs w:val="22"/>
                <w:lang w:val="es-ES"/>
              </w:rPr>
              <w:br/>
            </w:r>
            <w:hyperlink r:id="rId9" w:history="1">
              <w:r w:rsidRPr="00815A7D">
                <w:rPr>
                  <w:rStyle w:val="Hyperlink"/>
                  <w:i/>
                  <w:iCs/>
                  <w:sz w:val="22"/>
                  <w:szCs w:val="22"/>
                  <w:lang w:val="es-ES"/>
                </w:rPr>
                <w:t>157 (Rev. Bucarest, 2022)</w:t>
              </w:r>
            </w:hyperlink>
            <w:r w:rsidRPr="00815A7D">
              <w:rPr>
                <w:i/>
                <w:iCs/>
                <w:sz w:val="22"/>
                <w:szCs w:val="22"/>
                <w:lang w:val="es-ES"/>
              </w:rPr>
              <w:t xml:space="preserve"> de la Conferencia de Plenipotenciarios; </w:t>
            </w:r>
            <w:hyperlink r:id="rId10" w:history="1">
              <w:r w:rsidRPr="00815A7D">
                <w:rPr>
                  <w:rStyle w:val="Hyperlink"/>
                  <w:i/>
                  <w:iCs/>
                  <w:sz w:val="22"/>
                  <w:szCs w:val="22"/>
                  <w:lang w:val="es-ES"/>
                </w:rPr>
                <w:t>Plan de Acción de Kigali, Informe Final de la Conferencia Mundial de Desarrollo de las Telecomunicaciones (Kigali, 2022);</w:t>
              </w:r>
            </w:hyperlink>
            <w:r w:rsidRPr="00815A7D">
              <w:rPr>
                <w:rStyle w:val="Hyperlink"/>
                <w:i/>
                <w:iCs/>
                <w:sz w:val="22"/>
                <w:szCs w:val="22"/>
                <w:lang w:val="es-ES"/>
              </w:rPr>
              <w:t xml:space="preserve"> Documento </w:t>
            </w:r>
            <w:hyperlink r:id="rId11" w:history="1">
              <w:r w:rsidRPr="00815A7D">
                <w:rPr>
                  <w:rStyle w:val="Hyperlink"/>
                  <w:rFonts w:eastAsia="Aptos"/>
                  <w:i/>
                  <w:iCs/>
                  <w:sz w:val="22"/>
                  <w:szCs w:val="22"/>
                  <w:lang w:val="es-ES"/>
                </w:rPr>
                <w:t>TDAG-31/2</w:t>
              </w:r>
            </w:hyperlink>
            <w:r w:rsidRPr="00815A7D">
              <w:rPr>
                <w:rFonts w:eastAsia="Aptos"/>
                <w:i/>
                <w:iCs/>
                <w:sz w:val="22"/>
                <w:szCs w:val="22"/>
                <w:lang w:val="es-ES"/>
              </w:rPr>
              <w:t>.</w:t>
            </w:r>
          </w:p>
        </w:tc>
      </w:tr>
      <w:bookmarkEnd w:id="0"/>
    </w:tbl>
    <w:p w14:paraId="227C3BC1" w14:textId="77777777" w:rsidR="00093EEB" w:rsidRPr="00BB6FD8" w:rsidRDefault="00093EEB"/>
    <w:p w14:paraId="130D0F44" w14:textId="77777777" w:rsidR="001559F5" w:rsidRPr="00BB6FD8" w:rsidRDefault="001559F5">
      <w:pPr>
        <w:tabs>
          <w:tab w:val="clear" w:pos="567"/>
          <w:tab w:val="clear" w:pos="1134"/>
          <w:tab w:val="clear" w:pos="1701"/>
          <w:tab w:val="clear" w:pos="2268"/>
          <w:tab w:val="clear" w:pos="2835"/>
        </w:tabs>
        <w:overflowPunct/>
        <w:autoSpaceDE/>
        <w:autoSpaceDN/>
        <w:adjustRightInd/>
        <w:spacing w:before="0"/>
        <w:textAlignment w:val="auto"/>
      </w:pPr>
      <w:r w:rsidRPr="00BB6FD8">
        <w:br w:type="page"/>
      </w:r>
    </w:p>
    <w:p w14:paraId="4D5DC917" w14:textId="77777777" w:rsidR="006B0FE5" w:rsidRPr="00815A7D" w:rsidRDefault="006B0FE5" w:rsidP="00815A7D">
      <w:pPr>
        <w:pStyle w:val="Heading1"/>
      </w:pPr>
      <w:r w:rsidRPr="00815A7D">
        <w:lastRenderedPageBreak/>
        <w:t>1</w:t>
      </w:r>
      <w:r w:rsidRPr="00815A7D">
        <w:tab/>
        <w:t>Antecedentes</w:t>
      </w:r>
    </w:p>
    <w:p w14:paraId="21F860A2" w14:textId="38F681C0" w:rsidR="006B0FE5" w:rsidRPr="0024612A" w:rsidRDefault="006B0FE5" w:rsidP="006B0FE5">
      <w:pPr>
        <w:jc w:val="both"/>
        <w:rPr>
          <w:rFonts w:asciiTheme="minorHAnsi" w:eastAsia="Arial Unicode MS" w:hAnsiTheme="minorHAnsi" w:cstheme="minorBidi"/>
          <w:lang w:val="es-ES"/>
        </w:rPr>
      </w:pPr>
      <w:r w:rsidRPr="0024612A">
        <w:rPr>
          <w:rFonts w:eastAsia="SimSun"/>
          <w:lang w:val="es-ES"/>
        </w:rPr>
        <w:t>1.1</w:t>
      </w:r>
      <w:r w:rsidRPr="0024612A">
        <w:rPr>
          <w:rFonts w:eastAsia="SimSun"/>
          <w:lang w:val="es-ES"/>
        </w:rPr>
        <w:tab/>
        <w:t xml:space="preserve">Reconociendo el Artículo 1 y el Artículo 21 de la Constitución de la UIT, así como los Artículos 5 y 14 del Convenio de la UIT, además de la Resolución </w:t>
      </w:r>
      <w:r w:rsidRPr="0024612A">
        <w:rPr>
          <w:rFonts w:eastAsia="Calibri" w:cs="Calibri"/>
          <w:lang w:val="es-ES"/>
        </w:rPr>
        <w:t>17 (Rev. Buenos Aires, 2017) de la Conferencia Mundial de Desarrollo de las Telecomunicaciones (</w:t>
      </w:r>
      <w:proofErr w:type="spellStart"/>
      <w:r w:rsidRPr="0024612A">
        <w:rPr>
          <w:rFonts w:eastAsia="Calibri" w:cs="Calibri"/>
          <w:lang w:val="es-ES"/>
        </w:rPr>
        <w:t>CMDT</w:t>
      </w:r>
      <w:proofErr w:type="spellEnd"/>
      <w:r w:rsidRPr="0024612A">
        <w:rPr>
          <w:rFonts w:eastAsia="Calibri" w:cs="Calibri"/>
          <w:lang w:val="es-ES"/>
        </w:rPr>
        <w:t>), en la Resolución</w:t>
      </w:r>
      <w:r w:rsidRPr="0024612A">
        <w:rPr>
          <w:rFonts w:eastAsia="Arial Unicode MS" w:cstheme="minorBidi"/>
          <w:lang w:val="es-ES"/>
        </w:rPr>
        <w:t xml:space="preserve"> 25 (Rev. Bucarest, 2022) de la conferencia de Plenipotenciarios, Fortalecimiento de la presencia regional de la UIT, se resuelve, entre otras cosas, que la UIT </w:t>
      </w:r>
      <w:r w:rsidR="00206753">
        <w:rPr>
          <w:rFonts w:eastAsia="Arial Unicode MS" w:cstheme="minorBidi"/>
          <w:lang w:val="es-ES"/>
        </w:rPr>
        <w:t>"</w:t>
      </w:r>
      <w:r w:rsidRPr="0024612A">
        <w:rPr>
          <w:rFonts w:eastAsia="Arial Unicode MS" w:cstheme="minorBidi"/>
          <w:lang w:val="es-ES"/>
        </w:rPr>
        <w:t>siga reforzando las funciones de las Oficinas Regionales y Zonales para que puedan desempeñar un importante papel en la ejecución</w:t>
      </w:r>
      <w:r>
        <w:rPr>
          <w:rFonts w:eastAsia="Arial Unicode MS" w:cstheme="minorBidi"/>
          <w:lang w:val="es-ES"/>
        </w:rPr>
        <w:t xml:space="preserve"> </w:t>
      </w:r>
      <w:r w:rsidRPr="0024612A">
        <w:rPr>
          <w:rFonts w:eastAsia="Arial Unicode MS" w:cstheme="minorBidi"/>
          <w:lang w:val="es-ES"/>
        </w:rPr>
        <w:t>del Plan Estratégico, los programas y proyectos de</w:t>
      </w:r>
      <w:r>
        <w:rPr>
          <w:rFonts w:eastAsia="Arial Unicode MS" w:cstheme="minorBidi"/>
          <w:lang w:val="es-ES"/>
        </w:rPr>
        <w:t xml:space="preserve"> </w:t>
      </w:r>
      <w:r w:rsidRPr="0024612A">
        <w:rPr>
          <w:rFonts w:eastAsia="Arial Unicode MS" w:cstheme="minorBidi"/>
          <w:lang w:val="es-ES"/>
        </w:rPr>
        <w:t>la UIT y las iniciativas re</w:t>
      </w:r>
      <w:r>
        <w:rPr>
          <w:rFonts w:eastAsia="Arial Unicode MS" w:cstheme="minorBidi"/>
          <w:lang w:val="es-ES"/>
        </w:rPr>
        <w:t>gionales establecidas en el Plan de Acción de Kigali (PAK) con arreglo a la Resolución</w:t>
      </w:r>
      <w:r w:rsidRPr="0024612A">
        <w:rPr>
          <w:rFonts w:eastAsia="Arial Unicode MS" w:cstheme="minorBidi"/>
          <w:lang w:val="es-ES"/>
        </w:rPr>
        <w:t xml:space="preserve"> 17</w:t>
      </w:r>
      <w:r w:rsidR="00206753">
        <w:rPr>
          <w:rFonts w:eastAsia="Arial Unicode MS" w:cstheme="minorBidi"/>
          <w:lang w:val="es-ES"/>
        </w:rPr>
        <w:t> </w:t>
      </w:r>
      <w:r w:rsidRPr="0024612A">
        <w:rPr>
          <w:rFonts w:eastAsia="Arial Unicode MS" w:cstheme="minorBidi"/>
          <w:lang w:val="es-ES"/>
        </w:rPr>
        <w:t>(Rev.</w:t>
      </w:r>
      <w:r w:rsidR="00206753">
        <w:rPr>
          <w:rFonts w:eastAsia="Arial Unicode MS" w:cstheme="minorBidi"/>
          <w:lang w:val="es-ES"/>
        </w:rPr>
        <w:t> </w:t>
      </w:r>
      <w:r w:rsidRPr="0024612A">
        <w:rPr>
          <w:rFonts w:eastAsia="Arial Unicode MS" w:cstheme="minorBidi"/>
          <w:lang w:val="es-ES"/>
        </w:rPr>
        <w:t xml:space="preserve">Kigali, 2022) </w:t>
      </w:r>
      <w:r>
        <w:rPr>
          <w:rFonts w:eastAsia="Arial Unicode MS" w:cstheme="minorBidi"/>
          <w:lang w:val="es-ES"/>
        </w:rPr>
        <w:t xml:space="preserve">de la </w:t>
      </w:r>
      <w:proofErr w:type="spellStart"/>
      <w:r>
        <w:rPr>
          <w:rFonts w:eastAsia="Arial Unicode MS" w:cstheme="minorBidi"/>
          <w:lang w:val="es-ES"/>
        </w:rPr>
        <w:t>CMDT</w:t>
      </w:r>
      <w:proofErr w:type="spellEnd"/>
      <w:r>
        <w:rPr>
          <w:rFonts w:eastAsia="Arial Unicode MS" w:cstheme="minorBidi"/>
          <w:lang w:val="es-ES"/>
        </w:rPr>
        <w:t>, con sujeción a los recursos disponibles, incluidos los asignados por el Plan Financiero y los obtenidos de otras fuentes pertinentes, como las contribuciones voluntarias y los patrocinios</w:t>
      </w:r>
      <w:r w:rsidR="00206753">
        <w:rPr>
          <w:rFonts w:eastAsia="Arial Unicode MS" w:cstheme="minorBidi"/>
          <w:lang w:val="es-ES"/>
        </w:rPr>
        <w:t>"</w:t>
      </w:r>
      <w:r>
        <w:rPr>
          <w:rFonts w:eastAsia="Arial Unicode MS" w:cstheme="minorBidi"/>
          <w:lang w:val="es-ES"/>
        </w:rPr>
        <w:t>.</w:t>
      </w:r>
    </w:p>
    <w:p w14:paraId="509FE232" w14:textId="77777777" w:rsidR="006B0FE5" w:rsidRPr="004B24A0" w:rsidRDefault="006B0FE5" w:rsidP="006B0FE5">
      <w:pPr>
        <w:jc w:val="both"/>
        <w:rPr>
          <w:rFonts w:eastAsia="SimSun"/>
          <w:lang w:val="es-ES"/>
        </w:rPr>
      </w:pPr>
      <w:r w:rsidRPr="0024612A">
        <w:rPr>
          <w:rFonts w:eastAsia="SimSun"/>
          <w:lang w:val="es-ES"/>
        </w:rPr>
        <w:t>1.2</w:t>
      </w:r>
      <w:r w:rsidRPr="0024612A">
        <w:rPr>
          <w:rFonts w:eastAsia="SimSun"/>
          <w:lang w:val="es-ES"/>
        </w:rPr>
        <w:tab/>
        <w:t>En la Resolución 25 se destaca el importante papel que desempeñan las Oficinas Regionales y Zonales para permitir a la UIT (los tres Sectores y la Secretaría General) trabajar lo más estrechamente posible con sus Miembros, funcionar como canal para ejecutar programas, proyectos y actividades, difundir información sobre las actividades de la Unió</w:t>
      </w:r>
      <w:r>
        <w:rPr>
          <w:rFonts w:eastAsia="SimSun"/>
          <w:lang w:val="es-ES"/>
        </w:rPr>
        <w:t xml:space="preserve">n, establecer vínculos más estrechos con organizaciones regionales y subregionales de telecomunicaciones, así como con los organismos de las Naciones Unidas, y proporcionar asistencia técnica a los países, incluidos los PMA y los países con necesidades especiales. </w:t>
      </w:r>
      <w:r w:rsidRPr="004B24A0">
        <w:rPr>
          <w:rFonts w:eastAsia="SimSun"/>
          <w:lang w:val="es-ES"/>
        </w:rPr>
        <w:t>También insiste en la importancia de la participación de los países en desarrollo en las actividades de la UIT.</w:t>
      </w:r>
    </w:p>
    <w:p w14:paraId="20B56C9C" w14:textId="77777777" w:rsidR="006B0FE5" w:rsidRPr="004B24A0" w:rsidRDefault="006B0FE5" w:rsidP="006B0FE5">
      <w:pPr>
        <w:jc w:val="both"/>
        <w:rPr>
          <w:rFonts w:eastAsia="SimSun"/>
          <w:lang w:val="es-ES"/>
        </w:rPr>
      </w:pPr>
      <w:r w:rsidRPr="004B24A0">
        <w:rPr>
          <w:rFonts w:eastAsia="SimSun"/>
          <w:lang w:val="es-ES"/>
        </w:rPr>
        <w:t>1.3</w:t>
      </w:r>
      <w:r w:rsidRPr="004B24A0">
        <w:rPr>
          <w:rFonts w:eastAsia="SimSun"/>
          <w:lang w:val="es-ES"/>
        </w:rPr>
        <w:tab/>
        <w:t>La Conferencia de Plenipotenciarios de 2022 (PP-22) solicitó que se rindiese informe de las actividades de</w:t>
      </w:r>
      <w:r>
        <w:rPr>
          <w:rFonts w:eastAsia="SimSun"/>
          <w:lang w:val="es-ES"/>
        </w:rPr>
        <w:t xml:space="preserve"> </w:t>
      </w:r>
      <w:r w:rsidRPr="004B24A0">
        <w:rPr>
          <w:rFonts w:eastAsia="SimSun"/>
          <w:lang w:val="es-ES"/>
        </w:rPr>
        <w:t xml:space="preserve">las Oficinas Regionales y Zonales mediante la ejecución de medidas específicas para cada región, en armonía con el Plan Estratégico de la </w:t>
      </w:r>
      <w:r>
        <w:rPr>
          <w:rFonts w:eastAsia="SimSun"/>
          <w:lang w:val="es-ES"/>
        </w:rPr>
        <w:t>Unión, para facilitar la consecución global de los objetivos estratégicos de la UIT, garantizando al mismo tiempo la representación efectiva de los trabajos de la Unión, así como la diversidad geográfica y la atención a las necesidades específicas de cada región</w:t>
      </w:r>
      <w:r w:rsidRPr="004B24A0">
        <w:rPr>
          <w:rFonts w:eastAsia="SimSun"/>
          <w:lang w:val="es-ES"/>
        </w:rPr>
        <w:t xml:space="preserve">. </w:t>
      </w:r>
    </w:p>
    <w:p w14:paraId="6B146B58" w14:textId="77777777" w:rsidR="006B0FE5" w:rsidRPr="004B24A0" w:rsidRDefault="006B0FE5" w:rsidP="006B0FE5">
      <w:pPr>
        <w:jc w:val="both"/>
        <w:rPr>
          <w:rFonts w:eastAsia="SimSun"/>
          <w:lang w:val="es-ES"/>
        </w:rPr>
      </w:pPr>
      <w:r w:rsidRPr="004B24A0">
        <w:rPr>
          <w:rFonts w:eastAsia="SimSun"/>
          <w:lang w:val="es-ES"/>
        </w:rPr>
        <w:t>1.4</w:t>
      </w:r>
      <w:r w:rsidRPr="004B24A0">
        <w:rPr>
          <w:rFonts w:eastAsia="SimSun"/>
          <w:lang w:val="es-ES"/>
        </w:rPr>
        <w:tab/>
      </w:r>
      <w:r>
        <w:rPr>
          <w:rFonts w:eastAsia="SimSun"/>
          <w:lang w:val="es-ES"/>
        </w:rPr>
        <w:t>E</w:t>
      </w:r>
      <w:r w:rsidRPr="004B24A0">
        <w:rPr>
          <w:rFonts w:eastAsia="SimSun"/>
          <w:lang w:val="es-ES"/>
        </w:rPr>
        <w:t xml:space="preserve">n este Informe se presenta información sobre las actividades realizadas </w:t>
      </w:r>
      <w:r w:rsidRPr="004B24A0">
        <w:rPr>
          <w:rFonts w:eastAsia="SimSun"/>
          <w:i/>
          <w:iCs/>
          <w:lang w:val="es-ES"/>
        </w:rPr>
        <w:t xml:space="preserve">in situ </w:t>
      </w:r>
      <w:r w:rsidRPr="004B24A0">
        <w:rPr>
          <w:rFonts w:eastAsia="SimSun"/>
          <w:lang w:val="es-ES"/>
        </w:rPr>
        <w:t>por las Oficinas de la UIT en el terreno relacionadas con lo</w:t>
      </w:r>
      <w:r>
        <w:rPr>
          <w:rFonts w:eastAsia="SimSun"/>
          <w:lang w:val="es-ES"/>
        </w:rPr>
        <w:t>s tres Sectores de la Unión</w:t>
      </w:r>
      <w:r w:rsidRPr="004B24A0">
        <w:rPr>
          <w:rFonts w:eastAsia="SimSun"/>
          <w:lang w:val="es-ES"/>
        </w:rPr>
        <w:t>.</w:t>
      </w:r>
    </w:p>
    <w:p w14:paraId="09670489" w14:textId="77777777" w:rsidR="006B0FE5" w:rsidRPr="00815A7D" w:rsidRDefault="006B0FE5" w:rsidP="00815A7D">
      <w:pPr>
        <w:pStyle w:val="Heading1"/>
      </w:pPr>
      <w:r w:rsidRPr="00815A7D">
        <w:t>2</w:t>
      </w:r>
      <w:r w:rsidRPr="00815A7D">
        <w:tab/>
        <w:t>Actividades relacionadas con el Sector de Desarrollo de la UIT y la BDT</w:t>
      </w:r>
    </w:p>
    <w:p w14:paraId="5025AF18" w14:textId="63DC79F7" w:rsidR="006B0FE5" w:rsidRPr="004B24A0" w:rsidRDefault="006B0FE5" w:rsidP="00685F9C">
      <w:pPr>
        <w:pStyle w:val="Heading2"/>
      </w:pPr>
      <w:r w:rsidRPr="004B24A0">
        <w:t>2.1</w:t>
      </w:r>
      <w:r w:rsidRPr="004B24A0">
        <w:tab/>
        <w:t>Foros Regionales de Desarrollo (FRD) y Reuniones Preparatorias Regionales (RPR)</w:t>
      </w:r>
    </w:p>
    <w:p w14:paraId="50BB15D1" w14:textId="77777777" w:rsidR="006B0FE5" w:rsidRPr="004B24A0" w:rsidRDefault="006B0FE5" w:rsidP="006B0FE5">
      <w:pPr>
        <w:jc w:val="both"/>
        <w:rPr>
          <w:rFonts w:eastAsia="SimSun"/>
          <w:lang w:val="es-ES"/>
        </w:rPr>
      </w:pPr>
      <w:r w:rsidRPr="004B24A0">
        <w:rPr>
          <w:rFonts w:eastAsia="SimSun"/>
          <w:lang w:val="es-ES"/>
        </w:rPr>
        <w:t xml:space="preserve">En 2025 se celebraron consecutivamente los FRD y RPR para la CMDT-25 indicados a continuación: </w:t>
      </w:r>
    </w:p>
    <w:p w14:paraId="3440D48F" w14:textId="77777777" w:rsidR="006B0FE5" w:rsidRPr="00922311" w:rsidRDefault="006B0FE5" w:rsidP="006B0FE5">
      <w:pPr>
        <w:pStyle w:val="TableNo"/>
        <w:rPr>
          <w:rFonts w:eastAsia="SimSun"/>
        </w:rPr>
      </w:pPr>
      <w:r w:rsidRPr="006B0FE5">
        <w:rPr>
          <w:rFonts w:eastAsia="SimSun"/>
          <w:lang w:val="es-ES"/>
        </w:rPr>
        <w:lastRenderedPageBreak/>
        <w:t>CUADRO</w:t>
      </w:r>
      <w:r w:rsidRPr="00922311">
        <w:rPr>
          <w:rFonts w:eastAsia="SimSun"/>
        </w:rPr>
        <w:t xml:space="preserve"> 1</w:t>
      </w:r>
    </w:p>
    <w:p w14:paraId="36273F6D" w14:textId="77777777" w:rsidR="006B0FE5" w:rsidRPr="004B24A0" w:rsidRDefault="006B0FE5" w:rsidP="006B0FE5">
      <w:pPr>
        <w:pStyle w:val="Tabletitle"/>
        <w:rPr>
          <w:rFonts w:eastAsia="SimSun"/>
          <w:lang w:val="es-ES"/>
        </w:rPr>
      </w:pPr>
      <w:r w:rsidRPr="004B24A0">
        <w:rPr>
          <w:rFonts w:eastAsia="SimSun"/>
          <w:lang w:val="es-ES"/>
        </w:rPr>
        <w:t xml:space="preserve">Fechas y lugares de celebración de los FRD y RPR organizados </w:t>
      </w:r>
      <w:r>
        <w:rPr>
          <w:rFonts w:eastAsia="SimSun"/>
          <w:lang w:val="es-ES"/>
        </w:rPr>
        <w:t>en</w:t>
      </w:r>
      <w:r w:rsidRPr="004B24A0">
        <w:rPr>
          <w:rFonts w:eastAsia="SimSun"/>
          <w:lang w:val="es-ES"/>
        </w:rPr>
        <w:t xml:space="preserve"> 2025</w:t>
      </w:r>
    </w:p>
    <w:tbl>
      <w:tblPr>
        <w:tblStyle w:val="TableGrid"/>
        <w:tblW w:w="0" w:type="auto"/>
        <w:jc w:val="center"/>
        <w:tblLayout w:type="fixed"/>
        <w:tblCellMar>
          <w:left w:w="28" w:type="dxa"/>
          <w:right w:w="28" w:type="dxa"/>
        </w:tblCellMar>
        <w:tblLook w:val="04A0" w:firstRow="1" w:lastRow="0" w:firstColumn="1" w:lastColumn="0" w:noHBand="0" w:noVBand="1"/>
      </w:tblPr>
      <w:tblGrid>
        <w:gridCol w:w="1812"/>
        <w:gridCol w:w="1812"/>
        <w:gridCol w:w="1812"/>
        <w:gridCol w:w="1812"/>
        <w:gridCol w:w="1813"/>
      </w:tblGrid>
      <w:tr w:rsidR="006B0FE5" w:rsidRPr="00815A7D" w14:paraId="66CFB57C" w14:textId="77777777" w:rsidTr="00A74DFF">
        <w:trPr>
          <w:cantSplit/>
          <w:tblHeader/>
          <w:jc w:val="center"/>
        </w:trPr>
        <w:tc>
          <w:tcPr>
            <w:tcW w:w="1812" w:type="dxa"/>
            <w:vAlign w:val="center"/>
          </w:tcPr>
          <w:p w14:paraId="1AB90B65" w14:textId="77777777" w:rsidR="006B0FE5" w:rsidRPr="00815A7D" w:rsidRDefault="006B0FE5" w:rsidP="00815A7D">
            <w:pPr>
              <w:pStyle w:val="Tablehead"/>
            </w:pPr>
            <w:r w:rsidRPr="00815A7D">
              <w:t>Región</w:t>
            </w:r>
          </w:p>
        </w:tc>
        <w:tc>
          <w:tcPr>
            <w:tcW w:w="1812" w:type="dxa"/>
            <w:vAlign w:val="center"/>
          </w:tcPr>
          <w:p w14:paraId="47F6F084" w14:textId="77777777" w:rsidR="006B0FE5" w:rsidRPr="00815A7D" w:rsidRDefault="006B0FE5" w:rsidP="00815A7D">
            <w:pPr>
              <w:pStyle w:val="Tablehead"/>
            </w:pPr>
            <w:r w:rsidRPr="00815A7D">
              <w:t>Fechas</w:t>
            </w:r>
          </w:p>
        </w:tc>
        <w:tc>
          <w:tcPr>
            <w:tcW w:w="1812" w:type="dxa"/>
            <w:vAlign w:val="center"/>
          </w:tcPr>
          <w:p w14:paraId="6775D516" w14:textId="55D5E2E8" w:rsidR="006B0FE5" w:rsidRPr="00815A7D" w:rsidRDefault="00815A7D" w:rsidP="00815A7D">
            <w:pPr>
              <w:pStyle w:val="Tablehead"/>
            </w:pPr>
            <w:r w:rsidRPr="00815A7D">
              <w:t xml:space="preserve">Ciudad </w:t>
            </w:r>
            <w:r w:rsidR="006B0FE5" w:rsidRPr="00815A7D">
              <w:t>y país anfitrión</w:t>
            </w:r>
          </w:p>
        </w:tc>
        <w:tc>
          <w:tcPr>
            <w:tcW w:w="1812" w:type="dxa"/>
            <w:vAlign w:val="center"/>
          </w:tcPr>
          <w:p w14:paraId="2E7CA4BB" w14:textId="77777777" w:rsidR="006B0FE5" w:rsidRPr="00815A7D" w:rsidRDefault="006B0FE5" w:rsidP="00815A7D">
            <w:pPr>
              <w:pStyle w:val="Tablehead"/>
            </w:pPr>
            <w:r w:rsidRPr="00815A7D">
              <w:t xml:space="preserve">Informe final de la </w:t>
            </w:r>
            <w:proofErr w:type="spellStart"/>
            <w:r w:rsidRPr="00815A7D">
              <w:t>RPR</w:t>
            </w:r>
            <w:proofErr w:type="spellEnd"/>
          </w:p>
        </w:tc>
        <w:tc>
          <w:tcPr>
            <w:tcW w:w="1813" w:type="dxa"/>
          </w:tcPr>
          <w:p w14:paraId="7EC85772" w14:textId="77777777" w:rsidR="006B0FE5" w:rsidRPr="00815A7D" w:rsidRDefault="006B0FE5" w:rsidP="00815A7D">
            <w:pPr>
              <w:pStyle w:val="Tablehead"/>
            </w:pPr>
            <w:r w:rsidRPr="00815A7D">
              <w:t>Enlace al vídeo sobre la aplicación del Plan de Acción de Kigali (PAK)</w:t>
            </w:r>
          </w:p>
        </w:tc>
      </w:tr>
      <w:tr w:rsidR="006B0FE5" w:rsidRPr="00922311" w14:paraId="5FF671B7" w14:textId="77777777" w:rsidTr="00A74DFF">
        <w:trPr>
          <w:cantSplit/>
          <w:jc w:val="center"/>
        </w:trPr>
        <w:tc>
          <w:tcPr>
            <w:tcW w:w="1812" w:type="dxa"/>
          </w:tcPr>
          <w:p w14:paraId="497246AA" w14:textId="3DD29664" w:rsidR="006B0FE5" w:rsidRPr="00922311" w:rsidRDefault="006B0FE5" w:rsidP="00815A7D">
            <w:pPr>
              <w:pStyle w:val="Tabletext"/>
              <w:jc w:val="center"/>
              <w:rPr>
                <w:rFonts w:eastAsia="SimSun"/>
                <w:szCs w:val="20"/>
              </w:rPr>
            </w:pPr>
            <w:hyperlink r:id="rId12" w:anchor="/es" w:history="1">
              <w:proofErr w:type="spellStart"/>
              <w:r>
                <w:rPr>
                  <w:rStyle w:val="Hyperlink"/>
                  <w:rFonts w:eastAsia="Calibri" w:cs="Calibri"/>
                  <w:szCs w:val="20"/>
                </w:rPr>
                <w:t>FRD</w:t>
              </w:r>
              <w:proofErr w:type="spellEnd"/>
            </w:hyperlink>
            <w:r w:rsidRPr="00922311">
              <w:rPr>
                <w:szCs w:val="20"/>
              </w:rPr>
              <w:t xml:space="preserve"> &amp; </w:t>
            </w:r>
            <w:hyperlink r:id="rId13" w:anchor="/es" w:history="1">
              <w:proofErr w:type="spellStart"/>
              <w:r>
                <w:rPr>
                  <w:rStyle w:val="Hyperlink"/>
                  <w:rFonts w:eastAsia="Calibri" w:cs="Calibri"/>
                  <w:szCs w:val="20"/>
                </w:rPr>
                <w:t>RPR-ARB</w:t>
              </w:r>
              <w:proofErr w:type="spellEnd"/>
            </w:hyperlink>
          </w:p>
        </w:tc>
        <w:tc>
          <w:tcPr>
            <w:tcW w:w="1812" w:type="dxa"/>
          </w:tcPr>
          <w:p w14:paraId="400DC1D2" w14:textId="77777777" w:rsidR="006B0FE5" w:rsidRPr="00815A7D" w:rsidRDefault="006B0FE5" w:rsidP="00815A7D">
            <w:pPr>
              <w:pStyle w:val="Tabletext"/>
            </w:pPr>
            <w:r w:rsidRPr="004B24A0">
              <w:t>3 de febrero de 2025</w:t>
            </w:r>
            <w:r w:rsidRPr="004B24A0">
              <w:br/>
              <w:t>4-5 de febrero de 2025</w:t>
            </w:r>
          </w:p>
        </w:tc>
        <w:tc>
          <w:tcPr>
            <w:tcW w:w="1812" w:type="dxa"/>
          </w:tcPr>
          <w:p w14:paraId="6AD17BDD" w14:textId="77777777" w:rsidR="006B0FE5" w:rsidRPr="00922311" w:rsidRDefault="006B0FE5" w:rsidP="00815A7D">
            <w:pPr>
              <w:pStyle w:val="Tabletext"/>
              <w:jc w:val="center"/>
              <w:rPr>
                <w:rFonts w:eastAsia="SimSun"/>
              </w:rPr>
            </w:pPr>
            <w:r w:rsidRPr="00922311">
              <w:t>Amm</w:t>
            </w:r>
            <w:r>
              <w:t>á</w:t>
            </w:r>
            <w:r w:rsidRPr="00922311">
              <w:t>n, Jordan</w:t>
            </w:r>
            <w:r>
              <w:t>ia</w:t>
            </w:r>
          </w:p>
        </w:tc>
        <w:tc>
          <w:tcPr>
            <w:tcW w:w="1812" w:type="dxa"/>
          </w:tcPr>
          <w:p w14:paraId="0189C0AE" w14:textId="3A5DED9F" w:rsidR="006B0FE5" w:rsidRPr="00922311" w:rsidRDefault="006B0FE5" w:rsidP="00815A7D">
            <w:pPr>
              <w:pStyle w:val="Tabletext"/>
              <w:jc w:val="center"/>
              <w:rPr>
                <w:rFonts w:eastAsia="SimSun"/>
                <w:szCs w:val="20"/>
              </w:rPr>
            </w:pPr>
            <w:hyperlink r:id="rId14">
              <w:r>
                <w:rPr>
                  <w:rStyle w:val="Hyperlink"/>
                  <w:rFonts w:eastAsia="Calibri" w:cs="Calibri"/>
                  <w:szCs w:val="20"/>
                </w:rPr>
                <w:t>Informe</w:t>
              </w:r>
            </w:hyperlink>
          </w:p>
        </w:tc>
        <w:tc>
          <w:tcPr>
            <w:tcW w:w="1813" w:type="dxa"/>
          </w:tcPr>
          <w:p w14:paraId="1CB17C33" w14:textId="77777777" w:rsidR="006B0FE5" w:rsidRPr="00922311" w:rsidRDefault="006B0FE5" w:rsidP="00815A7D">
            <w:pPr>
              <w:pStyle w:val="Tabletext"/>
              <w:jc w:val="center"/>
              <w:rPr>
                <w:rFonts w:eastAsia="SimSun"/>
                <w:szCs w:val="20"/>
              </w:rPr>
            </w:pPr>
            <w:hyperlink r:id="rId15">
              <w:r w:rsidRPr="00922311">
                <w:rPr>
                  <w:rStyle w:val="Hyperlink"/>
                  <w:rFonts w:eastAsia="Calibri" w:cs="Calibri"/>
                  <w:szCs w:val="20"/>
                </w:rPr>
                <w:t>V</w:t>
              </w:r>
              <w:r>
                <w:rPr>
                  <w:rStyle w:val="Hyperlink"/>
                  <w:rFonts w:eastAsia="Calibri" w:cs="Calibri"/>
                  <w:szCs w:val="20"/>
                </w:rPr>
                <w:t>í</w:t>
              </w:r>
              <w:r w:rsidRPr="00922311">
                <w:rPr>
                  <w:rStyle w:val="Hyperlink"/>
                  <w:rFonts w:eastAsia="Calibri" w:cs="Calibri"/>
                  <w:szCs w:val="20"/>
                </w:rPr>
                <w:t>deo</w:t>
              </w:r>
            </w:hyperlink>
          </w:p>
        </w:tc>
      </w:tr>
      <w:tr w:rsidR="006B0FE5" w:rsidRPr="00922311" w14:paraId="651F826E" w14:textId="77777777" w:rsidTr="00A74DFF">
        <w:trPr>
          <w:cantSplit/>
          <w:jc w:val="center"/>
        </w:trPr>
        <w:tc>
          <w:tcPr>
            <w:tcW w:w="1812" w:type="dxa"/>
          </w:tcPr>
          <w:p w14:paraId="0C755FE0" w14:textId="4237970A" w:rsidR="006B0FE5" w:rsidRPr="00922311" w:rsidRDefault="006B0FE5" w:rsidP="00815A7D">
            <w:pPr>
              <w:pStyle w:val="Tabletext"/>
              <w:jc w:val="center"/>
              <w:rPr>
                <w:rFonts w:eastAsia="SimSun"/>
                <w:szCs w:val="20"/>
              </w:rPr>
            </w:pPr>
            <w:hyperlink r:id="rId16" w:anchor="/es" w:history="1">
              <w:r>
                <w:rPr>
                  <w:rStyle w:val="Hyperlink"/>
                  <w:rFonts w:eastAsia="Calibri" w:cs="Calibri"/>
                  <w:szCs w:val="20"/>
                </w:rPr>
                <w:t>FRD</w:t>
              </w:r>
            </w:hyperlink>
            <w:r w:rsidRPr="00922311">
              <w:rPr>
                <w:szCs w:val="20"/>
              </w:rPr>
              <w:t xml:space="preserve"> &amp; </w:t>
            </w:r>
            <w:hyperlink r:id="rId17" w:anchor="/es" w:history="1">
              <w:r>
                <w:rPr>
                  <w:rStyle w:val="Hyperlink"/>
                  <w:rFonts w:eastAsia="Calibri" w:cs="Calibri"/>
                  <w:szCs w:val="20"/>
                </w:rPr>
                <w:t>RPR-EUR</w:t>
              </w:r>
            </w:hyperlink>
          </w:p>
        </w:tc>
        <w:tc>
          <w:tcPr>
            <w:tcW w:w="1812" w:type="dxa"/>
          </w:tcPr>
          <w:p w14:paraId="0DEBBCD7" w14:textId="77777777" w:rsidR="006B0FE5" w:rsidRPr="004B24A0" w:rsidRDefault="006B0FE5" w:rsidP="00815A7D">
            <w:pPr>
              <w:pStyle w:val="Tabletext"/>
              <w:rPr>
                <w:rFonts w:eastAsia="SimSun"/>
              </w:rPr>
            </w:pPr>
            <w:r w:rsidRPr="004B24A0">
              <w:t>24 de febrero de 2025</w:t>
            </w:r>
            <w:r w:rsidRPr="004B24A0">
              <w:br/>
              <w:t>25-26 de febrero de 2025</w:t>
            </w:r>
          </w:p>
        </w:tc>
        <w:tc>
          <w:tcPr>
            <w:tcW w:w="1812" w:type="dxa"/>
          </w:tcPr>
          <w:p w14:paraId="27B83AE1" w14:textId="77777777" w:rsidR="006B0FE5" w:rsidRPr="00922311" w:rsidRDefault="006B0FE5" w:rsidP="00815A7D">
            <w:pPr>
              <w:pStyle w:val="Tabletext"/>
              <w:jc w:val="center"/>
              <w:rPr>
                <w:rFonts w:eastAsia="SimSun"/>
              </w:rPr>
            </w:pPr>
            <w:r w:rsidRPr="00922311">
              <w:t>Budapest, Hungr</w:t>
            </w:r>
            <w:r>
              <w:t>ía</w:t>
            </w:r>
          </w:p>
        </w:tc>
        <w:tc>
          <w:tcPr>
            <w:tcW w:w="1812" w:type="dxa"/>
          </w:tcPr>
          <w:p w14:paraId="61B79B1C" w14:textId="042F94CD" w:rsidR="006B0FE5" w:rsidRPr="00922311" w:rsidRDefault="006B0FE5" w:rsidP="00815A7D">
            <w:pPr>
              <w:pStyle w:val="Tabletext"/>
              <w:jc w:val="center"/>
              <w:rPr>
                <w:rFonts w:eastAsia="SimSun"/>
                <w:szCs w:val="20"/>
              </w:rPr>
            </w:pPr>
            <w:hyperlink r:id="rId18">
              <w:r>
                <w:rPr>
                  <w:rStyle w:val="Hyperlink"/>
                  <w:rFonts w:eastAsia="Calibri" w:cs="Calibri"/>
                  <w:szCs w:val="20"/>
                </w:rPr>
                <w:t>Informe</w:t>
              </w:r>
            </w:hyperlink>
          </w:p>
        </w:tc>
        <w:tc>
          <w:tcPr>
            <w:tcW w:w="1813" w:type="dxa"/>
          </w:tcPr>
          <w:p w14:paraId="5BC6650D" w14:textId="77777777" w:rsidR="006B0FE5" w:rsidRPr="00922311" w:rsidRDefault="006B0FE5" w:rsidP="00815A7D">
            <w:pPr>
              <w:pStyle w:val="Tabletext"/>
              <w:jc w:val="center"/>
              <w:rPr>
                <w:rFonts w:eastAsia="SimSun"/>
                <w:szCs w:val="20"/>
              </w:rPr>
            </w:pPr>
            <w:hyperlink r:id="rId19">
              <w:r w:rsidRPr="00922311">
                <w:rPr>
                  <w:rStyle w:val="Hyperlink"/>
                  <w:rFonts w:eastAsia="Calibri" w:cs="Calibri"/>
                  <w:szCs w:val="20"/>
                </w:rPr>
                <w:t>V</w:t>
              </w:r>
              <w:r>
                <w:rPr>
                  <w:rStyle w:val="Hyperlink"/>
                  <w:rFonts w:eastAsia="Calibri" w:cs="Calibri"/>
                  <w:szCs w:val="20"/>
                </w:rPr>
                <w:t>í</w:t>
              </w:r>
              <w:r w:rsidRPr="00922311">
                <w:rPr>
                  <w:rStyle w:val="Hyperlink"/>
                  <w:rFonts w:eastAsia="Calibri" w:cs="Calibri"/>
                  <w:szCs w:val="20"/>
                </w:rPr>
                <w:t>deo</w:t>
              </w:r>
            </w:hyperlink>
          </w:p>
        </w:tc>
      </w:tr>
      <w:tr w:rsidR="006B0FE5" w:rsidRPr="00922311" w14:paraId="4C495F1C" w14:textId="77777777" w:rsidTr="00A74DFF">
        <w:trPr>
          <w:cantSplit/>
          <w:jc w:val="center"/>
        </w:trPr>
        <w:tc>
          <w:tcPr>
            <w:tcW w:w="1812" w:type="dxa"/>
          </w:tcPr>
          <w:p w14:paraId="04DBA695" w14:textId="5EB1C8B3" w:rsidR="006B0FE5" w:rsidRPr="00922311" w:rsidRDefault="003A7CC9" w:rsidP="00815A7D">
            <w:pPr>
              <w:pStyle w:val="Tabletext"/>
              <w:jc w:val="center"/>
              <w:rPr>
                <w:rFonts w:eastAsia="SimSun"/>
                <w:szCs w:val="20"/>
              </w:rPr>
            </w:pPr>
            <w:hyperlink r:id="rId20" w:anchor="/es" w:history="1">
              <w:r>
                <w:rPr>
                  <w:rStyle w:val="Hyperlink"/>
                  <w:rFonts w:eastAsia="Calibri" w:cs="Calibri"/>
                  <w:szCs w:val="20"/>
                </w:rPr>
                <w:t>FRD</w:t>
              </w:r>
            </w:hyperlink>
            <w:r w:rsidR="006B0FE5" w:rsidRPr="00922311">
              <w:rPr>
                <w:szCs w:val="20"/>
              </w:rPr>
              <w:t xml:space="preserve"> &amp;</w:t>
            </w:r>
            <w:r w:rsidR="006B0FE5" w:rsidRPr="00922311">
              <w:rPr>
                <w:szCs w:val="20"/>
              </w:rPr>
              <w:br/>
            </w:r>
            <w:hyperlink r:id="rId21" w:anchor="/es" w:history="1">
              <w:r w:rsidR="006B0FE5" w:rsidRPr="00922311">
                <w:rPr>
                  <w:rStyle w:val="Hyperlink"/>
                  <w:rFonts w:eastAsia="Calibri" w:cs="Calibri"/>
                  <w:szCs w:val="20"/>
                </w:rPr>
                <w:t>RP</w:t>
              </w:r>
              <w:r w:rsidR="006B0FE5">
                <w:rPr>
                  <w:rStyle w:val="Hyperlink"/>
                  <w:rFonts w:eastAsia="Calibri" w:cs="Calibri"/>
                  <w:szCs w:val="20"/>
                </w:rPr>
                <w:t>R</w:t>
              </w:r>
              <w:r w:rsidR="006B0FE5" w:rsidRPr="00922311">
                <w:rPr>
                  <w:rStyle w:val="Hyperlink"/>
                  <w:rFonts w:eastAsia="Calibri" w:cs="Calibri"/>
                  <w:szCs w:val="20"/>
                </w:rPr>
                <w:t>-ASP</w:t>
              </w:r>
            </w:hyperlink>
          </w:p>
        </w:tc>
        <w:tc>
          <w:tcPr>
            <w:tcW w:w="1812" w:type="dxa"/>
          </w:tcPr>
          <w:p w14:paraId="799255D4" w14:textId="77777777" w:rsidR="006B0FE5" w:rsidRPr="004B24A0" w:rsidRDefault="006B0FE5" w:rsidP="00815A7D">
            <w:pPr>
              <w:pStyle w:val="Tabletext"/>
              <w:rPr>
                <w:rFonts w:eastAsia="SimSun"/>
              </w:rPr>
            </w:pPr>
            <w:r w:rsidRPr="004B24A0">
              <w:t>19 de marzo de 2025</w:t>
            </w:r>
            <w:r w:rsidRPr="004B24A0">
              <w:br/>
              <w:t>20-21 de marzo de 2025</w:t>
            </w:r>
          </w:p>
        </w:tc>
        <w:tc>
          <w:tcPr>
            <w:tcW w:w="1812" w:type="dxa"/>
          </w:tcPr>
          <w:p w14:paraId="7DF38C97" w14:textId="77777777" w:rsidR="006B0FE5" w:rsidRPr="00922311" w:rsidRDefault="006B0FE5" w:rsidP="00815A7D">
            <w:pPr>
              <w:pStyle w:val="Tabletext"/>
              <w:jc w:val="center"/>
              <w:rPr>
                <w:rFonts w:eastAsia="SimSun"/>
              </w:rPr>
            </w:pPr>
            <w:r w:rsidRPr="00922311">
              <w:t>Bangkok, Tailand</w:t>
            </w:r>
            <w:r>
              <w:t>ia</w:t>
            </w:r>
          </w:p>
        </w:tc>
        <w:tc>
          <w:tcPr>
            <w:tcW w:w="1812" w:type="dxa"/>
          </w:tcPr>
          <w:p w14:paraId="03657053" w14:textId="38DB26CC" w:rsidR="006B0FE5" w:rsidRPr="00922311" w:rsidRDefault="006B0FE5" w:rsidP="00815A7D">
            <w:pPr>
              <w:pStyle w:val="Tabletext"/>
              <w:jc w:val="center"/>
              <w:rPr>
                <w:rFonts w:eastAsia="SimSun"/>
                <w:szCs w:val="20"/>
              </w:rPr>
            </w:pPr>
            <w:hyperlink r:id="rId22">
              <w:r>
                <w:rPr>
                  <w:rStyle w:val="Hyperlink"/>
                  <w:rFonts w:eastAsia="Calibri" w:cs="Calibri"/>
                  <w:szCs w:val="20"/>
                </w:rPr>
                <w:t>Informe</w:t>
              </w:r>
            </w:hyperlink>
          </w:p>
        </w:tc>
        <w:tc>
          <w:tcPr>
            <w:tcW w:w="1813" w:type="dxa"/>
          </w:tcPr>
          <w:p w14:paraId="6592D02E" w14:textId="77777777" w:rsidR="006B0FE5" w:rsidRPr="00922311" w:rsidRDefault="006B0FE5" w:rsidP="00815A7D">
            <w:pPr>
              <w:pStyle w:val="Tabletext"/>
              <w:jc w:val="center"/>
              <w:rPr>
                <w:rFonts w:eastAsia="SimSun"/>
                <w:szCs w:val="20"/>
              </w:rPr>
            </w:pPr>
            <w:hyperlink r:id="rId23">
              <w:r w:rsidRPr="00922311">
                <w:rPr>
                  <w:rStyle w:val="Hyperlink"/>
                  <w:rFonts w:eastAsia="Calibri" w:cs="Calibri"/>
                  <w:szCs w:val="20"/>
                </w:rPr>
                <w:t>V</w:t>
              </w:r>
              <w:r>
                <w:rPr>
                  <w:rStyle w:val="Hyperlink"/>
                  <w:rFonts w:eastAsia="Calibri" w:cs="Calibri"/>
                  <w:szCs w:val="20"/>
                </w:rPr>
                <w:t>í</w:t>
              </w:r>
              <w:r w:rsidRPr="00922311">
                <w:rPr>
                  <w:rStyle w:val="Hyperlink"/>
                  <w:rFonts w:eastAsia="Calibri" w:cs="Calibri"/>
                  <w:szCs w:val="20"/>
                </w:rPr>
                <w:t>deo</w:t>
              </w:r>
            </w:hyperlink>
          </w:p>
        </w:tc>
      </w:tr>
      <w:tr w:rsidR="006B0FE5" w:rsidRPr="00922311" w14:paraId="1AF9263A" w14:textId="77777777" w:rsidTr="00A74DFF">
        <w:trPr>
          <w:cantSplit/>
          <w:jc w:val="center"/>
        </w:trPr>
        <w:tc>
          <w:tcPr>
            <w:tcW w:w="1812" w:type="dxa"/>
          </w:tcPr>
          <w:p w14:paraId="35D28C50" w14:textId="77777777" w:rsidR="006B0FE5" w:rsidRPr="00922311" w:rsidRDefault="006B0FE5" w:rsidP="00815A7D">
            <w:pPr>
              <w:pStyle w:val="Tabletext"/>
              <w:jc w:val="center"/>
              <w:rPr>
                <w:rFonts w:eastAsia="SimSun"/>
                <w:szCs w:val="20"/>
              </w:rPr>
            </w:pPr>
            <w:hyperlink r:id="rId24" w:history="1">
              <w:r>
                <w:rPr>
                  <w:rStyle w:val="Hyperlink"/>
                  <w:rFonts w:eastAsia="Calibri" w:cs="Calibri"/>
                  <w:szCs w:val="20"/>
                </w:rPr>
                <w:t>FRD</w:t>
              </w:r>
            </w:hyperlink>
            <w:r w:rsidRPr="00922311">
              <w:rPr>
                <w:szCs w:val="20"/>
              </w:rPr>
              <w:t xml:space="preserve"> &amp;</w:t>
            </w:r>
            <w:r w:rsidRPr="00922311">
              <w:rPr>
                <w:szCs w:val="20"/>
              </w:rPr>
              <w:br/>
            </w:r>
            <w:hyperlink r:id="rId25" w:history="1">
              <w:r w:rsidRPr="00922311">
                <w:rPr>
                  <w:rStyle w:val="Hyperlink"/>
                  <w:rFonts w:eastAsia="Calibri" w:cs="Calibri"/>
                  <w:szCs w:val="20"/>
                </w:rPr>
                <w:t>RP</w:t>
              </w:r>
              <w:r>
                <w:rPr>
                  <w:rStyle w:val="Hyperlink"/>
                  <w:rFonts w:eastAsia="Calibri" w:cs="Calibri"/>
                  <w:szCs w:val="20"/>
                </w:rPr>
                <w:t>R</w:t>
              </w:r>
              <w:r w:rsidRPr="00922311">
                <w:rPr>
                  <w:rStyle w:val="Hyperlink"/>
                  <w:rFonts w:eastAsia="Calibri" w:cs="Calibri"/>
                  <w:szCs w:val="20"/>
                </w:rPr>
                <w:t>-AMS</w:t>
              </w:r>
            </w:hyperlink>
          </w:p>
        </w:tc>
        <w:tc>
          <w:tcPr>
            <w:tcW w:w="1812" w:type="dxa"/>
          </w:tcPr>
          <w:p w14:paraId="695DBC6A" w14:textId="77777777" w:rsidR="006B0FE5" w:rsidRPr="004B24A0" w:rsidRDefault="006B0FE5" w:rsidP="00815A7D">
            <w:pPr>
              <w:pStyle w:val="Tabletext"/>
              <w:rPr>
                <w:rFonts w:eastAsia="SimSun"/>
              </w:rPr>
            </w:pPr>
            <w:r w:rsidRPr="004B24A0">
              <w:t>31 de marzo de 2025</w:t>
            </w:r>
            <w:r w:rsidRPr="004B24A0">
              <w:br/>
              <w:t>1-2 de abril de 2025</w:t>
            </w:r>
          </w:p>
        </w:tc>
        <w:tc>
          <w:tcPr>
            <w:tcW w:w="1812" w:type="dxa"/>
          </w:tcPr>
          <w:p w14:paraId="4C12292A" w14:textId="77777777" w:rsidR="006B0FE5" w:rsidRPr="00922311" w:rsidRDefault="006B0FE5" w:rsidP="00815A7D">
            <w:pPr>
              <w:pStyle w:val="Tabletext"/>
              <w:jc w:val="center"/>
              <w:rPr>
                <w:rFonts w:eastAsia="SimSun"/>
              </w:rPr>
            </w:pPr>
            <w:r w:rsidRPr="00922311">
              <w:t>Asunci</w:t>
            </w:r>
            <w:r>
              <w:t>ó</w:t>
            </w:r>
            <w:r w:rsidRPr="00922311">
              <w:t>n, Paraguay</w:t>
            </w:r>
          </w:p>
        </w:tc>
        <w:tc>
          <w:tcPr>
            <w:tcW w:w="1812" w:type="dxa"/>
          </w:tcPr>
          <w:p w14:paraId="6FC2175B" w14:textId="77777777" w:rsidR="006B0FE5" w:rsidRPr="00922311" w:rsidRDefault="006B0FE5" w:rsidP="00815A7D">
            <w:pPr>
              <w:pStyle w:val="Tabletext"/>
              <w:jc w:val="center"/>
              <w:rPr>
                <w:rFonts w:eastAsia="SimSun"/>
                <w:szCs w:val="20"/>
              </w:rPr>
            </w:pPr>
            <w:hyperlink r:id="rId26">
              <w:r>
                <w:rPr>
                  <w:rStyle w:val="Hyperlink"/>
                  <w:rFonts w:eastAsia="Calibri" w:cs="Calibri"/>
                  <w:szCs w:val="20"/>
                </w:rPr>
                <w:t>Informe</w:t>
              </w:r>
            </w:hyperlink>
          </w:p>
        </w:tc>
        <w:tc>
          <w:tcPr>
            <w:tcW w:w="1813" w:type="dxa"/>
          </w:tcPr>
          <w:p w14:paraId="0406FBDE" w14:textId="77777777" w:rsidR="006B0FE5" w:rsidRPr="00922311" w:rsidRDefault="006B0FE5" w:rsidP="00815A7D">
            <w:pPr>
              <w:pStyle w:val="Tabletext"/>
              <w:jc w:val="center"/>
              <w:rPr>
                <w:rFonts w:eastAsia="SimSun"/>
                <w:szCs w:val="20"/>
              </w:rPr>
            </w:pPr>
            <w:hyperlink r:id="rId27">
              <w:r w:rsidRPr="00922311">
                <w:rPr>
                  <w:rStyle w:val="Hyperlink"/>
                  <w:rFonts w:eastAsia="Calibri" w:cs="Calibri"/>
                  <w:szCs w:val="20"/>
                </w:rPr>
                <w:t>V</w:t>
              </w:r>
              <w:r>
                <w:rPr>
                  <w:rStyle w:val="Hyperlink"/>
                  <w:rFonts w:eastAsia="Calibri" w:cs="Calibri"/>
                  <w:szCs w:val="20"/>
                </w:rPr>
                <w:t>í</w:t>
              </w:r>
              <w:r w:rsidRPr="00922311">
                <w:rPr>
                  <w:rStyle w:val="Hyperlink"/>
                  <w:rFonts w:eastAsia="Calibri" w:cs="Calibri"/>
                  <w:szCs w:val="20"/>
                </w:rPr>
                <w:t>deo</w:t>
              </w:r>
            </w:hyperlink>
          </w:p>
        </w:tc>
      </w:tr>
      <w:tr w:rsidR="006B0FE5" w:rsidRPr="00922311" w14:paraId="4C98D884" w14:textId="77777777" w:rsidTr="00A74DFF">
        <w:trPr>
          <w:cantSplit/>
          <w:jc w:val="center"/>
        </w:trPr>
        <w:tc>
          <w:tcPr>
            <w:tcW w:w="1812" w:type="dxa"/>
          </w:tcPr>
          <w:p w14:paraId="633C49D9" w14:textId="73E07A22" w:rsidR="006B0FE5" w:rsidRPr="00922311" w:rsidRDefault="003A7CC9" w:rsidP="00815A7D">
            <w:pPr>
              <w:pStyle w:val="Tabletext"/>
              <w:jc w:val="center"/>
              <w:rPr>
                <w:rFonts w:eastAsia="SimSun"/>
                <w:szCs w:val="20"/>
              </w:rPr>
            </w:pPr>
            <w:hyperlink r:id="rId28" w:history="1">
              <w:r>
                <w:rPr>
                  <w:rStyle w:val="Hyperlink"/>
                  <w:rFonts w:eastAsia="Calibri" w:cs="Calibri"/>
                  <w:szCs w:val="20"/>
                </w:rPr>
                <w:t>FRD</w:t>
              </w:r>
            </w:hyperlink>
            <w:r w:rsidR="006B0FE5" w:rsidRPr="00922311">
              <w:rPr>
                <w:szCs w:val="20"/>
              </w:rPr>
              <w:t xml:space="preserve"> &amp;</w:t>
            </w:r>
            <w:r w:rsidR="006B0FE5" w:rsidRPr="00922311">
              <w:rPr>
                <w:szCs w:val="20"/>
              </w:rPr>
              <w:br/>
            </w:r>
            <w:hyperlink r:id="rId29" w:anchor="/es" w:history="1">
              <w:r w:rsidR="006B0FE5" w:rsidRPr="00922311">
                <w:rPr>
                  <w:rStyle w:val="Hyperlink"/>
                  <w:rFonts w:eastAsia="Calibri" w:cs="Calibri"/>
                  <w:szCs w:val="20"/>
                </w:rPr>
                <w:t>RP</w:t>
              </w:r>
              <w:r w:rsidR="006B0FE5">
                <w:rPr>
                  <w:rStyle w:val="Hyperlink"/>
                  <w:rFonts w:eastAsia="Calibri" w:cs="Calibri"/>
                  <w:szCs w:val="20"/>
                </w:rPr>
                <w:t>R</w:t>
              </w:r>
              <w:r w:rsidR="006B0FE5" w:rsidRPr="00922311">
                <w:rPr>
                  <w:rStyle w:val="Hyperlink"/>
                  <w:rFonts w:eastAsia="Calibri" w:cs="Calibri"/>
                  <w:szCs w:val="20"/>
                </w:rPr>
                <w:t>-AFR</w:t>
              </w:r>
            </w:hyperlink>
          </w:p>
        </w:tc>
        <w:tc>
          <w:tcPr>
            <w:tcW w:w="1812" w:type="dxa"/>
          </w:tcPr>
          <w:p w14:paraId="1AE9EE50" w14:textId="77777777" w:rsidR="006B0FE5" w:rsidRPr="00AF1637" w:rsidRDefault="006B0FE5" w:rsidP="00815A7D">
            <w:pPr>
              <w:pStyle w:val="Tabletext"/>
              <w:rPr>
                <w:rFonts w:eastAsia="SimSun"/>
              </w:rPr>
            </w:pPr>
            <w:r w:rsidRPr="00AF1637">
              <w:t xml:space="preserve">7 </w:t>
            </w:r>
            <w:r w:rsidRPr="004B24A0">
              <w:t>de abril de</w:t>
            </w:r>
            <w:r w:rsidRPr="00AF1637">
              <w:t xml:space="preserve"> 2025</w:t>
            </w:r>
            <w:r w:rsidRPr="00AF1637">
              <w:br/>
              <w:t xml:space="preserve">8-9 </w:t>
            </w:r>
            <w:r w:rsidRPr="004B24A0">
              <w:t>de abril de</w:t>
            </w:r>
            <w:r w:rsidRPr="00AF1637">
              <w:t xml:space="preserve"> 2025</w:t>
            </w:r>
          </w:p>
        </w:tc>
        <w:tc>
          <w:tcPr>
            <w:tcW w:w="1812" w:type="dxa"/>
          </w:tcPr>
          <w:p w14:paraId="1B683CCB" w14:textId="77777777" w:rsidR="006B0FE5" w:rsidRPr="00922311" w:rsidRDefault="006B0FE5" w:rsidP="00815A7D">
            <w:pPr>
              <w:pStyle w:val="Tabletext"/>
              <w:jc w:val="center"/>
              <w:rPr>
                <w:rFonts w:eastAsia="SimSun"/>
              </w:rPr>
            </w:pPr>
            <w:r w:rsidRPr="00922311">
              <w:t>Nairobi, Kenya</w:t>
            </w:r>
          </w:p>
        </w:tc>
        <w:tc>
          <w:tcPr>
            <w:tcW w:w="1812" w:type="dxa"/>
          </w:tcPr>
          <w:p w14:paraId="08F10766" w14:textId="0D5E1964" w:rsidR="006B0FE5" w:rsidRPr="00922311" w:rsidRDefault="006B0FE5" w:rsidP="00815A7D">
            <w:pPr>
              <w:pStyle w:val="Tabletext"/>
              <w:jc w:val="center"/>
              <w:rPr>
                <w:rFonts w:eastAsia="SimSun"/>
                <w:szCs w:val="20"/>
              </w:rPr>
            </w:pPr>
            <w:hyperlink r:id="rId30">
              <w:r>
                <w:rPr>
                  <w:rStyle w:val="Hyperlink"/>
                  <w:rFonts w:eastAsia="Calibri" w:cs="Calibri"/>
                  <w:szCs w:val="20"/>
                </w:rPr>
                <w:t>Informe</w:t>
              </w:r>
            </w:hyperlink>
          </w:p>
        </w:tc>
        <w:tc>
          <w:tcPr>
            <w:tcW w:w="1813" w:type="dxa"/>
          </w:tcPr>
          <w:p w14:paraId="21B58AC1" w14:textId="77777777" w:rsidR="006B0FE5" w:rsidRPr="00922311" w:rsidRDefault="006B0FE5" w:rsidP="00815A7D">
            <w:pPr>
              <w:pStyle w:val="Tabletext"/>
              <w:jc w:val="center"/>
              <w:rPr>
                <w:rFonts w:eastAsia="SimSun"/>
                <w:szCs w:val="20"/>
              </w:rPr>
            </w:pPr>
            <w:hyperlink r:id="rId31">
              <w:r w:rsidRPr="00922311">
                <w:rPr>
                  <w:rStyle w:val="Hyperlink"/>
                  <w:rFonts w:eastAsia="Calibri" w:cs="Calibri"/>
                  <w:szCs w:val="20"/>
                </w:rPr>
                <w:t>V</w:t>
              </w:r>
              <w:r>
                <w:rPr>
                  <w:rStyle w:val="Hyperlink"/>
                  <w:rFonts w:eastAsia="Calibri" w:cs="Calibri"/>
                  <w:szCs w:val="20"/>
                </w:rPr>
                <w:t>í</w:t>
              </w:r>
              <w:r w:rsidRPr="00922311">
                <w:rPr>
                  <w:rStyle w:val="Hyperlink"/>
                  <w:rFonts w:eastAsia="Calibri" w:cs="Calibri"/>
                  <w:szCs w:val="20"/>
                </w:rPr>
                <w:t>deo</w:t>
              </w:r>
            </w:hyperlink>
          </w:p>
        </w:tc>
      </w:tr>
      <w:tr w:rsidR="006B0FE5" w:rsidRPr="00922311" w14:paraId="26D6230A" w14:textId="77777777" w:rsidTr="00A74DFF">
        <w:trPr>
          <w:cantSplit/>
          <w:jc w:val="center"/>
        </w:trPr>
        <w:tc>
          <w:tcPr>
            <w:tcW w:w="1812" w:type="dxa"/>
          </w:tcPr>
          <w:p w14:paraId="1EB727F5" w14:textId="0F58B305" w:rsidR="006B0FE5" w:rsidRPr="00922311" w:rsidRDefault="003A7CC9" w:rsidP="00815A7D">
            <w:pPr>
              <w:pStyle w:val="Tabletext"/>
              <w:jc w:val="center"/>
              <w:rPr>
                <w:rFonts w:eastAsia="SimSun"/>
                <w:szCs w:val="20"/>
              </w:rPr>
            </w:pPr>
            <w:hyperlink r:id="rId32" w:history="1">
              <w:r>
                <w:rPr>
                  <w:rStyle w:val="Hyperlink"/>
                  <w:rFonts w:eastAsia="Calibri" w:cs="Calibri"/>
                  <w:szCs w:val="20"/>
                </w:rPr>
                <w:t>FRD</w:t>
              </w:r>
            </w:hyperlink>
            <w:r w:rsidR="006B0FE5" w:rsidRPr="00922311">
              <w:rPr>
                <w:szCs w:val="20"/>
              </w:rPr>
              <w:t xml:space="preserve"> &amp;</w:t>
            </w:r>
            <w:r w:rsidR="006B0FE5" w:rsidRPr="00922311">
              <w:rPr>
                <w:szCs w:val="20"/>
              </w:rPr>
              <w:br/>
            </w:r>
            <w:hyperlink r:id="rId33" w:anchor="/es" w:history="1">
              <w:r w:rsidR="006B0FE5" w:rsidRPr="00922311">
                <w:rPr>
                  <w:rStyle w:val="Hyperlink"/>
                  <w:rFonts w:eastAsia="Calibri" w:cs="Calibri"/>
                  <w:szCs w:val="20"/>
                </w:rPr>
                <w:t>RP</w:t>
              </w:r>
              <w:r w:rsidR="006B0FE5">
                <w:rPr>
                  <w:rStyle w:val="Hyperlink"/>
                  <w:rFonts w:eastAsia="Calibri" w:cs="Calibri"/>
                  <w:szCs w:val="20"/>
                </w:rPr>
                <w:t>R</w:t>
              </w:r>
              <w:r w:rsidR="006B0FE5" w:rsidRPr="00922311">
                <w:rPr>
                  <w:rStyle w:val="Hyperlink"/>
                  <w:rFonts w:eastAsia="Calibri" w:cs="Calibri"/>
                  <w:szCs w:val="20"/>
                </w:rPr>
                <w:t>-C</w:t>
              </w:r>
              <w:r w:rsidR="006B0FE5">
                <w:rPr>
                  <w:rStyle w:val="Hyperlink"/>
                  <w:rFonts w:eastAsia="Calibri" w:cs="Calibri"/>
                  <w:szCs w:val="20"/>
                </w:rPr>
                <w:t>E</w:t>
              </w:r>
              <w:r w:rsidR="006B0FE5" w:rsidRPr="00922311">
                <w:rPr>
                  <w:rStyle w:val="Hyperlink"/>
                  <w:rFonts w:eastAsia="Calibri" w:cs="Calibri"/>
                  <w:szCs w:val="20"/>
                </w:rPr>
                <w:t>I</w:t>
              </w:r>
            </w:hyperlink>
          </w:p>
        </w:tc>
        <w:tc>
          <w:tcPr>
            <w:tcW w:w="1812" w:type="dxa"/>
          </w:tcPr>
          <w:p w14:paraId="738499F9" w14:textId="77777777" w:rsidR="006B0FE5" w:rsidRPr="00AF1637" w:rsidRDefault="006B0FE5" w:rsidP="00815A7D">
            <w:pPr>
              <w:pStyle w:val="Tabletext"/>
              <w:rPr>
                <w:rFonts w:eastAsia="SimSun"/>
              </w:rPr>
            </w:pPr>
            <w:r w:rsidRPr="00AF1637">
              <w:t xml:space="preserve">23 </w:t>
            </w:r>
            <w:r w:rsidRPr="004B24A0">
              <w:t>de abril de</w:t>
            </w:r>
            <w:r w:rsidRPr="00AF1637">
              <w:t xml:space="preserve"> 2025 </w:t>
            </w:r>
            <w:r w:rsidRPr="00AF1637">
              <w:br/>
              <w:t xml:space="preserve">24-25 </w:t>
            </w:r>
            <w:r w:rsidRPr="004B24A0">
              <w:t>de abril de</w:t>
            </w:r>
            <w:r w:rsidRPr="00AF1637">
              <w:t xml:space="preserve"> 2025</w:t>
            </w:r>
          </w:p>
        </w:tc>
        <w:tc>
          <w:tcPr>
            <w:tcW w:w="1812" w:type="dxa"/>
          </w:tcPr>
          <w:p w14:paraId="4113D999" w14:textId="77777777" w:rsidR="006B0FE5" w:rsidRPr="00922311" w:rsidRDefault="006B0FE5" w:rsidP="00815A7D">
            <w:pPr>
              <w:pStyle w:val="Tabletext"/>
              <w:jc w:val="center"/>
              <w:rPr>
                <w:rFonts w:eastAsia="SimSun"/>
              </w:rPr>
            </w:pPr>
            <w:r w:rsidRPr="00922311">
              <w:t>Bishkek, K</w:t>
            </w:r>
            <w:r>
              <w:t>irguistán</w:t>
            </w:r>
          </w:p>
        </w:tc>
        <w:tc>
          <w:tcPr>
            <w:tcW w:w="1812" w:type="dxa"/>
          </w:tcPr>
          <w:p w14:paraId="318F8B0A" w14:textId="1B6DB576" w:rsidR="006B0FE5" w:rsidRPr="00922311" w:rsidRDefault="006B0FE5" w:rsidP="00815A7D">
            <w:pPr>
              <w:pStyle w:val="Tabletext"/>
              <w:jc w:val="center"/>
              <w:rPr>
                <w:rFonts w:eastAsia="SimSun"/>
                <w:szCs w:val="20"/>
              </w:rPr>
            </w:pPr>
            <w:hyperlink r:id="rId34">
              <w:r>
                <w:rPr>
                  <w:rStyle w:val="Hyperlink"/>
                  <w:rFonts w:eastAsia="Calibri" w:cs="Calibri"/>
                  <w:szCs w:val="20"/>
                </w:rPr>
                <w:t>Informe</w:t>
              </w:r>
            </w:hyperlink>
          </w:p>
        </w:tc>
        <w:tc>
          <w:tcPr>
            <w:tcW w:w="1813" w:type="dxa"/>
          </w:tcPr>
          <w:p w14:paraId="6AD5CAE8" w14:textId="77777777" w:rsidR="006B0FE5" w:rsidRPr="00922311" w:rsidRDefault="006B0FE5" w:rsidP="00815A7D">
            <w:pPr>
              <w:pStyle w:val="Tabletext"/>
              <w:jc w:val="center"/>
              <w:rPr>
                <w:rFonts w:eastAsia="SimSun"/>
                <w:szCs w:val="20"/>
              </w:rPr>
            </w:pPr>
            <w:hyperlink r:id="rId35">
              <w:r w:rsidRPr="00922311">
                <w:rPr>
                  <w:rStyle w:val="Hyperlink"/>
                  <w:rFonts w:eastAsia="Calibri" w:cs="Calibri"/>
                  <w:szCs w:val="20"/>
                </w:rPr>
                <w:t>V</w:t>
              </w:r>
              <w:r>
                <w:rPr>
                  <w:rStyle w:val="Hyperlink"/>
                  <w:rFonts w:eastAsia="Calibri" w:cs="Calibri"/>
                  <w:szCs w:val="20"/>
                </w:rPr>
                <w:t>í</w:t>
              </w:r>
              <w:r w:rsidRPr="00922311">
                <w:rPr>
                  <w:rStyle w:val="Hyperlink"/>
                  <w:rFonts w:eastAsia="Calibri" w:cs="Calibri"/>
                  <w:szCs w:val="20"/>
                </w:rPr>
                <w:t>deo</w:t>
              </w:r>
            </w:hyperlink>
          </w:p>
        </w:tc>
      </w:tr>
    </w:tbl>
    <w:p w14:paraId="000AFABF" w14:textId="77777777" w:rsidR="006B0FE5" w:rsidRPr="00922311" w:rsidRDefault="006B0FE5" w:rsidP="00815A7D">
      <w:pPr>
        <w:pStyle w:val="Tablefin"/>
      </w:pPr>
    </w:p>
    <w:p w14:paraId="40422922" w14:textId="77777777" w:rsidR="006B0FE5" w:rsidRPr="00922311" w:rsidRDefault="006B0FE5" w:rsidP="006B0FE5">
      <w:pPr>
        <w:tabs>
          <w:tab w:val="clear" w:pos="567"/>
          <w:tab w:val="left" w:pos="720"/>
        </w:tabs>
        <w:overflowPunct/>
        <w:autoSpaceDE/>
        <w:autoSpaceDN/>
        <w:adjustRightInd/>
        <w:jc w:val="both"/>
        <w:textAlignment w:val="auto"/>
        <w:rPr>
          <w:rFonts w:eastAsia="SimSun"/>
          <w:b/>
          <w:bCs/>
        </w:rPr>
      </w:pPr>
      <w:r w:rsidRPr="00922311">
        <w:rPr>
          <w:rFonts w:eastAsia="SimSun"/>
          <w:b/>
          <w:bCs/>
        </w:rPr>
        <w:t>2.2</w:t>
      </w:r>
      <w:r w:rsidRPr="00922311">
        <w:rPr>
          <w:rFonts w:eastAsia="SimSun"/>
          <w:b/>
          <w:bCs/>
        </w:rPr>
        <w:tab/>
      </w:r>
      <w:r>
        <w:rPr>
          <w:rFonts w:eastAsia="SimSun"/>
          <w:b/>
          <w:bCs/>
        </w:rPr>
        <w:t>Foros Regionales de Desarrollo</w:t>
      </w:r>
    </w:p>
    <w:p w14:paraId="4530DC96" w14:textId="77777777" w:rsidR="006B0FE5" w:rsidRPr="00AF1637" w:rsidRDefault="006B0FE5" w:rsidP="006B0FE5">
      <w:pPr>
        <w:tabs>
          <w:tab w:val="clear" w:pos="567"/>
          <w:tab w:val="left" w:pos="720"/>
        </w:tabs>
        <w:overflowPunct/>
        <w:autoSpaceDE/>
        <w:autoSpaceDN/>
        <w:adjustRightInd/>
        <w:jc w:val="both"/>
        <w:textAlignment w:val="auto"/>
        <w:rPr>
          <w:rFonts w:cstheme="minorBidi"/>
          <w:lang w:val="es-ES"/>
        </w:rPr>
      </w:pPr>
      <w:r w:rsidRPr="00AF1637">
        <w:rPr>
          <w:rFonts w:eastAsia="SimSun"/>
          <w:lang w:val="es-ES"/>
        </w:rPr>
        <w:t>2.2.1</w:t>
      </w:r>
      <w:r w:rsidRPr="00AF1637">
        <w:rPr>
          <w:lang w:val="es-ES"/>
        </w:rPr>
        <w:tab/>
        <w:t>E</w:t>
      </w:r>
      <w:r w:rsidRPr="00AF1637">
        <w:rPr>
          <w:rFonts w:cstheme="minorBidi"/>
          <w:lang w:val="es-ES"/>
        </w:rPr>
        <w:t xml:space="preserve">n 2025, entre febrero y abril, la Oficina de Desarrollo de las Telecomunicaciones (BDT) organizó una </w:t>
      </w:r>
      <w:r>
        <w:rPr>
          <w:rFonts w:cstheme="minorBidi"/>
          <w:lang w:val="es-ES"/>
        </w:rPr>
        <w:t>serie de seis FRD con ocasión de las Reuniones Preparatorias Regionales (RPR) para la CMDT</w:t>
      </w:r>
      <w:r w:rsidRPr="00AF1637">
        <w:rPr>
          <w:rFonts w:cstheme="minorBidi"/>
          <w:lang w:val="es-ES"/>
        </w:rPr>
        <w:t xml:space="preserve">-25. Los Foros Regionales de Desarrollo promueven asociaciones multipartitas entre los Estados Miembros, los sectores industrial </w:t>
      </w:r>
      <w:r>
        <w:rPr>
          <w:rFonts w:cstheme="minorBidi"/>
          <w:lang w:val="es-ES"/>
        </w:rPr>
        <w:t xml:space="preserve">y académico, la sociedad civil y el sistema de las Naciones Unidas, así como organismos y organizaciones de desarrollo regionales e internacionales sobre asuntos regionales específicos de telecomunicaciones y TIC. </w:t>
      </w:r>
      <w:r w:rsidRPr="00AF1637">
        <w:rPr>
          <w:rFonts w:cstheme="minorBidi"/>
          <w:lang w:val="es-ES"/>
        </w:rPr>
        <w:t xml:space="preserve">Los FRD brindan la oportunidad de entablar un diálogo de alto nivel entre la Oficina de Desarrollo </w:t>
      </w:r>
      <w:r>
        <w:rPr>
          <w:rFonts w:cstheme="minorBidi"/>
          <w:lang w:val="es-ES"/>
        </w:rPr>
        <w:t xml:space="preserve">de las Telecomunicaciones, los Estados Miembros y los Miembros de Sector del UIT-D, en particular sobre la aplicación de las Iniciativas regionales y el plan de Acción de Kigali adoptado por la </w:t>
      </w:r>
      <w:hyperlink r:id="rId36">
        <w:r>
          <w:rPr>
            <w:rFonts w:cstheme="minorBidi"/>
            <w:lang w:val="es-ES"/>
          </w:rPr>
          <w:t>CMDT-22</w:t>
        </w:r>
      </w:hyperlink>
      <w:r w:rsidRPr="00AF1637">
        <w:rPr>
          <w:rFonts w:cstheme="minorBidi"/>
          <w:lang w:val="es-ES"/>
        </w:rPr>
        <w:t xml:space="preserve">. </w:t>
      </w:r>
    </w:p>
    <w:p w14:paraId="7E8B48CB" w14:textId="77777777" w:rsidR="006B0FE5" w:rsidRPr="00AF1637" w:rsidRDefault="006B0FE5" w:rsidP="00815A7D">
      <w:pPr>
        <w:tabs>
          <w:tab w:val="clear" w:pos="567"/>
          <w:tab w:val="clear" w:pos="1134"/>
          <w:tab w:val="clear" w:pos="1701"/>
          <w:tab w:val="clear" w:pos="2268"/>
          <w:tab w:val="clear" w:pos="2835"/>
        </w:tabs>
        <w:overflowPunct/>
        <w:autoSpaceDE/>
        <w:autoSpaceDN/>
        <w:adjustRightInd/>
        <w:jc w:val="both"/>
        <w:textAlignment w:val="auto"/>
        <w:rPr>
          <w:rFonts w:cstheme="minorBidi"/>
          <w:lang w:val="es-ES"/>
        </w:rPr>
      </w:pPr>
      <w:r w:rsidRPr="00AF1637">
        <w:rPr>
          <w:rFonts w:cstheme="minorBidi"/>
          <w:lang w:val="es-ES"/>
        </w:rPr>
        <w:t>2.2.2</w:t>
      </w:r>
      <w:r w:rsidRPr="00AF1637">
        <w:rPr>
          <w:lang w:val="es-ES"/>
        </w:rPr>
        <w:tab/>
        <w:t>Establecimiento de contactos Parter2Connect (</w:t>
      </w:r>
      <w:r w:rsidRPr="00AF1637">
        <w:rPr>
          <w:rFonts w:cstheme="minorBidi"/>
          <w:lang w:val="es-ES"/>
        </w:rPr>
        <w:t>P2C): cada Foro Regional de Desarrollo contó con la</w:t>
      </w:r>
      <w:r>
        <w:rPr>
          <w:rFonts w:cstheme="minorBidi"/>
          <w:lang w:val="es-ES"/>
        </w:rPr>
        <w:t>s siguientes mesas redondas para el establecimiento de contactos P2C</w:t>
      </w:r>
      <w:r w:rsidRPr="00AF1637">
        <w:rPr>
          <w:rFonts w:cstheme="minorBidi"/>
          <w:lang w:val="es-ES"/>
        </w:rPr>
        <w:t xml:space="preserve">: </w:t>
      </w:r>
    </w:p>
    <w:p w14:paraId="40749FF0" w14:textId="77777777" w:rsidR="006B0FE5" w:rsidRPr="00AF1637" w:rsidRDefault="006B0FE5" w:rsidP="00815A7D">
      <w:pPr>
        <w:pStyle w:val="enumlev1"/>
        <w:jc w:val="both"/>
        <w:rPr>
          <w:lang w:val="es-ES"/>
        </w:rPr>
      </w:pPr>
      <w:r w:rsidRPr="00AF1637">
        <w:rPr>
          <w:lang w:val="es-ES"/>
        </w:rPr>
        <w:t>–</w:t>
      </w:r>
      <w:r w:rsidRPr="00AF1637">
        <w:rPr>
          <w:lang w:val="es-ES"/>
        </w:rPr>
        <w:tab/>
      </w:r>
      <w:r w:rsidRPr="00AF1637">
        <w:rPr>
          <w:color w:val="333333"/>
          <w:sz w:val="26"/>
          <w:szCs w:val="26"/>
          <w:shd w:val="clear" w:color="auto" w:fill="FFFFFF"/>
          <w:lang w:val="es-ES"/>
        </w:rPr>
        <w:t>Estados Árabes (FRD/mesa redonda para el establecimiento de contactos de P2C), que tuvo lugar el 3 de febrero de 2025 en Ammán (Jordania)</w:t>
      </w:r>
    </w:p>
    <w:p w14:paraId="55288E55" w14:textId="77777777" w:rsidR="006B0FE5" w:rsidRPr="00AF1637" w:rsidRDefault="006B0FE5" w:rsidP="00815A7D">
      <w:pPr>
        <w:pStyle w:val="enumlev1"/>
        <w:jc w:val="both"/>
        <w:rPr>
          <w:lang w:val="es-ES"/>
        </w:rPr>
      </w:pPr>
      <w:r w:rsidRPr="00AF1637">
        <w:rPr>
          <w:lang w:val="es-ES"/>
        </w:rPr>
        <w:t>–</w:t>
      </w:r>
      <w:r w:rsidRPr="00AF1637">
        <w:rPr>
          <w:lang w:val="es-ES"/>
        </w:rPr>
        <w:tab/>
      </w:r>
      <w:r w:rsidRPr="00AF1637">
        <w:rPr>
          <w:color w:val="333333"/>
          <w:sz w:val="26"/>
          <w:szCs w:val="26"/>
          <w:shd w:val="clear" w:color="auto" w:fill="FFFFFF"/>
          <w:lang w:val="es-ES"/>
        </w:rPr>
        <w:t>Europa (FRD/mesa redonda para el establecimiento de contactos de P2C), que tuvo lugar el 24 de febrero de 2025 en Budapest (Hungría)</w:t>
      </w:r>
      <w:r w:rsidRPr="00AF1637">
        <w:rPr>
          <w:lang w:val="es-ES"/>
        </w:rPr>
        <w:t>.</w:t>
      </w:r>
    </w:p>
    <w:p w14:paraId="0FE92C0C" w14:textId="77777777" w:rsidR="006B0FE5" w:rsidRPr="00AF1637" w:rsidRDefault="006B0FE5" w:rsidP="00815A7D">
      <w:pPr>
        <w:pStyle w:val="enumlev1"/>
        <w:jc w:val="both"/>
        <w:rPr>
          <w:lang w:val="es-ES"/>
        </w:rPr>
      </w:pPr>
      <w:r w:rsidRPr="00AF1637">
        <w:rPr>
          <w:lang w:val="es-ES"/>
        </w:rPr>
        <w:t>–</w:t>
      </w:r>
      <w:r w:rsidRPr="00AF1637">
        <w:rPr>
          <w:lang w:val="es-ES"/>
        </w:rPr>
        <w:tab/>
      </w:r>
      <w:r w:rsidRPr="00AF1637">
        <w:rPr>
          <w:color w:val="333333"/>
          <w:sz w:val="26"/>
          <w:szCs w:val="26"/>
          <w:shd w:val="clear" w:color="auto" w:fill="FFFFFF"/>
          <w:lang w:val="es-ES"/>
        </w:rPr>
        <w:t>Asia-Pacífico (FRD/mesa redonda para el establecimiento de contactos de P2C), que tuvo lugar el 19 de marzo de 2025 en Bangkok (Tailandia)</w:t>
      </w:r>
      <w:r w:rsidRPr="00AF1637">
        <w:rPr>
          <w:lang w:val="es-ES"/>
        </w:rPr>
        <w:t xml:space="preserve"> </w:t>
      </w:r>
    </w:p>
    <w:p w14:paraId="7F4B81AD" w14:textId="77777777" w:rsidR="006B0FE5" w:rsidRPr="00AF1637" w:rsidRDefault="006B0FE5" w:rsidP="00815A7D">
      <w:pPr>
        <w:pStyle w:val="enumlev1"/>
        <w:jc w:val="both"/>
        <w:rPr>
          <w:lang w:val="es-ES"/>
        </w:rPr>
      </w:pPr>
      <w:r w:rsidRPr="00AF1637">
        <w:rPr>
          <w:lang w:val="es-ES"/>
        </w:rPr>
        <w:t>–</w:t>
      </w:r>
      <w:r w:rsidRPr="00AF1637">
        <w:rPr>
          <w:lang w:val="es-ES"/>
        </w:rPr>
        <w:tab/>
      </w:r>
      <w:r w:rsidRPr="00AF1637">
        <w:rPr>
          <w:color w:val="333333"/>
          <w:sz w:val="26"/>
          <w:szCs w:val="26"/>
          <w:shd w:val="clear" w:color="auto" w:fill="FFFFFF"/>
          <w:lang w:val="es-ES"/>
        </w:rPr>
        <w:t>Américas (FRD/mesa redonda para el establecimiento de contactos de P2C), que tuvo lugar el 31 de marzo de 2025 en Asunción (Paraguay)</w:t>
      </w:r>
      <w:r w:rsidRPr="00AF1637">
        <w:rPr>
          <w:lang w:val="es-ES"/>
        </w:rPr>
        <w:t xml:space="preserve"> </w:t>
      </w:r>
    </w:p>
    <w:p w14:paraId="0EBAC854" w14:textId="77777777" w:rsidR="006B0FE5" w:rsidRPr="00AF1637" w:rsidRDefault="006B0FE5" w:rsidP="006B0FE5">
      <w:pPr>
        <w:pStyle w:val="enumlev1"/>
        <w:jc w:val="both"/>
        <w:rPr>
          <w:lang w:val="es-ES"/>
        </w:rPr>
      </w:pPr>
      <w:r w:rsidRPr="00AF1637">
        <w:rPr>
          <w:lang w:val="es-ES"/>
        </w:rPr>
        <w:lastRenderedPageBreak/>
        <w:t>–</w:t>
      </w:r>
      <w:r w:rsidRPr="00AF1637">
        <w:rPr>
          <w:lang w:val="es-ES"/>
        </w:rPr>
        <w:tab/>
      </w:r>
      <w:r w:rsidRPr="00AF1637">
        <w:rPr>
          <w:color w:val="333333"/>
          <w:sz w:val="26"/>
          <w:szCs w:val="26"/>
          <w:shd w:val="clear" w:color="auto" w:fill="FFFFFF"/>
          <w:lang w:val="es-ES"/>
        </w:rPr>
        <w:t>África (FRD/mesa redonda para el establecimiento de contactos de P2C), que tuvo lugar el 7 de abril de 2025 en Nairobi (Kenya)</w:t>
      </w:r>
      <w:r w:rsidRPr="00AF1637">
        <w:rPr>
          <w:lang w:val="es-ES"/>
        </w:rPr>
        <w:t xml:space="preserve"> </w:t>
      </w:r>
    </w:p>
    <w:p w14:paraId="2EA4095F" w14:textId="77777777" w:rsidR="006B0FE5" w:rsidRPr="00AF1637" w:rsidRDefault="006B0FE5" w:rsidP="006B0FE5">
      <w:pPr>
        <w:pStyle w:val="enumlev1"/>
        <w:jc w:val="both"/>
        <w:rPr>
          <w:lang w:val="es-ES"/>
        </w:rPr>
      </w:pPr>
      <w:r w:rsidRPr="00AF1637">
        <w:rPr>
          <w:lang w:val="es-ES"/>
        </w:rPr>
        <w:t>–</w:t>
      </w:r>
      <w:r w:rsidRPr="00AF1637">
        <w:rPr>
          <w:lang w:val="es-ES"/>
        </w:rPr>
        <w:tab/>
      </w:r>
      <w:r w:rsidRPr="00AF1637">
        <w:rPr>
          <w:color w:val="333333"/>
          <w:sz w:val="26"/>
          <w:szCs w:val="26"/>
          <w:shd w:val="clear" w:color="auto" w:fill="FFFFFF"/>
          <w:lang w:val="es-ES"/>
        </w:rPr>
        <w:t>Comunidad de Estados Independientes (CEI) (FRD/mesa redonda para el establecimiento de contactos de P2C), que tuvo lugar el 23 de abril de 2025 en Bishkek (Kirguistán)</w:t>
      </w:r>
      <w:r w:rsidRPr="00AF1637">
        <w:rPr>
          <w:lang w:val="es-ES"/>
        </w:rPr>
        <w:t>.</w:t>
      </w:r>
    </w:p>
    <w:p w14:paraId="66084698" w14:textId="40B53BA6" w:rsidR="006B0FE5" w:rsidRPr="006F168E" w:rsidRDefault="006B0FE5" w:rsidP="001C104D">
      <w:pPr>
        <w:tabs>
          <w:tab w:val="clear" w:pos="567"/>
          <w:tab w:val="left" w:pos="720"/>
        </w:tabs>
        <w:overflowPunct/>
        <w:autoSpaceDE/>
        <w:autoSpaceDN/>
        <w:adjustRightInd/>
        <w:jc w:val="both"/>
        <w:textAlignment w:val="auto"/>
        <w:rPr>
          <w:rFonts w:eastAsia="Calibri"/>
          <w:lang w:val="es-ES"/>
        </w:rPr>
      </w:pPr>
      <w:r w:rsidRPr="006F168E">
        <w:rPr>
          <w:rFonts w:eastAsia="Calibri"/>
          <w:szCs w:val="24"/>
          <w:lang w:val="es-ES"/>
        </w:rPr>
        <w:t>2.2.3</w:t>
      </w:r>
      <w:r w:rsidRPr="006F168E">
        <w:rPr>
          <w:rFonts w:eastAsia="Calibri"/>
          <w:szCs w:val="24"/>
          <w:lang w:val="es-ES"/>
        </w:rPr>
        <w:tab/>
      </w:r>
      <w:r w:rsidRPr="006F168E">
        <w:rPr>
          <w:color w:val="333333"/>
          <w:sz w:val="26"/>
          <w:szCs w:val="26"/>
          <w:shd w:val="clear" w:color="auto" w:fill="FFFFFF"/>
          <w:lang w:val="es-ES"/>
        </w:rPr>
        <w:t>El Foro Regional de Desarrollo para África de la UIT (FRD-AFR) de 2025 se celebró el 7 de abril de 2025 en Nairobi (Kenya)</w:t>
      </w:r>
      <w:r w:rsidRPr="006F168E">
        <w:rPr>
          <w:rFonts w:eastAsia="Calibri"/>
          <w:lang w:val="es-ES"/>
        </w:rPr>
        <w:t xml:space="preserve">. </w:t>
      </w:r>
      <w:r w:rsidRPr="006F168E">
        <w:rPr>
          <w:color w:val="333333"/>
          <w:sz w:val="26"/>
          <w:szCs w:val="26"/>
          <w:shd w:val="clear" w:color="auto" w:fill="FFFFFF"/>
          <w:lang w:val="es-ES"/>
        </w:rPr>
        <w:t>Sus anfitriones fueron la Autoridad de Comunicaciones de Kenya (CA) en cooperación con la Unión Africana de Telecomunicaciones (UAT) y precedió a la Reunión Preparatoria Regional para la CMDT-2</w:t>
      </w:r>
      <w:r w:rsidRPr="006F168E">
        <w:rPr>
          <w:rFonts w:eastAsia="Calibri"/>
          <w:lang w:val="es-ES"/>
        </w:rPr>
        <w:t xml:space="preserve">5. </w:t>
      </w:r>
      <w:r w:rsidRPr="006F168E">
        <w:rPr>
          <w:color w:val="333333"/>
          <w:sz w:val="26"/>
          <w:szCs w:val="26"/>
          <w:shd w:val="clear" w:color="auto" w:fill="FFFFFF"/>
          <w:lang w:val="es-ES"/>
        </w:rPr>
        <w:t>El evento contó con la presencia de 304 participantes (en representación de 35 Estados Miembros, Miembros de Sector del UIT-D, Instituciones Académicas, observadores y personal de la UIT) en un diálogo de alto nivel para lograr la conectividad efectiva y la transformación digital sostenible de África</w:t>
      </w:r>
      <w:r w:rsidRPr="006F168E">
        <w:rPr>
          <w:rFonts w:eastAsia="Calibri"/>
          <w:lang w:val="es-ES"/>
        </w:rPr>
        <w:t xml:space="preserve">. </w:t>
      </w:r>
      <w:r w:rsidRPr="006F168E">
        <w:rPr>
          <w:color w:val="333333"/>
          <w:sz w:val="26"/>
          <w:szCs w:val="26"/>
          <w:shd w:val="clear" w:color="auto" w:fill="FFFFFF"/>
          <w:lang w:val="es-ES"/>
        </w:rPr>
        <w:t>Los debates se centraron en la evaluación de los progresos realizados desde la formulación del Plan de Acción de Kigali, considerando problemas como los costes de la conectividad y la brecha digital, y alentando la conclusión de asociaciones, incluso a través de la coalición P2C, que ya cuenta con 189 compromisos para África por valor de 32</w:t>
      </w:r>
      <w:r w:rsidR="00616B81">
        <w:rPr>
          <w:color w:val="333333"/>
          <w:sz w:val="26"/>
          <w:szCs w:val="26"/>
          <w:shd w:val="clear" w:color="auto" w:fill="FFFFFF"/>
          <w:lang w:val="es-ES"/>
        </w:rPr>
        <w:t> </w:t>
      </w:r>
      <w:r w:rsidRPr="006F168E">
        <w:rPr>
          <w:color w:val="333333"/>
          <w:sz w:val="26"/>
          <w:szCs w:val="26"/>
          <w:shd w:val="clear" w:color="auto" w:fill="FFFFFF"/>
          <w:lang w:val="es-ES"/>
        </w:rPr>
        <w:t>mil</w:t>
      </w:r>
      <w:r w:rsidR="00616B81">
        <w:rPr>
          <w:color w:val="333333"/>
          <w:sz w:val="26"/>
          <w:szCs w:val="26"/>
          <w:shd w:val="clear" w:color="auto" w:fill="FFFFFF"/>
          <w:lang w:val="es-ES"/>
        </w:rPr>
        <w:t> </w:t>
      </w:r>
      <w:r w:rsidRPr="006F168E">
        <w:rPr>
          <w:color w:val="333333"/>
          <w:sz w:val="26"/>
          <w:szCs w:val="26"/>
          <w:shd w:val="clear" w:color="auto" w:fill="FFFFFF"/>
          <w:lang w:val="es-ES"/>
        </w:rPr>
        <w:t>millones</w:t>
      </w:r>
      <w:r w:rsidR="00616B81">
        <w:rPr>
          <w:color w:val="333333"/>
          <w:sz w:val="26"/>
          <w:szCs w:val="26"/>
          <w:shd w:val="clear" w:color="auto" w:fill="FFFFFF"/>
          <w:lang w:val="es-ES"/>
        </w:rPr>
        <w:t> </w:t>
      </w:r>
      <w:r w:rsidRPr="006F168E">
        <w:rPr>
          <w:color w:val="333333"/>
          <w:sz w:val="26"/>
          <w:szCs w:val="26"/>
          <w:shd w:val="clear" w:color="auto" w:fill="FFFFFF"/>
          <w:lang w:val="es-ES"/>
        </w:rPr>
        <w:t>USD</w:t>
      </w:r>
      <w:r w:rsidRPr="006F168E">
        <w:rPr>
          <w:rFonts w:eastAsia="Calibri"/>
          <w:lang w:val="es-ES"/>
        </w:rPr>
        <w:t xml:space="preserve">. </w:t>
      </w:r>
      <w:r w:rsidRPr="006F168E">
        <w:rPr>
          <w:color w:val="333333"/>
          <w:sz w:val="26"/>
          <w:szCs w:val="26"/>
          <w:shd w:val="clear" w:color="auto" w:fill="FFFFFF"/>
          <w:lang w:val="es-ES"/>
        </w:rPr>
        <w:t>El Foro puso el acento en la cooperación regional, la inversión en infraestructura, las competencias digitales y la innovación para aprovechar el potencial que ofrecen las TIC para alcanzar los Objetivos de Desarrollo Sostenible (ODS) en el continente</w:t>
      </w:r>
      <w:r w:rsidRPr="006F168E">
        <w:rPr>
          <w:rFonts w:eastAsia="Calibri"/>
          <w:lang w:val="es-ES"/>
        </w:rPr>
        <w:t xml:space="preserve">. </w:t>
      </w:r>
      <w:r w:rsidRPr="006F168E">
        <w:rPr>
          <w:color w:val="333333"/>
          <w:sz w:val="26"/>
          <w:szCs w:val="26"/>
          <w:shd w:val="clear" w:color="auto" w:fill="FFFFFF"/>
          <w:lang w:val="es-ES"/>
        </w:rPr>
        <w:t>Este evento fue asimismo testigo de la puesta en marcha del proyecto Sistemas de cartografía de la banda ancha en África (Africa-BB-Maps)</w:t>
      </w:r>
      <w:r w:rsidRPr="006F168E">
        <w:rPr>
          <w:rFonts w:eastAsia="Calibri"/>
          <w:lang w:val="es-ES"/>
        </w:rPr>
        <w:t>.</w:t>
      </w:r>
    </w:p>
    <w:p w14:paraId="66892130" w14:textId="590FBCC0" w:rsidR="006B0FE5" w:rsidRPr="006F168E" w:rsidRDefault="006B0FE5" w:rsidP="001C104D">
      <w:pPr>
        <w:tabs>
          <w:tab w:val="clear" w:pos="567"/>
          <w:tab w:val="left" w:pos="720"/>
        </w:tabs>
        <w:overflowPunct/>
        <w:autoSpaceDE/>
        <w:autoSpaceDN/>
        <w:adjustRightInd/>
        <w:jc w:val="both"/>
        <w:textAlignment w:val="auto"/>
        <w:rPr>
          <w:rFonts w:eastAsia="Calibri"/>
          <w:lang w:val="es-ES"/>
        </w:rPr>
      </w:pPr>
      <w:r w:rsidRPr="006F168E">
        <w:rPr>
          <w:rFonts w:eastAsia="Calibri"/>
          <w:lang w:val="es-ES"/>
        </w:rPr>
        <w:t>2.2.4</w:t>
      </w:r>
      <w:r w:rsidRPr="006F168E">
        <w:rPr>
          <w:lang w:val="es-ES"/>
        </w:rPr>
        <w:tab/>
      </w:r>
      <w:r w:rsidRPr="006F168E">
        <w:rPr>
          <w:color w:val="333333"/>
          <w:sz w:val="26"/>
          <w:szCs w:val="26"/>
          <w:shd w:val="clear" w:color="auto" w:fill="FFFFFF"/>
          <w:lang w:val="es-ES"/>
        </w:rPr>
        <w:t>El Foro Regional de Desarrollo para las Américas de la UIT (FRD-AMS) de 2025 fue organizado por la BDT y se celebró el 31 de marzo de 2025 en Asunción, siendo su anfitriona la Comisión Nacional de Telecomunicaciones (CONATEL) de Paragua</w:t>
      </w:r>
      <w:r>
        <w:rPr>
          <w:color w:val="333333"/>
          <w:sz w:val="26"/>
          <w:szCs w:val="26"/>
          <w:shd w:val="clear" w:color="auto" w:fill="FFFFFF"/>
          <w:lang w:val="es-ES"/>
        </w:rPr>
        <w:t>y</w:t>
      </w:r>
      <w:r w:rsidRPr="006F168E">
        <w:rPr>
          <w:rFonts w:eastAsia="Calibri"/>
          <w:lang w:val="es-ES"/>
        </w:rPr>
        <w:t xml:space="preserve">. </w:t>
      </w:r>
      <w:r w:rsidRPr="006F168E">
        <w:rPr>
          <w:color w:val="333333"/>
          <w:sz w:val="26"/>
          <w:szCs w:val="26"/>
          <w:shd w:val="clear" w:color="auto" w:fill="FFFFFF"/>
          <w:lang w:val="es-ES"/>
        </w:rPr>
        <w:t>Precediendo a la Reunión Preparatoria Regional para la CMDT y una reunión de la CITEL, el Foro facilitó la celebración de un diálogo de alto nivel para lograr la conectividad efectiva y la transformación digital sostenible en las Américas Asistieron al Foro 168 participantes en representación de 29 Estados Miembros, Miembros de Sector del UIT-D y demás interesados</w:t>
      </w:r>
      <w:r w:rsidRPr="006F168E">
        <w:rPr>
          <w:rFonts w:eastAsia="Calibri"/>
          <w:lang w:val="es-ES"/>
        </w:rPr>
        <w:t xml:space="preserve">. </w:t>
      </w:r>
      <w:r>
        <w:rPr>
          <w:rFonts w:eastAsia="Calibri"/>
          <w:lang w:val="es-ES"/>
        </w:rPr>
        <w:t xml:space="preserve">En los debates se pusieron de relieve los progresos realizados en la región. </w:t>
      </w:r>
      <w:r w:rsidRPr="006F168E">
        <w:rPr>
          <w:rFonts w:eastAsia="Calibri"/>
          <w:lang w:val="es-ES"/>
        </w:rPr>
        <w:t>Se puso de manifiesto el papel que realiza la Coalición Digital P2C, según la cual se han realizado 225 c</w:t>
      </w:r>
      <w:r>
        <w:rPr>
          <w:rFonts w:eastAsia="Calibri"/>
          <w:lang w:val="es-ES"/>
        </w:rPr>
        <w:t>ompromisos por valor de 25</w:t>
      </w:r>
      <w:r w:rsidR="00616B81">
        <w:rPr>
          <w:rFonts w:eastAsia="Calibri"/>
          <w:lang w:val="es-ES"/>
        </w:rPr>
        <w:t> </w:t>
      </w:r>
      <w:r>
        <w:rPr>
          <w:rFonts w:eastAsia="Calibri"/>
          <w:lang w:val="es-ES"/>
        </w:rPr>
        <w:t>mil</w:t>
      </w:r>
      <w:r w:rsidR="00616B81">
        <w:rPr>
          <w:rFonts w:eastAsia="Calibri"/>
          <w:lang w:val="es-ES"/>
        </w:rPr>
        <w:t> </w:t>
      </w:r>
      <w:r>
        <w:rPr>
          <w:rFonts w:eastAsia="Calibri"/>
          <w:lang w:val="es-ES"/>
        </w:rPr>
        <w:t>millones</w:t>
      </w:r>
      <w:r w:rsidR="00616B81">
        <w:rPr>
          <w:rFonts w:eastAsia="Calibri"/>
          <w:lang w:val="es-ES"/>
        </w:rPr>
        <w:t> U</w:t>
      </w:r>
      <w:r>
        <w:rPr>
          <w:rFonts w:eastAsia="Calibri"/>
          <w:lang w:val="es-ES"/>
        </w:rPr>
        <w:t>SD para la región, destinados principalmente al acceso, a asequibilidad y la ciberseguridad</w:t>
      </w:r>
      <w:r w:rsidRPr="006F168E">
        <w:rPr>
          <w:rFonts w:eastAsia="Calibri"/>
          <w:lang w:val="es-ES"/>
        </w:rPr>
        <w:t xml:space="preserve">. </w:t>
      </w:r>
      <w:r w:rsidRPr="006F168E">
        <w:rPr>
          <w:color w:val="333333"/>
          <w:sz w:val="26"/>
          <w:szCs w:val="26"/>
          <w:shd w:val="clear" w:color="auto" w:fill="FFFFFF"/>
          <w:lang w:val="es-ES"/>
        </w:rPr>
        <w:t>A este respecto se celebraron mesas redondas de establecimiento de contactos</w:t>
      </w:r>
      <w:r w:rsidRPr="006F168E">
        <w:rPr>
          <w:rFonts w:eastAsia="Calibri"/>
          <w:lang w:val="es-ES"/>
        </w:rPr>
        <w:t xml:space="preserve">. </w:t>
      </w:r>
      <w:r w:rsidRPr="006F168E">
        <w:rPr>
          <w:color w:val="333333"/>
          <w:sz w:val="26"/>
          <w:szCs w:val="26"/>
          <w:shd w:val="clear" w:color="auto" w:fill="FFFFFF"/>
          <w:lang w:val="es-ES"/>
        </w:rPr>
        <w:t>Durante el Foro se anunció el nuevo proyecto financiado por la UE, Innovación Reglamentaria Regional para América Central</w:t>
      </w:r>
      <w:r w:rsidRPr="006F168E">
        <w:rPr>
          <w:rFonts w:eastAsia="Calibri"/>
          <w:lang w:val="es-ES"/>
        </w:rPr>
        <w:t>.</w:t>
      </w:r>
    </w:p>
    <w:p w14:paraId="35CB24D3" w14:textId="505A3B92" w:rsidR="006B0FE5" w:rsidRPr="006F168E" w:rsidRDefault="006B0FE5" w:rsidP="001C104D">
      <w:pPr>
        <w:tabs>
          <w:tab w:val="clear" w:pos="567"/>
          <w:tab w:val="left" w:pos="720"/>
        </w:tabs>
        <w:overflowPunct/>
        <w:autoSpaceDE/>
        <w:autoSpaceDN/>
        <w:adjustRightInd/>
        <w:jc w:val="both"/>
        <w:textAlignment w:val="auto"/>
        <w:rPr>
          <w:rFonts w:eastAsia="SimSun"/>
          <w:lang w:val="es-ES"/>
        </w:rPr>
      </w:pPr>
      <w:r w:rsidRPr="006F168E">
        <w:rPr>
          <w:rFonts w:eastAsia="Calibri"/>
          <w:szCs w:val="24"/>
          <w:lang w:val="es-ES"/>
        </w:rPr>
        <w:t>2.2</w:t>
      </w:r>
      <w:r w:rsidRPr="006F168E">
        <w:rPr>
          <w:rFonts w:eastAsia="SimSun"/>
          <w:szCs w:val="24"/>
          <w:lang w:val="es-ES"/>
        </w:rPr>
        <w:t>.5</w:t>
      </w:r>
      <w:r w:rsidRPr="006F168E">
        <w:rPr>
          <w:rFonts w:eastAsia="SimSun"/>
          <w:szCs w:val="24"/>
          <w:lang w:val="es-ES"/>
        </w:rPr>
        <w:tab/>
      </w:r>
      <w:r w:rsidRPr="006F168E">
        <w:rPr>
          <w:color w:val="333333"/>
          <w:sz w:val="26"/>
          <w:szCs w:val="26"/>
          <w:shd w:val="clear" w:color="auto" w:fill="FFFFFF"/>
          <w:lang w:val="es-ES"/>
        </w:rPr>
        <w:t>El Foro Regional de Desarrollo para los Estados Árabes de la UIT (FRD-ARB) de 2025 fue organizado por la BDT y se celebró en Ammán el 3 de febrero de 2025, siendo su anfitriona la Comisión de Reglamentación de las Telecomunicaciones (TRC) de Jordania</w:t>
      </w:r>
      <w:r w:rsidRPr="006F168E">
        <w:rPr>
          <w:rFonts w:eastAsia="SimSun"/>
          <w:lang w:val="es-ES"/>
        </w:rPr>
        <w:t xml:space="preserve">. </w:t>
      </w:r>
      <w:r w:rsidRPr="006F168E">
        <w:rPr>
          <w:color w:val="333333"/>
          <w:sz w:val="26"/>
          <w:szCs w:val="26"/>
          <w:shd w:val="clear" w:color="auto" w:fill="FFFFFF"/>
          <w:lang w:val="es-ES"/>
        </w:rPr>
        <w:t>El Foro precedió la Reunión Preparatoria Regional para la CMDT-25 y ofreció una plataforma para la celebración de un diálogo de alto nivel entre los 111</w:t>
      </w:r>
      <w:r w:rsidR="008031F9">
        <w:rPr>
          <w:color w:val="333333"/>
          <w:sz w:val="26"/>
          <w:szCs w:val="26"/>
          <w:shd w:val="clear" w:color="auto" w:fill="FFFFFF"/>
          <w:lang w:val="es-ES"/>
        </w:rPr>
        <w:t> </w:t>
      </w:r>
      <w:r w:rsidRPr="006F168E">
        <w:rPr>
          <w:color w:val="333333"/>
          <w:sz w:val="26"/>
          <w:szCs w:val="26"/>
          <w:shd w:val="clear" w:color="auto" w:fill="FFFFFF"/>
          <w:lang w:val="es-ES"/>
        </w:rPr>
        <w:t xml:space="preserve">participantes, representantes de 17 Estados Miembros e interesados diversos, </w:t>
      </w:r>
      <w:r w:rsidRPr="006F168E">
        <w:rPr>
          <w:color w:val="333333"/>
          <w:sz w:val="26"/>
          <w:szCs w:val="26"/>
          <w:shd w:val="clear" w:color="auto" w:fill="FFFFFF"/>
          <w:lang w:val="es-ES"/>
        </w:rPr>
        <w:lastRenderedPageBreak/>
        <w:t>entre los que se cuentan Miembros de Sector, Instituciones Académicas, organismos de las Naciones Unidas y organizaciones regionales</w:t>
      </w:r>
      <w:r w:rsidRPr="006F168E">
        <w:rPr>
          <w:rFonts w:eastAsia="SimSun"/>
          <w:lang w:val="es-ES"/>
        </w:rPr>
        <w:t xml:space="preserve">. </w:t>
      </w:r>
      <w:r w:rsidRPr="006F168E">
        <w:rPr>
          <w:color w:val="333333"/>
          <w:sz w:val="26"/>
          <w:szCs w:val="26"/>
          <w:shd w:val="clear" w:color="auto" w:fill="FFFFFF"/>
          <w:lang w:val="es-ES"/>
        </w:rPr>
        <w:t>Los debates se centraron en particular en la ejecución de las iniciativas regionales árabes de la CMDT-22 y en ellos se consideraron los retos y oportunidades que implica el logro de la conectividad efectiva y el fomento de la transformación digital sostenible</w:t>
      </w:r>
      <w:r w:rsidRPr="006F168E">
        <w:rPr>
          <w:rFonts w:eastAsia="SimSun"/>
          <w:lang w:val="es-ES"/>
        </w:rPr>
        <w:t>. Se asignó un papel protagonista a la Coalición Digital P2C, cuyas mesas redondas para el establecimiento de contactos se diseñaron para armo</w:t>
      </w:r>
      <w:r>
        <w:rPr>
          <w:rFonts w:eastAsia="SimSun"/>
          <w:lang w:val="es-ES"/>
        </w:rPr>
        <w:t xml:space="preserve">nizar los compromisos de los socios con las necesidades de los Estados Miembros. </w:t>
      </w:r>
      <w:r w:rsidRPr="006F168E">
        <w:rPr>
          <w:rFonts w:eastAsia="SimSun"/>
          <w:lang w:val="es-ES"/>
        </w:rPr>
        <w:t>Se señaló que P2C ha recibido compromiso</w:t>
      </w:r>
      <w:r>
        <w:rPr>
          <w:rFonts w:eastAsia="SimSun"/>
          <w:lang w:val="es-ES"/>
        </w:rPr>
        <w:t xml:space="preserve">s para la región árabe por valor de 24 700 millones USD. </w:t>
      </w:r>
      <w:r w:rsidRPr="006F168E">
        <w:rPr>
          <w:color w:val="333333"/>
          <w:sz w:val="26"/>
          <w:szCs w:val="26"/>
          <w:shd w:val="clear" w:color="auto" w:fill="FFFFFF"/>
          <w:lang w:val="es-ES"/>
        </w:rPr>
        <w:t>En el marco de este evento se firmó la Declaración Conjunta de la UIT y RIPE NCC para fomentar el desarrollo de la infraestructura de Internet y el despliegue del IPv6 en la región</w:t>
      </w:r>
      <w:r w:rsidRPr="006F168E">
        <w:rPr>
          <w:rFonts w:eastAsia="SimSun"/>
          <w:lang w:val="es-ES"/>
        </w:rPr>
        <w:t>.</w:t>
      </w:r>
    </w:p>
    <w:p w14:paraId="4D508C31" w14:textId="77777777" w:rsidR="006B0FE5" w:rsidRPr="00606E6E" w:rsidRDefault="006B0FE5" w:rsidP="001C104D">
      <w:pPr>
        <w:tabs>
          <w:tab w:val="clear" w:pos="567"/>
          <w:tab w:val="left" w:pos="720"/>
        </w:tabs>
        <w:overflowPunct/>
        <w:autoSpaceDE/>
        <w:autoSpaceDN/>
        <w:adjustRightInd/>
        <w:jc w:val="both"/>
        <w:textAlignment w:val="auto"/>
        <w:rPr>
          <w:lang w:val="es-ES"/>
        </w:rPr>
      </w:pPr>
      <w:r w:rsidRPr="00606E6E">
        <w:rPr>
          <w:rFonts w:eastAsia="Calibri"/>
          <w:szCs w:val="24"/>
          <w:lang w:val="es-ES"/>
        </w:rPr>
        <w:t>2.2.6</w:t>
      </w:r>
      <w:r w:rsidRPr="00606E6E">
        <w:rPr>
          <w:rFonts w:eastAsia="Calibri"/>
          <w:szCs w:val="24"/>
          <w:lang w:val="es-ES"/>
        </w:rPr>
        <w:tab/>
      </w:r>
      <w:r w:rsidRPr="00775998">
        <w:rPr>
          <w:lang w:val="es-ES"/>
        </w:rPr>
        <w:t>El Foro Regional de Desarrollo para Asia</w:t>
      </w:r>
      <w:r>
        <w:rPr>
          <w:lang w:val="es-ES"/>
        </w:rPr>
        <w:noBreakHyphen/>
      </w:r>
      <w:r w:rsidRPr="00775998">
        <w:rPr>
          <w:lang w:val="es-ES"/>
        </w:rPr>
        <w:t>Pacífico de la UIT (FRD-ASP) de 2025 fue organizado por la BDT y su anfitriona fue la Comisión Nacional de Radiodifusión y Telecomunicaciones (NBTC) de Tailandia, en cooperación con la Telecomunidad Asia-Pacífico (APT). Celebrado en Bangkok el 19 de marzo de 2025, el Foro reunió a 167</w:t>
      </w:r>
      <w:r>
        <w:rPr>
          <w:lang w:val="es-ES"/>
        </w:rPr>
        <w:t> </w:t>
      </w:r>
      <w:r w:rsidRPr="00775998">
        <w:rPr>
          <w:lang w:val="es-ES"/>
        </w:rPr>
        <w:t>participantes de 36</w:t>
      </w:r>
      <w:r>
        <w:rPr>
          <w:lang w:val="es-ES"/>
        </w:rPr>
        <w:t> </w:t>
      </w:r>
      <w:r w:rsidRPr="00775998">
        <w:rPr>
          <w:lang w:val="es-ES"/>
        </w:rPr>
        <w:t xml:space="preserve">Estados Miembros, Miembros de Sector y demás interesados. El diálogo se centró en alcanzar la conectividad efectiva y la transformación digital sostenible en la región, fijando prioridades estratégicas y examinando los progresos realizados en el marco de las </w:t>
      </w:r>
      <w:r>
        <w:rPr>
          <w:lang w:val="es-ES"/>
        </w:rPr>
        <w:t>i</w:t>
      </w:r>
      <w:r w:rsidRPr="00775998">
        <w:rPr>
          <w:lang w:val="es-ES"/>
        </w:rPr>
        <w:t>niciativas regionales y la aplicación del Plan de Acción de Kigali. Se consideraron retos como la brecha digital, sobre todo en los PEID y PDSL, la ciberseguridad y la sostenibilidad, pero también las oportunidades que ofrecen las tecnologías incipientes</w:t>
      </w:r>
      <w:r w:rsidRPr="00606E6E">
        <w:rPr>
          <w:lang w:val="es-ES"/>
        </w:rPr>
        <w:t xml:space="preserve">. </w:t>
      </w:r>
      <w:r w:rsidRPr="00775998">
        <w:rPr>
          <w:lang w:val="es-ES"/>
        </w:rPr>
        <w:t>La coalición P2C anunció compromisos por valor de 17 500</w:t>
      </w:r>
      <w:r>
        <w:rPr>
          <w:lang w:val="es-ES"/>
        </w:rPr>
        <w:t> </w:t>
      </w:r>
      <w:r w:rsidRPr="00775998">
        <w:rPr>
          <w:lang w:val="es-ES"/>
        </w:rPr>
        <w:t>millones</w:t>
      </w:r>
      <w:r>
        <w:rPr>
          <w:lang w:val="es-ES"/>
        </w:rPr>
        <w:t> </w:t>
      </w:r>
      <w:r w:rsidRPr="00775998">
        <w:rPr>
          <w:lang w:val="es-ES"/>
        </w:rPr>
        <w:t>USD para la región, destinados principalmente al acceso, la asequibilidad y la ciberseguridad, dedicándose las sesiones de establecimiento de contactos al fomento de asociaciones. También se destacó la colaboración con socios como Japón (sobre capacitación en IA e infraestructura digital) y Tailandia (Día de las Niñas en las TIC de 2025)</w:t>
      </w:r>
      <w:r w:rsidRPr="00606E6E">
        <w:rPr>
          <w:lang w:val="es-ES"/>
        </w:rPr>
        <w:t>.</w:t>
      </w:r>
    </w:p>
    <w:p w14:paraId="261F0FF7" w14:textId="77777777" w:rsidR="006B0FE5" w:rsidRPr="00815A7D" w:rsidRDefault="006B0FE5" w:rsidP="001C104D">
      <w:pPr>
        <w:tabs>
          <w:tab w:val="clear" w:pos="567"/>
          <w:tab w:val="left" w:pos="720"/>
        </w:tabs>
        <w:overflowPunct/>
        <w:autoSpaceDE/>
        <w:autoSpaceDN/>
        <w:adjustRightInd/>
        <w:jc w:val="both"/>
        <w:textAlignment w:val="auto"/>
        <w:rPr>
          <w:rFonts w:asciiTheme="minorHAnsi" w:eastAsiaTheme="minorEastAsia" w:hAnsiTheme="minorHAnsi" w:cstheme="minorBidi"/>
          <w:szCs w:val="24"/>
          <w:lang w:val="es-ES" w:eastAsia="zh-CN"/>
        </w:rPr>
      </w:pPr>
      <w:r w:rsidRPr="00606E6E">
        <w:rPr>
          <w:rFonts w:asciiTheme="minorHAnsi" w:eastAsiaTheme="minorEastAsia" w:hAnsiTheme="minorHAnsi" w:cstheme="minorBidi"/>
          <w:szCs w:val="24"/>
          <w:lang w:val="es-ES" w:eastAsia="zh-CN"/>
        </w:rPr>
        <w:t>2.2.7</w:t>
      </w:r>
      <w:r w:rsidRPr="00606E6E">
        <w:rPr>
          <w:rFonts w:asciiTheme="minorHAnsi" w:eastAsiaTheme="minorEastAsia" w:hAnsiTheme="minorHAnsi" w:cstheme="minorBidi"/>
          <w:szCs w:val="24"/>
          <w:lang w:val="es-ES" w:eastAsia="zh-CN"/>
        </w:rPr>
        <w:tab/>
      </w:r>
      <w:r w:rsidRPr="00775998">
        <w:rPr>
          <w:lang w:val="es-ES"/>
        </w:rPr>
        <w:t>El Foro Regional de Desarrollo para la Comunidad de Estados Independientes de la UIT (FRD-C</w:t>
      </w:r>
      <w:r>
        <w:rPr>
          <w:lang w:val="es-ES"/>
        </w:rPr>
        <w:t>EI</w:t>
      </w:r>
      <w:r w:rsidRPr="00775998">
        <w:rPr>
          <w:lang w:val="es-ES"/>
        </w:rPr>
        <w:t xml:space="preserve">) de 2025 se celebró el 23 de abril de 2025 en Bishkek </w:t>
      </w:r>
      <w:r>
        <w:rPr>
          <w:lang w:val="es-ES"/>
        </w:rPr>
        <w:t>(</w:t>
      </w:r>
      <w:r w:rsidRPr="00775998">
        <w:rPr>
          <w:lang w:val="es-ES"/>
        </w:rPr>
        <w:t>República Kirguisa</w:t>
      </w:r>
      <w:r>
        <w:rPr>
          <w:lang w:val="es-ES"/>
        </w:rPr>
        <w:t>)</w:t>
      </w:r>
      <w:r w:rsidRPr="00775998">
        <w:rPr>
          <w:lang w:val="es-ES"/>
        </w:rPr>
        <w:t>, y su anfitrión fue el Ministerio de Desarrollo Digital y Tecnologías Innovadoras de la República Kirguis</w:t>
      </w:r>
      <w:r>
        <w:rPr>
          <w:lang w:val="es-ES"/>
        </w:rPr>
        <w:t>a</w:t>
      </w:r>
      <w:r w:rsidRPr="00775998">
        <w:rPr>
          <w:lang w:val="es-ES"/>
        </w:rPr>
        <w:t>. El Foro reunió a 75</w:t>
      </w:r>
      <w:r>
        <w:rPr>
          <w:lang w:val="es-ES"/>
        </w:rPr>
        <w:t> </w:t>
      </w:r>
      <w:r w:rsidRPr="00775998">
        <w:rPr>
          <w:lang w:val="es-ES"/>
        </w:rPr>
        <w:t>participantes de Estados Miembros, Miembros de Sector, Instituciones Académicas, organismos de las Naciones Unidas y organizaciones regionales, entre otros, y ofreció una plataforma para la celebración de un diálogo de alto nivel sobre el logro de la conectividad efectiva y la transformación digital sostenible para acelerar la consecución de los ODS en la región</w:t>
      </w:r>
      <w:r w:rsidRPr="00606E6E">
        <w:rPr>
          <w:rFonts w:asciiTheme="minorHAnsi" w:eastAsiaTheme="minorEastAsia" w:hAnsiTheme="minorHAnsi" w:cstheme="minorBidi"/>
          <w:szCs w:val="24"/>
          <w:lang w:val="es-ES" w:eastAsia="zh-CN"/>
        </w:rPr>
        <w:t xml:space="preserve">. </w:t>
      </w:r>
      <w:r w:rsidRPr="00775998">
        <w:rPr>
          <w:lang w:val="es-ES"/>
        </w:rPr>
        <w:t>A lo largo de los debates se examinaron los progresos en la aplicación</w:t>
      </w:r>
      <w:r>
        <w:rPr>
          <w:lang w:val="es-ES"/>
        </w:rPr>
        <w:t xml:space="preserve"> </w:t>
      </w:r>
      <w:r w:rsidRPr="00775998">
        <w:rPr>
          <w:lang w:val="es-ES"/>
        </w:rPr>
        <w:t>de los resultados de la CMDT-22, incluidas las cinco Iniciativas Regionales para la región de la</w:t>
      </w:r>
      <w:r>
        <w:rPr>
          <w:lang w:val="es-ES"/>
        </w:rPr>
        <w:t> </w:t>
      </w:r>
      <w:r w:rsidRPr="00775998">
        <w:rPr>
          <w:lang w:val="es-ES"/>
        </w:rPr>
        <w:t>CEI, y se consideraron las tendencias, retos y oportunidades regionales consignados en el Informe "</w:t>
      </w:r>
      <w:r w:rsidRPr="00815A7D">
        <w:rPr>
          <w:lang w:val="es-ES"/>
        </w:rPr>
        <w:t>State of Digital Development and Trends in the CIS Region". Algunas sesiones del Foro se dedicaron asimismo a la coalición digital P2C, cuyas mesas redondas para el establecimiento de contactos tuvieron por objetivo fomentar las asociaciones y armonizar los 60 compromisos recibidos (por valor de 4 400 millones USD) con las necesidades prioritarias de la región en pro del desarrollo digital</w:t>
      </w:r>
      <w:r w:rsidRPr="00815A7D">
        <w:rPr>
          <w:rFonts w:asciiTheme="minorHAnsi" w:eastAsiaTheme="minorEastAsia" w:hAnsiTheme="minorHAnsi" w:cstheme="minorBidi"/>
          <w:szCs w:val="24"/>
          <w:lang w:val="es-ES" w:eastAsia="zh-CN"/>
        </w:rPr>
        <w:t>.</w:t>
      </w:r>
    </w:p>
    <w:p w14:paraId="10B43A3E" w14:textId="77777777" w:rsidR="006B0FE5" w:rsidRPr="00606E6E" w:rsidRDefault="006B0FE5" w:rsidP="001C104D">
      <w:pPr>
        <w:tabs>
          <w:tab w:val="clear" w:pos="567"/>
          <w:tab w:val="left" w:pos="720"/>
        </w:tabs>
        <w:overflowPunct/>
        <w:autoSpaceDE/>
        <w:autoSpaceDN/>
        <w:adjustRightInd/>
        <w:jc w:val="both"/>
        <w:textAlignment w:val="auto"/>
        <w:rPr>
          <w:rFonts w:eastAsia="Calibri"/>
          <w:color w:val="000000" w:themeColor="text1"/>
          <w:lang w:val="es-ES"/>
        </w:rPr>
      </w:pPr>
      <w:r w:rsidRPr="00606E6E">
        <w:rPr>
          <w:rFonts w:eastAsia="Calibri"/>
          <w:color w:val="000000" w:themeColor="text1"/>
          <w:lang w:val="es-ES"/>
        </w:rPr>
        <w:t>2.2.8</w:t>
      </w:r>
      <w:r w:rsidRPr="00606E6E">
        <w:rPr>
          <w:rFonts w:eastAsia="Calibri"/>
          <w:color w:val="000000" w:themeColor="text1"/>
          <w:lang w:val="es-ES"/>
        </w:rPr>
        <w:tab/>
      </w:r>
      <w:r w:rsidRPr="00775998">
        <w:rPr>
          <w:lang w:val="es-ES"/>
        </w:rPr>
        <w:t>El Foro Regional de Desarrollo para Europa de la UIT (FRD-EUR) de 2025 se celebró el 24</w:t>
      </w:r>
      <w:r>
        <w:rPr>
          <w:lang w:val="es-ES"/>
        </w:rPr>
        <w:t> </w:t>
      </w:r>
      <w:r w:rsidRPr="00775998">
        <w:rPr>
          <w:lang w:val="es-ES"/>
        </w:rPr>
        <w:t xml:space="preserve">de febrero en Budapest </w:t>
      </w:r>
      <w:r>
        <w:rPr>
          <w:lang w:val="es-ES"/>
        </w:rPr>
        <w:t>(</w:t>
      </w:r>
      <w:r w:rsidRPr="00775998">
        <w:rPr>
          <w:lang w:val="es-ES"/>
        </w:rPr>
        <w:t>Hungría</w:t>
      </w:r>
      <w:r>
        <w:rPr>
          <w:lang w:val="es-ES"/>
        </w:rPr>
        <w:t>)</w:t>
      </w:r>
      <w:r w:rsidRPr="00775998">
        <w:rPr>
          <w:lang w:val="es-ES"/>
        </w:rPr>
        <w:t>, siendo su anfitriona la Autoridad Nacional de Medios e Infocomunicaciones de Hungría, en cooperación con la CEPT. El Foro precedió la RPR-EUR y a él asistieron 98</w:t>
      </w:r>
      <w:r>
        <w:rPr>
          <w:lang w:val="es-ES"/>
        </w:rPr>
        <w:t> </w:t>
      </w:r>
      <w:r w:rsidRPr="00775998">
        <w:rPr>
          <w:lang w:val="es-ES"/>
        </w:rPr>
        <w:t>participantes en representación de 32</w:t>
      </w:r>
      <w:r>
        <w:rPr>
          <w:lang w:val="es-ES"/>
        </w:rPr>
        <w:t> </w:t>
      </w:r>
      <w:r w:rsidRPr="00775998">
        <w:rPr>
          <w:lang w:val="es-ES"/>
        </w:rPr>
        <w:t>Estados Miembros, Miembros de Sector del</w:t>
      </w:r>
      <w:r>
        <w:rPr>
          <w:lang w:val="es-ES"/>
        </w:rPr>
        <w:t> </w:t>
      </w:r>
      <w:r w:rsidRPr="00775998">
        <w:rPr>
          <w:lang w:val="es-ES"/>
        </w:rPr>
        <w:t>UIT</w:t>
      </w:r>
      <w:r>
        <w:rPr>
          <w:lang w:val="es-ES"/>
        </w:rPr>
        <w:noBreakHyphen/>
      </w:r>
      <w:r w:rsidRPr="00775998">
        <w:rPr>
          <w:lang w:val="es-ES"/>
        </w:rPr>
        <w:t xml:space="preserve">D y otros invitados para celebrar un diálogo de alto nivel sobre el logro de la </w:t>
      </w:r>
      <w:r w:rsidRPr="00775998">
        <w:rPr>
          <w:lang w:val="es-ES"/>
        </w:rPr>
        <w:lastRenderedPageBreak/>
        <w:t xml:space="preserve">conectividad efectiva y la transformación digital sostenible. A lo largo de los debates se examinó la ejecución de las cinco Iniciativas </w:t>
      </w:r>
      <w:r>
        <w:rPr>
          <w:lang w:val="es-ES"/>
        </w:rPr>
        <w:t>R</w:t>
      </w:r>
      <w:r w:rsidRPr="00775998">
        <w:rPr>
          <w:lang w:val="es-ES"/>
        </w:rPr>
        <w:t>egionales para Europa y se consideraron las tendencias, retos y oportunidades regionales, incluido el liderazgo europeo en materia de ciberseguridad y asequibilidad de la banda ancha, en paralelo a las persistentes brechas de conectividad rural. El Foro contó con sesiones de establecimiento de contactos de P2C, destinadas a fomentar las asociaciones para el desarrollo. Entre los principales anuncios efectuados se cuentan el apoyo a los Balcanes Occidentales en materia de sistemas de alerta temprana, los acuerdos concluidos con Chipre sobre capacitación en resiliencia infraestructural y con Andorra sobre protección de la infancia en línea, además de un acuerdo de las Naciones Unidas con la OIT centrado en la alfabetización digital en Moldova</w:t>
      </w:r>
      <w:r w:rsidRPr="00606E6E">
        <w:rPr>
          <w:rFonts w:eastAsia="Calibri"/>
          <w:color w:val="000000" w:themeColor="text1"/>
          <w:lang w:val="es-ES"/>
        </w:rPr>
        <w:t>.</w:t>
      </w:r>
    </w:p>
    <w:p w14:paraId="6D2B293F" w14:textId="77777777" w:rsidR="006B0FE5" w:rsidRPr="00606E6E" w:rsidRDefault="006B0FE5" w:rsidP="00685F9C">
      <w:pPr>
        <w:pStyle w:val="Heading2"/>
      </w:pPr>
      <w:r w:rsidRPr="00606E6E">
        <w:t>2.3</w:t>
      </w:r>
      <w:r w:rsidRPr="00606E6E">
        <w:tab/>
        <w:t xml:space="preserve">Reuniones Preparatorias </w:t>
      </w:r>
      <w:r w:rsidRPr="00685F9C">
        <w:t>Regionales</w:t>
      </w:r>
      <w:r w:rsidRPr="00606E6E">
        <w:t xml:space="preserve"> para la </w:t>
      </w:r>
      <w:proofErr w:type="spellStart"/>
      <w:r>
        <w:t>CMDT</w:t>
      </w:r>
      <w:proofErr w:type="spellEnd"/>
      <w:r w:rsidRPr="00606E6E">
        <w:t xml:space="preserve"> 2025</w:t>
      </w:r>
    </w:p>
    <w:p w14:paraId="2BDA5617" w14:textId="58D502A4" w:rsidR="006B0FE5" w:rsidRPr="00606E6E" w:rsidRDefault="006B0FE5" w:rsidP="001C104D">
      <w:pPr>
        <w:tabs>
          <w:tab w:val="clear" w:pos="567"/>
          <w:tab w:val="left" w:pos="720"/>
        </w:tabs>
        <w:overflowPunct/>
        <w:autoSpaceDE/>
        <w:autoSpaceDN/>
        <w:adjustRightInd/>
        <w:jc w:val="both"/>
        <w:textAlignment w:val="auto"/>
        <w:rPr>
          <w:rFonts w:asciiTheme="minorHAnsi" w:hAnsiTheme="minorHAnsi"/>
          <w:bCs/>
          <w:lang w:val="es-ES"/>
        </w:rPr>
      </w:pPr>
      <w:r w:rsidRPr="00606E6E">
        <w:rPr>
          <w:rFonts w:asciiTheme="minorHAnsi" w:eastAsia="Calibri" w:hAnsiTheme="minorHAnsi" w:cstheme="minorBidi"/>
          <w:bCs/>
          <w:color w:val="000000" w:themeColor="text1"/>
          <w:lang w:val="es-ES"/>
        </w:rPr>
        <w:t>2.3.1</w:t>
      </w:r>
      <w:r w:rsidRPr="00606E6E">
        <w:rPr>
          <w:rFonts w:asciiTheme="minorHAnsi" w:eastAsia="Calibri" w:hAnsiTheme="minorHAnsi" w:cstheme="minorBidi"/>
          <w:bCs/>
          <w:color w:val="000000" w:themeColor="text1"/>
          <w:lang w:val="es-ES"/>
        </w:rPr>
        <w:tab/>
      </w:r>
      <w:r w:rsidRPr="00775998">
        <w:rPr>
          <w:lang w:val="es-ES"/>
        </w:rPr>
        <w:t xml:space="preserve">De conformidad con la </w:t>
      </w:r>
      <w:hyperlink r:id="rId37">
        <w:r>
          <w:rPr>
            <w:rStyle w:val="Hyperlink"/>
            <w:lang w:val="es-ES"/>
          </w:rPr>
          <w:t>Resolución 31 (Rev.</w:t>
        </w:r>
        <w:r w:rsidR="008031F9">
          <w:rPr>
            <w:rStyle w:val="Hyperlink"/>
            <w:lang w:val="es-ES"/>
          </w:rPr>
          <w:t> </w:t>
        </w:r>
        <w:r>
          <w:rPr>
            <w:rStyle w:val="Hyperlink"/>
            <w:lang w:val="es-ES"/>
          </w:rPr>
          <w:t>Kigali, 2022)</w:t>
        </w:r>
      </w:hyperlink>
      <w:r>
        <w:rPr>
          <w:lang w:val="es-ES"/>
        </w:rPr>
        <w:t xml:space="preserve">, </w:t>
      </w:r>
      <w:r w:rsidRPr="00775998">
        <w:rPr>
          <w:lang w:val="es-ES"/>
        </w:rPr>
        <w:t>se organizaron las seis RPR indicadas en el Cuadro</w:t>
      </w:r>
      <w:r>
        <w:rPr>
          <w:lang w:val="es-ES"/>
        </w:rPr>
        <w:t> </w:t>
      </w:r>
      <w:r w:rsidRPr="00775998">
        <w:rPr>
          <w:lang w:val="es-ES"/>
        </w:rPr>
        <w:t xml:space="preserve">1 anterior. Las RPR tratan de involucrar a los Miembros de cada región en el proceso preparatorio de la CMDT-25 con el fin de fomentar la coordinación regional antes de la Conferencia. Otro de sus objetivos es identificar los problemas regionales que se han de resolver para fomentar el desarrollo de las telecomunicaciones y las TIC, teniendo en cuenta las necesidades más urgentes de los Estados Miembros y Miembros de Sector de cada región. Los resultados de las RPR se recopilan en la reunión </w:t>
      </w:r>
      <w:r>
        <w:rPr>
          <w:lang w:val="es-ES"/>
        </w:rPr>
        <w:t>i</w:t>
      </w:r>
      <w:r w:rsidRPr="00775998">
        <w:rPr>
          <w:lang w:val="es-ES"/>
        </w:rPr>
        <w:t xml:space="preserve">nterregional de coordinación y se debaten en el </w:t>
      </w:r>
      <w:r w:rsidRPr="00880CDC">
        <w:rPr>
          <w:lang w:val="es-ES"/>
        </w:rPr>
        <w:t xml:space="preserve">Grupo Asesor de Desarrollo de las Telecomunicaciones </w:t>
      </w:r>
      <w:r>
        <w:rPr>
          <w:lang w:val="es-ES"/>
        </w:rPr>
        <w:t>(</w:t>
      </w:r>
      <w:r w:rsidRPr="00775998">
        <w:rPr>
          <w:lang w:val="es-ES"/>
        </w:rPr>
        <w:t>GADT</w:t>
      </w:r>
      <w:r>
        <w:rPr>
          <w:lang w:val="es-ES"/>
        </w:rPr>
        <w:t>)</w:t>
      </w:r>
      <w:r w:rsidRPr="00775998">
        <w:rPr>
          <w:lang w:val="es-ES"/>
        </w:rPr>
        <w:t xml:space="preserve"> de 2025. Los resultados del GADT se presentan entonces a la consideración de la CMDT como proyectos</w:t>
      </w:r>
      <w:r w:rsidRPr="00606E6E">
        <w:rPr>
          <w:rFonts w:asciiTheme="minorHAnsi" w:hAnsiTheme="minorHAnsi"/>
          <w:bCs/>
          <w:lang w:val="es-ES"/>
        </w:rPr>
        <w:t>.</w:t>
      </w:r>
    </w:p>
    <w:p w14:paraId="72258219" w14:textId="77777777" w:rsidR="006B0FE5" w:rsidRPr="00606E6E" w:rsidRDefault="006B0FE5" w:rsidP="001C104D">
      <w:pPr>
        <w:tabs>
          <w:tab w:val="clear" w:pos="567"/>
          <w:tab w:val="left" w:pos="720"/>
        </w:tabs>
        <w:overflowPunct/>
        <w:autoSpaceDE/>
        <w:autoSpaceDN/>
        <w:adjustRightInd/>
        <w:jc w:val="both"/>
        <w:textAlignment w:val="auto"/>
        <w:rPr>
          <w:bCs/>
          <w:lang w:val="es-ES"/>
        </w:rPr>
      </w:pPr>
      <w:r w:rsidRPr="00606E6E">
        <w:rPr>
          <w:bCs/>
          <w:lang w:val="es-ES"/>
        </w:rPr>
        <w:t>2.3.2</w:t>
      </w:r>
      <w:r w:rsidRPr="00606E6E">
        <w:rPr>
          <w:bCs/>
          <w:lang w:val="es-ES"/>
        </w:rPr>
        <w:tab/>
      </w:r>
      <w:r w:rsidRPr="00775998">
        <w:rPr>
          <w:lang w:val="es-ES"/>
        </w:rPr>
        <w:t>En las RPR se examinaron diversos documentos, incluidos los relativos a la aplicación del Plan de Acción de Kigali de la CMDT-22, al estado del desarrollo y las tendencias digitales en Europa, las decisiones de otras Conferencias de la UIT relacionadas con el trabajo del UIT-D, los avances realizados por los Grupos de Trabajo del GADT sobre las prioridades del UIT-D y sobre las futuras Cuestiones de las Comisiones de Estudio, y los esfuerzos invertidos en la racionalización de las Resoluciones y la Declaración de la CMDT</w:t>
      </w:r>
      <w:r w:rsidRPr="00606E6E">
        <w:rPr>
          <w:bCs/>
          <w:lang w:val="es-ES"/>
        </w:rPr>
        <w:t>.</w:t>
      </w:r>
    </w:p>
    <w:p w14:paraId="23FCFFCE" w14:textId="7D6ADDA7" w:rsidR="006B0FE5" w:rsidRPr="00606E6E" w:rsidRDefault="006B0FE5" w:rsidP="001C104D">
      <w:pPr>
        <w:tabs>
          <w:tab w:val="clear" w:pos="567"/>
          <w:tab w:val="left" w:pos="720"/>
        </w:tabs>
        <w:overflowPunct/>
        <w:autoSpaceDE/>
        <w:autoSpaceDN/>
        <w:adjustRightInd/>
        <w:jc w:val="both"/>
        <w:textAlignment w:val="auto"/>
        <w:rPr>
          <w:rFonts w:asciiTheme="minorHAnsi" w:eastAsia="Calibri" w:hAnsiTheme="minorHAnsi" w:cstheme="minorHAnsi"/>
          <w:bCs/>
          <w:color w:val="000000" w:themeColor="text1"/>
          <w:lang w:val="es-ES"/>
        </w:rPr>
      </w:pPr>
      <w:r w:rsidRPr="00606E6E">
        <w:rPr>
          <w:rFonts w:asciiTheme="minorHAnsi" w:hAnsiTheme="minorHAnsi"/>
          <w:bCs/>
          <w:lang w:val="es-ES"/>
        </w:rPr>
        <w:t>2.3.3</w:t>
      </w:r>
      <w:r w:rsidRPr="00606E6E">
        <w:rPr>
          <w:rFonts w:asciiTheme="minorHAnsi" w:hAnsiTheme="minorHAnsi"/>
          <w:bCs/>
          <w:lang w:val="es-ES"/>
        </w:rPr>
        <w:tab/>
      </w:r>
      <w:r w:rsidRPr="00775998">
        <w:rPr>
          <w:lang w:val="es-ES"/>
        </w:rPr>
        <w:t xml:space="preserve">En las reuniones también se debatieron las contribuciones presentadas por diversos países sobre nuevas </w:t>
      </w:r>
      <w:r>
        <w:rPr>
          <w:lang w:val="es-ES"/>
        </w:rPr>
        <w:t>i</w:t>
      </w:r>
      <w:r w:rsidRPr="00775998">
        <w:rPr>
          <w:lang w:val="es-ES"/>
        </w:rPr>
        <w:t xml:space="preserve">niciativas regionales, destinadas, entre otras cosas, a aumentar la ciberseguridad, fomentar la igualdad de género, intensificar la inclusión de los jóvenes, mejorar las telecomunicaciones de emergencia y fomentar los ecosistemas de innovación digital, de las que se tomó nota. Asimismo, las RPR trabajaron en la definición de los proyectos de </w:t>
      </w:r>
      <w:r>
        <w:rPr>
          <w:lang w:val="es-ES"/>
        </w:rPr>
        <w:t>i</w:t>
      </w:r>
      <w:r w:rsidRPr="00775998">
        <w:rPr>
          <w:lang w:val="es-ES"/>
        </w:rPr>
        <w:t xml:space="preserve">niciativas regionales para cada región para el periodo 2026-2029. Puede encontrarse más información sobre las contribuciones presentadas a cada RPR en el </w:t>
      </w:r>
      <w:hyperlink r:id="rId38" w:anchor="/es" w:history="1">
        <w:r>
          <w:rPr>
            <w:rStyle w:val="Hyperlink"/>
            <w:lang w:val="es-ES"/>
          </w:rPr>
          <w:t>sitio web</w:t>
        </w:r>
        <w:r>
          <w:rPr>
            <w:rStyle w:val="Hyperlink"/>
            <w:lang w:val="es-ES"/>
          </w:rPr>
          <w:t xml:space="preserve"> </w:t>
        </w:r>
        <w:r>
          <w:rPr>
            <w:rStyle w:val="Hyperlink"/>
            <w:lang w:val="es-ES"/>
          </w:rPr>
          <w:t>de las RPR</w:t>
        </w:r>
      </w:hyperlink>
      <w:r w:rsidRPr="00606E6E">
        <w:rPr>
          <w:rFonts w:asciiTheme="minorHAnsi" w:hAnsiTheme="minorHAnsi"/>
          <w:bCs/>
          <w:lang w:val="es-ES"/>
        </w:rPr>
        <w:t>.</w:t>
      </w:r>
    </w:p>
    <w:p w14:paraId="3BEE4C17" w14:textId="77777777" w:rsidR="006B0FE5" w:rsidRPr="00606E6E" w:rsidRDefault="006B0FE5" w:rsidP="00685F9C">
      <w:pPr>
        <w:pStyle w:val="Heading2"/>
      </w:pPr>
      <w:r w:rsidRPr="00606E6E">
        <w:t>2.4</w:t>
      </w:r>
      <w:r w:rsidRPr="00606E6E">
        <w:tab/>
        <w:t>Aplicación del Plan Operacion</w:t>
      </w:r>
      <w:r>
        <w:t>al del UIT-D</w:t>
      </w:r>
    </w:p>
    <w:p w14:paraId="3FE9E86B" w14:textId="77777777" w:rsidR="006B0FE5" w:rsidRPr="00606E6E" w:rsidRDefault="006B0FE5" w:rsidP="001C104D">
      <w:pPr>
        <w:tabs>
          <w:tab w:val="clear" w:pos="567"/>
          <w:tab w:val="left" w:pos="720"/>
        </w:tabs>
        <w:overflowPunct/>
        <w:autoSpaceDE/>
        <w:autoSpaceDN/>
        <w:adjustRightInd/>
        <w:jc w:val="both"/>
        <w:textAlignment w:val="auto"/>
        <w:rPr>
          <w:rFonts w:eastAsia="SimSun"/>
          <w:szCs w:val="24"/>
          <w:lang w:val="es-ES"/>
        </w:rPr>
      </w:pPr>
      <w:r w:rsidRPr="00606E6E">
        <w:rPr>
          <w:rFonts w:eastAsia="SimSun"/>
          <w:szCs w:val="24"/>
          <w:lang w:val="es-ES"/>
        </w:rPr>
        <w:t>2.4.1</w:t>
      </w:r>
      <w:r w:rsidRPr="00606E6E">
        <w:rPr>
          <w:rFonts w:eastAsia="SimSun"/>
          <w:szCs w:val="24"/>
          <w:lang w:val="es-ES"/>
        </w:rPr>
        <w:tab/>
      </w:r>
      <w:r w:rsidRPr="00775998">
        <w:rPr>
          <w:lang w:val="es-ES"/>
        </w:rPr>
        <w:t>La eficacia de las actividades regionales de la UIT aporta una notable contribución a su misión global de conectar el mundo y fomentar la transformación digital sostenible con repercusiones a nivel local en el marco de las actividades de desarrollo que la BDT pone al servicio de los Estados Miembros. Estos esfuerzos están estratégicamente diseñados para garantizar que la</w:t>
      </w:r>
      <w:r>
        <w:rPr>
          <w:lang w:val="es-ES"/>
        </w:rPr>
        <w:t> </w:t>
      </w:r>
      <w:r w:rsidRPr="00775998">
        <w:rPr>
          <w:lang w:val="es-ES"/>
        </w:rPr>
        <w:t>UIT conserva su capacidad de reacción ante la rápida evolución de las necesidades de las economías y sociedades digitales de todo el mundo</w:t>
      </w:r>
      <w:r w:rsidRPr="00606E6E">
        <w:rPr>
          <w:rFonts w:eastAsia="Aptos"/>
          <w:lang w:val="es-ES"/>
        </w:rPr>
        <w:t xml:space="preserve">. </w:t>
      </w:r>
    </w:p>
    <w:p w14:paraId="0B863774" w14:textId="77777777" w:rsidR="006B0FE5" w:rsidRPr="00606E6E" w:rsidRDefault="006B0FE5" w:rsidP="001C104D">
      <w:pPr>
        <w:tabs>
          <w:tab w:val="clear" w:pos="567"/>
          <w:tab w:val="left" w:pos="720"/>
        </w:tabs>
        <w:overflowPunct/>
        <w:autoSpaceDE/>
        <w:autoSpaceDN/>
        <w:adjustRightInd/>
        <w:jc w:val="both"/>
        <w:textAlignment w:val="auto"/>
        <w:rPr>
          <w:rFonts w:eastAsia="Aptos"/>
          <w:lang w:val="es-ES"/>
        </w:rPr>
      </w:pPr>
      <w:r w:rsidRPr="00606E6E">
        <w:rPr>
          <w:rFonts w:eastAsia="Aptos"/>
          <w:lang w:val="es-ES"/>
        </w:rPr>
        <w:t>2.4.2</w:t>
      </w:r>
      <w:r w:rsidRPr="00606E6E">
        <w:rPr>
          <w:rFonts w:eastAsia="Aptos"/>
          <w:lang w:val="es-ES"/>
        </w:rPr>
        <w:tab/>
      </w:r>
      <w:r w:rsidRPr="00775998">
        <w:rPr>
          <w:lang w:val="es-ES"/>
        </w:rPr>
        <w:t>El Plan Operacional del UIT-D se ajusta a la estructura del Plan Estratégico de la Unión para 2024</w:t>
      </w:r>
      <w:r>
        <w:rPr>
          <w:lang w:val="es-ES"/>
        </w:rPr>
        <w:noBreakHyphen/>
      </w:r>
      <w:r w:rsidRPr="00775998">
        <w:rPr>
          <w:lang w:val="es-ES"/>
        </w:rPr>
        <w:t xml:space="preserve">2027. Dicha estructura se rige por el Plan de Acción de Kigali, en el que se esbozan las Prioridades y los Facilitadores del UIT-D, y sus correspondientes resultados, productos y servicios, así como los indicadores fundamentales de rendimiento (IFR) con los que se mide el </w:t>
      </w:r>
      <w:r w:rsidRPr="00775998">
        <w:rPr>
          <w:lang w:val="es-ES"/>
        </w:rPr>
        <w:lastRenderedPageBreak/>
        <w:t>grado de cumplimiento de las actividades del Sector. En la actualidad se llevan a cabo ciento treinta y cinco (135) actividades a escala mundial y regional. Para mejorar las actividades de implementación se buscan sinergias entre los resultados regionales, así como entre las iniciativas a escalas regional y mundial, en colaboración con otras Oficinas de la UIT y la Secretaría General</w:t>
      </w:r>
      <w:r w:rsidRPr="00606E6E">
        <w:rPr>
          <w:rFonts w:eastAsia="Aptos"/>
          <w:lang w:val="es-ES"/>
        </w:rPr>
        <w:t xml:space="preserve">. </w:t>
      </w:r>
    </w:p>
    <w:p w14:paraId="370A03CE" w14:textId="77777777" w:rsidR="006B0FE5" w:rsidRPr="00606E6E" w:rsidRDefault="006B0FE5" w:rsidP="001C104D">
      <w:pPr>
        <w:tabs>
          <w:tab w:val="clear" w:pos="567"/>
          <w:tab w:val="left" w:pos="720"/>
        </w:tabs>
        <w:overflowPunct/>
        <w:autoSpaceDE/>
        <w:autoSpaceDN/>
        <w:adjustRightInd/>
        <w:jc w:val="both"/>
        <w:textAlignment w:val="auto"/>
        <w:rPr>
          <w:rFonts w:eastAsia="Aptos"/>
          <w:lang w:val="es-ES"/>
        </w:rPr>
      </w:pPr>
      <w:r w:rsidRPr="00606E6E">
        <w:rPr>
          <w:rFonts w:eastAsia="Aptos"/>
          <w:lang w:val="es-ES"/>
        </w:rPr>
        <w:t>2.4.3</w:t>
      </w:r>
      <w:r w:rsidRPr="00606E6E">
        <w:rPr>
          <w:rFonts w:eastAsia="Aptos"/>
          <w:lang w:val="es-ES"/>
        </w:rPr>
        <w:tab/>
      </w:r>
      <w:r w:rsidRPr="00775998">
        <w:rPr>
          <w:lang w:val="es-ES"/>
        </w:rPr>
        <w:t>Las Oficinas Regionales forman parte integrante del proceso de planificación operacional del que dan cuenta los tablones de la</w:t>
      </w:r>
      <w:r>
        <w:rPr>
          <w:lang w:val="es-ES"/>
        </w:rPr>
        <w:t> </w:t>
      </w:r>
      <w:r w:rsidRPr="00775998">
        <w:rPr>
          <w:lang w:val="es-ES"/>
        </w:rPr>
        <w:t xml:space="preserve">BDT para el PO y los proyectos. Las Oficinas Regionales y Zonales de la UIT colaboran estrechamente con la Sede en la identificación, ejecución y supervisión de los Planes Operacionales, así como en el diseño, la ejecución y la supervisión de proyectos de asistencia técnica en sus respectivas regiones. La asignación presupuestaria y la evaluación del rendimiento se efectúan de consuno con las Oficinas Regionales. Este ejercicio incluye la entrega de resultados (productos y servicios del UIT-D) y de realizaciones (resultados) a los Estados Miembros, así como la atención a las necesidades específicas de cada país, en consonancia con las Prioridades y Facilitadores del UIT-D y las </w:t>
      </w:r>
      <w:r>
        <w:rPr>
          <w:lang w:val="es-ES"/>
        </w:rPr>
        <w:t>i</w:t>
      </w:r>
      <w:r w:rsidRPr="00775998">
        <w:rPr>
          <w:lang w:val="es-ES"/>
        </w:rPr>
        <w:t>niciativas regionales adoptadas en la CMDT</w:t>
      </w:r>
      <w:r>
        <w:rPr>
          <w:lang w:val="es-ES"/>
        </w:rPr>
        <w:noBreakHyphen/>
      </w:r>
      <w:r w:rsidRPr="00775998">
        <w:rPr>
          <w:lang w:val="es-ES"/>
        </w:rPr>
        <w:t>22. Este enfoque integrado permite a la BDT ofrecer mejores resultados a los Estados Miembros de la UIT y aprovechar las sinergias entre las actividades ordinarias y extrapresupuestarias emprendidas por la Oficina</w:t>
      </w:r>
      <w:r w:rsidRPr="00606E6E">
        <w:rPr>
          <w:rFonts w:eastAsia="Aptos"/>
          <w:lang w:val="es-ES"/>
        </w:rPr>
        <w:t xml:space="preserve">. </w:t>
      </w:r>
    </w:p>
    <w:p w14:paraId="1640C530" w14:textId="77777777" w:rsidR="006B0FE5" w:rsidRPr="00606E6E" w:rsidRDefault="006B0FE5" w:rsidP="001C104D">
      <w:pPr>
        <w:tabs>
          <w:tab w:val="clear" w:pos="567"/>
          <w:tab w:val="left" w:pos="720"/>
        </w:tabs>
        <w:overflowPunct/>
        <w:autoSpaceDE/>
        <w:autoSpaceDN/>
        <w:adjustRightInd/>
        <w:jc w:val="both"/>
        <w:textAlignment w:val="auto"/>
        <w:rPr>
          <w:rFonts w:eastAsia="Aptos"/>
          <w:lang w:val="es-ES"/>
        </w:rPr>
      </w:pPr>
      <w:r w:rsidRPr="00606E6E">
        <w:rPr>
          <w:rFonts w:eastAsia="Aptos"/>
          <w:lang w:val="es-ES"/>
        </w:rPr>
        <w:t>2.4.4</w:t>
      </w:r>
      <w:r w:rsidRPr="00606E6E">
        <w:rPr>
          <w:rFonts w:eastAsia="Aptos"/>
          <w:lang w:val="es-ES"/>
        </w:rPr>
        <w:tab/>
      </w:r>
      <w:r w:rsidRPr="00775998">
        <w:rPr>
          <w:lang w:val="es-ES"/>
        </w:rPr>
        <w:t xml:space="preserve">Las Oficinas Regionales y la Sede desarrollan, gestionan y documentan de consuno el Plan Operacional de la BDT, basado en los resultados y realizaciones de los IFR. Las Oficinas Regionales están más cercanas a los </w:t>
      </w:r>
      <w:r>
        <w:rPr>
          <w:lang w:val="es-ES"/>
        </w:rPr>
        <w:t>m</w:t>
      </w:r>
      <w:r w:rsidRPr="00775998">
        <w:rPr>
          <w:lang w:val="es-ES"/>
        </w:rPr>
        <w:t>iembros y pueden responder efectivamente a sus necesidades</w:t>
      </w:r>
      <w:r w:rsidRPr="00606E6E">
        <w:rPr>
          <w:rFonts w:eastAsia="Aptos"/>
          <w:lang w:val="es-ES"/>
        </w:rPr>
        <w:t xml:space="preserve">. </w:t>
      </w:r>
    </w:p>
    <w:p w14:paraId="4DD983A0" w14:textId="77777777" w:rsidR="006B0FE5" w:rsidRPr="00606E6E" w:rsidRDefault="006B0FE5" w:rsidP="001C104D">
      <w:pPr>
        <w:tabs>
          <w:tab w:val="clear" w:pos="567"/>
          <w:tab w:val="left" w:pos="720"/>
        </w:tabs>
        <w:overflowPunct/>
        <w:autoSpaceDE/>
        <w:autoSpaceDN/>
        <w:adjustRightInd/>
        <w:jc w:val="both"/>
        <w:textAlignment w:val="auto"/>
        <w:rPr>
          <w:rFonts w:eastAsia="Aptos"/>
          <w:lang w:val="es-ES"/>
        </w:rPr>
      </w:pPr>
      <w:r w:rsidRPr="00606E6E">
        <w:rPr>
          <w:rFonts w:eastAsia="Aptos"/>
          <w:lang w:val="es-ES"/>
        </w:rPr>
        <w:t>2.4.5</w:t>
      </w:r>
      <w:r w:rsidRPr="00606E6E">
        <w:rPr>
          <w:rFonts w:eastAsia="Aptos"/>
          <w:lang w:val="es-ES"/>
        </w:rPr>
        <w:tab/>
      </w:r>
      <w:r w:rsidRPr="00775998">
        <w:rPr>
          <w:lang w:val="es-ES"/>
        </w:rPr>
        <w:t>En lo que respecta a las actividades del Plan Operacional, las Oficinas Regionales y Zonales son responsables de la aplicación, mientras que los servicios de la BDT en la Sede se ocupan de gestionar las actividades multirregionales. Para los proyectos específicos a una región o país, los gestores residen en las Oficinas Regionales o Zonales. Todos los resultados de las actividades de planificación operacional y de los proyectos se miden de acuerdo con los IFR adoptados por el</w:t>
      </w:r>
      <w:r>
        <w:rPr>
          <w:lang w:val="es-ES"/>
        </w:rPr>
        <w:t> </w:t>
      </w:r>
      <w:r w:rsidRPr="00775998">
        <w:rPr>
          <w:lang w:val="es-ES"/>
        </w:rPr>
        <w:t>GADT</w:t>
      </w:r>
      <w:r w:rsidRPr="00606E6E">
        <w:rPr>
          <w:rFonts w:eastAsia="Aptos"/>
          <w:lang w:val="es-ES"/>
        </w:rPr>
        <w:t>.</w:t>
      </w:r>
    </w:p>
    <w:p w14:paraId="2C9B6C04" w14:textId="77777777" w:rsidR="006B0FE5" w:rsidRPr="00606E6E" w:rsidRDefault="006B0FE5" w:rsidP="001C104D">
      <w:pPr>
        <w:tabs>
          <w:tab w:val="clear" w:pos="567"/>
          <w:tab w:val="left" w:pos="720"/>
        </w:tabs>
        <w:overflowPunct/>
        <w:autoSpaceDE/>
        <w:autoSpaceDN/>
        <w:adjustRightInd/>
        <w:jc w:val="both"/>
        <w:textAlignment w:val="auto"/>
        <w:rPr>
          <w:rFonts w:eastAsia="Aptos"/>
          <w:lang w:val="es-ES"/>
        </w:rPr>
      </w:pPr>
      <w:r w:rsidRPr="00606E6E">
        <w:rPr>
          <w:lang w:val="es-ES"/>
        </w:rPr>
        <w:t>2.4.6</w:t>
      </w:r>
      <w:r w:rsidRPr="00606E6E">
        <w:rPr>
          <w:lang w:val="es-ES"/>
        </w:rPr>
        <w:tab/>
      </w:r>
      <w:r w:rsidRPr="00775998">
        <w:rPr>
          <w:lang w:val="es-ES"/>
        </w:rPr>
        <w:t xml:space="preserve">Las Oficinas Regionales y Zonales de la UIT trabajan en coordinación con los Departamentos y Divisiones de la BDT en la implementación del Plan de Acción de Kigali, aprobado por la </w:t>
      </w:r>
      <w:r>
        <w:rPr>
          <w:lang w:val="es-ES"/>
        </w:rPr>
        <w:t>Conferencia Mundial de Desarrollo de las Telecomunicaciones (</w:t>
      </w:r>
      <w:r w:rsidRPr="00775998">
        <w:rPr>
          <w:lang w:val="es-ES"/>
        </w:rPr>
        <w:t>CMDT-22</w:t>
      </w:r>
      <w:r>
        <w:rPr>
          <w:lang w:val="es-ES"/>
        </w:rPr>
        <w:t>)</w:t>
      </w:r>
      <w:r w:rsidRPr="00775998">
        <w:rPr>
          <w:lang w:val="es-ES"/>
        </w:rPr>
        <w:t xml:space="preserve">. El </w:t>
      </w:r>
      <w:r w:rsidRPr="00866CC9">
        <w:rPr>
          <w:lang w:val="es-ES"/>
        </w:rPr>
        <w:t>Plan de Acción de Kigali</w:t>
      </w:r>
      <w:r w:rsidRPr="00775998">
        <w:rPr>
          <w:lang w:val="es-ES"/>
        </w:rPr>
        <w:t xml:space="preserve"> adopta un marco de gestión basada en resultados (GBR) basado en las prioridades del UIT-D identificadas como esferas de trabajo clave que facilitarán la ejecución</w:t>
      </w:r>
      <w:r>
        <w:rPr>
          <w:lang w:val="es-ES"/>
        </w:rPr>
        <w:t xml:space="preserve"> </w:t>
      </w:r>
      <w:r w:rsidRPr="00775998">
        <w:rPr>
          <w:lang w:val="es-ES"/>
        </w:rPr>
        <w:t>del Plan Estratégico de la</w:t>
      </w:r>
      <w:r>
        <w:rPr>
          <w:lang w:val="es-ES"/>
        </w:rPr>
        <w:t> </w:t>
      </w:r>
      <w:r w:rsidRPr="00775998">
        <w:rPr>
          <w:lang w:val="es-ES"/>
        </w:rPr>
        <w:t>UIT para 2024-2027</w:t>
      </w:r>
      <w:r w:rsidRPr="00606E6E">
        <w:rPr>
          <w:rFonts w:eastAsia="Aptos"/>
          <w:lang w:val="es-ES"/>
        </w:rPr>
        <w:t>.</w:t>
      </w:r>
    </w:p>
    <w:p w14:paraId="618B9597" w14:textId="77777777" w:rsidR="006B0FE5" w:rsidRPr="00606E6E" w:rsidRDefault="006B0FE5" w:rsidP="001C104D">
      <w:pPr>
        <w:tabs>
          <w:tab w:val="clear" w:pos="567"/>
          <w:tab w:val="left" w:pos="720"/>
        </w:tabs>
        <w:overflowPunct/>
        <w:autoSpaceDE/>
        <w:autoSpaceDN/>
        <w:adjustRightInd/>
        <w:jc w:val="both"/>
        <w:textAlignment w:val="auto"/>
        <w:rPr>
          <w:rFonts w:eastAsia="Aptos"/>
          <w:lang w:val="es-ES"/>
        </w:rPr>
      </w:pPr>
      <w:r w:rsidRPr="00606E6E">
        <w:rPr>
          <w:rFonts w:eastAsia="Aptos"/>
          <w:lang w:val="es-ES"/>
        </w:rPr>
        <w:t>2.4.7</w:t>
      </w:r>
      <w:r w:rsidRPr="00606E6E">
        <w:rPr>
          <w:rFonts w:eastAsia="Aptos"/>
          <w:lang w:val="es-ES"/>
        </w:rPr>
        <w:tab/>
      </w:r>
      <w:r w:rsidRPr="00775998">
        <w:rPr>
          <w:lang w:val="es-ES"/>
        </w:rPr>
        <w:t>Puede encontrarse información detallada sobre la realización por la</w:t>
      </w:r>
      <w:r>
        <w:rPr>
          <w:lang w:val="es-ES"/>
        </w:rPr>
        <w:t> </w:t>
      </w:r>
      <w:r w:rsidRPr="00775998">
        <w:rPr>
          <w:lang w:val="es-ES"/>
        </w:rPr>
        <w:t>BDT de actividades en el terreno entre junio de 2024 y mayo de 2025 en el Documento</w:t>
      </w:r>
      <w:r>
        <w:rPr>
          <w:lang w:val="es-ES"/>
        </w:rPr>
        <w:t> </w:t>
      </w:r>
      <w:hyperlink r:id="rId39" w:history="1">
        <w:r w:rsidRPr="00775998">
          <w:rPr>
            <w:rStyle w:val="Hyperlink"/>
            <w:lang w:val="es-ES"/>
          </w:rPr>
          <w:t>TDAG-25/2</w:t>
        </w:r>
      </w:hyperlink>
      <w:r w:rsidRPr="00775998">
        <w:rPr>
          <w:lang w:val="es-ES"/>
        </w:rPr>
        <w:t>, donde se destacan los logros alcanzados en todas las regiones</w:t>
      </w:r>
      <w:r w:rsidRPr="00606E6E">
        <w:rPr>
          <w:rFonts w:eastAsia="Aptos"/>
          <w:lang w:val="es-ES"/>
        </w:rPr>
        <w:t>.</w:t>
      </w:r>
    </w:p>
    <w:p w14:paraId="42F6AE47" w14:textId="77777777" w:rsidR="006B0FE5" w:rsidRPr="00606E6E" w:rsidRDefault="006B0FE5" w:rsidP="00685F9C">
      <w:pPr>
        <w:pStyle w:val="Heading2"/>
      </w:pPr>
      <w:r w:rsidRPr="00606E6E">
        <w:t>2.5</w:t>
      </w:r>
      <w:r w:rsidRPr="00606E6E">
        <w:tab/>
        <w:t>Implicación de las Oficinas Regionales en la ejecución de proyect</w:t>
      </w:r>
      <w:r>
        <w:t>os del UIT-D</w:t>
      </w:r>
      <w:r w:rsidRPr="00606E6E">
        <w:t xml:space="preserve"> </w:t>
      </w:r>
    </w:p>
    <w:p w14:paraId="0C88AD44" w14:textId="77777777" w:rsidR="006B0FE5" w:rsidRPr="00A22ACC" w:rsidRDefault="006B0FE5" w:rsidP="001C104D">
      <w:pPr>
        <w:tabs>
          <w:tab w:val="clear" w:pos="567"/>
          <w:tab w:val="left" w:pos="720"/>
        </w:tabs>
        <w:overflowPunct/>
        <w:autoSpaceDE/>
        <w:autoSpaceDN/>
        <w:adjustRightInd/>
        <w:jc w:val="both"/>
        <w:textAlignment w:val="auto"/>
        <w:rPr>
          <w:lang w:val="es-ES"/>
        </w:rPr>
      </w:pPr>
      <w:r w:rsidRPr="00A22ACC">
        <w:rPr>
          <w:lang w:val="es-ES"/>
        </w:rPr>
        <w:t>2.5.1</w:t>
      </w:r>
      <w:r w:rsidRPr="00A22ACC">
        <w:rPr>
          <w:lang w:val="es-ES"/>
        </w:rPr>
        <w:tab/>
      </w:r>
      <w:r w:rsidRPr="00775998">
        <w:rPr>
          <w:lang w:val="es-ES"/>
        </w:rPr>
        <w:t>Los proyectos del UIT-D, diseñados para facilitar y mejorar el desarrollo de las telecomunicaciones/TIC mediante cooperación y asistencia técnicas, se llevan a cabo en las seis regiones de la UIT: África, Américas, Estado Árabes, Asia</w:t>
      </w:r>
      <w:r>
        <w:rPr>
          <w:lang w:val="es-ES"/>
        </w:rPr>
        <w:noBreakHyphen/>
      </w:r>
      <w:r w:rsidRPr="00775998">
        <w:rPr>
          <w:lang w:val="es-ES"/>
        </w:rPr>
        <w:t>Pacífico, CEI y Europa. La BDT es responsable del diseño, el desarrollo, la ejecución y la evaluación de los proyectos en las regiones</w:t>
      </w:r>
      <w:r w:rsidRPr="00A22ACC">
        <w:rPr>
          <w:lang w:val="es-ES"/>
        </w:rPr>
        <w:t>.</w:t>
      </w:r>
    </w:p>
    <w:p w14:paraId="726BCA83" w14:textId="77777777" w:rsidR="006B0FE5" w:rsidRPr="00A22ACC" w:rsidRDefault="006B0FE5" w:rsidP="001C104D">
      <w:pPr>
        <w:tabs>
          <w:tab w:val="clear" w:pos="567"/>
          <w:tab w:val="left" w:pos="720"/>
        </w:tabs>
        <w:overflowPunct/>
        <w:autoSpaceDE/>
        <w:autoSpaceDN/>
        <w:adjustRightInd/>
        <w:jc w:val="both"/>
        <w:textAlignment w:val="auto"/>
        <w:rPr>
          <w:lang w:val="es-ES"/>
        </w:rPr>
      </w:pPr>
      <w:r w:rsidRPr="00A22ACC">
        <w:rPr>
          <w:lang w:val="es-ES"/>
        </w:rPr>
        <w:t>2.5.2</w:t>
      </w:r>
      <w:r w:rsidRPr="00A22ACC">
        <w:rPr>
          <w:lang w:val="es-ES"/>
        </w:rPr>
        <w:tab/>
      </w:r>
      <w:r w:rsidRPr="00775998">
        <w:rPr>
          <w:lang w:val="es-ES"/>
        </w:rPr>
        <w:t xml:space="preserve">Las Oficinas Regionales y Zonales desempeñan un papel fundamental a la vanguardia del compromiso de la UIT para con los gobiernos e interesados locales. Trabajan en estrecha </w:t>
      </w:r>
      <w:r w:rsidRPr="00775998">
        <w:rPr>
          <w:lang w:val="es-ES"/>
        </w:rPr>
        <w:lastRenderedPageBreak/>
        <w:t xml:space="preserve">coordinación con la Sede para identificar, ejecutar y supervisar proyectos de asistencia técnica, productos y servicios del UIT-D, respondiendo a las necesidades específicas de cada país conforme al Plan de Acción de Kigali y las </w:t>
      </w:r>
      <w:r>
        <w:rPr>
          <w:lang w:val="es-ES"/>
        </w:rPr>
        <w:t>i</w:t>
      </w:r>
      <w:r w:rsidRPr="00775998">
        <w:rPr>
          <w:lang w:val="es-ES"/>
        </w:rPr>
        <w:t>niciativas regionales. Este enfoque integrado, que aprovecha la sinergia entre actividades ordinarias y extrapresupuestarias, permite a la BDT ofrecer un mejor servicio a los Estados Miembros</w:t>
      </w:r>
      <w:r w:rsidRPr="00A22ACC">
        <w:rPr>
          <w:lang w:val="es-ES"/>
        </w:rPr>
        <w:t>.</w:t>
      </w:r>
    </w:p>
    <w:p w14:paraId="2C45085D" w14:textId="77777777" w:rsidR="006B0FE5" w:rsidRPr="00A22ACC" w:rsidRDefault="006B0FE5" w:rsidP="001C104D">
      <w:pPr>
        <w:tabs>
          <w:tab w:val="clear" w:pos="567"/>
          <w:tab w:val="left" w:pos="720"/>
        </w:tabs>
        <w:overflowPunct/>
        <w:autoSpaceDE/>
        <w:autoSpaceDN/>
        <w:adjustRightInd/>
        <w:jc w:val="both"/>
        <w:textAlignment w:val="auto"/>
        <w:rPr>
          <w:rFonts w:eastAsia="Aptos"/>
          <w:lang w:val="es-ES"/>
        </w:rPr>
      </w:pPr>
      <w:r w:rsidRPr="00A22ACC">
        <w:rPr>
          <w:rFonts w:eastAsia="Aptos"/>
          <w:lang w:val="es-ES"/>
        </w:rPr>
        <w:t>2.5.3</w:t>
      </w:r>
      <w:r w:rsidRPr="00A22ACC">
        <w:rPr>
          <w:rFonts w:eastAsia="Aptos"/>
          <w:lang w:val="es-ES"/>
        </w:rPr>
        <w:tab/>
      </w:r>
      <w:r w:rsidRPr="00775998">
        <w:rPr>
          <w:lang w:val="es-ES"/>
        </w:rPr>
        <w:t>La BDT ha reforzado sus prácticas de gestión de proyectos, mejorando las capacidades de los gestores de proyecto gracias a formaciones, estableciendo una gobernanza clara con la Junta de Proyectos de la BDT, rindiendo cuentas más exhaustivas a sus socios e implementando sistemas de supervisión sólidos. La ejecución</w:t>
      </w:r>
      <w:r>
        <w:rPr>
          <w:lang w:val="es-ES"/>
        </w:rPr>
        <w:t xml:space="preserve"> </w:t>
      </w:r>
      <w:r w:rsidRPr="00775998">
        <w:rPr>
          <w:lang w:val="es-ES"/>
        </w:rPr>
        <w:t>de los proyectos se somete a un control permanente y trimestralmente se preparan informes de evaluación y se actualizan los tablones internos a fin de poder tomar decisiones basadas en los datos. La Junta de Proyectos de la BDT desempeña un papel importante para garantizar que los proyectos se formulen y lleven a cabo en consonancia con el Plan de Acción de Kigali y velar por la adecuada gobernanza de la cartera de proyectos de la</w:t>
      </w:r>
      <w:r w:rsidRPr="00BC22EB">
        <w:rPr>
          <w:lang w:val="es-ES"/>
        </w:rPr>
        <w:t> </w:t>
      </w:r>
      <w:r w:rsidRPr="00775998">
        <w:rPr>
          <w:lang w:val="es-ES"/>
        </w:rPr>
        <w:t>BDT</w:t>
      </w:r>
      <w:r w:rsidRPr="00A22ACC">
        <w:rPr>
          <w:rFonts w:eastAsia="Aptos"/>
          <w:lang w:val="es-ES"/>
        </w:rPr>
        <w:t>.</w:t>
      </w:r>
    </w:p>
    <w:p w14:paraId="6F5EAC87" w14:textId="77777777" w:rsidR="006B0FE5" w:rsidRPr="00A22ACC" w:rsidRDefault="006B0FE5" w:rsidP="001C104D">
      <w:pPr>
        <w:tabs>
          <w:tab w:val="clear" w:pos="567"/>
          <w:tab w:val="left" w:pos="720"/>
        </w:tabs>
        <w:overflowPunct/>
        <w:autoSpaceDE/>
        <w:autoSpaceDN/>
        <w:adjustRightInd/>
        <w:jc w:val="both"/>
        <w:textAlignment w:val="auto"/>
        <w:rPr>
          <w:rFonts w:eastAsia="Aptos"/>
          <w:lang w:val="es-ES"/>
        </w:rPr>
      </w:pPr>
      <w:r w:rsidRPr="00A22ACC">
        <w:rPr>
          <w:rFonts w:eastAsia="Aptos"/>
          <w:lang w:val="es-ES"/>
        </w:rPr>
        <w:t>2.5.4</w:t>
      </w:r>
      <w:r w:rsidRPr="00A22ACC">
        <w:rPr>
          <w:rFonts w:eastAsia="Aptos"/>
          <w:lang w:val="es-ES"/>
        </w:rPr>
        <w:tab/>
      </w:r>
      <w:r w:rsidRPr="00775998">
        <w:rPr>
          <w:lang w:val="es-ES"/>
        </w:rPr>
        <w:t>El éxito de la ejecución de la cartera de proyectos, que contaba con 105</w:t>
      </w:r>
      <w:r>
        <w:rPr>
          <w:lang w:val="es-ES"/>
        </w:rPr>
        <w:t> </w:t>
      </w:r>
      <w:r w:rsidRPr="00775998">
        <w:rPr>
          <w:lang w:val="es-ES"/>
        </w:rPr>
        <w:t>proyectos en curso en 2024, es resultado de la estrecha coordinación y cooperación entre todos los equipos de la BDT, tanto en el terreno (Oficinas Regionales) como en la Sede. Esta colaboración común garantiza que los proyectos respondan efectivamente al Plan de Acción de Kigali y faciliten a los Estados Miembros una asistencia técnica relevante y soluciones de desarrollo digital</w:t>
      </w:r>
      <w:r>
        <w:rPr>
          <w:lang w:val="es-ES"/>
        </w:rPr>
        <w:t>.</w:t>
      </w:r>
    </w:p>
    <w:p w14:paraId="1E0DA198" w14:textId="77777777" w:rsidR="006B0FE5" w:rsidRPr="00A22ACC" w:rsidRDefault="006B0FE5" w:rsidP="001C104D">
      <w:pPr>
        <w:tabs>
          <w:tab w:val="clear" w:pos="567"/>
          <w:tab w:val="left" w:pos="720"/>
        </w:tabs>
        <w:overflowPunct/>
        <w:autoSpaceDE/>
        <w:autoSpaceDN/>
        <w:adjustRightInd/>
        <w:jc w:val="both"/>
        <w:textAlignment w:val="auto"/>
        <w:rPr>
          <w:rFonts w:eastAsia="Aptos"/>
          <w:lang w:val="es-ES"/>
        </w:rPr>
      </w:pPr>
      <w:r w:rsidRPr="00A22ACC">
        <w:rPr>
          <w:rFonts w:eastAsia="Aptos"/>
          <w:lang w:val="es-ES"/>
        </w:rPr>
        <w:t>2.5.5</w:t>
      </w:r>
      <w:r w:rsidRPr="00A22ACC">
        <w:rPr>
          <w:rFonts w:eastAsia="Aptos"/>
          <w:lang w:val="es-ES"/>
        </w:rPr>
        <w:tab/>
      </w:r>
      <w:r w:rsidRPr="00775998">
        <w:rPr>
          <w:lang w:val="es-ES"/>
        </w:rPr>
        <w:t>Tras la CMDT</w:t>
      </w:r>
      <w:r>
        <w:rPr>
          <w:lang w:val="es-ES"/>
        </w:rPr>
        <w:noBreakHyphen/>
      </w:r>
      <w:r w:rsidRPr="00775998">
        <w:rPr>
          <w:lang w:val="es-ES"/>
        </w:rPr>
        <w:t>22, la BDT, en colaboración con los socios pertinentes, identificó, formuló y puso en marcha un amplio conjunto de proyectos que han contribuido a la aplicación de las prioridades definidas por la CMDT</w:t>
      </w:r>
      <w:r>
        <w:rPr>
          <w:lang w:val="es-ES"/>
        </w:rPr>
        <w:noBreakHyphen/>
      </w:r>
      <w:r w:rsidRPr="00775998">
        <w:rPr>
          <w:lang w:val="es-ES"/>
        </w:rPr>
        <w:t>22. Dichos proyectos también contribuyen a la puesta en marcha de Iniciativas regionales para satisfacer las necesidades particulares de las regiones. Los proyectos de la BDT contribuyen al desarrollo de una gran variedad de productos y servicios, en consonancia con las prioridades del UIT-D y los facilitadores definidos en el Plan de Acción de Kigali, así como en el Plan Estratégico de la UIT para cada una de las seis regiones</w:t>
      </w:r>
      <w:r w:rsidRPr="00A22ACC">
        <w:rPr>
          <w:rFonts w:eastAsia="Aptos"/>
          <w:lang w:val="es-ES"/>
        </w:rPr>
        <w:t xml:space="preserve">. </w:t>
      </w:r>
    </w:p>
    <w:p w14:paraId="0BFD0316" w14:textId="77777777" w:rsidR="006B0FE5" w:rsidRPr="00A22ACC" w:rsidRDefault="006B0FE5" w:rsidP="001C104D">
      <w:pPr>
        <w:tabs>
          <w:tab w:val="clear" w:pos="567"/>
          <w:tab w:val="left" w:pos="720"/>
        </w:tabs>
        <w:overflowPunct/>
        <w:autoSpaceDE/>
        <w:autoSpaceDN/>
        <w:adjustRightInd/>
        <w:jc w:val="both"/>
        <w:textAlignment w:val="auto"/>
        <w:rPr>
          <w:rFonts w:eastAsia="Aptos"/>
          <w:lang w:val="es-ES"/>
        </w:rPr>
      </w:pPr>
      <w:r w:rsidRPr="00A22ACC">
        <w:rPr>
          <w:rFonts w:eastAsia="Aptos"/>
          <w:lang w:val="es-ES"/>
        </w:rPr>
        <w:t>2.5.6</w:t>
      </w:r>
      <w:r w:rsidRPr="00A22ACC">
        <w:rPr>
          <w:rFonts w:eastAsia="Aptos"/>
          <w:lang w:val="es-ES"/>
        </w:rPr>
        <w:tab/>
      </w:r>
      <w:r w:rsidRPr="00775998">
        <w:rPr>
          <w:lang w:val="es-ES"/>
        </w:rPr>
        <w:t>De la ejecución de los proyectos en las regiones se ocupan los gestores de proyectos de cada Oficina Regional o Zonal con la ayuda de la Sede y utilizando los productos y servicios preparados en la Sede. Estos gestores reciben el apoyo de otros servicios de la BDT para la formulació</w:t>
      </w:r>
      <w:r>
        <w:rPr>
          <w:lang w:val="es-ES"/>
        </w:rPr>
        <w:t>n</w:t>
      </w:r>
      <w:r w:rsidRPr="00775998">
        <w:rPr>
          <w:lang w:val="es-ES"/>
        </w:rPr>
        <w:t xml:space="preserve">, supervisión y evaluación de los proyectos. Equipos independientes (Apoyo a proyectos), no involucrados en la ejecución, examinan y evalúan los informes trimestrales a fin de garantizar una evaluación objetiva de los progresos realizados. Los proyectos ejecutados y/o en curso en el marco de la cada </w:t>
      </w:r>
      <w:r>
        <w:rPr>
          <w:lang w:val="es-ES"/>
        </w:rPr>
        <w:t>i</w:t>
      </w:r>
      <w:r w:rsidRPr="00775998">
        <w:rPr>
          <w:lang w:val="es-ES"/>
        </w:rPr>
        <w:t>niciativa regional adoptada en la CMDT</w:t>
      </w:r>
      <w:r>
        <w:rPr>
          <w:lang w:val="es-ES"/>
        </w:rPr>
        <w:noBreakHyphen/>
      </w:r>
      <w:r w:rsidRPr="00775998">
        <w:rPr>
          <w:lang w:val="es-ES"/>
        </w:rPr>
        <w:t>22 para el periodo 2023</w:t>
      </w:r>
      <w:r>
        <w:rPr>
          <w:lang w:val="es-ES"/>
        </w:rPr>
        <w:noBreakHyphen/>
      </w:r>
      <w:r w:rsidRPr="00775998">
        <w:rPr>
          <w:lang w:val="es-ES"/>
        </w:rPr>
        <w:t xml:space="preserve">2025 figuran en el Documento de información </w:t>
      </w:r>
      <w:hyperlink r:id="rId40" w:history="1">
        <w:r w:rsidRPr="00775998">
          <w:rPr>
            <w:rStyle w:val="Hyperlink"/>
            <w:lang w:val="es-ES"/>
          </w:rPr>
          <w:t>TDAG-25/INF/4</w:t>
        </w:r>
      </w:hyperlink>
      <w:r w:rsidRPr="00A22ACC">
        <w:rPr>
          <w:rFonts w:eastAsia="Aptos"/>
          <w:lang w:val="es-ES"/>
        </w:rPr>
        <w:t xml:space="preserve">. </w:t>
      </w:r>
    </w:p>
    <w:p w14:paraId="046C25AF" w14:textId="77777777" w:rsidR="006B0FE5" w:rsidRPr="00A22ACC" w:rsidRDefault="006B0FE5" w:rsidP="001C104D">
      <w:pPr>
        <w:tabs>
          <w:tab w:val="clear" w:pos="567"/>
          <w:tab w:val="left" w:pos="720"/>
        </w:tabs>
        <w:overflowPunct/>
        <w:autoSpaceDE/>
        <w:autoSpaceDN/>
        <w:adjustRightInd/>
        <w:jc w:val="both"/>
        <w:textAlignment w:val="auto"/>
        <w:rPr>
          <w:rFonts w:eastAsia="Aptos"/>
          <w:lang w:val="es-ES"/>
        </w:rPr>
      </w:pPr>
      <w:r w:rsidRPr="00A22ACC">
        <w:rPr>
          <w:rFonts w:eastAsia="Aptos"/>
          <w:lang w:val="es-ES"/>
        </w:rPr>
        <w:t>2.5.7</w:t>
      </w:r>
      <w:r w:rsidRPr="00A22ACC">
        <w:rPr>
          <w:rFonts w:eastAsia="Aptos"/>
          <w:lang w:val="es-ES"/>
        </w:rPr>
        <w:tab/>
      </w:r>
      <w:r w:rsidRPr="00775998">
        <w:rPr>
          <w:lang w:val="es-ES"/>
        </w:rPr>
        <w:t>La</w:t>
      </w:r>
      <w:r>
        <w:rPr>
          <w:lang w:val="es-ES"/>
        </w:rPr>
        <w:t> </w:t>
      </w:r>
      <w:r w:rsidRPr="00775998">
        <w:rPr>
          <w:lang w:val="es-ES"/>
        </w:rPr>
        <w:t>BDT ha seguido reforzando en 2024 las prácticas de gestión de proyectos aplicadas al conjunto de proyectos de la</w:t>
      </w:r>
      <w:r>
        <w:rPr>
          <w:lang w:val="es-ES"/>
        </w:rPr>
        <w:t> </w:t>
      </w:r>
      <w:r w:rsidRPr="00775998">
        <w:rPr>
          <w:lang w:val="es-ES"/>
        </w:rPr>
        <w:t>UIT. Entre las acciones realizadas durante el año se cuentan la mejora de los informes presentados a los socios financieros, las actividades de la Junta de Proyectos de</w:t>
      </w:r>
      <w:r>
        <w:rPr>
          <w:lang w:val="es-ES"/>
        </w:rPr>
        <w:t xml:space="preserve"> </w:t>
      </w:r>
      <w:r w:rsidRPr="00775998">
        <w:rPr>
          <w:lang w:val="es-ES"/>
        </w:rPr>
        <w:t>la</w:t>
      </w:r>
      <w:r>
        <w:rPr>
          <w:lang w:val="es-ES"/>
        </w:rPr>
        <w:t> </w:t>
      </w:r>
      <w:r w:rsidRPr="00775998">
        <w:rPr>
          <w:lang w:val="es-ES"/>
        </w:rPr>
        <w:t>BDT y el perfeccionamiento de la estructura de la Oficina para intensificar el apoyo prestado a la ejecución de proyectos. Pueden encontrarse más datos sobre los proyectos del UIT-D en el Documento</w:t>
      </w:r>
      <w:r>
        <w:rPr>
          <w:lang w:val="es-ES"/>
        </w:rPr>
        <w:t> </w:t>
      </w:r>
      <w:hyperlink r:id="rId41" w:history="1">
        <w:r w:rsidRPr="00775998">
          <w:rPr>
            <w:rStyle w:val="Hyperlink"/>
            <w:lang w:val="es-ES"/>
          </w:rPr>
          <w:t>TDAG-25/5</w:t>
        </w:r>
      </w:hyperlink>
      <w:r w:rsidRPr="00A22ACC">
        <w:rPr>
          <w:rFonts w:eastAsia="Aptos"/>
          <w:lang w:val="es-ES"/>
        </w:rPr>
        <w:t xml:space="preserve">. </w:t>
      </w:r>
    </w:p>
    <w:p w14:paraId="43EE5103" w14:textId="77777777" w:rsidR="006B0FE5" w:rsidRPr="00A22ACC" w:rsidRDefault="006B0FE5" w:rsidP="001C104D">
      <w:pPr>
        <w:tabs>
          <w:tab w:val="clear" w:pos="567"/>
          <w:tab w:val="left" w:pos="720"/>
        </w:tabs>
        <w:overflowPunct/>
        <w:autoSpaceDE/>
        <w:autoSpaceDN/>
        <w:adjustRightInd/>
        <w:jc w:val="both"/>
        <w:textAlignment w:val="auto"/>
        <w:rPr>
          <w:rFonts w:eastAsia="Aptos"/>
          <w:lang w:val="es-ES"/>
        </w:rPr>
      </w:pPr>
      <w:r w:rsidRPr="00A22ACC">
        <w:rPr>
          <w:rFonts w:eastAsia="Aptos"/>
          <w:lang w:val="es-ES"/>
        </w:rPr>
        <w:t>2.5.8</w:t>
      </w:r>
      <w:r w:rsidRPr="00A22ACC">
        <w:rPr>
          <w:rFonts w:eastAsia="Aptos"/>
          <w:lang w:val="es-ES"/>
        </w:rPr>
        <w:tab/>
      </w:r>
      <w:r w:rsidRPr="00775998">
        <w:rPr>
          <w:lang w:val="id-ID"/>
        </w:rPr>
        <w:t>Entre mayo de 2024 y marzo de 2025 la UIT firmó 35</w:t>
      </w:r>
      <w:r>
        <w:rPr>
          <w:lang w:val="es-ES"/>
        </w:rPr>
        <w:t> </w:t>
      </w:r>
      <w:r w:rsidRPr="00775998">
        <w:rPr>
          <w:lang w:val="id-ID"/>
        </w:rPr>
        <w:t>nuevos proyectos y addenda por un valor total de 26,7</w:t>
      </w:r>
      <w:r>
        <w:rPr>
          <w:lang w:val="es-ES"/>
        </w:rPr>
        <w:t> </w:t>
      </w:r>
      <w:r w:rsidRPr="00775998">
        <w:rPr>
          <w:lang w:val="id-ID"/>
        </w:rPr>
        <w:t>millones</w:t>
      </w:r>
      <w:r>
        <w:rPr>
          <w:lang w:val="es-ES"/>
        </w:rPr>
        <w:t> </w:t>
      </w:r>
      <w:r w:rsidRPr="00775998">
        <w:rPr>
          <w:lang w:val="id-ID"/>
        </w:rPr>
        <w:t>CHF. Estas cifras confirman el éxito de los esfuerzos de movilización de recursos emprendidos por la</w:t>
      </w:r>
      <w:r>
        <w:rPr>
          <w:lang w:val="es-ES"/>
        </w:rPr>
        <w:t> </w:t>
      </w:r>
      <w:r w:rsidRPr="00775998">
        <w:rPr>
          <w:lang w:val="id-ID"/>
        </w:rPr>
        <w:t>BDT. Pueden encontrarse más datos sobre la cartera de proyectos del</w:t>
      </w:r>
      <w:r>
        <w:rPr>
          <w:lang w:val="es-ES"/>
        </w:rPr>
        <w:t> </w:t>
      </w:r>
      <w:r w:rsidRPr="00775998">
        <w:rPr>
          <w:lang w:val="id-ID"/>
        </w:rPr>
        <w:t>UIT-D en el Documento</w:t>
      </w:r>
      <w:r>
        <w:rPr>
          <w:lang w:val="es-ES"/>
        </w:rPr>
        <w:t> </w:t>
      </w:r>
      <w:r w:rsidRPr="00775998">
        <w:rPr>
          <w:lang w:val="id-ID"/>
        </w:rPr>
        <w:t>TDAG-25/5, así como en el portal de proyectos del UIT-D</w:t>
      </w:r>
      <w:r w:rsidRPr="00A22ACC">
        <w:rPr>
          <w:rFonts w:eastAsia="Aptos"/>
          <w:lang w:val="es-ES"/>
        </w:rPr>
        <w:t xml:space="preserve">. </w:t>
      </w:r>
    </w:p>
    <w:p w14:paraId="28A6C0E6" w14:textId="0097F6D3" w:rsidR="006B0FE5" w:rsidRPr="00A22ACC" w:rsidRDefault="006B0FE5" w:rsidP="001C104D">
      <w:pPr>
        <w:tabs>
          <w:tab w:val="clear" w:pos="567"/>
          <w:tab w:val="left" w:pos="720"/>
        </w:tabs>
        <w:overflowPunct/>
        <w:autoSpaceDE/>
        <w:autoSpaceDN/>
        <w:adjustRightInd/>
        <w:jc w:val="both"/>
        <w:textAlignment w:val="auto"/>
        <w:rPr>
          <w:rFonts w:eastAsia="Aptos"/>
          <w:lang w:val="es-ES"/>
        </w:rPr>
      </w:pPr>
      <w:r w:rsidRPr="00A22ACC">
        <w:rPr>
          <w:rFonts w:eastAsia="Aptos"/>
          <w:lang w:val="es-ES"/>
        </w:rPr>
        <w:lastRenderedPageBreak/>
        <w:t>2.5.9</w:t>
      </w:r>
      <w:r w:rsidRPr="00A22ACC">
        <w:rPr>
          <w:rFonts w:eastAsia="Aptos"/>
          <w:lang w:val="es-ES"/>
        </w:rPr>
        <w:tab/>
      </w:r>
      <w:r w:rsidRPr="00775998">
        <w:rPr>
          <w:lang w:val="id-ID"/>
        </w:rPr>
        <w:t>Entre mayo de 2024 y marzo de 2025, la</w:t>
      </w:r>
      <w:r>
        <w:rPr>
          <w:lang w:val="es-ES"/>
        </w:rPr>
        <w:t> </w:t>
      </w:r>
      <w:r w:rsidRPr="00775998">
        <w:rPr>
          <w:lang w:val="id-ID"/>
        </w:rPr>
        <w:t>UIT firmó 73</w:t>
      </w:r>
      <w:r>
        <w:rPr>
          <w:lang w:val="es-ES"/>
        </w:rPr>
        <w:t> </w:t>
      </w:r>
      <w:r w:rsidRPr="00775998">
        <w:rPr>
          <w:lang w:val="id-ID"/>
        </w:rPr>
        <w:t xml:space="preserve">acuerdos con </w:t>
      </w:r>
      <w:r w:rsidR="00F84FC5" w:rsidRPr="00775998">
        <w:rPr>
          <w:lang w:val="id-ID"/>
        </w:rPr>
        <w:t>un amplio abanico</w:t>
      </w:r>
      <w:r w:rsidRPr="00775998">
        <w:rPr>
          <w:lang w:val="id-ID"/>
        </w:rPr>
        <w:t xml:space="preserve"> de socios. Pueden consultarse más detalles al respecto en la página web de asociaciones del UIT-D</w:t>
      </w:r>
      <w:r w:rsidRPr="00A22ACC">
        <w:rPr>
          <w:rFonts w:eastAsia="Aptos"/>
          <w:lang w:val="es-ES"/>
        </w:rPr>
        <w:t xml:space="preserve">. </w:t>
      </w:r>
    </w:p>
    <w:p w14:paraId="2043051C" w14:textId="77777777" w:rsidR="006B0FE5" w:rsidRPr="00054A82" w:rsidRDefault="006B0FE5" w:rsidP="00815A7D">
      <w:pPr>
        <w:pStyle w:val="Heading1"/>
        <w:rPr>
          <w:lang w:val="es-ES"/>
        </w:rPr>
      </w:pPr>
      <w:r w:rsidRPr="00054A82">
        <w:rPr>
          <w:lang w:val="es-ES"/>
        </w:rPr>
        <w:t>3</w:t>
      </w:r>
      <w:r w:rsidRPr="00054A82">
        <w:rPr>
          <w:lang w:val="es-ES"/>
        </w:rPr>
        <w:tab/>
        <w:t>Actividades relacionadas con otros Sectores y Oficinas de la UIT</w:t>
      </w:r>
    </w:p>
    <w:p w14:paraId="4627B693" w14:textId="77777777" w:rsidR="006B0FE5" w:rsidRPr="00922311" w:rsidRDefault="006B0FE5" w:rsidP="00685F9C">
      <w:pPr>
        <w:pStyle w:val="Heading2"/>
      </w:pPr>
      <w:r w:rsidRPr="00922311">
        <w:t>3.1</w:t>
      </w:r>
      <w:r w:rsidRPr="00922311">
        <w:tab/>
      </w:r>
      <w:r>
        <w:t>Colaboración general</w:t>
      </w:r>
    </w:p>
    <w:p w14:paraId="7C93F01A" w14:textId="439284FD" w:rsidR="006B0FE5" w:rsidRPr="00A22ACC" w:rsidRDefault="006B0FE5" w:rsidP="00BD4341">
      <w:pPr>
        <w:jc w:val="both"/>
        <w:rPr>
          <w:rFonts w:eastAsia="Aptos"/>
          <w:lang w:val="es-ES"/>
        </w:rPr>
      </w:pPr>
      <w:r w:rsidRPr="008F1831">
        <w:rPr>
          <w:lang w:val="es-ES"/>
        </w:rPr>
        <w:t>La</w:t>
      </w:r>
      <w:r>
        <w:rPr>
          <w:lang w:val="es-ES"/>
        </w:rPr>
        <w:t> </w:t>
      </w:r>
      <w:r w:rsidRPr="008F1831">
        <w:rPr>
          <w:lang w:val="es-ES"/>
        </w:rPr>
        <w:t xml:space="preserve">BDT, en estrecha coordinación y colaboración con la </w:t>
      </w:r>
      <w:r w:rsidRPr="00880CDC">
        <w:rPr>
          <w:lang w:val="es-ES"/>
        </w:rPr>
        <w:t>Oficina de Radiocomunicaciones</w:t>
      </w:r>
      <w:r>
        <w:rPr>
          <w:lang w:val="es-ES"/>
        </w:rPr>
        <w:t xml:space="preserve"> (</w:t>
      </w:r>
      <w:r w:rsidRPr="008F1831">
        <w:rPr>
          <w:lang w:val="es-ES"/>
        </w:rPr>
        <w:t>BR</w:t>
      </w:r>
      <w:r>
        <w:rPr>
          <w:lang w:val="es-ES"/>
        </w:rPr>
        <w:t>)</w:t>
      </w:r>
      <w:r w:rsidRPr="008F1831">
        <w:rPr>
          <w:lang w:val="es-ES"/>
        </w:rPr>
        <w:t xml:space="preserve">, la </w:t>
      </w:r>
      <w:r w:rsidRPr="00AF49F8">
        <w:rPr>
          <w:lang w:val="es-ES"/>
        </w:rPr>
        <w:t xml:space="preserve">Oficina de Normalización de las Telecomunicaciones </w:t>
      </w:r>
      <w:r>
        <w:rPr>
          <w:lang w:val="es-ES"/>
        </w:rPr>
        <w:t>(</w:t>
      </w:r>
      <w:r w:rsidRPr="008F1831">
        <w:rPr>
          <w:lang w:val="es-ES"/>
        </w:rPr>
        <w:t>TSB</w:t>
      </w:r>
      <w:r>
        <w:rPr>
          <w:lang w:val="es-ES"/>
        </w:rPr>
        <w:t>)</w:t>
      </w:r>
      <w:r w:rsidRPr="008F1831">
        <w:rPr>
          <w:lang w:val="es-ES"/>
        </w:rPr>
        <w:t xml:space="preserve"> y la Secretaría General, ha tratado por reforzar activamente la presencia regional, con el objetivo de mejorar la prestación de servicios a los Estados Miembros. En ese sentido, se han destacado tres</w:t>
      </w:r>
      <w:r w:rsidR="00054A82">
        <w:rPr>
          <w:lang w:val="es-ES"/>
        </w:rPr>
        <w:t> </w:t>
      </w:r>
      <w:r w:rsidRPr="008F1831">
        <w:rPr>
          <w:lang w:val="es-ES"/>
        </w:rPr>
        <w:t>miembros del personal de la</w:t>
      </w:r>
      <w:r>
        <w:rPr>
          <w:lang w:val="es-ES"/>
        </w:rPr>
        <w:t> </w:t>
      </w:r>
      <w:r w:rsidRPr="008F1831">
        <w:rPr>
          <w:lang w:val="es-ES"/>
        </w:rPr>
        <w:t xml:space="preserve">TSB a la Oficina Regional para la </w:t>
      </w:r>
      <w:r>
        <w:rPr>
          <w:lang w:val="es-ES"/>
        </w:rPr>
        <w:t>r</w:t>
      </w:r>
      <w:r w:rsidRPr="008F1831">
        <w:rPr>
          <w:lang w:val="es-ES"/>
        </w:rPr>
        <w:t xml:space="preserve">egión de África. Asimismo, también se ha destacado un miembro del personal de la TSB a la Oficina Regional de la UIT para la </w:t>
      </w:r>
      <w:r>
        <w:rPr>
          <w:lang w:val="es-ES"/>
        </w:rPr>
        <w:t>r</w:t>
      </w:r>
      <w:r w:rsidRPr="008F1831">
        <w:rPr>
          <w:lang w:val="es-ES"/>
        </w:rPr>
        <w:t>egión de Asia</w:t>
      </w:r>
      <w:r>
        <w:rPr>
          <w:lang w:val="es-ES"/>
        </w:rPr>
        <w:noBreakHyphen/>
      </w:r>
      <w:r w:rsidRPr="008F1831">
        <w:rPr>
          <w:lang w:val="es-ES"/>
        </w:rPr>
        <w:t>Pacífico</w:t>
      </w:r>
      <w:r w:rsidRPr="00A22ACC">
        <w:rPr>
          <w:rFonts w:eastAsia="Aptos"/>
          <w:lang w:val="es-ES"/>
        </w:rPr>
        <w:t>.</w:t>
      </w:r>
    </w:p>
    <w:p w14:paraId="526F1951" w14:textId="77777777" w:rsidR="006B0FE5" w:rsidRPr="00A22ACC" w:rsidRDefault="006B0FE5" w:rsidP="00685F9C">
      <w:pPr>
        <w:pStyle w:val="Heading2"/>
      </w:pPr>
      <w:r w:rsidRPr="00A22ACC">
        <w:t>3.2</w:t>
      </w:r>
      <w:r w:rsidRPr="00A22ACC">
        <w:tab/>
        <w:t>Oficina Regional para África</w:t>
      </w:r>
      <w:r>
        <w:t xml:space="preserve"> (OR</w:t>
      </w:r>
      <w:r w:rsidRPr="00A22ACC">
        <w:t>-AFR) / A</w:t>
      </w:r>
      <w:r>
        <w:t>ctividades en África</w:t>
      </w:r>
    </w:p>
    <w:p w14:paraId="0B2B2CA5" w14:textId="77777777" w:rsidR="006B0FE5" w:rsidRPr="00A22ACC" w:rsidRDefault="006B0FE5" w:rsidP="00815A7D">
      <w:pPr>
        <w:pStyle w:val="Headingb"/>
        <w:rPr>
          <w:lang w:val="es-ES"/>
        </w:rPr>
      </w:pPr>
      <w:r w:rsidRPr="00A22ACC">
        <w:rPr>
          <w:lang w:val="es-ES"/>
        </w:rPr>
        <w:t xml:space="preserve">Actividades relacionadas con la BR </w:t>
      </w:r>
    </w:p>
    <w:p w14:paraId="125C5EDB" w14:textId="77777777" w:rsidR="006B0FE5" w:rsidRPr="008F1831" w:rsidRDefault="006B0FE5" w:rsidP="00BD4341">
      <w:pPr>
        <w:pStyle w:val="enumlev1"/>
        <w:jc w:val="both"/>
        <w:rPr>
          <w:lang w:val="es-ES"/>
        </w:rPr>
      </w:pPr>
      <w:r w:rsidRPr="008F1831">
        <w:rPr>
          <w:lang w:val="es-ES"/>
        </w:rPr>
        <w:t>–</w:t>
      </w:r>
      <w:r w:rsidRPr="008F1831">
        <w:rPr>
          <w:lang w:val="es-ES"/>
        </w:rPr>
        <w:tab/>
        <w:t xml:space="preserve">La OR-AFR brindó su apoyo al Taller de la UIT sobre </w:t>
      </w:r>
      <w:r w:rsidRPr="00F41CE2">
        <w:rPr>
          <w:lang w:val="es-ES"/>
        </w:rPr>
        <w:t>Cuadros Nacionales de Atribución de Frecuencias (CNAF)</w:t>
      </w:r>
      <w:r>
        <w:rPr>
          <w:lang w:val="es-ES"/>
        </w:rPr>
        <w:t xml:space="preserve"> </w:t>
      </w:r>
      <w:r w:rsidRPr="008F1831">
        <w:rPr>
          <w:lang w:val="es-ES"/>
        </w:rPr>
        <w:t>para la Región</w:t>
      </w:r>
      <w:r>
        <w:rPr>
          <w:lang w:val="es-ES"/>
        </w:rPr>
        <w:t> </w:t>
      </w:r>
      <w:r w:rsidRPr="008F1831">
        <w:rPr>
          <w:lang w:val="es-ES"/>
        </w:rPr>
        <w:t>1, celebrado del 20 al 23 de mayo de 2024 en Addis Abeba.</w:t>
      </w:r>
    </w:p>
    <w:p w14:paraId="7CAFB1C6" w14:textId="77777777" w:rsidR="006B0FE5" w:rsidRPr="008F1831" w:rsidRDefault="006B0FE5" w:rsidP="00BD4341">
      <w:pPr>
        <w:pStyle w:val="enumlev1"/>
        <w:jc w:val="both"/>
        <w:rPr>
          <w:lang w:val="es-ES"/>
        </w:rPr>
      </w:pPr>
      <w:r w:rsidRPr="008F1831">
        <w:rPr>
          <w:lang w:val="es-ES"/>
        </w:rPr>
        <w:t>–</w:t>
      </w:r>
      <w:r w:rsidRPr="008F1831">
        <w:rPr>
          <w:lang w:val="es-ES"/>
        </w:rPr>
        <w:tab/>
        <w:t xml:space="preserve">La OR-AFR ayudó en la organización del Seminario Regional de Radiocomunicaciones 2025 de la UIT para África (SRR-25-África), del 5 al 8 de mayo de 2025, </w:t>
      </w:r>
      <w:r w:rsidRPr="00BC12EB">
        <w:rPr>
          <w:lang w:val="es-ES"/>
        </w:rPr>
        <w:t>Djibouti</w:t>
      </w:r>
      <w:r w:rsidRPr="008F1831">
        <w:rPr>
          <w:lang w:val="es-ES"/>
        </w:rPr>
        <w:t>.</w:t>
      </w:r>
    </w:p>
    <w:p w14:paraId="7B43FE4C" w14:textId="77777777" w:rsidR="006B0FE5" w:rsidRPr="008F1831" w:rsidRDefault="006B0FE5" w:rsidP="00BD4341">
      <w:pPr>
        <w:pStyle w:val="enumlev1"/>
        <w:jc w:val="both"/>
        <w:rPr>
          <w:lang w:val="es-ES"/>
        </w:rPr>
      </w:pPr>
      <w:r w:rsidRPr="008F1831">
        <w:rPr>
          <w:lang w:val="es-ES"/>
        </w:rPr>
        <w:t>–</w:t>
      </w:r>
      <w:r w:rsidRPr="008F1831">
        <w:rPr>
          <w:lang w:val="es-ES"/>
        </w:rPr>
        <w:tab/>
        <w:t xml:space="preserve">Se impartió formación técnica sobre el </w:t>
      </w:r>
      <w:r w:rsidRPr="00BC12EB">
        <w:rPr>
          <w:i/>
          <w:iCs/>
          <w:lang w:val="es-ES"/>
        </w:rPr>
        <w:t>software</w:t>
      </w:r>
      <w:r w:rsidRPr="008F1831">
        <w:rPr>
          <w:lang w:val="es-ES"/>
        </w:rPr>
        <w:t xml:space="preserve"> relativo al método de cálculo armonizado para África (HCM4A) (para la coordinación de frecuencias) en Addis Abeba (Etiopía) (marzo de 2025), con la asistencia de representantes de 45</w:t>
      </w:r>
      <w:r>
        <w:rPr>
          <w:lang w:val="es-ES"/>
        </w:rPr>
        <w:t> </w:t>
      </w:r>
      <w:r w:rsidRPr="008F1831">
        <w:rPr>
          <w:lang w:val="es-ES"/>
        </w:rPr>
        <w:t>Estados Miembros.</w:t>
      </w:r>
    </w:p>
    <w:p w14:paraId="7A7FB619" w14:textId="77777777" w:rsidR="006B0FE5" w:rsidRPr="008F1831" w:rsidRDefault="006B0FE5" w:rsidP="00BD4341">
      <w:pPr>
        <w:pStyle w:val="enumlev1"/>
        <w:jc w:val="both"/>
        <w:rPr>
          <w:lang w:val="es-ES"/>
        </w:rPr>
      </w:pPr>
      <w:r w:rsidRPr="008F1831">
        <w:rPr>
          <w:lang w:val="es-ES"/>
        </w:rPr>
        <w:t>–</w:t>
      </w:r>
      <w:r w:rsidRPr="008F1831">
        <w:rPr>
          <w:lang w:val="es-ES"/>
        </w:rPr>
        <w:tab/>
        <w:t xml:space="preserve">Se puso en marcha el proyecto </w:t>
      </w:r>
      <w:r>
        <w:rPr>
          <w:lang w:val="es-ES"/>
        </w:rPr>
        <w:t>"</w:t>
      </w:r>
      <w:r w:rsidRPr="008F1831">
        <w:rPr>
          <w:lang w:val="es-ES"/>
        </w:rPr>
        <w:t>Sistemas de cartografía de la banda ancha en África</w:t>
      </w:r>
      <w:r>
        <w:rPr>
          <w:lang w:val="es-ES"/>
        </w:rPr>
        <w:t>"</w:t>
      </w:r>
      <w:r w:rsidRPr="008F1831">
        <w:rPr>
          <w:lang w:val="es-ES"/>
        </w:rPr>
        <w:t>, con el apoyo de la Comisión Europea, con el fin de ayudar a 11</w:t>
      </w:r>
      <w:r>
        <w:rPr>
          <w:lang w:val="es-ES"/>
        </w:rPr>
        <w:t> </w:t>
      </w:r>
      <w:r w:rsidRPr="008F1831">
        <w:rPr>
          <w:lang w:val="es-ES"/>
        </w:rPr>
        <w:t>países a establecer sistemas de cartografía de las infraestructuras (resulta pertinente para la</w:t>
      </w:r>
      <w:r>
        <w:rPr>
          <w:lang w:val="es-ES"/>
        </w:rPr>
        <w:t> </w:t>
      </w:r>
      <w:r w:rsidRPr="008F1831">
        <w:rPr>
          <w:lang w:val="es-ES"/>
        </w:rPr>
        <w:t>BR por tratarse de aspectos relativos al espectro).</w:t>
      </w:r>
    </w:p>
    <w:p w14:paraId="1079CD1A" w14:textId="77777777" w:rsidR="006B0FE5" w:rsidRPr="00A22ACC" w:rsidRDefault="006B0FE5" w:rsidP="00815A7D">
      <w:pPr>
        <w:pStyle w:val="Headingb"/>
        <w:rPr>
          <w:lang w:val="es-ES"/>
        </w:rPr>
      </w:pPr>
      <w:r>
        <w:rPr>
          <w:lang w:val="es-ES"/>
        </w:rPr>
        <w:t>Actividades relacionadas con la TSB</w:t>
      </w:r>
    </w:p>
    <w:p w14:paraId="2BBE2734" w14:textId="77777777" w:rsidR="006B0FE5" w:rsidRPr="008F1831" w:rsidRDefault="006B0FE5" w:rsidP="00BD4341">
      <w:pPr>
        <w:pStyle w:val="enumlev1"/>
        <w:jc w:val="both"/>
        <w:rPr>
          <w:lang w:val="es-ES"/>
        </w:rPr>
      </w:pPr>
      <w:r w:rsidRPr="008F1831">
        <w:rPr>
          <w:lang w:val="es-ES"/>
        </w:rPr>
        <w:t>–</w:t>
      </w:r>
      <w:r w:rsidRPr="008F1831">
        <w:rPr>
          <w:lang w:val="es-ES"/>
        </w:rPr>
        <w:tab/>
        <w:t xml:space="preserve">En colaboración con </w:t>
      </w:r>
      <w:r>
        <w:rPr>
          <w:lang w:val="es-ES"/>
        </w:rPr>
        <w:t xml:space="preserve">la </w:t>
      </w:r>
      <w:r w:rsidRPr="008F1831">
        <w:rPr>
          <w:lang w:val="es-ES"/>
        </w:rPr>
        <w:t>TSB, se celebr</w:t>
      </w:r>
      <w:r>
        <w:rPr>
          <w:lang w:val="es-ES"/>
        </w:rPr>
        <w:t>ó</w:t>
      </w:r>
      <w:r w:rsidRPr="008F1831">
        <w:rPr>
          <w:lang w:val="es-ES"/>
        </w:rPr>
        <w:t xml:space="preserve"> una serie de talleres prácticos sobre seguridad de los servicios financieros digitales (SFD) en Gambia, Sudán del Sur, Ghana, Zimbabwe, Mala</w:t>
      </w:r>
      <w:r>
        <w:rPr>
          <w:lang w:val="es-ES"/>
        </w:rPr>
        <w:t>w</w:t>
      </w:r>
      <w:r w:rsidRPr="008F1831">
        <w:rPr>
          <w:lang w:val="es-ES"/>
        </w:rPr>
        <w:t>i, Lesot</w:t>
      </w:r>
      <w:r>
        <w:rPr>
          <w:lang w:val="es-ES"/>
        </w:rPr>
        <w:t>h</w:t>
      </w:r>
      <w:r w:rsidRPr="008F1831">
        <w:rPr>
          <w:lang w:val="es-ES"/>
        </w:rPr>
        <w:t>o, Etiopía, Eswatini, Sierra Leona, Burkina Faso y Gabón.</w:t>
      </w:r>
    </w:p>
    <w:p w14:paraId="38F2B7AE" w14:textId="77777777" w:rsidR="006B0FE5" w:rsidRPr="008F1831" w:rsidRDefault="006B0FE5" w:rsidP="00BD4341">
      <w:pPr>
        <w:pStyle w:val="enumlev1"/>
        <w:jc w:val="both"/>
        <w:rPr>
          <w:lang w:val="es-ES"/>
        </w:rPr>
      </w:pPr>
      <w:r w:rsidRPr="008F1831">
        <w:rPr>
          <w:lang w:val="es-ES"/>
        </w:rPr>
        <w:t>–</w:t>
      </w:r>
      <w:r w:rsidRPr="008F1831">
        <w:rPr>
          <w:lang w:val="es-ES"/>
        </w:rPr>
        <w:tab/>
        <w:t>En colaboración con la U</w:t>
      </w:r>
      <w:r>
        <w:rPr>
          <w:lang w:val="es-ES"/>
        </w:rPr>
        <w:t>AT</w:t>
      </w:r>
      <w:r w:rsidRPr="008F1831">
        <w:rPr>
          <w:lang w:val="es-ES"/>
        </w:rPr>
        <w:t>, la</w:t>
      </w:r>
      <w:r>
        <w:rPr>
          <w:lang w:val="es-ES"/>
        </w:rPr>
        <w:t> </w:t>
      </w:r>
      <w:r w:rsidRPr="008F1831">
        <w:rPr>
          <w:lang w:val="es-ES"/>
        </w:rPr>
        <w:t>BDT impartió un seminario web sobre la iniciativa Alerta Temprana para Todos (EW4ALL).</w:t>
      </w:r>
    </w:p>
    <w:p w14:paraId="527D541E" w14:textId="77777777" w:rsidR="006B0FE5" w:rsidRPr="008F1831" w:rsidRDefault="006B0FE5" w:rsidP="00685F9C">
      <w:pPr>
        <w:pStyle w:val="enumlev1"/>
        <w:jc w:val="both"/>
        <w:rPr>
          <w:lang w:val="es-ES"/>
        </w:rPr>
      </w:pPr>
      <w:r w:rsidRPr="008F1831">
        <w:rPr>
          <w:lang w:val="es-ES"/>
        </w:rPr>
        <w:t>–</w:t>
      </w:r>
      <w:r w:rsidRPr="008F1831">
        <w:rPr>
          <w:lang w:val="es-ES"/>
        </w:rPr>
        <w:tab/>
        <w:t>La</w:t>
      </w:r>
      <w:r>
        <w:rPr>
          <w:lang w:val="es-ES"/>
        </w:rPr>
        <w:t> </w:t>
      </w:r>
      <w:r w:rsidRPr="008F1831">
        <w:rPr>
          <w:lang w:val="es-ES"/>
        </w:rPr>
        <w:t>BDT prestó apoyo en la elaboración de planes nacionales de telecomunicaciones de emergencia (PNTE) en Guinea</w:t>
      </w:r>
      <w:r>
        <w:rPr>
          <w:lang w:val="es-ES"/>
        </w:rPr>
        <w:noBreakHyphen/>
      </w:r>
      <w:r w:rsidRPr="008F1831">
        <w:rPr>
          <w:lang w:val="es-ES"/>
        </w:rPr>
        <w:t>Bissau, Gambia, Namibia, Tanzan</w:t>
      </w:r>
      <w:r>
        <w:rPr>
          <w:lang w:val="es-ES"/>
        </w:rPr>
        <w:t>í</w:t>
      </w:r>
      <w:r w:rsidRPr="008F1831">
        <w:rPr>
          <w:lang w:val="es-ES"/>
        </w:rPr>
        <w:t>a, Zimbab</w:t>
      </w:r>
      <w:r>
        <w:rPr>
          <w:lang w:val="es-ES"/>
        </w:rPr>
        <w:t>w</w:t>
      </w:r>
      <w:r w:rsidRPr="008F1831">
        <w:rPr>
          <w:lang w:val="es-ES"/>
        </w:rPr>
        <w:t>e, Cabo Verde, Bots</w:t>
      </w:r>
      <w:r>
        <w:rPr>
          <w:lang w:val="es-ES"/>
        </w:rPr>
        <w:t>w</w:t>
      </w:r>
      <w:r w:rsidRPr="008F1831">
        <w:rPr>
          <w:lang w:val="es-ES"/>
        </w:rPr>
        <w:t>ana, Seychelles y Zambia. También se desarrollaron marcos P</w:t>
      </w:r>
      <w:r>
        <w:rPr>
          <w:lang w:val="es-ES"/>
        </w:rPr>
        <w:t>NTE</w:t>
      </w:r>
      <w:r w:rsidRPr="008F1831">
        <w:rPr>
          <w:lang w:val="es-ES"/>
        </w:rPr>
        <w:t xml:space="preserve"> regionales para la Comunidad de África Meridional para el Desarrollo (SADC) y los países africanos de habla inglesa.</w:t>
      </w:r>
    </w:p>
    <w:p w14:paraId="2D10EECC" w14:textId="77777777" w:rsidR="006B0FE5" w:rsidRPr="00D16BE4" w:rsidRDefault="006B0FE5" w:rsidP="00815A7D">
      <w:pPr>
        <w:pStyle w:val="Heading3"/>
        <w:rPr>
          <w:rFonts w:eastAsia="Aptos"/>
          <w:lang w:val="es-ES"/>
        </w:rPr>
      </w:pPr>
      <w:r w:rsidRPr="00D16BE4">
        <w:rPr>
          <w:rFonts w:eastAsia="Aptos"/>
          <w:lang w:val="es-ES"/>
        </w:rPr>
        <w:lastRenderedPageBreak/>
        <w:t>3.3</w:t>
      </w:r>
      <w:r w:rsidRPr="00D16BE4">
        <w:rPr>
          <w:rFonts w:eastAsia="Aptos"/>
          <w:lang w:val="es-ES"/>
        </w:rPr>
        <w:tab/>
      </w:r>
      <w:r w:rsidRPr="008F1831">
        <w:rPr>
          <w:lang w:val="es-ES"/>
        </w:rPr>
        <w:t>Oficina Regional para las Américas (OR-</w:t>
      </w:r>
      <w:proofErr w:type="gramStart"/>
      <w:r w:rsidRPr="008F1831">
        <w:rPr>
          <w:lang w:val="es-ES"/>
        </w:rPr>
        <w:t>AMS)/</w:t>
      </w:r>
      <w:proofErr w:type="gramEnd"/>
      <w:r w:rsidRPr="008F1831">
        <w:rPr>
          <w:lang w:val="es-ES"/>
        </w:rPr>
        <w:t>Actividades en las Américas</w:t>
      </w:r>
    </w:p>
    <w:p w14:paraId="7DA5D129" w14:textId="77777777" w:rsidR="006B0FE5" w:rsidRPr="00D16BE4" w:rsidRDefault="006B0FE5" w:rsidP="00815A7D">
      <w:pPr>
        <w:pStyle w:val="Headingb"/>
        <w:rPr>
          <w:rFonts w:eastAsia="Aptos"/>
          <w:lang w:val="es-ES"/>
        </w:rPr>
      </w:pPr>
      <w:r w:rsidRPr="008F1831">
        <w:rPr>
          <w:lang w:val="es-ES"/>
        </w:rPr>
        <w:t>Actividades relacionadas con la BR</w:t>
      </w:r>
    </w:p>
    <w:p w14:paraId="5D5615EB" w14:textId="77777777" w:rsidR="006B0FE5" w:rsidRPr="008F1831" w:rsidRDefault="006B0FE5" w:rsidP="00BD4341">
      <w:pPr>
        <w:pStyle w:val="enumlev1"/>
        <w:jc w:val="both"/>
        <w:rPr>
          <w:lang w:val="es-ES"/>
        </w:rPr>
      </w:pPr>
      <w:r w:rsidRPr="008F1831">
        <w:rPr>
          <w:lang w:val="es-ES"/>
        </w:rPr>
        <w:t>–</w:t>
      </w:r>
      <w:r w:rsidRPr="008F1831">
        <w:rPr>
          <w:lang w:val="es-ES"/>
        </w:rPr>
        <w:tab/>
        <w:t>Se desplegaron equipos de satélite en Jamaica, Granada y San Vicente y las Granadinas para ayudar en las actividades de respuesta a los huracanes (</w:t>
      </w:r>
      <w:r>
        <w:rPr>
          <w:lang w:val="es-ES"/>
        </w:rPr>
        <w:t>t</w:t>
      </w:r>
      <w:r w:rsidRPr="008F1831">
        <w:rPr>
          <w:lang w:val="es-ES"/>
        </w:rPr>
        <w:t>ambién se estableció un centro de almacenamiento preventivo en Barbados).</w:t>
      </w:r>
    </w:p>
    <w:p w14:paraId="4A93B44F" w14:textId="77777777" w:rsidR="006B0FE5" w:rsidRPr="008F1831" w:rsidRDefault="006B0FE5" w:rsidP="00BD4341">
      <w:pPr>
        <w:pStyle w:val="enumlev1"/>
        <w:jc w:val="both"/>
        <w:rPr>
          <w:lang w:val="es-ES"/>
        </w:rPr>
      </w:pPr>
      <w:r w:rsidRPr="008F1831">
        <w:rPr>
          <w:lang w:val="es-ES"/>
        </w:rPr>
        <w:t>–</w:t>
      </w:r>
      <w:r w:rsidRPr="008F1831">
        <w:rPr>
          <w:lang w:val="es-ES"/>
        </w:rPr>
        <w:tab/>
        <w:t>La BDT e Intelsat anunciaron un acuerdo de cooperación para mejorar las medidas de preparación y respuesta ante catástrofes a través de las telecomunicaciones por satélite, que contempla la donación de equipos y la formación.</w:t>
      </w:r>
    </w:p>
    <w:p w14:paraId="1F790FAC" w14:textId="77777777" w:rsidR="006B0FE5" w:rsidRPr="008F1831" w:rsidRDefault="006B0FE5" w:rsidP="00BD4341">
      <w:pPr>
        <w:pStyle w:val="enumlev1"/>
        <w:jc w:val="both"/>
        <w:rPr>
          <w:lang w:val="es-ES"/>
        </w:rPr>
      </w:pPr>
      <w:r w:rsidRPr="008F1831">
        <w:rPr>
          <w:lang w:val="es-ES"/>
        </w:rPr>
        <w:t>–</w:t>
      </w:r>
      <w:r w:rsidRPr="008F1831">
        <w:rPr>
          <w:lang w:val="es-ES"/>
        </w:rPr>
        <w:tab/>
        <w:t>La Oficina Regional y las Oficinas Zonales han colaborado en la organización de seminarios regionales de radiocomunicaciones; el próximo tendrá lugar del 12 al 16 de junio en Tegucigalpa (Honduras).</w:t>
      </w:r>
    </w:p>
    <w:p w14:paraId="025AEC37" w14:textId="77777777" w:rsidR="006B0FE5" w:rsidRPr="008F1831" w:rsidRDefault="006B0FE5" w:rsidP="00BD4341">
      <w:pPr>
        <w:pStyle w:val="enumlev1"/>
        <w:jc w:val="both"/>
        <w:rPr>
          <w:lang w:val="es-ES"/>
        </w:rPr>
      </w:pPr>
      <w:r w:rsidRPr="008F1831">
        <w:rPr>
          <w:lang w:val="es-ES"/>
        </w:rPr>
        <w:t>–</w:t>
      </w:r>
      <w:r w:rsidRPr="008F1831">
        <w:rPr>
          <w:lang w:val="es-ES"/>
        </w:rPr>
        <w:tab/>
        <w:t>Asimismo, la BDT ha colaborado en diversos programas de capacitación sobre temas relacionados con la gestión del espectro radioeléctrico, en asociación con los CFA de Perú y Brasil.</w:t>
      </w:r>
    </w:p>
    <w:p w14:paraId="7524AC54" w14:textId="77777777" w:rsidR="006B0FE5" w:rsidRPr="00D16BE4" w:rsidRDefault="006B0FE5" w:rsidP="00815A7D">
      <w:pPr>
        <w:pStyle w:val="Headingb"/>
        <w:rPr>
          <w:lang w:val="es-ES"/>
        </w:rPr>
      </w:pPr>
      <w:r>
        <w:rPr>
          <w:lang w:val="es-ES"/>
        </w:rPr>
        <w:t>Actividades relacionadas con la TSB</w:t>
      </w:r>
      <w:r w:rsidRPr="00D16BE4">
        <w:rPr>
          <w:lang w:val="es-ES"/>
        </w:rPr>
        <w:t xml:space="preserve"> </w:t>
      </w:r>
    </w:p>
    <w:p w14:paraId="1AF4151F" w14:textId="77777777" w:rsidR="006B0FE5" w:rsidRPr="008F1831" w:rsidRDefault="006B0FE5" w:rsidP="00BD4341">
      <w:pPr>
        <w:pStyle w:val="enumlev1"/>
        <w:jc w:val="both"/>
        <w:rPr>
          <w:lang w:val="es-ES"/>
        </w:rPr>
      </w:pPr>
      <w:r w:rsidRPr="008F1831">
        <w:rPr>
          <w:lang w:val="es-ES"/>
        </w:rPr>
        <w:t>–</w:t>
      </w:r>
      <w:r w:rsidRPr="008F1831">
        <w:rPr>
          <w:lang w:val="es-ES"/>
        </w:rPr>
        <w:tab/>
        <w:t>La BDT, en colaboración con el Consorcio de Telecomunicaciones de Emergencia (CTE), impartió un taller en el Caribe que permitió reforzar la colaboración entre las partes interesadas para poner en marcha los PNTE y mejorar la capacidad de implantación de los</w:t>
      </w:r>
      <w:r>
        <w:rPr>
          <w:lang w:val="es-ES"/>
        </w:rPr>
        <w:t> </w:t>
      </w:r>
      <w:r w:rsidRPr="008F1831">
        <w:rPr>
          <w:lang w:val="es-ES"/>
        </w:rPr>
        <w:t>CTE.</w:t>
      </w:r>
    </w:p>
    <w:p w14:paraId="20DB0162" w14:textId="77777777" w:rsidR="006B0FE5" w:rsidRPr="008F1831" w:rsidRDefault="006B0FE5" w:rsidP="00BD4341">
      <w:pPr>
        <w:pStyle w:val="enumlev1"/>
        <w:jc w:val="both"/>
        <w:rPr>
          <w:lang w:val="es-ES"/>
        </w:rPr>
      </w:pPr>
      <w:r w:rsidRPr="008F1831">
        <w:rPr>
          <w:lang w:val="es-ES"/>
        </w:rPr>
        <w:t>–</w:t>
      </w:r>
      <w:r w:rsidRPr="008F1831">
        <w:rPr>
          <w:lang w:val="es-ES"/>
        </w:rPr>
        <w:tab/>
        <w:t>A través de sus Oficinas Regionales, la</w:t>
      </w:r>
      <w:r>
        <w:rPr>
          <w:lang w:val="es-ES"/>
        </w:rPr>
        <w:t> </w:t>
      </w:r>
      <w:r w:rsidRPr="008F1831">
        <w:rPr>
          <w:lang w:val="es-ES"/>
        </w:rPr>
        <w:t>BDT ha promovido la participación activa de los Estados Miembros de las Américas y de los miembros de la industria en las Comisiones de Estudio de la</w:t>
      </w:r>
      <w:r>
        <w:rPr>
          <w:lang w:val="es-ES"/>
        </w:rPr>
        <w:t> </w:t>
      </w:r>
      <w:r w:rsidRPr="008F1831">
        <w:rPr>
          <w:lang w:val="es-ES"/>
        </w:rPr>
        <w:t>TSB en diversas reuniones.</w:t>
      </w:r>
    </w:p>
    <w:p w14:paraId="0CD0CC25" w14:textId="77777777" w:rsidR="006B0FE5" w:rsidRPr="008F1831" w:rsidRDefault="006B0FE5" w:rsidP="00BD4341">
      <w:pPr>
        <w:pStyle w:val="enumlev1"/>
        <w:jc w:val="both"/>
        <w:rPr>
          <w:lang w:val="es-ES"/>
        </w:rPr>
      </w:pPr>
      <w:r w:rsidRPr="008F1831">
        <w:rPr>
          <w:lang w:val="es-ES"/>
        </w:rPr>
        <w:t>–</w:t>
      </w:r>
      <w:r w:rsidRPr="008F1831">
        <w:rPr>
          <w:lang w:val="es-ES"/>
        </w:rPr>
        <w:tab/>
        <w:t>Marcos de Coordinación y Cooperación de Naciones Unidas.</w:t>
      </w:r>
    </w:p>
    <w:p w14:paraId="41345C1E" w14:textId="77777777" w:rsidR="006B0FE5" w:rsidRPr="008F1831" w:rsidRDefault="006B0FE5" w:rsidP="00BD4341">
      <w:pPr>
        <w:pStyle w:val="enumlev1"/>
        <w:jc w:val="both"/>
        <w:rPr>
          <w:lang w:val="es-ES"/>
        </w:rPr>
      </w:pPr>
      <w:r w:rsidRPr="008F1831">
        <w:rPr>
          <w:lang w:val="es-ES"/>
        </w:rPr>
        <w:t>–</w:t>
      </w:r>
      <w:r w:rsidRPr="008F1831">
        <w:rPr>
          <w:lang w:val="es-ES"/>
        </w:rPr>
        <w:tab/>
        <w:t>La BDT y la OR-AMS han participado activamente en los equipos UNCT y han coordinado acciones con las oficinas de los coordinadores residentes de Naciones Unidas y otras entidades.</w:t>
      </w:r>
    </w:p>
    <w:p w14:paraId="10BEB8FA" w14:textId="77777777" w:rsidR="006B0FE5" w:rsidRPr="008F1831" w:rsidRDefault="006B0FE5" w:rsidP="00BD4341">
      <w:pPr>
        <w:pStyle w:val="enumlev1"/>
        <w:jc w:val="both"/>
        <w:rPr>
          <w:lang w:val="es-ES"/>
        </w:rPr>
      </w:pPr>
      <w:r w:rsidRPr="008F1831">
        <w:rPr>
          <w:lang w:val="es-ES"/>
        </w:rPr>
        <w:t>–</w:t>
      </w:r>
      <w:r w:rsidRPr="008F1831">
        <w:rPr>
          <w:lang w:val="es-ES"/>
        </w:rPr>
        <w:tab/>
        <w:t>La BDT y la OR-AMS también han firmado y ejecutado operaciones a través de marcos de cooperación con países como Brasil, El Salvador, Honduras y la República Dominicana, y actualmente trabaja en la redacción del nuevo marco de cooperación con Panamá.</w:t>
      </w:r>
    </w:p>
    <w:p w14:paraId="7FCB0CA2" w14:textId="77777777" w:rsidR="006B0FE5" w:rsidRPr="00D16BE4" w:rsidRDefault="006B0FE5" w:rsidP="00685F9C">
      <w:pPr>
        <w:pStyle w:val="Heading2"/>
        <w:rPr>
          <w:rFonts w:eastAsia="Aptos"/>
        </w:rPr>
      </w:pPr>
      <w:r w:rsidRPr="00D16BE4">
        <w:rPr>
          <w:rFonts w:eastAsia="Aptos"/>
        </w:rPr>
        <w:t>3.4</w:t>
      </w:r>
      <w:r w:rsidRPr="00D16BE4">
        <w:rPr>
          <w:rFonts w:eastAsia="Aptos"/>
        </w:rPr>
        <w:tab/>
      </w:r>
      <w:r w:rsidRPr="008F1831">
        <w:t>Oficina Regional para los Estados Árabes (OR-</w:t>
      </w:r>
      <w:proofErr w:type="gramStart"/>
      <w:r w:rsidRPr="008F1831">
        <w:t>ARB)/</w:t>
      </w:r>
      <w:proofErr w:type="gramEnd"/>
      <w:r w:rsidRPr="008F1831">
        <w:t>Actividades en los Estados Árabes</w:t>
      </w:r>
    </w:p>
    <w:p w14:paraId="2BB09D70" w14:textId="77777777" w:rsidR="006B0FE5" w:rsidRPr="006B0FE5" w:rsidRDefault="006B0FE5" w:rsidP="00815A7D">
      <w:pPr>
        <w:pStyle w:val="Headingb"/>
        <w:rPr>
          <w:lang w:val="es-ES"/>
        </w:rPr>
      </w:pPr>
      <w:r w:rsidRPr="006B0FE5">
        <w:rPr>
          <w:lang w:val="es-ES"/>
        </w:rPr>
        <w:t xml:space="preserve">Actividades relacionadas con la BR </w:t>
      </w:r>
    </w:p>
    <w:p w14:paraId="31948B75" w14:textId="77777777" w:rsidR="006B0FE5" w:rsidRPr="008F1831" w:rsidRDefault="006B0FE5" w:rsidP="00BD4341">
      <w:pPr>
        <w:pStyle w:val="enumlev1"/>
        <w:jc w:val="both"/>
        <w:rPr>
          <w:lang w:val="es-ES"/>
        </w:rPr>
      </w:pPr>
      <w:r w:rsidRPr="008F1831">
        <w:rPr>
          <w:lang w:val="es-ES"/>
        </w:rPr>
        <w:t>–</w:t>
      </w:r>
      <w:r w:rsidRPr="008F1831">
        <w:rPr>
          <w:lang w:val="es-ES"/>
        </w:rPr>
        <w:tab/>
        <w:t xml:space="preserve">Se organizó en Argel el Taller Regional de la UIT </w:t>
      </w:r>
      <w:r w:rsidRPr="00ED79FB">
        <w:rPr>
          <w:lang w:val="es-ES"/>
        </w:rPr>
        <w:t>Hacia una conectividad universal y efectiva para la Región Árabe</w:t>
      </w:r>
      <w:r w:rsidRPr="008F1831">
        <w:rPr>
          <w:lang w:val="es-ES"/>
        </w:rPr>
        <w:t>, en el que se abordaron los retos que plantea el desarrollo de infraestructuras y la conectividad.</w:t>
      </w:r>
    </w:p>
    <w:p w14:paraId="2AB6E311" w14:textId="77777777" w:rsidR="006B0FE5" w:rsidRPr="008F1831" w:rsidRDefault="006B0FE5" w:rsidP="00BD4341">
      <w:pPr>
        <w:pStyle w:val="enumlev1"/>
        <w:jc w:val="both"/>
        <w:rPr>
          <w:lang w:val="es-ES"/>
        </w:rPr>
      </w:pPr>
      <w:r w:rsidRPr="008F1831">
        <w:rPr>
          <w:lang w:val="es-ES"/>
        </w:rPr>
        <w:t>–</w:t>
      </w:r>
      <w:r w:rsidRPr="008F1831">
        <w:rPr>
          <w:lang w:val="es-ES"/>
        </w:rPr>
        <w:tab/>
        <w:t xml:space="preserve">Se celebraron talleres nacionales de consulta, incluidas formaciones sobre el </w:t>
      </w:r>
      <w:r w:rsidRPr="00AF49F8">
        <w:rPr>
          <w:lang w:val="es-ES"/>
        </w:rPr>
        <w:t>PNTE</w:t>
      </w:r>
      <w:r w:rsidRPr="008F1831">
        <w:rPr>
          <w:lang w:val="es-ES"/>
        </w:rPr>
        <w:t xml:space="preserve"> y el Protocolo de Alerta Común (PAC), en Comoras, </w:t>
      </w:r>
      <w:r w:rsidRPr="00BC12EB">
        <w:rPr>
          <w:lang w:val="es-ES"/>
        </w:rPr>
        <w:t>Djibouti</w:t>
      </w:r>
      <w:r w:rsidRPr="008F1831">
        <w:rPr>
          <w:lang w:val="es-ES"/>
        </w:rPr>
        <w:t>, Somalia, Mauritania y Sudán (resulta pertinente para la</w:t>
      </w:r>
      <w:r>
        <w:rPr>
          <w:lang w:val="es-ES"/>
        </w:rPr>
        <w:t> </w:t>
      </w:r>
      <w:r w:rsidRPr="008F1831">
        <w:rPr>
          <w:lang w:val="es-ES"/>
        </w:rPr>
        <w:t>BR por tratarse de aspectos relacionados con el espectro y la radiodifusión celular).</w:t>
      </w:r>
    </w:p>
    <w:p w14:paraId="4531DBAB" w14:textId="77777777" w:rsidR="006B0FE5" w:rsidRPr="00D16BE4" w:rsidRDefault="006B0FE5" w:rsidP="00815A7D">
      <w:pPr>
        <w:pStyle w:val="Headingb"/>
        <w:rPr>
          <w:lang w:val="es-ES"/>
        </w:rPr>
      </w:pPr>
      <w:r w:rsidRPr="00D16BE4">
        <w:rPr>
          <w:lang w:val="es-ES"/>
        </w:rPr>
        <w:t>Actividades relacionadas con la TSB</w:t>
      </w:r>
    </w:p>
    <w:p w14:paraId="24C4F674" w14:textId="77777777" w:rsidR="006B0FE5" w:rsidRPr="008F1831" w:rsidRDefault="006B0FE5" w:rsidP="00BD4341">
      <w:pPr>
        <w:pStyle w:val="enumlev1"/>
        <w:jc w:val="both"/>
        <w:rPr>
          <w:lang w:val="es-ES"/>
        </w:rPr>
      </w:pPr>
      <w:r w:rsidRPr="008F1831">
        <w:rPr>
          <w:lang w:val="es-ES"/>
        </w:rPr>
        <w:t>–</w:t>
      </w:r>
      <w:r w:rsidRPr="008F1831">
        <w:rPr>
          <w:lang w:val="es-ES"/>
        </w:rPr>
        <w:tab/>
        <w:t xml:space="preserve">La BDT prestó asistencia en el desarrollo de </w:t>
      </w:r>
      <w:r w:rsidRPr="00AF49F8">
        <w:rPr>
          <w:lang w:val="es-ES"/>
        </w:rPr>
        <w:t>PNTE</w:t>
      </w:r>
      <w:r w:rsidRPr="008F1831">
        <w:rPr>
          <w:lang w:val="es-ES"/>
        </w:rPr>
        <w:t xml:space="preserve"> en Djibouti, Comoras y Mauritania.</w:t>
      </w:r>
    </w:p>
    <w:p w14:paraId="332F96FC" w14:textId="77777777" w:rsidR="006B0FE5" w:rsidRPr="00D16BE4" w:rsidRDefault="006B0FE5" w:rsidP="00685F9C">
      <w:pPr>
        <w:pStyle w:val="Heading2"/>
        <w:rPr>
          <w:rFonts w:eastAsia="Aptos"/>
        </w:rPr>
      </w:pPr>
      <w:r w:rsidRPr="00D16BE4">
        <w:rPr>
          <w:rFonts w:eastAsia="Aptos"/>
        </w:rPr>
        <w:lastRenderedPageBreak/>
        <w:t>3.5</w:t>
      </w:r>
      <w:r w:rsidRPr="00D16BE4">
        <w:rPr>
          <w:rFonts w:eastAsia="Aptos"/>
        </w:rPr>
        <w:tab/>
      </w:r>
      <w:r w:rsidRPr="008F1831">
        <w:t>Oficina Regional para Asia</w:t>
      </w:r>
      <w:r>
        <w:noBreakHyphen/>
      </w:r>
      <w:r w:rsidRPr="008F1831">
        <w:t>Pacífico (OR-</w:t>
      </w:r>
      <w:proofErr w:type="gramStart"/>
      <w:r w:rsidRPr="008F1831">
        <w:t>ASP)/</w:t>
      </w:r>
      <w:proofErr w:type="gramEnd"/>
      <w:r w:rsidRPr="008F1831">
        <w:t>Actividades en Asia-Pacífico</w:t>
      </w:r>
    </w:p>
    <w:p w14:paraId="43C00907" w14:textId="77777777" w:rsidR="006B0FE5" w:rsidRPr="006B0FE5" w:rsidRDefault="006B0FE5" w:rsidP="00815A7D">
      <w:pPr>
        <w:pStyle w:val="Headingb"/>
        <w:rPr>
          <w:lang w:val="es-ES"/>
        </w:rPr>
      </w:pPr>
      <w:r w:rsidRPr="006B0FE5">
        <w:rPr>
          <w:lang w:val="es-ES"/>
        </w:rPr>
        <w:t xml:space="preserve">Actividades relacionadas con la BR </w:t>
      </w:r>
    </w:p>
    <w:p w14:paraId="39273652" w14:textId="77777777" w:rsidR="006B0FE5" w:rsidRPr="008F1831" w:rsidRDefault="006B0FE5" w:rsidP="00BD4341">
      <w:pPr>
        <w:pStyle w:val="enumlev1"/>
        <w:jc w:val="both"/>
        <w:rPr>
          <w:lang w:val="es-ES"/>
        </w:rPr>
      </w:pPr>
      <w:r w:rsidRPr="008F1831">
        <w:rPr>
          <w:lang w:val="es-ES"/>
        </w:rPr>
        <w:t>–</w:t>
      </w:r>
      <w:r w:rsidRPr="008F1831">
        <w:rPr>
          <w:lang w:val="es-ES"/>
        </w:rPr>
        <w:tab/>
        <w:t xml:space="preserve">La BDT ayudó a la BR a organizar el </w:t>
      </w:r>
      <w:bookmarkStart w:id="1" w:name="_Hlk197937857"/>
      <w:r w:rsidRPr="008F1831">
        <w:rPr>
          <w:lang w:val="es-ES"/>
        </w:rPr>
        <w:t>Seminario Regional de Radio</w:t>
      </w:r>
      <w:r>
        <w:rPr>
          <w:lang w:val="es-ES"/>
        </w:rPr>
        <w:t>comunicaciones</w:t>
      </w:r>
      <w:bookmarkEnd w:id="1"/>
      <w:r w:rsidRPr="008F1831">
        <w:rPr>
          <w:lang w:val="es-ES"/>
        </w:rPr>
        <w:t xml:space="preserve"> (SRR) para Asia</w:t>
      </w:r>
      <w:r>
        <w:rPr>
          <w:lang w:val="es-ES"/>
        </w:rPr>
        <w:noBreakHyphen/>
      </w:r>
      <w:r w:rsidRPr="008F1831">
        <w:rPr>
          <w:lang w:val="es-ES"/>
        </w:rPr>
        <w:t xml:space="preserve">Pacífico en septiembre de 2024 en Samoa, en el que se compartieron prácticas idóneas sobre temas como la transición de analógico a digital y el </w:t>
      </w:r>
      <w:r w:rsidRPr="00AF49F8">
        <w:rPr>
          <w:lang w:val="es-ES"/>
        </w:rPr>
        <w:t xml:space="preserve">sistema de gestión del espectro para los países en desarrollo </w:t>
      </w:r>
      <w:r>
        <w:rPr>
          <w:lang w:val="es-ES"/>
        </w:rPr>
        <w:t>(</w:t>
      </w:r>
      <w:r w:rsidRPr="008F1831">
        <w:rPr>
          <w:lang w:val="es-ES"/>
        </w:rPr>
        <w:t>SMS4DC</w:t>
      </w:r>
      <w:r>
        <w:rPr>
          <w:lang w:val="es-ES"/>
        </w:rPr>
        <w:t>)</w:t>
      </w:r>
      <w:r w:rsidRPr="008F1831">
        <w:rPr>
          <w:lang w:val="es-ES"/>
        </w:rPr>
        <w:t>.</w:t>
      </w:r>
    </w:p>
    <w:p w14:paraId="305BCD65" w14:textId="77777777" w:rsidR="006B0FE5" w:rsidRPr="008F1831" w:rsidRDefault="006B0FE5" w:rsidP="00BD4341">
      <w:pPr>
        <w:pStyle w:val="enumlev1"/>
        <w:jc w:val="both"/>
        <w:rPr>
          <w:lang w:val="es-ES"/>
        </w:rPr>
      </w:pPr>
      <w:r w:rsidRPr="008F1831">
        <w:rPr>
          <w:lang w:val="es-ES"/>
        </w:rPr>
        <w:t>–</w:t>
      </w:r>
      <w:r w:rsidRPr="008F1831">
        <w:rPr>
          <w:lang w:val="es-ES"/>
        </w:rPr>
        <w:tab/>
        <w:t>La OR-ASP ayudó en la organización del taller de la UIT sobre CNAF para la Región</w:t>
      </w:r>
      <w:r>
        <w:rPr>
          <w:lang w:val="es-ES"/>
        </w:rPr>
        <w:t> </w:t>
      </w:r>
      <w:r w:rsidRPr="008F1831">
        <w:rPr>
          <w:lang w:val="es-ES"/>
        </w:rPr>
        <w:t>3, celebrado del 28 al 31 de mayo de</w:t>
      </w:r>
      <w:r>
        <w:rPr>
          <w:lang w:val="es-ES"/>
        </w:rPr>
        <w:t> </w:t>
      </w:r>
      <w:r w:rsidRPr="008F1831">
        <w:rPr>
          <w:lang w:val="es-ES"/>
        </w:rPr>
        <w:t>2024 en Shanghái.</w:t>
      </w:r>
    </w:p>
    <w:p w14:paraId="4CE35ADB" w14:textId="77777777" w:rsidR="006B0FE5" w:rsidRPr="008F1831" w:rsidRDefault="006B0FE5" w:rsidP="00BD4341">
      <w:pPr>
        <w:pStyle w:val="enumlev1"/>
        <w:jc w:val="both"/>
        <w:rPr>
          <w:lang w:val="es-ES"/>
        </w:rPr>
      </w:pPr>
      <w:r w:rsidRPr="008F1831">
        <w:rPr>
          <w:lang w:val="es-ES"/>
        </w:rPr>
        <w:t>–</w:t>
      </w:r>
      <w:r w:rsidRPr="008F1831">
        <w:rPr>
          <w:lang w:val="es-ES"/>
        </w:rPr>
        <w:tab/>
        <w:t>La UIT organizó una formación sobre el SMS4DC durante la Reunión General Anual de la</w:t>
      </w:r>
      <w:r>
        <w:rPr>
          <w:lang w:val="es-ES"/>
        </w:rPr>
        <w:t> </w:t>
      </w:r>
      <w:r w:rsidRPr="008F1831">
        <w:rPr>
          <w:lang w:val="es-ES"/>
        </w:rPr>
        <w:t>PITA en Vanuatu (abril/mayo de 2024).</w:t>
      </w:r>
    </w:p>
    <w:p w14:paraId="4921621E" w14:textId="77777777" w:rsidR="006B0FE5" w:rsidRPr="00D16BE4" w:rsidRDefault="006B0FE5" w:rsidP="00815A7D">
      <w:pPr>
        <w:pStyle w:val="Headingb"/>
        <w:rPr>
          <w:lang w:val="es-ES"/>
        </w:rPr>
      </w:pPr>
      <w:r w:rsidRPr="00D16BE4">
        <w:rPr>
          <w:lang w:val="es-ES"/>
        </w:rPr>
        <w:t>Actividades relacionadas con la TSB</w:t>
      </w:r>
    </w:p>
    <w:p w14:paraId="20BDFB95" w14:textId="77777777" w:rsidR="006B0FE5" w:rsidRPr="008F1831" w:rsidRDefault="006B0FE5" w:rsidP="00BD4341">
      <w:pPr>
        <w:pStyle w:val="enumlev1"/>
        <w:jc w:val="both"/>
        <w:rPr>
          <w:lang w:val="es-ES"/>
        </w:rPr>
      </w:pPr>
      <w:r w:rsidRPr="008F1831">
        <w:rPr>
          <w:lang w:val="es-ES"/>
        </w:rPr>
        <w:t>–</w:t>
      </w:r>
      <w:r w:rsidRPr="008F1831">
        <w:rPr>
          <w:lang w:val="es-ES"/>
        </w:rPr>
        <w:tab/>
        <w:t>Tras celebrar consultas con la</w:t>
      </w:r>
      <w:r>
        <w:rPr>
          <w:lang w:val="es-ES"/>
        </w:rPr>
        <w:t> </w:t>
      </w:r>
      <w:r w:rsidRPr="008F1831">
        <w:rPr>
          <w:lang w:val="es-ES"/>
        </w:rPr>
        <w:t>TSB y negociar con el Ministerio de Asuntos Exteriores y Comercio (DFAT) del Gobierno de Australia, el equipo de la UIT logró firmar el 4 de junio de</w:t>
      </w:r>
      <w:r>
        <w:rPr>
          <w:lang w:val="es-ES"/>
        </w:rPr>
        <w:t> </w:t>
      </w:r>
      <w:r w:rsidRPr="008F1831">
        <w:rPr>
          <w:lang w:val="es-ES"/>
        </w:rPr>
        <w:t xml:space="preserve">2021 un acuerdo de donación con el DFAT para este proyecto, concretamente su programa de cooperación en tecnologías cibernéticas y esenciales. El proyecto se prolongó en 2022 por un periodo completo de </w:t>
      </w:r>
      <w:r>
        <w:rPr>
          <w:lang w:val="es-ES"/>
        </w:rPr>
        <w:t>cuatro </w:t>
      </w:r>
      <w:r w:rsidRPr="008F1831">
        <w:rPr>
          <w:lang w:val="es-ES"/>
        </w:rPr>
        <w:t>años y concluyó satisfactoriamente el 31</w:t>
      </w:r>
      <w:r>
        <w:rPr>
          <w:lang w:val="es-ES"/>
        </w:rPr>
        <w:t> </w:t>
      </w:r>
      <w:r w:rsidRPr="008F1831">
        <w:rPr>
          <w:lang w:val="es-ES"/>
        </w:rPr>
        <w:t xml:space="preserve">de diciembre de 2024. La Oficina Regional y la Oficina Zonal de la UIT en Delhi colaboraron de diversas formas en la organización de la </w:t>
      </w:r>
      <w:r w:rsidRPr="00326BF2">
        <w:rPr>
          <w:lang w:val="es-ES"/>
        </w:rPr>
        <w:t xml:space="preserve">Asamblea Mundial de Normalización de las Telecomunicaciones </w:t>
      </w:r>
      <w:r>
        <w:rPr>
          <w:lang w:val="es-ES"/>
        </w:rPr>
        <w:t>(</w:t>
      </w:r>
      <w:r w:rsidRPr="008F1831">
        <w:rPr>
          <w:lang w:val="es-ES"/>
        </w:rPr>
        <w:t>AMNT</w:t>
      </w:r>
      <w:r>
        <w:rPr>
          <w:lang w:val="es-ES"/>
        </w:rPr>
        <w:t>) de 2024</w:t>
      </w:r>
      <w:r w:rsidRPr="008F1831">
        <w:rPr>
          <w:lang w:val="es-ES"/>
        </w:rPr>
        <w:t>, por ejemplo</w:t>
      </w:r>
      <w:r>
        <w:rPr>
          <w:lang w:val="es-ES"/>
        </w:rPr>
        <w:t>,</w:t>
      </w:r>
      <w:r w:rsidRPr="008F1831">
        <w:rPr>
          <w:lang w:val="es-ES"/>
        </w:rPr>
        <w:t xml:space="preserve"> en las reuniones de coordinación mensuales/semanales con el Gobierno de la India, en la organización de actos paralelos con diversos asociados, en la selección de oradores y en la organización de la participación del equipo de las Naciones Unidas en el país para el Día de las Naciones Unidas el 24 de octubre, así como en los actos paralelos y en la zona de exposición de los</w:t>
      </w:r>
      <w:r>
        <w:rPr>
          <w:lang w:val="es-ES"/>
        </w:rPr>
        <w:t> </w:t>
      </w:r>
      <w:r w:rsidRPr="008F1831">
        <w:rPr>
          <w:lang w:val="es-ES"/>
        </w:rPr>
        <w:t>ODS.</w:t>
      </w:r>
    </w:p>
    <w:p w14:paraId="33693F13" w14:textId="77777777" w:rsidR="006B0FE5" w:rsidRPr="008F1831" w:rsidRDefault="006B0FE5" w:rsidP="00BD4341">
      <w:pPr>
        <w:pStyle w:val="enumlev1"/>
        <w:jc w:val="both"/>
        <w:rPr>
          <w:lang w:val="es-ES"/>
        </w:rPr>
      </w:pPr>
      <w:r w:rsidRPr="008F1831">
        <w:rPr>
          <w:lang w:val="es-ES"/>
        </w:rPr>
        <w:t>–</w:t>
      </w:r>
      <w:r w:rsidRPr="008F1831">
        <w:rPr>
          <w:lang w:val="es-ES"/>
        </w:rPr>
        <w:tab/>
        <w:t>Tras las consultas con el Departamento de Infraestructura, Transporte, Desarrollo Regional, Comunicaciones y Artes (DITRDCA) del Gobierno de Australia, la</w:t>
      </w:r>
      <w:r>
        <w:rPr>
          <w:lang w:val="es-ES"/>
        </w:rPr>
        <w:t> </w:t>
      </w:r>
      <w:r w:rsidRPr="008F1831">
        <w:rPr>
          <w:lang w:val="es-ES"/>
        </w:rPr>
        <w:t>UIT firmó el 18</w:t>
      </w:r>
      <w:r>
        <w:rPr>
          <w:lang w:val="es-ES"/>
        </w:rPr>
        <w:t> </w:t>
      </w:r>
      <w:r w:rsidRPr="008F1831">
        <w:rPr>
          <w:lang w:val="es-ES"/>
        </w:rPr>
        <w:t>de junio de 2024 un acuerdo de proyecto para el proyecto SAPEIC. Este proyecto tiene por objeto mejorar la participación de los Estados Miembros de la UIT que son países en desarrollo de Asia</w:t>
      </w:r>
      <w:r>
        <w:rPr>
          <w:lang w:val="es-ES"/>
        </w:rPr>
        <w:noBreakHyphen/>
      </w:r>
      <w:r w:rsidRPr="008F1831">
        <w:rPr>
          <w:lang w:val="es-ES"/>
        </w:rPr>
        <w:t>Pacífico en las conferencias mundiales de la UIT, capacitándolos para que puedan contribuir de manera efectiva a las próximas conferencias de la UIT, a saber, la</w:t>
      </w:r>
      <w:r>
        <w:rPr>
          <w:lang w:val="es-ES"/>
        </w:rPr>
        <w:t> Asamblea Mundial de Normalización de las Telecomunicaciones (</w:t>
      </w:r>
      <w:r w:rsidRPr="008F1831">
        <w:rPr>
          <w:lang w:val="es-ES"/>
        </w:rPr>
        <w:t>AMNT</w:t>
      </w:r>
      <w:r>
        <w:rPr>
          <w:lang w:val="es-ES"/>
        </w:rPr>
        <w:t>)</w:t>
      </w:r>
      <w:r w:rsidRPr="008F1831">
        <w:rPr>
          <w:lang w:val="es-ES"/>
        </w:rPr>
        <w:t xml:space="preserve"> de 2024 y la</w:t>
      </w:r>
      <w:r>
        <w:rPr>
          <w:lang w:val="es-ES"/>
        </w:rPr>
        <w:t> Conferencia Mundial de Desarrollo de las Telecomunicaciones (</w:t>
      </w:r>
      <w:r w:rsidRPr="008F1831">
        <w:rPr>
          <w:lang w:val="es-ES"/>
        </w:rPr>
        <w:t>CMDT</w:t>
      </w:r>
      <w:r>
        <w:rPr>
          <w:lang w:val="es-ES"/>
        </w:rPr>
        <w:t>)</w:t>
      </w:r>
      <w:r w:rsidRPr="008F1831">
        <w:rPr>
          <w:lang w:val="es-ES"/>
        </w:rPr>
        <w:t xml:space="preserve"> de 2025.</w:t>
      </w:r>
    </w:p>
    <w:p w14:paraId="67A57B5D" w14:textId="7E6D0C65" w:rsidR="006B0FE5" w:rsidRPr="008F1831" w:rsidRDefault="006B0FE5" w:rsidP="00BD4341">
      <w:pPr>
        <w:pStyle w:val="enumlev1"/>
        <w:jc w:val="both"/>
        <w:rPr>
          <w:lang w:val="es-ES"/>
        </w:rPr>
      </w:pPr>
      <w:r w:rsidRPr="008F1831">
        <w:rPr>
          <w:lang w:val="es-ES"/>
        </w:rPr>
        <w:t>–</w:t>
      </w:r>
      <w:r w:rsidRPr="008F1831">
        <w:rPr>
          <w:lang w:val="es-ES"/>
        </w:rPr>
        <w:tab/>
        <w:t>A tal fin, se impartirá una formación estructurada y específica destinada a conocer mejor los Sectores de Normalización y Desarrollo de la UIT, así como los métodos de trabajo de la</w:t>
      </w:r>
      <w:r>
        <w:rPr>
          <w:lang w:val="es-ES"/>
        </w:rPr>
        <w:t> </w:t>
      </w:r>
      <w:r w:rsidRPr="008F1831">
        <w:rPr>
          <w:lang w:val="es-ES"/>
        </w:rPr>
        <w:t>AMNT y la</w:t>
      </w:r>
      <w:r>
        <w:rPr>
          <w:lang w:val="es-ES"/>
        </w:rPr>
        <w:t> </w:t>
      </w:r>
      <w:r w:rsidRPr="008F1831">
        <w:rPr>
          <w:lang w:val="es-ES"/>
        </w:rPr>
        <w:t>CMDT, con el fin de garantizar que los delegados puedan contribuir de manera efectiva a estas conferencias. Durante el periodo que abarca este informe, 23</w:t>
      </w:r>
      <w:r>
        <w:rPr>
          <w:lang w:val="es-ES"/>
        </w:rPr>
        <w:t> </w:t>
      </w:r>
      <w:r w:rsidRPr="008F1831">
        <w:rPr>
          <w:lang w:val="es-ES"/>
        </w:rPr>
        <w:t>participantes de 13</w:t>
      </w:r>
      <w:r>
        <w:rPr>
          <w:lang w:val="es-ES"/>
        </w:rPr>
        <w:t> </w:t>
      </w:r>
      <w:r w:rsidRPr="008F1831">
        <w:rPr>
          <w:lang w:val="es-ES"/>
        </w:rPr>
        <w:t>Estados Miembros de la UIT cursaron la parte del programa dedicada a la</w:t>
      </w:r>
      <w:r>
        <w:rPr>
          <w:lang w:val="es-ES"/>
        </w:rPr>
        <w:t> </w:t>
      </w:r>
      <w:r w:rsidRPr="008F1831">
        <w:rPr>
          <w:lang w:val="es-ES"/>
        </w:rPr>
        <w:t>AMNT. Participaron en la formación virtual sobre la</w:t>
      </w:r>
      <w:r>
        <w:rPr>
          <w:lang w:val="es-ES"/>
        </w:rPr>
        <w:t> </w:t>
      </w:r>
      <w:r w:rsidRPr="008F1831">
        <w:rPr>
          <w:lang w:val="es-ES"/>
        </w:rPr>
        <w:t>AMNT del 10 al 13 de septiembre de</w:t>
      </w:r>
      <w:r>
        <w:rPr>
          <w:lang w:val="es-ES"/>
        </w:rPr>
        <w:t> </w:t>
      </w:r>
      <w:r w:rsidRPr="008F1831">
        <w:rPr>
          <w:lang w:val="es-ES"/>
        </w:rPr>
        <w:t>2024 y a una hora opcional el 18 de septiembre de</w:t>
      </w:r>
      <w:r>
        <w:rPr>
          <w:lang w:val="es-ES"/>
        </w:rPr>
        <w:t> </w:t>
      </w:r>
      <w:r w:rsidRPr="008F1831">
        <w:rPr>
          <w:lang w:val="es-ES"/>
        </w:rPr>
        <w:t>2024. La formación fue impartida por personal de la TSB y de la Oficina Regional de la UIT para Asia</w:t>
      </w:r>
      <w:r>
        <w:rPr>
          <w:lang w:val="es-ES"/>
        </w:rPr>
        <w:noBreakHyphen/>
      </w:r>
      <w:r w:rsidRPr="008F1831">
        <w:rPr>
          <w:lang w:val="es-ES"/>
        </w:rPr>
        <w:t>Pacífico, e incluyó ejercicios interactivos y ejemplos de cómo preparar contribuciones. Posteriormente, los 23</w:t>
      </w:r>
      <w:r>
        <w:rPr>
          <w:lang w:val="es-ES"/>
        </w:rPr>
        <w:t> </w:t>
      </w:r>
      <w:r w:rsidRPr="008F1831">
        <w:rPr>
          <w:lang w:val="es-ES"/>
        </w:rPr>
        <w:t>participantes recibieron becas a través del proyecto SAPEIC para asistir al Simposio Mundial de Normalización (SMN) y a la</w:t>
      </w:r>
      <w:r>
        <w:rPr>
          <w:lang w:val="es-ES"/>
        </w:rPr>
        <w:t> </w:t>
      </w:r>
      <w:r w:rsidRPr="008F1831">
        <w:rPr>
          <w:lang w:val="es-ES"/>
        </w:rPr>
        <w:t>AMNT en Delhi (India), el 14</w:t>
      </w:r>
      <w:r w:rsidR="001C104D">
        <w:rPr>
          <w:lang w:val="es-ES"/>
        </w:rPr>
        <w:t> </w:t>
      </w:r>
      <w:r w:rsidRPr="008F1831">
        <w:rPr>
          <w:lang w:val="es-ES"/>
        </w:rPr>
        <w:t xml:space="preserve">de </w:t>
      </w:r>
      <w:r w:rsidRPr="008F1831">
        <w:rPr>
          <w:lang w:val="es-ES"/>
        </w:rPr>
        <w:lastRenderedPageBreak/>
        <w:t>octubre de 2024 y del 15 al 24</w:t>
      </w:r>
      <w:r>
        <w:rPr>
          <w:lang w:val="es-ES"/>
        </w:rPr>
        <w:t> </w:t>
      </w:r>
      <w:r w:rsidRPr="008F1831">
        <w:rPr>
          <w:lang w:val="es-ES"/>
        </w:rPr>
        <w:t>de octubre de 2024, respectivamente. Los becarios participaron de forma satisfactoria en ambos eventos y están ultimando sus obligaciones de presentación de informes.</w:t>
      </w:r>
    </w:p>
    <w:p w14:paraId="527A9938" w14:textId="77777777" w:rsidR="006B0FE5" w:rsidRPr="008F1831" w:rsidRDefault="006B0FE5" w:rsidP="00BD4341">
      <w:pPr>
        <w:pStyle w:val="enumlev1"/>
        <w:jc w:val="both"/>
        <w:rPr>
          <w:lang w:val="es-ES"/>
        </w:rPr>
      </w:pPr>
      <w:r w:rsidRPr="008F1831">
        <w:rPr>
          <w:lang w:val="es-ES"/>
        </w:rPr>
        <w:t>–</w:t>
      </w:r>
      <w:r w:rsidRPr="008F1831">
        <w:rPr>
          <w:lang w:val="es-ES"/>
        </w:rPr>
        <w:tab/>
        <w:t>Tras las consultas con la</w:t>
      </w:r>
      <w:r>
        <w:rPr>
          <w:lang w:val="es-ES"/>
        </w:rPr>
        <w:t> </w:t>
      </w:r>
      <w:r w:rsidRPr="008F1831">
        <w:rPr>
          <w:lang w:val="es-ES"/>
        </w:rPr>
        <w:t>TSB y las conversaciones con el Ministerio de Asuntos Internos y Comunicaciones (MIC) de Japón, el equipo de la UIT y el MIC intercambiaron correspondencia el 6 de febrero de 2025, a raíz de lo cual se asignaron los fondos a la</w:t>
      </w:r>
      <w:r>
        <w:rPr>
          <w:lang w:val="es-ES"/>
        </w:rPr>
        <w:t> </w:t>
      </w:r>
      <w:r w:rsidRPr="008F1831">
        <w:rPr>
          <w:lang w:val="es-ES"/>
        </w:rPr>
        <w:t>UIT para llevar a cabo las actividades de este proyecto. Su financiación actual es por un periodo de un año, hasta febrero de</w:t>
      </w:r>
      <w:r>
        <w:rPr>
          <w:lang w:val="es-ES"/>
        </w:rPr>
        <w:t> </w:t>
      </w:r>
      <w:r w:rsidRPr="008F1831">
        <w:rPr>
          <w:lang w:val="es-ES"/>
        </w:rPr>
        <w:t>2026.</w:t>
      </w:r>
    </w:p>
    <w:p w14:paraId="4454CB8A" w14:textId="77777777" w:rsidR="006B0FE5" w:rsidRPr="008F1831" w:rsidRDefault="006B0FE5" w:rsidP="00BD4341">
      <w:pPr>
        <w:pStyle w:val="enumlev1"/>
        <w:keepNext/>
        <w:keepLines/>
        <w:jc w:val="both"/>
        <w:rPr>
          <w:lang w:val="es-ES"/>
        </w:rPr>
      </w:pPr>
      <w:r w:rsidRPr="008F1831">
        <w:rPr>
          <w:lang w:val="es-ES"/>
        </w:rPr>
        <w:t>–</w:t>
      </w:r>
      <w:r w:rsidRPr="008F1831">
        <w:rPr>
          <w:lang w:val="es-ES"/>
        </w:rPr>
        <w:tab/>
        <w:t xml:space="preserve">Los días 2 y 3 de septiembre de 2024, la Oficina Zonal, en colaboración con la Academia Nacional de Comunicaciones </w:t>
      </w:r>
      <w:r w:rsidRPr="00BC12EB">
        <w:rPr>
          <w:lang w:val="es-ES"/>
        </w:rPr>
        <w:t>–</w:t>
      </w:r>
      <w:r w:rsidRPr="008F1831">
        <w:rPr>
          <w:lang w:val="es-ES"/>
        </w:rPr>
        <w:t xml:space="preserve"> Finanzas (NCA-F, antes NICF) y el Departamento de Telecomunicaciones, organizó un taller sobre la reducción de la brecha de normalización (BSG) en el Instituto Indio de Ciencias (IISc) de Bangalore. El taller, al que asistieron más de 270</w:t>
      </w:r>
      <w:r>
        <w:rPr>
          <w:lang w:val="es-ES"/>
        </w:rPr>
        <w:t> </w:t>
      </w:r>
      <w:r w:rsidRPr="008F1831">
        <w:rPr>
          <w:lang w:val="es-ES"/>
        </w:rPr>
        <w:t>participantes del gobierno, la industria, el mundo académico y las nuevas empresas, sirvió para orientar a los participantes sobre cómo contribuir y negociar para la elaboración y aplicación de las normas del</w:t>
      </w:r>
      <w:r>
        <w:rPr>
          <w:lang w:val="es-ES"/>
        </w:rPr>
        <w:t> </w:t>
      </w:r>
      <w:r w:rsidRPr="008F1831">
        <w:rPr>
          <w:lang w:val="es-ES"/>
        </w:rPr>
        <w:t>UIT-T; además, contribuyó a la capacitación mediante juegos de rol interactivos y cuestionarios para que, con el tiempo, puedan desempeñar funciones de liderazgo en este campo.</w:t>
      </w:r>
    </w:p>
    <w:p w14:paraId="041150F1" w14:textId="77777777" w:rsidR="006B0FE5" w:rsidRPr="008F1831" w:rsidRDefault="006B0FE5" w:rsidP="00BD4341">
      <w:pPr>
        <w:pStyle w:val="enumlev1"/>
        <w:jc w:val="both"/>
        <w:rPr>
          <w:lang w:val="es-ES"/>
        </w:rPr>
      </w:pPr>
      <w:r w:rsidRPr="008F1831">
        <w:rPr>
          <w:lang w:val="es-ES"/>
        </w:rPr>
        <w:t>–</w:t>
      </w:r>
      <w:r w:rsidRPr="008F1831">
        <w:rPr>
          <w:lang w:val="es-ES"/>
        </w:rPr>
        <w:tab/>
        <w:t>La Oficina Regional de la UIT y la Oficina Zonal de Delhi mediaron en las discusiones con la Autoridad de InfoComm y Medios de Bhután (BICMA) y la TSB acerca del Laboratorio de Seguridad de SFD el 10 de octubre de</w:t>
      </w:r>
      <w:r>
        <w:rPr>
          <w:lang w:val="es-ES"/>
        </w:rPr>
        <w:t> </w:t>
      </w:r>
      <w:r w:rsidRPr="008F1831">
        <w:rPr>
          <w:lang w:val="es-ES"/>
        </w:rPr>
        <w:t>2024. Tras estas conversaciones, la UIT y la BICMA están considerando la posibilidad de poner en marcha un programa de transferencia de conocimientos de la</w:t>
      </w:r>
      <w:r>
        <w:rPr>
          <w:lang w:val="es-ES"/>
        </w:rPr>
        <w:t> </w:t>
      </w:r>
      <w:r w:rsidRPr="008F1831">
        <w:rPr>
          <w:lang w:val="es-ES"/>
        </w:rPr>
        <w:t>UIT para la seguridad de los SFD.</w:t>
      </w:r>
    </w:p>
    <w:p w14:paraId="275ADEEE" w14:textId="77777777" w:rsidR="006B0FE5" w:rsidRPr="008F1831" w:rsidRDefault="006B0FE5" w:rsidP="00BD4341">
      <w:pPr>
        <w:pStyle w:val="enumlev1"/>
        <w:jc w:val="both"/>
        <w:rPr>
          <w:lang w:val="es-ES"/>
        </w:rPr>
      </w:pPr>
      <w:r w:rsidRPr="008F1831">
        <w:rPr>
          <w:lang w:val="es-ES"/>
        </w:rPr>
        <w:t>–</w:t>
      </w:r>
      <w:r w:rsidRPr="008F1831">
        <w:rPr>
          <w:lang w:val="es-ES"/>
        </w:rPr>
        <w:tab/>
        <w:t xml:space="preserve">Tras estas discusiones, hubo un intercambio de cartas entre el Director de </w:t>
      </w:r>
      <w:r>
        <w:rPr>
          <w:lang w:val="es-ES"/>
        </w:rPr>
        <w:t xml:space="preserve">la </w:t>
      </w:r>
      <w:r w:rsidRPr="008F1831">
        <w:rPr>
          <w:lang w:val="es-ES"/>
        </w:rPr>
        <w:t>TSB y BICMA, el 14 de octubre y el 22 de octubre de 2024. BICMA está evaluando actualmente los aspectos financieros y se está a la espera de una respuesta oficial de su parte.</w:t>
      </w:r>
    </w:p>
    <w:p w14:paraId="64271ED6" w14:textId="77777777" w:rsidR="006B0FE5" w:rsidRPr="00DB1C82" w:rsidRDefault="006B0FE5" w:rsidP="00685F9C">
      <w:pPr>
        <w:pStyle w:val="Heading2"/>
        <w:rPr>
          <w:rFonts w:eastAsia="Aptos"/>
        </w:rPr>
      </w:pPr>
      <w:r w:rsidRPr="00DB1C82">
        <w:rPr>
          <w:rFonts w:eastAsia="Aptos"/>
        </w:rPr>
        <w:t>3.6</w:t>
      </w:r>
      <w:r w:rsidRPr="00DB1C82">
        <w:rPr>
          <w:rFonts w:eastAsia="Aptos"/>
        </w:rPr>
        <w:tab/>
      </w:r>
      <w:r w:rsidRPr="008F1831">
        <w:t>Oficina Regional para la CEI (OR-</w:t>
      </w:r>
      <w:proofErr w:type="gramStart"/>
      <w:r w:rsidRPr="008F1831">
        <w:t>C</w:t>
      </w:r>
      <w:r>
        <w:t>EI</w:t>
      </w:r>
      <w:r w:rsidRPr="008F1831">
        <w:t>)/</w:t>
      </w:r>
      <w:proofErr w:type="gramEnd"/>
      <w:r w:rsidRPr="008F1831">
        <w:t>Actividades en la CEI</w:t>
      </w:r>
    </w:p>
    <w:p w14:paraId="4BD6D16E" w14:textId="77777777" w:rsidR="006B0FE5" w:rsidRPr="006B0FE5" w:rsidRDefault="006B0FE5" w:rsidP="00815A7D">
      <w:pPr>
        <w:pStyle w:val="Headingb"/>
        <w:rPr>
          <w:lang w:val="es-ES"/>
        </w:rPr>
      </w:pPr>
      <w:r w:rsidRPr="006B0FE5">
        <w:rPr>
          <w:lang w:val="es-ES"/>
        </w:rPr>
        <w:t xml:space="preserve">Actividades relacionadas con la BR </w:t>
      </w:r>
    </w:p>
    <w:p w14:paraId="0B2D5310" w14:textId="77777777" w:rsidR="006B0FE5" w:rsidRPr="008F1831" w:rsidRDefault="006B0FE5" w:rsidP="00BD4341">
      <w:pPr>
        <w:pStyle w:val="enumlev1"/>
        <w:jc w:val="both"/>
        <w:rPr>
          <w:lang w:val="es-ES"/>
        </w:rPr>
      </w:pPr>
      <w:r w:rsidRPr="008F1831">
        <w:rPr>
          <w:lang w:val="es-ES"/>
        </w:rPr>
        <w:t>–</w:t>
      </w:r>
      <w:r w:rsidRPr="008F1831">
        <w:rPr>
          <w:lang w:val="es-ES"/>
        </w:rPr>
        <w:tab/>
        <w:t>Se ha puesto en marcha un proyecto de planificación de frecuencias de radiodifusión sonora digital (DAB) en 174-230</w:t>
      </w:r>
      <w:r>
        <w:rPr>
          <w:lang w:val="es-ES"/>
        </w:rPr>
        <w:t> </w:t>
      </w:r>
      <w:r w:rsidRPr="008F1831">
        <w:rPr>
          <w:lang w:val="es-ES"/>
        </w:rPr>
        <w:t>MHz para Armenia, Azerbaiyán y Georgia.</w:t>
      </w:r>
    </w:p>
    <w:p w14:paraId="64D84814" w14:textId="77777777" w:rsidR="006B0FE5" w:rsidRPr="008F1831" w:rsidRDefault="006B0FE5" w:rsidP="00BD4341">
      <w:pPr>
        <w:pStyle w:val="enumlev1"/>
        <w:jc w:val="both"/>
        <w:rPr>
          <w:lang w:val="es-ES"/>
        </w:rPr>
      </w:pPr>
      <w:r w:rsidRPr="008F1831">
        <w:rPr>
          <w:lang w:val="es-ES"/>
        </w:rPr>
        <w:t>–</w:t>
      </w:r>
      <w:r w:rsidRPr="008F1831">
        <w:rPr>
          <w:lang w:val="es-ES"/>
        </w:rPr>
        <w:tab/>
        <w:t>Se organizó en Tashkent (Uzbekistán) una mesa redonda sobre la interconexión VoLTE (voz por LTE) y VoWiFi, en la que se trataron los aspectos técnicos y las estrategias de aplicación.</w:t>
      </w:r>
    </w:p>
    <w:p w14:paraId="58521B1B" w14:textId="77777777" w:rsidR="006B0FE5" w:rsidRPr="008F1831" w:rsidRDefault="006B0FE5" w:rsidP="00BD4341">
      <w:pPr>
        <w:pStyle w:val="enumlev1"/>
        <w:jc w:val="both"/>
        <w:rPr>
          <w:lang w:val="es-ES"/>
        </w:rPr>
      </w:pPr>
      <w:r w:rsidRPr="008F1831">
        <w:rPr>
          <w:lang w:val="es-ES"/>
        </w:rPr>
        <w:t>–</w:t>
      </w:r>
      <w:r w:rsidRPr="008F1831">
        <w:rPr>
          <w:lang w:val="es-ES"/>
        </w:rPr>
        <w:tab/>
        <w:t>El subgrupo de IA para la alerta temprana para todos, coordinado y dirigido por la UIT, tiene por objeto estudiar, poner en práctica y ampliar las aplicaciones de IA destinadas a la iniciativa EW4All (resulta pertinente para la BR por tratarse de aspectos relacionados con el espectro y la propagación).</w:t>
      </w:r>
    </w:p>
    <w:p w14:paraId="60E6AD9A" w14:textId="77777777" w:rsidR="006B0FE5" w:rsidRPr="008F1831" w:rsidRDefault="006B0FE5" w:rsidP="00BD4341">
      <w:pPr>
        <w:pStyle w:val="enumlev1"/>
        <w:jc w:val="both"/>
        <w:rPr>
          <w:lang w:val="es-ES"/>
        </w:rPr>
      </w:pPr>
      <w:r w:rsidRPr="008F1831">
        <w:rPr>
          <w:lang w:val="es-ES"/>
        </w:rPr>
        <w:t>–</w:t>
      </w:r>
      <w:r w:rsidRPr="008F1831">
        <w:rPr>
          <w:lang w:val="es-ES"/>
        </w:rPr>
        <w:tab/>
        <w:t>En septiembre de 2024 se organizó en Almaty (Kazajstán), en colaboración con la BR, el seminario regional mundial UIT/OMM "Observaciones de la Tierra para la consecución de los Objetivos de Desarrollo Sostenible: tecnologías, espectro, aplicaciones y efectos", al que asistieron más de 100</w:t>
      </w:r>
      <w:r>
        <w:rPr>
          <w:lang w:val="es-ES"/>
        </w:rPr>
        <w:t> </w:t>
      </w:r>
      <w:r w:rsidRPr="008F1831">
        <w:rPr>
          <w:lang w:val="es-ES"/>
        </w:rPr>
        <w:t>expertos. Este seminario se celebró con ocasión de la reunión de los Grupos de Trabajo de la Comisión de Estudio</w:t>
      </w:r>
      <w:r>
        <w:rPr>
          <w:lang w:val="es-ES"/>
        </w:rPr>
        <w:t> </w:t>
      </w:r>
      <w:r w:rsidRPr="008F1831">
        <w:rPr>
          <w:lang w:val="es-ES"/>
        </w:rPr>
        <w:t>7 del UIT-R.</w:t>
      </w:r>
    </w:p>
    <w:p w14:paraId="0C9EE223" w14:textId="77777777" w:rsidR="006B0FE5" w:rsidRPr="008F1831" w:rsidRDefault="006B0FE5" w:rsidP="00BD4341">
      <w:pPr>
        <w:pStyle w:val="enumlev1"/>
        <w:jc w:val="both"/>
        <w:rPr>
          <w:lang w:val="es-ES"/>
        </w:rPr>
      </w:pPr>
      <w:r w:rsidRPr="008F1831">
        <w:rPr>
          <w:lang w:val="es-ES"/>
        </w:rPr>
        <w:t>–</w:t>
      </w:r>
      <w:r w:rsidRPr="008F1831">
        <w:rPr>
          <w:lang w:val="es-ES"/>
        </w:rPr>
        <w:tab/>
        <w:t>En febrero de 2025, la</w:t>
      </w:r>
      <w:r>
        <w:rPr>
          <w:lang w:val="es-ES"/>
        </w:rPr>
        <w:t> </w:t>
      </w:r>
      <w:r w:rsidRPr="008F1831">
        <w:rPr>
          <w:lang w:val="es-ES"/>
        </w:rPr>
        <w:t>BDT, junto con Intersputnik y con la participación de expertos de la</w:t>
      </w:r>
      <w:r>
        <w:rPr>
          <w:lang w:val="es-ES"/>
        </w:rPr>
        <w:t> </w:t>
      </w:r>
      <w:r w:rsidRPr="008F1831">
        <w:rPr>
          <w:lang w:val="es-ES"/>
        </w:rPr>
        <w:t xml:space="preserve">BR, organizó un taller sobre </w:t>
      </w:r>
      <w:r>
        <w:rPr>
          <w:lang w:val="es-ES"/>
        </w:rPr>
        <w:t>"l</w:t>
      </w:r>
      <w:r w:rsidRPr="008F1831">
        <w:rPr>
          <w:lang w:val="es-ES"/>
        </w:rPr>
        <w:t>as actividades espaciales en la realidad moderna</w:t>
      </w:r>
      <w:r>
        <w:rPr>
          <w:lang w:val="es-ES"/>
        </w:rPr>
        <w:t>"</w:t>
      </w:r>
      <w:r w:rsidRPr="008F1831">
        <w:rPr>
          <w:lang w:val="es-ES"/>
        </w:rPr>
        <w:t xml:space="preserve">. El </w:t>
      </w:r>
      <w:r w:rsidRPr="008F1831">
        <w:rPr>
          <w:lang w:val="es-ES"/>
        </w:rPr>
        <w:lastRenderedPageBreak/>
        <w:t>evento, al que asistió la comunidad de comunicaciones por satélite y que fue muy valorado por los participantes, ofreció una oportunidad excepcional para compartir prácticas idóneas a la hora de crear o mejorar la legislación nacional en materia de actividades espaciales, y abordar a su vez los retos que plantean las políticas nacionales de acceso al mercado de los sistemas por satélite.</w:t>
      </w:r>
    </w:p>
    <w:p w14:paraId="46560F7D" w14:textId="77777777" w:rsidR="006B0FE5" w:rsidRPr="008F1831" w:rsidRDefault="006B0FE5" w:rsidP="00815A7D">
      <w:pPr>
        <w:pStyle w:val="Headingb"/>
        <w:rPr>
          <w:lang w:val="es-ES"/>
        </w:rPr>
      </w:pPr>
      <w:r w:rsidRPr="008F1831">
        <w:rPr>
          <w:lang w:val="es-ES"/>
        </w:rPr>
        <w:t>Actividades relacionadas con la TSB</w:t>
      </w:r>
    </w:p>
    <w:p w14:paraId="6E9CFFC8" w14:textId="77777777" w:rsidR="006B0FE5" w:rsidRPr="008F1831" w:rsidRDefault="006B0FE5" w:rsidP="00BD4341">
      <w:pPr>
        <w:pStyle w:val="enumlev1"/>
        <w:jc w:val="both"/>
        <w:rPr>
          <w:lang w:val="es-ES"/>
        </w:rPr>
      </w:pPr>
      <w:r w:rsidRPr="008F1831">
        <w:rPr>
          <w:lang w:val="es-ES"/>
        </w:rPr>
        <w:t>–</w:t>
      </w:r>
      <w:r w:rsidRPr="008F1831">
        <w:rPr>
          <w:lang w:val="es-ES"/>
        </w:rPr>
        <w:tab/>
        <w:t>Mediante actividades de sensibilización, la OR</w:t>
      </w:r>
      <w:r>
        <w:rPr>
          <w:lang w:val="es-ES"/>
        </w:rPr>
        <w:noBreakHyphen/>
      </w:r>
      <w:r w:rsidRPr="008F1831">
        <w:rPr>
          <w:lang w:val="es-ES"/>
        </w:rPr>
        <w:t>CEI ha respaldado la adopción de Recomendaciones e IFR relacionados con las ciudades y comunidades inteligentes elaborados en el marco de la iniciativa U4SCC.</w:t>
      </w:r>
    </w:p>
    <w:p w14:paraId="180D7F8A" w14:textId="77777777" w:rsidR="006B0FE5" w:rsidRPr="008F1831" w:rsidRDefault="006B0FE5" w:rsidP="00BD4341">
      <w:pPr>
        <w:pStyle w:val="enumlev1"/>
        <w:jc w:val="both"/>
        <w:rPr>
          <w:lang w:val="es-ES"/>
        </w:rPr>
      </w:pPr>
      <w:r w:rsidRPr="008F1831">
        <w:rPr>
          <w:lang w:val="es-ES"/>
        </w:rPr>
        <w:t>–</w:t>
      </w:r>
      <w:r w:rsidRPr="008F1831">
        <w:rPr>
          <w:lang w:val="es-ES"/>
        </w:rPr>
        <w:tab/>
        <w:t>Se están llevando a cabo los preparativos, en colaboración con la</w:t>
      </w:r>
      <w:r>
        <w:rPr>
          <w:lang w:val="es-ES"/>
        </w:rPr>
        <w:t> </w:t>
      </w:r>
      <w:r w:rsidRPr="008F1831">
        <w:rPr>
          <w:lang w:val="es-ES"/>
        </w:rPr>
        <w:t xml:space="preserve">TSB, del Foro Regional de la UIT </w:t>
      </w:r>
      <w:r>
        <w:rPr>
          <w:lang w:val="es-ES"/>
        </w:rPr>
        <w:t>"</w:t>
      </w:r>
      <w:r w:rsidRPr="008F1831">
        <w:rPr>
          <w:lang w:val="es-ES"/>
        </w:rPr>
        <w:t>Tecnologías del futuro: inteligencia artificial, metaverso, holografía y otras aplicaciones y servicios de las TIC. Visión 2030</w:t>
      </w:r>
      <w:r>
        <w:rPr>
          <w:lang w:val="es-ES"/>
        </w:rPr>
        <w:t>"</w:t>
      </w:r>
      <w:r w:rsidRPr="008F1831">
        <w:rPr>
          <w:lang w:val="es-ES"/>
        </w:rPr>
        <w:t>, que tendrá lugar del 9 al 11 de junio de</w:t>
      </w:r>
      <w:r>
        <w:rPr>
          <w:lang w:val="es-ES"/>
        </w:rPr>
        <w:t> </w:t>
      </w:r>
      <w:r w:rsidRPr="008F1831">
        <w:rPr>
          <w:lang w:val="es-ES"/>
        </w:rPr>
        <w:t xml:space="preserve">2025 en San Petersburgo </w:t>
      </w:r>
      <w:r>
        <w:rPr>
          <w:lang w:val="es-ES"/>
        </w:rPr>
        <w:t>(</w:t>
      </w:r>
      <w:r w:rsidRPr="008F1831">
        <w:rPr>
          <w:lang w:val="es-ES"/>
        </w:rPr>
        <w:t>Federación de Rusia</w:t>
      </w:r>
      <w:r>
        <w:rPr>
          <w:lang w:val="es-ES"/>
        </w:rPr>
        <w:t>)</w:t>
      </w:r>
      <w:r w:rsidRPr="008F1831">
        <w:rPr>
          <w:lang w:val="es-ES"/>
        </w:rPr>
        <w:t>, con ocasión de las reuniones de los Grupos Regionales de las Comisiones de Estudio</w:t>
      </w:r>
      <w:r>
        <w:rPr>
          <w:lang w:val="es-ES"/>
        </w:rPr>
        <w:t> </w:t>
      </w:r>
      <w:r w:rsidRPr="008F1831">
        <w:rPr>
          <w:lang w:val="es-ES"/>
        </w:rPr>
        <w:t>11, 13 y 20 del UIT-T.</w:t>
      </w:r>
    </w:p>
    <w:p w14:paraId="58E2898D" w14:textId="77777777" w:rsidR="006B0FE5" w:rsidRPr="00DB1C82" w:rsidRDefault="006B0FE5" w:rsidP="00685F9C">
      <w:pPr>
        <w:pStyle w:val="Heading2"/>
        <w:rPr>
          <w:rFonts w:eastAsia="Aptos"/>
        </w:rPr>
      </w:pPr>
      <w:r w:rsidRPr="00DB1C82">
        <w:rPr>
          <w:rFonts w:eastAsia="Aptos"/>
        </w:rPr>
        <w:t>3.7</w:t>
      </w:r>
      <w:r w:rsidRPr="00DB1C82">
        <w:rPr>
          <w:rFonts w:eastAsia="Aptos"/>
        </w:rPr>
        <w:tab/>
      </w:r>
      <w:r w:rsidRPr="008F1831">
        <w:t>Oficina de la UIT para Europa/Actividades en Europa</w:t>
      </w:r>
    </w:p>
    <w:p w14:paraId="05C3DDD0" w14:textId="77777777" w:rsidR="006B0FE5" w:rsidRPr="008F1831" w:rsidRDefault="006B0FE5" w:rsidP="00815A7D">
      <w:pPr>
        <w:pStyle w:val="Headingb"/>
        <w:rPr>
          <w:lang w:val="es-ES"/>
        </w:rPr>
      </w:pPr>
      <w:r w:rsidRPr="008F1831">
        <w:rPr>
          <w:lang w:val="es-ES"/>
        </w:rPr>
        <w:t>Actividades relacionadas con la BR</w:t>
      </w:r>
    </w:p>
    <w:p w14:paraId="46212424" w14:textId="77777777" w:rsidR="006B0FE5" w:rsidRPr="008F1831" w:rsidRDefault="006B0FE5" w:rsidP="00BD4341">
      <w:pPr>
        <w:pStyle w:val="enumlev1"/>
        <w:jc w:val="both"/>
        <w:rPr>
          <w:lang w:val="es-ES"/>
        </w:rPr>
      </w:pPr>
      <w:r w:rsidRPr="008F1831">
        <w:rPr>
          <w:lang w:val="es-ES"/>
        </w:rPr>
        <w:t>–</w:t>
      </w:r>
      <w:r w:rsidRPr="008F1831">
        <w:rPr>
          <w:lang w:val="es-ES"/>
        </w:rPr>
        <w:tab/>
        <w:t>El 27 de marzo de 2025 se organizó en Bruselas una sesión informativa ejecutiva sobre cuestiones relacionadas con la</w:t>
      </w:r>
      <w:r>
        <w:rPr>
          <w:lang w:val="es-ES"/>
        </w:rPr>
        <w:t> </w:t>
      </w:r>
      <w:r w:rsidRPr="008F1831">
        <w:rPr>
          <w:lang w:val="es-ES"/>
        </w:rPr>
        <w:t>BR dirigida al Grupo de Trabajo del Consejo de la UE sobre Telecomunicaciones y Sociedad de la Información.</w:t>
      </w:r>
    </w:p>
    <w:p w14:paraId="00746009" w14:textId="77777777" w:rsidR="006B0FE5" w:rsidRPr="008F1831" w:rsidRDefault="006B0FE5" w:rsidP="00BD4341">
      <w:pPr>
        <w:pStyle w:val="enumlev1"/>
        <w:jc w:val="both"/>
        <w:rPr>
          <w:lang w:val="es-ES"/>
        </w:rPr>
      </w:pPr>
      <w:r w:rsidRPr="008F1831">
        <w:rPr>
          <w:lang w:val="es-ES"/>
        </w:rPr>
        <w:t>–</w:t>
      </w:r>
      <w:r w:rsidRPr="008F1831">
        <w:rPr>
          <w:lang w:val="es-ES"/>
        </w:rPr>
        <w:tab/>
        <w:t>Los expertos de la</w:t>
      </w:r>
      <w:r>
        <w:rPr>
          <w:lang w:val="es-ES"/>
        </w:rPr>
        <w:t> </w:t>
      </w:r>
      <w:r w:rsidRPr="008F1831">
        <w:rPr>
          <w:lang w:val="es-ES"/>
        </w:rPr>
        <w:t>BR han contribuido a la asistencia técnica a Ucrania de conformidad con la Resolución</w:t>
      </w:r>
      <w:r>
        <w:rPr>
          <w:lang w:val="es-ES"/>
        </w:rPr>
        <w:t> </w:t>
      </w:r>
      <w:r w:rsidRPr="008F1831">
        <w:rPr>
          <w:lang w:val="es-ES"/>
        </w:rPr>
        <w:t xml:space="preserve">1408 del Consejo de la UIT. Concretamente, se prestó ayuda de expertos a la evaluación técnica de las estaciones de radiodifusión, </w:t>
      </w:r>
      <w:r>
        <w:rPr>
          <w:lang w:val="es-ES"/>
        </w:rPr>
        <w:t xml:space="preserve">se </w:t>
      </w:r>
      <w:r w:rsidRPr="008F1831">
        <w:rPr>
          <w:lang w:val="es-ES"/>
        </w:rPr>
        <w:t xml:space="preserve">celebró un taller especial en línea sobre el espectro destinado a funcionarios ucranianos y se organizó el taller TAIEX de la UIT-CE </w:t>
      </w:r>
      <w:r w:rsidRPr="00880CDC">
        <w:rPr>
          <w:lang w:val="es-ES"/>
        </w:rPr>
        <w:t>el</w:t>
      </w:r>
      <w:r w:rsidRPr="008F1831">
        <w:rPr>
          <w:lang w:val="es-ES"/>
        </w:rPr>
        <w:t xml:space="preserve"> mes de diciembre de 2024 en Varsovia (Polonia).</w:t>
      </w:r>
    </w:p>
    <w:p w14:paraId="0B94DC6A" w14:textId="77777777" w:rsidR="006B0FE5" w:rsidRPr="008F1831" w:rsidRDefault="006B0FE5" w:rsidP="00BD4341">
      <w:pPr>
        <w:pStyle w:val="enumlev1"/>
        <w:jc w:val="both"/>
        <w:rPr>
          <w:lang w:val="es-ES"/>
        </w:rPr>
      </w:pPr>
      <w:r w:rsidRPr="008F1831">
        <w:rPr>
          <w:lang w:val="es-ES"/>
        </w:rPr>
        <w:t>–</w:t>
      </w:r>
      <w:r w:rsidRPr="008F1831">
        <w:rPr>
          <w:lang w:val="es-ES"/>
        </w:rPr>
        <w:tab/>
        <w:t>Expertos de la</w:t>
      </w:r>
      <w:r>
        <w:rPr>
          <w:lang w:val="es-ES"/>
        </w:rPr>
        <w:t> </w:t>
      </w:r>
      <w:r w:rsidRPr="008F1831">
        <w:rPr>
          <w:lang w:val="es-ES"/>
        </w:rPr>
        <w:t>BR contribuyeron a los talleres de EaPeReg, reforzando así la cooperación entre la UIT y los miembros de EaPeReg.</w:t>
      </w:r>
    </w:p>
    <w:p w14:paraId="68D88940" w14:textId="77777777" w:rsidR="006B0FE5" w:rsidRPr="008F1831" w:rsidRDefault="006B0FE5" w:rsidP="00BD4341">
      <w:pPr>
        <w:pStyle w:val="enumlev1"/>
        <w:jc w:val="both"/>
        <w:rPr>
          <w:lang w:val="es-ES"/>
        </w:rPr>
      </w:pPr>
      <w:r w:rsidRPr="008F1831">
        <w:rPr>
          <w:lang w:val="es-ES"/>
        </w:rPr>
        <w:t>–</w:t>
      </w:r>
      <w:r w:rsidRPr="008F1831">
        <w:rPr>
          <w:lang w:val="es-ES"/>
        </w:rPr>
        <w:tab/>
        <w:t>El Seminario Regional de Radiocomunicaciones de la UIT para Europa se ha programado para febrero de 2026 con el fin de seguir mejorando las capacidades humanas de los países europeos.</w:t>
      </w:r>
    </w:p>
    <w:p w14:paraId="5616512D" w14:textId="77777777" w:rsidR="006B0FE5" w:rsidRPr="008F1831" w:rsidRDefault="006B0FE5" w:rsidP="00815A7D">
      <w:pPr>
        <w:pStyle w:val="Headingb"/>
        <w:rPr>
          <w:lang w:val="es-ES"/>
        </w:rPr>
      </w:pPr>
      <w:r w:rsidRPr="00BD4341">
        <w:rPr>
          <w:lang w:val="es-ES"/>
        </w:rPr>
        <w:t>Actividades relacionadas con la TSB</w:t>
      </w:r>
    </w:p>
    <w:p w14:paraId="31350351" w14:textId="77777777" w:rsidR="006B0FE5" w:rsidRPr="008F1831" w:rsidRDefault="006B0FE5" w:rsidP="00BD4341">
      <w:pPr>
        <w:pStyle w:val="enumlev1"/>
        <w:jc w:val="both"/>
        <w:rPr>
          <w:lang w:val="es-ES"/>
        </w:rPr>
      </w:pPr>
      <w:r w:rsidRPr="008F1831">
        <w:rPr>
          <w:lang w:val="es-ES"/>
        </w:rPr>
        <w:t>–</w:t>
      </w:r>
      <w:r w:rsidRPr="008F1831">
        <w:rPr>
          <w:lang w:val="es-ES"/>
        </w:rPr>
        <w:tab/>
        <w:t xml:space="preserve">En noviembre de 2024 se celebró el taller sobre </w:t>
      </w:r>
      <w:r w:rsidRPr="002C76F7">
        <w:rPr>
          <w:lang w:val="es-ES"/>
        </w:rPr>
        <w:t>el Futuro de la televisión para Europa</w:t>
      </w:r>
      <w:r w:rsidRPr="008F1831">
        <w:rPr>
          <w:lang w:val="es-ES"/>
        </w:rPr>
        <w:t xml:space="preserve">, en colaboración con </w:t>
      </w:r>
      <w:r>
        <w:rPr>
          <w:lang w:val="es-ES"/>
        </w:rPr>
        <w:t xml:space="preserve">la </w:t>
      </w:r>
      <w:r w:rsidRPr="008F1831">
        <w:rPr>
          <w:lang w:val="es-ES"/>
        </w:rPr>
        <w:t xml:space="preserve">BR y </w:t>
      </w:r>
      <w:r>
        <w:rPr>
          <w:lang w:val="es-ES"/>
        </w:rPr>
        <w:t xml:space="preserve">la </w:t>
      </w:r>
      <w:r w:rsidRPr="008F1831">
        <w:rPr>
          <w:lang w:val="es-ES"/>
        </w:rPr>
        <w:t>TSB.</w:t>
      </w:r>
    </w:p>
    <w:p w14:paraId="59CCF757" w14:textId="77777777" w:rsidR="006B0FE5" w:rsidRPr="008F1831" w:rsidRDefault="006B0FE5" w:rsidP="00BD4341">
      <w:pPr>
        <w:pStyle w:val="enumlev1"/>
        <w:jc w:val="both"/>
        <w:rPr>
          <w:lang w:val="es-ES"/>
        </w:rPr>
      </w:pPr>
      <w:r w:rsidRPr="008F1831">
        <w:rPr>
          <w:lang w:val="es-ES"/>
        </w:rPr>
        <w:t>–</w:t>
      </w:r>
      <w:r w:rsidRPr="008F1831">
        <w:rPr>
          <w:lang w:val="es-ES"/>
        </w:rPr>
        <w:tab/>
        <w:t>El 19 de febrero de 2025 se organizó en Bruselas un taller de sincronización entre la TSB y la Comisión Europea, con objeto de identificar los ámbitos en los que podría reforzarse la cooperación.</w:t>
      </w:r>
    </w:p>
    <w:p w14:paraId="2739B84C" w14:textId="77777777" w:rsidR="006B0FE5" w:rsidRPr="008F1831" w:rsidRDefault="006B0FE5" w:rsidP="00BD4341">
      <w:pPr>
        <w:pStyle w:val="enumlev1"/>
        <w:jc w:val="both"/>
        <w:rPr>
          <w:lang w:val="es-ES"/>
        </w:rPr>
      </w:pPr>
      <w:r w:rsidRPr="008F1831">
        <w:rPr>
          <w:lang w:val="es-ES"/>
        </w:rPr>
        <w:t>–</w:t>
      </w:r>
      <w:r w:rsidRPr="008F1831">
        <w:rPr>
          <w:lang w:val="es-ES"/>
        </w:rPr>
        <w:tab/>
        <w:t>El 20 de febrero de 2025 se organizó en Bruselas una sesión informativa ejecutiva sobre cuestiones relacionadas con la TSB dirigida al Grupo de Trabajo del Consejo de la UE sobre Telecomunicaciones y Sociedad de la Información.</w:t>
      </w:r>
    </w:p>
    <w:p w14:paraId="6C600077" w14:textId="77777777" w:rsidR="006B0FE5" w:rsidRPr="00922311" w:rsidRDefault="006B0FE5" w:rsidP="00685F9C">
      <w:pPr>
        <w:pStyle w:val="Heading2"/>
      </w:pPr>
      <w:r w:rsidRPr="00922311">
        <w:lastRenderedPageBreak/>
        <w:t>3.8</w:t>
      </w:r>
      <w:r w:rsidRPr="00922311">
        <w:tab/>
        <w:t>C</w:t>
      </w:r>
      <w:r>
        <w:t>oordinación interregional</w:t>
      </w:r>
    </w:p>
    <w:p w14:paraId="39FED2A9" w14:textId="77777777" w:rsidR="006B0FE5" w:rsidRPr="008F1831" w:rsidRDefault="006B0FE5" w:rsidP="00815A7D">
      <w:pPr>
        <w:pStyle w:val="Headingb"/>
        <w:rPr>
          <w:lang w:val="es-ES"/>
        </w:rPr>
      </w:pPr>
      <w:r w:rsidRPr="008F1831">
        <w:rPr>
          <w:lang w:val="es-ES"/>
        </w:rPr>
        <w:t>Actividades relacionadas con la BR</w:t>
      </w:r>
    </w:p>
    <w:p w14:paraId="7FE479ED" w14:textId="77777777" w:rsidR="006B0FE5" w:rsidRPr="008F1831" w:rsidRDefault="006B0FE5" w:rsidP="00BD4341">
      <w:pPr>
        <w:jc w:val="both"/>
        <w:rPr>
          <w:lang w:val="es-ES"/>
        </w:rPr>
      </w:pPr>
      <w:r w:rsidRPr="008F1831">
        <w:rPr>
          <w:lang w:val="es-ES"/>
        </w:rPr>
        <w:t>Se ha establecido un almacenamiento preventivo estratégico de equipos de satélites de telecomunicaciones de emergencia en Dubái (para los Estados Árabes, África y Asia-Pacífico), Zimbabwe (para la SADC) y Barbados (para las Américas y el Caribe).</w:t>
      </w:r>
    </w:p>
    <w:p w14:paraId="7B2685CF" w14:textId="77777777" w:rsidR="006B0FE5" w:rsidRPr="008F1831" w:rsidRDefault="006B0FE5" w:rsidP="00815A7D">
      <w:pPr>
        <w:pStyle w:val="Headingb"/>
        <w:rPr>
          <w:lang w:val="es-ES"/>
        </w:rPr>
      </w:pPr>
      <w:r w:rsidRPr="008F1831">
        <w:rPr>
          <w:lang w:val="es-ES"/>
        </w:rPr>
        <w:t>Actividades relacionadas con la TSB</w:t>
      </w:r>
    </w:p>
    <w:p w14:paraId="0FE85B33" w14:textId="77777777" w:rsidR="006B0FE5" w:rsidRPr="008F1831" w:rsidRDefault="006B0FE5" w:rsidP="00BD4341">
      <w:pPr>
        <w:jc w:val="both"/>
        <w:rPr>
          <w:lang w:val="es-ES"/>
        </w:rPr>
      </w:pPr>
      <w:r w:rsidRPr="008F1831">
        <w:rPr>
          <w:lang w:val="es-ES"/>
        </w:rPr>
        <w:t>Como parte del grupo AI para EW4All, la UIT está desarrollando un catálogo de soluciones de IA, un repositorio en línea de herramientas de IA útiles para los sistemas de alerta temprana. El equipo de la</w:t>
      </w:r>
      <w:r>
        <w:rPr>
          <w:lang w:val="es-ES"/>
        </w:rPr>
        <w:t> </w:t>
      </w:r>
      <w:r w:rsidRPr="008F1831">
        <w:rPr>
          <w:lang w:val="es-ES"/>
        </w:rPr>
        <w:t>BDT también intervino en el 15</w:t>
      </w:r>
      <w:r>
        <w:rPr>
          <w:lang w:val="es-ES"/>
        </w:rPr>
        <w:t>.</w:t>
      </w:r>
      <w:r w:rsidRPr="008F1831">
        <w:rPr>
          <w:lang w:val="es-ES"/>
        </w:rPr>
        <w:t>º Simposio de la</w:t>
      </w:r>
      <w:r>
        <w:rPr>
          <w:lang w:val="es-ES"/>
        </w:rPr>
        <w:t> </w:t>
      </w:r>
      <w:r w:rsidRPr="008F1831">
        <w:rPr>
          <w:lang w:val="es-ES"/>
        </w:rPr>
        <w:t xml:space="preserve">TSB sobre las TIC, el medioambiente, el cambio climático y la economía circular (mayo </w:t>
      </w:r>
      <w:r>
        <w:rPr>
          <w:lang w:val="es-ES"/>
        </w:rPr>
        <w:t xml:space="preserve">de </w:t>
      </w:r>
      <w:r w:rsidRPr="008F1831">
        <w:rPr>
          <w:lang w:val="es-ES"/>
        </w:rPr>
        <w:t>2024).</w:t>
      </w:r>
    </w:p>
    <w:p w14:paraId="4D164E40" w14:textId="77777777" w:rsidR="00BD4341" w:rsidRDefault="00BD4341" w:rsidP="00411C49">
      <w:pPr>
        <w:pStyle w:val="Reasons"/>
      </w:pPr>
    </w:p>
    <w:p w14:paraId="6BC4D95F" w14:textId="77777777" w:rsidR="00BD4341" w:rsidRDefault="00BD4341">
      <w:pPr>
        <w:jc w:val="center"/>
      </w:pPr>
      <w:r>
        <w:t>______________</w:t>
      </w:r>
    </w:p>
    <w:sectPr w:rsidR="00BD4341" w:rsidSect="00C538FC">
      <w:footerReference w:type="default" r:id="rId42"/>
      <w:headerReference w:type="first" r:id="rId43"/>
      <w:footerReference w:type="first" r:id="rId4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DEE0B" w14:textId="77777777" w:rsidR="00D23EDD" w:rsidRDefault="00D23EDD">
      <w:r>
        <w:separator/>
      </w:r>
    </w:p>
  </w:endnote>
  <w:endnote w:type="continuationSeparator" w:id="0">
    <w:p w14:paraId="7272ECA2" w14:textId="77777777" w:rsidR="00D23EDD" w:rsidRDefault="00D2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22AE05E3" w14:textId="77777777" w:rsidTr="00E31DCE">
      <w:trPr>
        <w:jc w:val="center"/>
      </w:trPr>
      <w:tc>
        <w:tcPr>
          <w:tcW w:w="1803" w:type="dxa"/>
          <w:vAlign w:val="center"/>
        </w:tcPr>
        <w:p w14:paraId="038B7366" w14:textId="64CA9E3D" w:rsidR="003273A4" w:rsidRDefault="002946E2" w:rsidP="003273A4">
          <w:pPr>
            <w:pStyle w:val="Header"/>
            <w:jc w:val="left"/>
            <w:rPr>
              <w:noProof/>
            </w:rPr>
          </w:pPr>
          <w:r>
            <w:rPr>
              <w:noProof/>
            </w:rPr>
            <w:t xml:space="preserve">gDoc </w:t>
          </w:r>
          <w:r w:rsidR="00BD4341">
            <w:rPr>
              <w:noProof/>
            </w:rPr>
            <w:t>2501263</w:t>
          </w:r>
        </w:p>
      </w:tc>
      <w:tc>
        <w:tcPr>
          <w:tcW w:w="8261" w:type="dxa"/>
        </w:tcPr>
        <w:p w14:paraId="17D6B36C" w14:textId="69829C19" w:rsidR="003273A4" w:rsidRPr="00E06FD5" w:rsidRDefault="003273A4"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BD4341">
            <w:rPr>
              <w:bCs/>
            </w:rPr>
            <w:t>25</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9248C2B"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1C4AA2CC" w14:textId="77777777" w:rsidTr="00E31DCE">
      <w:trPr>
        <w:jc w:val="center"/>
      </w:trPr>
      <w:tc>
        <w:tcPr>
          <w:tcW w:w="1803" w:type="dxa"/>
          <w:vAlign w:val="center"/>
        </w:tcPr>
        <w:p w14:paraId="0D53D3DF" w14:textId="77777777" w:rsidR="00F24B71" w:rsidRPr="002946E2" w:rsidRDefault="002946E2" w:rsidP="00F24B71">
          <w:pPr>
            <w:pStyle w:val="Header"/>
            <w:jc w:val="left"/>
            <w:rPr>
              <w:noProof/>
            </w:rPr>
          </w:pPr>
          <w:hyperlink r:id="rId1" w:history="1">
            <w:r w:rsidRPr="002946E2">
              <w:rPr>
                <w:rStyle w:val="Hyperlink"/>
                <w:noProof/>
                <w:color w:val="4F81BD" w:themeColor="accent1"/>
                <w:u w:val="none"/>
              </w:rPr>
              <w:t>council.itu.int/2025</w:t>
            </w:r>
          </w:hyperlink>
          <w:r w:rsidRPr="002946E2">
            <w:rPr>
              <w:noProof/>
            </w:rPr>
            <w:t xml:space="preserve"> </w:t>
          </w:r>
        </w:p>
      </w:tc>
      <w:tc>
        <w:tcPr>
          <w:tcW w:w="8261" w:type="dxa"/>
        </w:tcPr>
        <w:p w14:paraId="63F3D54C" w14:textId="59157FAF" w:rsidR="00F24B71" w:rsidRPr="00E06FD5" w:rsidRDefault="00F24B71" w:rsidP="00B060DF">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B6FD8">
            <w:rPr>
              <w:bCs/>
            </w:rPr>
            <w:t>5</w:t>
          </w:r>
          <w:r w:rsidRPr="00623AE3">
            <w:rPr>
              <w:bCs/>
            </w:rPr>
            <w:t>/</w:t>
          </w:r>
          <w:r w:rsidR="00BD4341">
            <w:rPr>
              <w:bCs/>
            </w:rPr>
            <w:t>25</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76542BF2"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A86DC" w14:textId="77777777" w:rsidR="00D23EDD" w:rsidRDefault="00D23EDD">
      <w:r>
        <w:t>____________________</w:t>
      </w:r>
    </w:p>
  </w:footnote>
  <w:footnote w:type="continuationSeparator" w:id="0">
    <w:p w14:paraId="23665D46" w14:textId="77777777" w:rsidR="00D23EDD" w:rsidRDefault="00D2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666D09" w:rsidRPr="00784011" w14:paraId="15E53F52" w14:textId="77777777" w:rsidTr="00666D09">
      <w:trPr>
        <w:trHeight w:val="1104"/>
        <w:jc w:val="center"/>
      </w:trPr>
      <w:tc>
        <w:tcPr>
          <w:tcW w:w="5998" w:type="dxa"/>
          <w:vAlign w:val="center"/>
        </w:tcPr>
        <w:p w14:paraId="6340C865" w14:textId="77777777" w:rsidR="00666D09" w:rsidRDefault="00666D09" w:rsidP="001559F5">
          <w:pPr>
            <w:pStyle w:val="Header"/>
            <w:jc w:val="left"/>
            <w:rPr>
              <w:rFonts w:ascii="Arial" w:hAnsi="Arial" w:cs="Arial"/>
              <w:b/>
              <w:bCs/>
              <w:noProof/>
              <w:color w:val="009CD6"/>
              <w:sz w:val="36"/>
              <w:szCs w:val="36"/>
            </w:rPr>
          </w:pPr>
          <w:r>
            <w:rPr>
              <w:rFonts w:ascii="Arial" w:hAnsi="Arial" w:cs="Arial"/>
              <w:b/>
              <w:bCs/>
              <w:noProof/>
              <w:color w:val="009CD6"/>
              <w:sz w:val="36"/>
              <w:szCs w:val="36"/>
            </w:rPr>
            <w:drawing>
              <wp:inline distT="0" distB="0" distL="0" distR="0" wp14:anchorId="0F539ADC" wp14:editId="1568AC16">
                <wp:extent cx="3672000" cy="612867"/>
                <wp:effectExtent l="0" t="0" r="0" b="0"/>
                <wp:docPr id="120070386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03869" name="Picture 1" descr="A black background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72000" cy="612867"/>
                        </a:xfrm>
                        <a:prstGeom prst="rect">
                          <a:avLst/>
                        </a:prstGeom>
                      </pic:spPr>
                    </pic:pic>
                  </a:graphicData>
                </a:graphic>
              </wp:inline>
            </w:drawing>
          </w:r>
        </w:p>
      </w:tc>
      <w:tc>
        <w:tcPr>
          <w:tcW w:w="4022" w:type="dxa"/>
        </w:tcPr>
        <w:p w14:paraId="4754A907" w14:textId="77777777" w:rsidR="00666D09" w:rsidRDefault="00666D09" w:rsidP="001559F5">
          <w:pPr>
            <w:pStyle w:val="Header"/>
            <w:jc w:val="right"/>
            <w:rPr>
              <w:rFonts w:ascii="Arial" w:hAnsi="Arial" w:cs="Arial"/>
              <w:b/>
              <w:bCs/>
              <w:color w:val="009CD6"/>
              <w:szCs w:val="18"/>
            </w:rPr>
          </w:pPr>
        </w:p>
      </w:tc>
    </w:tr>
  </w:tbl>
  <w:p w14:paraId="16BAF519"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B9E8A60" wp14:editId="3C2F828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FF909"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D"/>
    <w:rsid w:val="000007D1"/>
    <w:rsid w:val="00054A82"/>
    <w:rsid w:val="0006007D"/>
    <w:rsid w:val="0008766F"/>
    <w:rsid w:val="00093EEB"/>
    <w:rsid w:val="000B0D00"/>
    <w:rsid w:val="000B7C15"/>
    <w:rsid w:val="000D1D0F"/>
    <w:rsid w:val="000E3F07"/>
    <w:rsid w:val="000F5290"/>
    <w:rsid w:val="0010165C"/>
    <w:rsid w:val="00146BFB"/>
    <w:rsid w:val="001559F5"/>
    <w:rsid w:val="00157AC4"/>
    <w:rsid w:val="0016169C"/>
    <w:rsid w:val="001B6E2B"/>
    <w:rsid w:val="001C104D"/>
    <w:rsid w:val="001F14A2"/>
    <w:rsid w:val="00206753"/>
    <w:rsid w:val="002801AA"/>
    <w:rsid w:val="002946E2"/>
    <w:rsid w:val="002C3F32"/>
    <w:rsid w:val="002C4676"/>
    <w:rsid w:val="002C70B0"/>
    <w:rsid w:val="002F3CC4"/>
    <w:rsid w:val="003032E2"/>
    <w:rsid w:val="0031300A"/>
    <w:rsid w:val="003273A4"/>
    <w:rsid w:val="0034796E"/>
    <w:rsid w:val="00392B6E"/>
    <w:rsid w:val="003A7CC9"/>
    <w:rsid w:val="00473962"/>
    <w:rsid w:val="004B5D49"/>
    <w:rsid w:val="004D3A3C"/>
    <w:rsid w:val="00513630"/>
    <w:rsid w:val="00560125"/>
    <w:rsid w:val="00585553"/>
    <w:rsid w:val="005B34D9"/>
    <w:rsid w:val="005D0CCF"/>
    <w:rsid w:val="005F3BCB"/>
    <w:rsid w:val="005F410F"/>
    <w:rsid w:val="0060149A"/>
    <w:rsid w:val="00601924"/>
    <w:rsid w:val="00616B81"/>
    <w:rsid w:val="006447EA"/>
    <w:rsid w:val="0064481D"/>
    <w:rsid w:val="0064731F"/>
    <w:rsid w:val="00664572"/>
    <w:rsid w:val="00666D09"/>
    <w:rsid w:val="006710F6"/>
    <w:rsid w:val="00677A97"/>
    <w:rsid w:val="00685F9C"/>
    <w:rsid w:val="006B0FE5"/>
    <w:rsid w:val="006C1B56"/>
    <w:rsid w:val="006D4761"/>
    <w:rsid w:val="00726872"/>
    <w:rsid w:val="00760F1C"/>
    <w:rsid w:val="007657F0"/>
    <w:rsid w:val="0077110E"/>
    <w:rsid w:val="0077252D"/>
    <w:rsid w:val="007955DA"/>
    <w:rsid w:val="007E5DD3"/>
    <w:rsid w:val="007F350B"/>
    <w:rsid w:val="008031F9"/>
    <w:rsid w:val="00815A7D"/>
    <w:rsid w:val="00820BE4"/>
    <w:rsid w:val="008451E8"/>
    <w:rsid w:val="008F6ABC"/>
    <w:rsid w:val="00913B9C"/>
    <w:rsid w:val="00927F93"/>
    <w:rsid w:val="00931CFA"/>
    <w:rsid w:val="00956E77"/>
    <w:rsid w:val="0097325B"/>
    <w:rsid w:val="009A338E"/>
    <w:rsid w:val="009F4811"/>
    <w:rsid w:val="00A73863"/>
    <w:rsid w:val="00A94438"/>
    <w:rsid w:val="00AA390C"/>
    <w:rsid w:val="00B0200A"/>
    <w:rsid w:val="00B060DF"/>
    <w:rsid w:val="00B574DB"/>
    <w:rsid w:val="00B826C2"/>
    <w:rsid w:val="00B8298E"/>
    <w:rsid w:val="00BB6FD8"/>
    <w:rsid w:val="00BD0723"/>
    <w:rsid w:val="00BD2518"/>
    <w:rsid w:val="00BD4341"/>
    <w:rsid w:val="00BF1D1C"/>
    <w:rsid w:val="00C20C59"/>
    <w:rsid w:val="00C2727F"/>
    <w:rsid w:val="00C538FC"/>
    <w:rsid w:val="00C55B1F"/>
    <w:rsid w:val="00CF1A67"/>
    <w:rsid w:val="00D23EDD"/>
    <w:rsid w:val="00D2750E"/>
    <w:rsid w:val="00D375E0"/>
    <w:rsid w:val="00D50A36"/>
    <w:rsid w:val="00D62446"/>
    <w:rsid w:val="00DA4EA2"/>
    <w:rsid w:val="00DC3D3E"/>
    <w:rsid w:val="00DE2C90"/>
    <w:rsid w:val="00DE3B24"/>
    <w:rsid w:val="00E06947"/>
    <w:rsid w:val="00E11319"/>
    <w:rsid w:val="00E21444"/>
    <w:rsid w:val="00E25355"/>
    <w:rsid w:val="00E34072"/>
    <w:rsid w:val="00E3592D"/>
    <w:rsid w:val="00E50D76"/>
    <w:rsid w:val="00E8018B"/>
    <w:rsid w:val="00E92DE8"/>
    <w:rsid w:val="00EB1212"/>
    <w:rsid w:val="00ED65AB"/>
    <w:rsid w:val="00EF3EFA"/>
    <w:rsid w:val="00F12850"/>
    <w:rsid w:val="00F24B71"/>
    <w:rsid w:val="00F33BF4"/>
    <w:rsid w:val="00F7105E"/>
    <w:rsid w:val="00F75F57"/>
    <w:rsid w:val="00F82FEE"/>
    <w:rsid w:val="00F84FC5"/>
    <w:rsid w:val="00F92BED"/>
    <w:rsid w:val="00FB2424"/>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89D2B"/>
  <w15:docId w15:val="{F23C34D5-E110-49D1-8ECA-36F7F486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2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815A7D"/>
    <w:pPr>
      <w:keepNext/>
      <w:keepLines/>
      <w:spacing w:before="240"/>
      <w:ind w:left="567" w:hanging="567"/>
      <w:outlineLvl w:val="0"/>
    </w:pPr>
    <w:rPr>
      <w:rFonts w:eastAsia="SimSun"/>
      <w:b/>
      <w:sz w:val="28"/>
    </w:rPr>
  </w:style>
  <w:style w:type="paragraph" w:styleId="Heading2">
    <w:name w:val="heading 2"/>
    <w:basedOn w:val="Heading1"/>
    <w:next w:val="Normal"/>
    <w:qFormat/>
    <w:rsid w:val="00685F9C"/>
    <w:pPr>
      <w:outlineLvl w:val="1"/>
    </w:pPr>
    <w:rPr>
      <w:sz w:val="24"/>
      <w:lang w:val="es-ES"/>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815A7D"/>
    <w:pPr>
      <w:tabs>
        <w:tab w:val="clear" w:pos="567"/>
        <w:tab w:val="clear" w:pos="1134"/>
        <w:tab w:val="clear" w:pos="1701"/>
        <w:tab w:val="clear" w:pos="2268"/>
        <w:tab w:val="clear" w:pos="2835"/>
      </w:tabs>
      <w:spacing w:before="40" w:after="40"/>
    </w:pPr>
    <w:rPr>
      <w:rFonts w:eastAsiaTheme="minorHAnsi" w:cstheme="minorBidi"/>
      <w:sz w:val="20"/>
      <w:lang w:val="es-ES"/>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815A7D"/>
    <w:rPr>
      <w:color w:val="0070C0"/>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5A7D"/>
    <w:pPr>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92BED"/>
    <w:pPr>
      <w:framePr w:hSpace="181" w:wrap="around" w:vAnchor="page" w:hAnchor="page" w:x="1821" w:y="2314"/>
      <w:spacing w:before="120" w:after="160"/>
      <w:jc w:val="left"/>
    </w:pPr>
    <w:rPr>
      <w:rFonts w:cstheme="minorHAnsi"/>
      <w:caps w:val="0"/>
      <w:sz w:val="32"/>
      <w:szCs w:val="32"/>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6FD8"/>
    <w:rPr>
      <w:color w:val="666666"/>
    </w:rPr>
  </w:style>
  <w:style w:type="character" w:styleId="UnresolvedMention">
    <w:name w:val="Unresolved Mention"/>
    <w:basedOn w:val="DefaultParagraphFont"/>
    <w:uiPriority w:val="99"/>
    <w:semiHidden/>
    <w:unhideWhenUsed/>
    <w:rsid w:val="002946E2"/>
    <w:rPr>
      <w:color w:val="605E5C"/>
      <w:shd w:val="clear" w:color="auto" w:fill="E1DFDD"/>
    </w:rPr>
  </w:style>
  <w:style w:type="paragraph" w:styleId="NormalWeb">
    <w:name w:val="Normal (Web)"/>
    <w:basedOn w:val="Normal"/>
    <w:uiPriority w:val="99"/>
    <w:unhideWhenUsed/>
    <w:rsid w:val="006B0FE5"/>
    <w:rPr>
      <w:rFonts w:ascii="Times New Roman" w:hAnsi="Times New Roman"/>
      <w:szCs w:val="24"/>
      <w:lang w:val="en-GB"/>
    </w:rPr>
  </w:style>
  <w:style w:type="paragraph" w:customStyle="1" w:styleId="Tablefin">
    <w:name w:val="Table_fin"/>
    <w:basedOn w:val="Tabletext"/>
    <w:rsid w:val="006B0FE5"/>
    <w:pPr>
      <w:spacing w:before="0" w:after="0"/>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itu-d/meetings/wtdc25/rpm/arb/home/" TargetMode="External"/><Relationship Id="rId18" Type="http://schemas.openxmlformats.org/officeDocument/2006/relationships/hyperlink" Target="https://www.itu.int/md/D22-RPMEUR-C-0030/es" TargetMode="External"/><Relationship Id="rId26" Type="http://schemas.openxmlformats.org/officeDocument/2006/relationships/hyperlink" Target="https://www.itu.int/md/D22-RPMAMS-C-0021/en" TargetMode="External"/><Relationship Id="rId39" Type="http://schemas.openxmlformats.org/officeDocument/2006/relationships/hyperlink" Target="https://www.itu.int/md/D22-TDAG32-C-0002/es" TargetMode="External"/><Relationship Id="rId21" Type="http://schemas.openxmlformats.org/officeDocument/2006/relationships/hyperlink" Target="https://www.itu.int/itu-d/meetings/wtdc25/rpm/asp/home/" TargetMode="External"/><Relationship Id="rId34" Type="http://schemas.openxmlformats.org/officeDocument/2006/relationships/hyperlink" Target="https://www.itu.int/md/D22-RPMCIS-C-0018/es" TargetMode="External"/><Relationship Id="rId42" Type="http://schemas.openxmlformats.org/officeDocument/2006/relationships/footer" Target="footer1.xml"/><Relationship Id="rId7" Type="http://schemas.openxmlformats.org/officeDocument/2006/relationships/hyperlink" Target="https://www.itu.int/en/council/Documents/basic-texts-2023/RES-025-E.pdf" TargetMode="External"/><Relationship Id="rId2" Type="http://schemas.openxmlformats.org/officeDocument/2006/relationships/settings" Target="settings.xml"/><Relationship Id="rId16" Type="http://schemas.openxmlformats.org/officeDocument/2006/relationships/hyperlink" Target="https://www.itu.int/itu-d/meetings/rdf/eur/home/" TargetMode="External"/><Relationship Id="rId29" Type="http://schemas.openxmlformats.org/officeDocument/2006/relationships/hyperlink" Target="https://www.itu.int/itu-d/meetings/wtdc25/rpm/afr/home/" TargetMode="External"/><Relationship Id="rId1" Type="http://schemas.openxmlformats.org/officeDocument/2006/relationships/styles" Target="styles.xml"/><Relationship Id="rId6" Type="http://schemas.openxmlformats.org/officeDocument/2006/relationships/hyperlink" Target="https://www.itu.int/en/council/Documents/basic-texts/RES-025-E.pdf" TargetMode="External"/><Relationship Id="rId11" Type="http://schemas.openxmlformats.org/officeDocument/2006/relationships/hyperlink" Target="https://www.itu.int/md/D22-TDAG31-C-0002/es" TargetMode="External"/><Relationship Id="rId24" Type="http://schemas.openxmlformats.org/officeDocument/2006/relationships/hyperlink" Target="https://www.itu.int/itu-d/meetings/rdf/ams/home/" TargetMode="External"/><Relationship Id="rId32" Type="http://schemas.openxmlformats.org/officeDocument/2006/relationships/hyperlink" Target="https://www.itu.int/itu-d/meetings/rdf/ams/home/" TargetMode="External"/><Relationship Id="rId37" Type="http://schemas.openxmlformats.org/officeDocument/2006/relationships/hyperlink" Target="https://www.itu.int/dms_pub/itu-d/opb/res/D-RES-D.31-2022-PDF-S.pdf" TargetMode="External"/><Relationship Id="rId40" Type="http://schemas.openxmlformats.org/officeDocument/2006/relationships/hyperlink" Target="https://www.itu.int/md/D22-TDAG32-INF-0004/es"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youtu.be/_TmRrANEy9Y?feature=shared" TargetMode="External"/><Relationship Id="rId23" Type="http://schemas.openxmlformats.org/officeDocument/2006/relationships/hyperlink" Target="https://youtu.be/n-9xwzs0i9I?feature=shared" TargetMode="External"/><Relationship Id="rId28" Type="http://schemas.openxmlformats.org/officeDocument/2006/relationships/hyperlink" Target="https://www.itu.int/itu-d/meetings/rdf/ams/home/" TargetMode="External"/><Relationship Id="rId36" Type="http://schemas.openxmlformats.org/officeDocument/2006/relationships/hyperlink" Target="https://www.itu.int/wtdc" TargetMode="External"/><Relationship Id="rId10" Type="http://schemas.openxmlformats.org/officeDocument/2006/relationships/hyperlink" Target="https://www.itu.int/en/publications/ITU-D/pages/publications.aspx?parent=D-TDC-WTDC-2022&amp;media=electronic" TargetMode="External"/><Relationship Id="rId19" Type="http://schemas.openxmlformats.org/officeDocument/2006/relationships/hyperlink" Target="https://youtu.be/KbGUKDoOwoU?feature=shared" TargetMode="External"/><Relationship Id="rId31" Type="http://schemas.openxmlformats.org/officeDocument/2006/relationships/hyperlink" Target="https://youtu.be/TQMlkFoVHQ4?feature=shared"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en/council/Documents/basic-texts-2023/RES-157-E.pdf" TargetMode="External"/><Relationship Id="rId14" Type="http://schemas.openxmlformats.org/officeDocument/2006/relationships/hyperlink" Target="https://www.itu.int/md/D22-RPMARB-C-0020/es" TargetMode="External"/><Relationship Id="rId22" Type="http://schemas.openxmlformats.org/officeDocument/2006/relationships/hyperlink" Target="https://www.itu.int/md/D22-RPMASP-C-0018/es" TargetMode="External"/><Relationship Id="rId27" Type="http://schemas.openxmlformats.org/officeDocument/2006/relationships/hyperlink" Target="https://youtu.be/0Q1A-_uFb2U?feature=shared" TargetMode="External"/><Relationship Id="rId30" Type="http://schemas.openxmlformats.org/officeDocument/2006/relationships/hyperlink" Target="https://www.itu.int/md/D22-RPMAFR-C-0019/es" TargetMode="External"/><Relationship Id="rId35" Type="http://schemas.openxmlformats.org/officeDocument/2006/relationships/hyperlink" Target="https://youtu.be/lWymn4RNG0I?feature=shared" TargetMode="External"/><Relationship Id="rId43" Type="http://schemas.openxmlformats.org/officeDocument/2006/relationships/header" Target="header1.xml"/><Relationship Id="rId8" Type="http://schemas.openxmlformats.org/officeDocument/2006/relationships/hyperlink" Target="https://www.itu.int/en/council/Documents/basic-texts-2023/RES-135-E.pdf" TargetMode="External"/><Relationship Id="rId3" Type="http://schemas.openxmlformats.org/officeDocument/2006/relationships/webSettings" Target="webSettings.xml"/><Relationship Id="rId12" Type="http://schemas.openxmlformats.org/officeDocument/2006/relationships/hyperlink" Target="https://www.itu.int/itu-d/meetings/rdf/arb/home/" TargetMode="External"/><Relationship Id="rId17" Type="http://schemas.openxmlformats.org/officeDocument/2006/relationships/hyperlink" Target="https://www.itu.int/itu-d/meetings/wtdc25/rpm/eur/home/" TargetMode="External"/><Relationship Id="rId25" Type="http://schemas.openxmlformats.org/officeDocument/2006/relationships/hyperlink" Target="https://www.itu.int/itu-d/meetings/wtdc25/rpm/ams/" TargetMode="External"/><Relationship Id="rId33" Type="http://schemas.openxmlformats.org/officeDocument/2006/relationships/hyperlink" Target="https://www.itu.int/itu-d/meetings/wtdc25/rpm/cis/home/" TargetMode="External"/><Relationship Id="rId38" Type="http://schemas.openxmlformats.org/officeDocument/2006/relationships/hyperlink" Target="https://www.itu.int/itu-d/meetings/wtdc25/rpm/home/" TargetMode="External"/><Relationship Id="rId46" Type="http://schemas.openxmlformats.org/officeDocument/2006/relationships/theme" Target="theme/theme1.xml"/><Relationship Id="rId20" Type="http://schemas.openxmlformats.org/officeDocument/2006/relationships/hyperlink" Target="https://www.itu.int/itu-d/meetings/rdf/eur/home/" TargetMode="External"/><Relationship Id="rId41" Type="http://schemas.openxmlformats.org/officeDocument/2006/relationships/hyperlink" Target="https://www.itu.int/md/D22-TDAG32-C-0005/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GS\PS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PS_Council25.dotx</Template>
  <TotalTime>17</TotalTime>
  <Pages>14</Pages>
  <Words>6424</Words>
  <Characters>33675</Characters>
  <Application>Microsoft Office Word</Application>
  <DocSecurity>0</DocSecurity>
  <Lines>576</Lines>
  <Paragraphs>169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Fortalecimiento de la presencia regional de la UIT</vt:lpstr>
    </vt:vector>
  </TitlesOfParts>
  <Manager>Secretaría General - Pool</Manager>
  <Company>International Telecommunication Union</Company>
  <LinksUpToDate>false</LinksUpToDate>
  <CharactersWithSpaces>40005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Fortalecimiento de la presencia regional de la UIT</dc:title>
  <dc:subject>Consejo 2025 de la UIT</dc:subject>
  <cp:keywords>C2025, C25, Council-25</cp:keywords>
  <dc:description/>
  <cp:lastPrinted>2006-03-24T09:51:00Z</cp:lastPrinted>
  <dcterms:created xsi:type="dcterms:W3CDTF">2025-05-29T12:20:00Z</dcterms:created>
  <dcterms:modified xsi:type="dcterms:W3CDTF">2025-05-29T12:37:00Z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GrammarlyDocumentId">
    <vt:lpwstr>5c03a5c9b91678b956e25536f0296632c716f66cf9a10e87f22af88ff3e788b1</vt:lpwstr>
  </property>
</Properties>
</file>