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29574BCA" w14:textId="77777777" w:rsidTr="00C538FC">
        <w:trPr>
          <w:cantSplit/>
          <w:trHeight w:val="23"/>
        </w:trPr>
        <w:tc>
          <w:tcPr>
            <w:tcW w:w="3969" w:type="dxa"/>
            <w:vMerge w:val="restart"/>
            <w:tcMar>
              <w:left w:w="0" w:type="dxa"/>
            </w:tcMar>
          </w:tcPr>
          <w:p w14:paraId="0DAC604D" w14:textId="7C936D20" w:rsidR="00FE57F6" w:rsidRPr="00BB6FD8" w:rsidRDefault="004A06F1"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Pr>
                <w:b/>
              </w:rPr>
              <w:t>PL 3</w:t>
            </w:r>
          </w:p>
        </w:tc>
        <w:tc>
          <w:tcPr>
            <w:tcW w:w="5245" w:type="dxa"/>
          </w:tcPr>
          <w:p w14:paraId="28F71116" w14:textId="726FF5A1"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F67705">
              <w:rPr>
                <w:b/>
              </w:rPr>
              <w:t>24</w:t>
            </w:r>
            <w:r w:rsidRPr="00BB6FD8">
              <w:rPr>
                <w:b/>
              </w:rPr>
              <w:t>-</w:t>
            </w:r>
            <w:r w:rsidR="00F24B71" w:rsidRPr="00BB6FD8">
              <w:rPr>
                <w:b/>
              </w:rPr>
              <w:t>S</w:t>
            </w:r>
          </w:p>
        </w:tc>
      </w:tr>
      <w:tr w:rsidR="00FE57F6" w:rsidRPr="00666D09" w14:paraId="6921CEB3" w14:textId="77777777" w:rsidTr="00C538FC">
        <w:trPr>
          <w:cantSplit/>
        </w:trPr>
        <w:tc>
          <w:tcPr>
            <w:tcW w:w="3969" w:type="dxa"/>
            <w:vMerge/>
          </w:tcPr>
          <w:p w14:paraId="15035336" w14:textId="77777777" w:rsidR="00FE57F6" w:rsidRPr="00BB6FD8" w:rsidRDefault="00FE57F6" w:rsidP="00C538FC">
            <w:pPr>
              <w:tabs>
                <w:tab w:val="left" w:pos="851"/>
              </w:tabs>
              <w:spacing w:line="240" w:lineRule="atLeast"/>
              <w:rPr>
                <w:b/>
              </w:rPr>
            </w:pPr>
          </w:p>
        </w:tc>
        <w:tc>
          <w:tcPr>
            <w:tcW w:w="5245" w:type="dxa"/>
          </w:tcPr>
          <w:p w14:paraId="3B9BF564" w14:textId="704AA5B1" w:rsidR="00FE57F6" w:rsidRPr="00666D09" w:rsidRDefault="0083131D" w:rsidP="00C538FC">
            <w:pPr>
              <w:tabs>
                <w:tab w:val="left" w:pos="851"/>
              </w:tabs>
              <w:spacing w:before="0"/>
              <w:jc w:val="right"/>
              <w:rPr>
                <w:b/>
                <w:lang w:val="en-GB"/>
              </w:rPr>
            </w:pPr>
            <w:r>
              <w:rPr>
                <w:b/>
              </w:rPr>
              <w:t>12 de mayo</w:t>
            </w:r>
            <w:r w:rsidR="005A772A">
              <w:rPr>
                <w:b/>
              </w:rPr>
              <w:t xml:space="preserve"> </w:t>
            </w:r>
            <w:r w:rsidR="00F67705">
              <w:rPr>
                <w:b/>
              </w:rPr>
              <w:t>de 2025</w:t>
            </w:r>
          </w:p>
        </w:tc>
      </w:tr>
      <w:tr w:rsidR="00FE57F6" w:rsidRPr="00BB6FD8" w14:paraId="3BB1A087" w14:textId="77777777" w:rsidTr="00C538FC">
        <w:trPr>
          <w:cantSplit/>
          <w:trHeight w:val="23"/>
        </w:trPr>
        <w:tc>
          <w:tcPr>
            <w:tcW w:w="3969" w:type="dxa"/>
            <w:vMerge/>
          </w:tcPr>
          <w:p w14:paraId="51038CE8" w14:textId="77777777" w:rsidR="00FE57F6" w:rsidRPr="00666D09" w:rsidRDefault="00FE57F6" w:rsidP="00C538FC">
            <w:pPr>
              <w:tabs>
                <w:tab w:val="left" w:pos="851"/>
              </w:tabs>
              <w:spacing w:line="240" w:lineRule="atLeast"/>
              <w:rPr>
                <w:b/>
                <w:lang w:val="en-GB"/>
              </w:rPr>
            </w:pPr>
          </w:p>
        </w:tc>
        <w:tc>
          <w:tcPr>
            <w:tcW w:w="5245" w:type="dxa"/>
          </w:tcPr>
          <w:p w14:paraId="10417EFE"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282229FE" w14:textId="77777777" w:rsidTr="00C538FC">
        <w:trPr>
          <w:cantSplit/>
          <w:trHeight w:val="23"/>
        </w:trPr>
        <w:tc>
          <w:tcPr>
            <w:tcW w:w="3969" w:type="dxa"/>
          </w:tcPr>
          <w:p w14:paraId="2868351C" w14:textId="77777777" w:rsidR="00FE57F6" w:rsidRPr="00BB6FD8" w:rsidRDefault="00FE57F6" w:rsidP="00C538FC">
            <w:pPr>
              <w:tabs>
                <w:tab w:val="left" w:pos="851"/>
              </w:tabs>
              <w:spacing w:line="240" w:lineRule="atLeast"/>
              <w:rPr>
                <w:b/>
              </w:rPr>
            </w:pPr>
          </w:p>
        </w:tc>
        <w:tc>
          <w:tcPr>
            <w:tcW w:w="5245" w:type="dxa"/>
          </w:tcPr>
          <w:p w14:paraId="40CA3363" w14:textId="77777777" w:rsidR="00FE57F6" w:rsidRPr="00BB6FD8" w:rsidRDefault="00FE57F6" w:rsidP="00C538FC">
            <w:pPr>
              <w:tabs>
                <w:tab w:val="left" w:pos="851"/>
              </w:tabs>
              <w:spacing w:before="0" w:line="240" w:lineRule="atLeast"/>
              <w:jc w:val="right"/>
              <w:rPr>
                <w:b/>
              </w:rPr>
            </w:pPr>
          </w:p>
        </w:tc>
      </w:tr>
      <w:tr w:rsidR="00FE57F6" w:rsidRPr="00BB6FD8" w14:paraId="5BD0EF50" w14:textId="77777777" w:rsidTr="00C538FC">
        <w:trPr>
          <w:cantSplit/>
        </w:trPr>
        <w:tc>
          <w:tcPr>
            <w:tcW w:w="9214" w:type="dxa"/>
            <w:gridSpan w:val="2"/>
            <w:tcMar>
              <w:left w:w="0" w:type="dxa"/>
            </w:tcMar>
          </w:tcPr>
          <w:p w14:paraId="41B1C49F"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4BA012C7" w14:textId="77777777" w:rsidTr="00C538FC">
        <w:trPr>
          <w:cantSplit/>
        </w:trPr>
        <w:tc>
          <w:tcPr>
            <w:tcW w:w="9214" w:type="dxa"/>
            <w:gridSpan w:val="2"/>
            <w:tcMar>
              <w:left w:w="0" w:type="dxa"/>
            </w:tcMar>
          </w:tcPr>
          <w:p w14:paraId="7979AAF3" w14:textId="226E85EE" w:rsidR="00FE57F6" w:rsidRPr="00F92BED" w:rsidRDefault="00282BE4" w:rsidP="00F92BED">
            <w:pPr>
              <w:pStyle w:val="Subtitle"/>
              <w:framePr w:hSpace="0" w:wrap="auto" w:vAnchor="margin" w:hAnchor="text" w:xAlign="left" w:yAlign="inline"/>
            </w:pPr>
            <w:r>
              <w:t>INFORME SOBRE EL SIMPOSIO MUNDIAL DE NORMALIZACIÓN (</w:t>
            </w:r>
            <w:proofErr w:type="spellStart"/>
            <w:r>
              <w:t>SMN</w:t>
            </w:r>
            <w:proofErr w:type="spellEnd"/>
            <w:r>
              <w:noBreakHyphen/>
              <w:t>24) Y LA ASAMBLEA MUNDIAL DE NORMALIZACIÓN DE LAS TELECOMUNICACIONES (</w:t>
            </w:r>
            <w:proofErr w:type="spellStart"/>
            <w:r>
              <w:t>AMNT</w:t>
            </w:r>
            <w:proofErr w:type="spellEnd"/>
            <w:r>
              <w:t>-24)</w:t>
            </w:r>
          </w:p>
        </w:tc>
      </w:tr>
      <w:tr w:rsidR="00FE57F6" w:rsidRPr="00BB6FD8" w14:paraId="40CB58C3" w14:textId="77777777" w:rsidTr="00C538FC">
        <w:trPr>
          <w:cantSplit/>
        </w:trPr>
        <w:tc>
          <w:tcPr>
            <w:tcW w:w="9214" w:type="dxa"/>
            <w:gridSpan w:val="2"/>
            <w:tcBorders>
              <w:top w:val="single" w:sz="4" w:space="0" w:color="auto"/>
              <w:bottom w:val="single" w:sz="4" w:space="0" w:color="auto"/>
            </w:tcBorders>
            <w:tcMar>
              <w:left w:w="0" w:type="dxa"/>
            </w:tcMar>
          </w:tcPr>
          <w:p w14:paraId="56FD48B7" w14:textId="77777777" w:rsidR="00FE57F6" w:rsidRPr="00BB6FD8" w:rsidRDefault="00F24B71" w:rsidP="00C538FC">
            <w:pPr>
              <w:spacing w:before="160"/>
              <w:rPr>
                <w:b/>
                <w:bCs/>
                <w:sz w:val="26"/>
                <w:szCs w:val="26"/>
              </w:rPr>
            </w:pPr>
            <w:r w:rsidRPr="00BB6FD8">
              <w:rPr>
                <w:b/>
                <w:bCs/>
                <w:sz w:val="26"/>
                <w:szCs w:val="26"/>
              </w:rPr>
              <w:t>Finalidad</w:t>
            </w:r>
          </w:p>
          <w:p w14:paraId="4DDB67F3" w14:textId="2B1D219A" w:rsidR="00FE57F6" w:rsidRPr="00BB6FD8" w:rsidRDefault="00F67705" w:rsidP="00282BE4">
            <w:pPr>
              <w:jc w:val="both"/>
            </w:pPr>
            <w:r w:rsidRPr="00A25CB3">
              <w:rPr>
                <w:szCs w:val="24"/>
              </w:rPr>
              <w:t xml:space="preserve">El presente documento contiene un resumen del </w:t>
            </w:r>
            <w:r w:rsidR="0083131D">
              <w:rPr>
                <w:szCs w:val="24"/>
              </w:rPr>
              <w:t>Simposio Mundial de Normalización de</w:t>
            </w:r>
            <w:r w:rsidR="005A772A">
              <w:rPr>
                <w:szCs w:val="24"/>
              </w:rPr>
              <w:t> </w:t>
            </w:r>
            <w:r w:rsidR="0083131D">
              <w:rPr>
                <w:szCs w:val="24"/>
              </w:rPr>
              <w:t>2024 (</w:t>
            </w:r>
            <w:r w:rsidRPr="00A25CB3">
              <w:rPr>
                <w:szCs w:val="24"/>
              </w:rPr>
              <w:t>SMN-24</w:t>
            </w:r>
            <w:r w:rsidR="0083131D">
              <w:rPr>
                <w:szCs w:val="24"/>
              </w:rPr>
              <w:t>)</w:t>
            </w:r>
            <w:r w:rsidRPr="00A25CB3">
              <w:rPr>
                <w:szCs w:val="24"/>
              </w:rPr>
              <w:t xml:space="preserve"> y </w:t>
            </w:r>
            <w:r w:rsidR="0083131D">
              <w:rPr>
                <w:szCs w:val="24"/>
              </w:rPr>
              <w:t xml:space="preserve">de </w:t>
            </w:r>
            <w:r w:rsidRPr="00A25CB3">
              <w:rPr>
                <w:szCs w:val="24"/>
              </w:rPr>
              <w:t>la</w:t>
            </w:r>
            <w:r w:rsidR="0083131D">
              <w:rPr>
                <w:szCs w:val="24"/>
              </w:rPr>
              <w:t xml:space="preserve"> Asamblea Mundial de Normalización de las Telecomunicaciones</w:t>
            </w:r>
            <w:r w:rsidRPr="00A25CB3">
              <w:rPr>
                <w:szCs w:val="24"/>
              </w:rPr>
              <w:t xml:space="preserve"> </w:t>
            </w:r>
            <w:r w:rsidR="0083131D">
              <w:rPr>
                <w:szCs w:val="24"/>
              </w:rPr>
              <w:t>(</w:t>
            </w:r>
            <w:r w:rsidRPr="00A25CB3">
              <w:rPr>
                <w:szCs w:val="24"/>
              </w:rPr>
              <w:t>AMNT-24</w:t>
            </w:r>
            <w:r w:rsidR="0083131D">
              <w:rPr>
                <w:szCs w:val="24"/>
              </w:rPr>
              <w:t>)</w:t>
            </w:r>
            <w:r w:rsidRPr="00A25CB3">
              <w:rPr>
                <w:szCs w:val="24"/>
              </w:rPr>
              <w:t>.</w:t>
            </w:r>
          </w:p>
          <w:p w14:paraId="752FBC73"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435D8C8D" w14:textId="5AB83960" w:rsidR="00F92BED" w:rsidRPr="00F92BED" w:rsidRDefault="00F67705" w:rsidP="00F92BED">
            <w:pPr>
              <w:spacing w:before="160"/>
              <w:rPr>
                <w:szCs w:val="24"/>
                <w:lang w:val="es-ES"/>
              </w:rPr>
            </w:pPr>
            <w:r w:rsidRPr="00A25CB3">
              <w:rPr>
                <w:szCs w:val="24"/>
              </w:rPr>
              <w:t xml:space="preserve">Se solicita al Consejo que </w:t>
            </w:r>
            <w:r w:rsidRPr="00A25CB3">
              <w:rPr>
                <w:b/>
                <w:bCs/>
                <w:szCs w:val="24"/>
              </w:rPr>
              <w:t xml:space="preserve">tome nota </w:t>
            </w:r>
            <w:r w:rsidRPr="00A25CB3">
              <w:rPr>
                <w:szCs w:val="24"/>
              </w:rPr>
              <w:t>del presente informe.</w:t>
            </w:r>
          </w:p>
          <w:p w14:paraId="76E5D1F7"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69B4DB47" w14:textId="2B790BC4" w:rsidR="00F92BED" w:rsidRPr="00F67705" w:rsidRDefault="00F67705" w:rsidP="00F67705">
            <w:r w:rsidRPr="00A25CB3">
              <w:t>Conectividad universal; transformación digital sostenible</w:t>
            </w:r>
            <w:r w:rsidR="00610AD4">
              <w:t>.</w:t>
            </w:r>
          </w:p>
          <w:p w14:paraId="5A4D1805" w14:textId="77777777" w:rsidR="00F92BED" w:rsidRDefault="00F92BED" w:rsidP="00F92BED">
            <w:pPr>
              <w:spacing w:before="160"/>
              <w:rPr>
                <w:b/>
                <w:bCs/>
                <w:sz w:val="26"/>
                <w:szCs w:val="26"/>
              </w:rPr>
            </w:pPr>
            <w:r w:rsidRPr="00F24B71">
              <w:rPr>
                <w:b/>
                <w:bCs/>
                <w:sz w:val="26"/>
                <w:szCs w:val="26"/>
              </w:rPr>
              <w:t>Repercusiones financieras</w:t>
            </w:r>
          </w:p>
          <w:p w14:paraId="5A9F60DD" w14:textId="7AC36884" w:rsidR="00F92BED" w:rsidRPr="00BB6FD8" w:rsidRDefault="00F67705" w:rsidP="00282BE4">
            <w:pPr>
              <w:jc w:val="both"/>
            </w:pPr>
            <w:r w:rsidRPr="00A25CB3">
              <w:rPr>
                <w:szCs w:val="24"/>
              </w:rPr>
              <w:t>1</w:t>
            </w:r>
            <w:r>
              <w:rPr>
                <w:szCs w:val="24"/>
              </w:rPr>
              <w:t> </w:t>
            </w:r>
            <w:r w:rsidRPr="00A25CB3">
              <w:rPr>
                <w:szCs w:val="24"/>
              </w:rPr>
              <w:t>414 000</w:t>
            </w:r>
            <w:r>
              <w:rPr>
                <w:szCs w:val="24"/>
              </w:rPr>
              <w:t> </w:t>
            </w:r>
            <w:r w:rsidRPr="00A25CB3">
              <w:rPr>
                <w:szCs w:val="24"/>
              </w:rPr>
              <w:t xml:space="preserve">CHF con cargo al </w:t>
            </w:r>
            <w:r w:rsidR="0083131D">
              <w:rPr>
                <w:szCs w:val="24"/>
              </w:rPr>
              <w:t xml:space="preserve">periodo </w:t>
            </w:r>
            <w:r w:rsidRPr="00A25CB3">
              <w:rPr>
                <w:szCs w:val="24"/>
              </w:rPr>
              <w:t>2025-2028 (véase la sección 2.2 del informe</w:t>
            </w:r>
            <w:r w:rsidR="0083131D">
              <w:rPr>
                <w:szCs w:val="24"/>
              </w:rPr>
              <w:t xml:space="preserve"> y los Documentos </w:t>
            </w:r>
            <w:hyperlink r:id="rId7" w:history="1">
              <w:r w:rsidR="0083131D" w:rsidRPr="0083131D">
                <w:rPr>
                  <w:rStyle w:val="Hyperlink"/>
                  <w:szCs w:val="24"/>
                </w:rPr>
                <w:t>C2</w:t>
              </w:r>
              <w:r w:rsidR="0083131D" w:rsidRPr="0083131D">
                <w:rPr>
                  <w:rStyle w:val="Hyperlink"/>
                  <w:szCs w:val="24"/>
                </w:rPr>
                <w:t>5</w:t>
              </w:r>
              <w:r w:rsidR="0083131D" w:rsidRPr="0083131D">
                <w:rPr>
                  <w:rStyle w:val="Hyperlink"/>
                  <w:szCs w:val="24"/>
                </w:rPr>
                <w:t>/13</w:t>
              </w:r>
            </w:hyperlink>
            <w:r w:rsidR="0083131D">
              <w:rPr>
                <w:szCs w:val="24"/>
              </w:rPr>
              <w:t xml:space="preserve"> y </w:t>
            </w:r>
            <w:hyperlink r:id="rId8" w:history="1">
              <w:r w:rsidR="0083131D" w:rsidRPr="0083131D">
                <w:rPr>
                  <w:rStyle w:val="Hyperlink"/>
                  <w:szCs w:val="24"/>
                </w:rPr>
                <w:t>C25/</w:t>
              </w:r>
              <w:r w:rsidR="0083131D" w:rsidRPr="0083131D">
                <w:rPr>
                  <w:rStyle w:val="Hyperlink"/>
                  <w:szCs w:val="24"/>
                </w:rPr>
                <w:t>4</w:t>
              </w:r>
              <w:r w:rsidR="0083131D" w:rsidRPr="0083131D">
                <w:rPr>
                  <w:rStyle w:val="Hyperlink"/>
                  <w:szCs w:val="24"/>
                </w:rPr>
                <w:t>3</w:t>
              </w:r>
            </w:hyperlink>
            <w:r w:rsidRPr="00A25CB3">
              <w:rPr>
                <w:szCs w:val="24"/>
              </w:rPr>
              <w:t>)</w:t>
            </w:r>
            <w:r w:rsidR="00610AD4">
              <w:rPr>
                <w:szCs w:val="24"/>
              </w:rPr>
              <w:t>.</w:t>
            </w:r>
          </w:p>
          <w:p w14:paraId="2F53F174" w14:textId="77777777" w:rsidR="00FE57F6" w:rsidRPr="00BB6FD8" w:rsidRDefault="00FE57F6" w:rsidP="00C538FC">
            <w:pPr>
              <w:spacing w:before="160"/>
              <w:rPr>
                <w:caps/>
                <w:sz w:val="22"/>
              </w:rPr>
            </w:pPr>
            <w:r w:rsidRPr="00BB6FD8">
              <w:rPr>
                <w:sz w:val="22"/>
              </w:rPr>
              <w:t>__________________</w:t>
            </w:r>
          </w:p>
          <w:p w14:paraId="4262A996"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5E10AD0B" w14:textId="1F7F2809" w:rsidR="00FE57F6" w:rsidRPr="004D3A3C" w:rsidRDefault="000F674D" w:rsidP="00C538FC">
            <w:pPr>
              <w:spacing w:after="160"/>
              <w:rPr>
                <w:i/>
                <w:iCs/>
                <w:sz w:val="22"/>
                <w:szCs w:val="22"/>
              </w:rPr>
            </w:pPr>
            <w:hyperlink r:id="rId9" w:anchor="/es" w:history="1">
              <w:r>
                <w:rPr>
                  <w:rStyle w:val="Hyperlink"/>
                  <w:i/>
                  <w:iCs/>
                  <w:spacing w:val="-2"/>
                  <w:sz w:val="22"/>
                  <w:szCs w:val="22"/>
                </w:rPr>
                <w:t>www.itu.</w:t>
              </w:r>
              <w:r>
                <w:rPr>
                  <w:rStyle w:val="Hyperlink"/>
                  <w:i/>
                  <w:iCs/>
                  <w:spacing w:val="-2"/>
                  <w:sz w:val="22"/>
                  <w:szCs w:val="22"/>
                </w:rPr>
                <w:t>i</w:t>
              </w:r>
              <w:r>
                <w:rPr>
                  <w:rStyle w:val="Hyperlink"/>
                  <w:i/>
                  <w:iCs/>
                  <w:spacing w:val="-2"/>
                  <w:sz w:val="22"/>
                  <w:szCs w:val="22"/>
                </w:rPr>
                <w:t>nt/wtsa/2024/</w:t>
              </w:r>
            </w:hyperlink>
            <w:r w:rsidR="00F67705" w:rsidRPr="00A25CB3">
              <w:rPr>
                <w:i/>
                <w:iCs/>
                <w:spacing w:val="-2"/>
                <w:sz w:val="22"/>
                <w:szCs w:val="22"/>
                <w:lang w:eastAsia="ja-JP"/>
              </w:rPr>
              <w:t xml:space="preserve">; </w:t>
            </w:r>
            <w:hyperlink r:id="rId10" w:anchor="/es" w:history="1">
              <w:r w:rsidR="00F82AA7">
                <w:rPr>
                  <w:rStyle w:val="Hyperlink"/>
                  <w:i/>
                  <w:iCs/>
                  <w:spacing w:val="-2"/>
                  <w:sz w:val="22"/>
                  <w:szCs w:val="22"/>
                  <w:lang w:eastAsia="ja-JP"/>
                </w:rPr>
                <w:t>https://gss.it</w:t>
              </w:r>
              <w:r w:rsidR="00F82AA7">
                <w:rPr>
                  <w:rStyle w:val="Hyperlink"/>
                  <w:i/>
                  <w:iCs/>
                  <w:spacing w:val="-2"/>
                  <w:sz w:val="22"/>
                  <w:szCs w:val="22"/>
                  <w:lang w:eastAsia="ja-JP"/>
                </w:rPr>
                <w:t>u</w:t>
              </w:r>
              <w:r w:rsidR="00F82AA7">
                <w:rPr>
                  <w:rStyle w:val="Hyperlink"/>
                  <w:i/>
                  <w:iCs/>
                  <w:spacing w:val="-2"/>
                  <w:sz w:val="22"/>
                  <w:szCs w:val="22"/>
                  <w:lang w:eastAsia="ja-JP"/>
                </w:rPr>
                <w:t>.int/</w:t>
              </w:r>
            </w:hyperlink>
            <w:r w:rsidR="00F67705" w:rsidRPr="00A25CB3">
              <w:rPr>
                <w:i/>
                <w:iCs/>
                <w:spacing w:val="-2"/>
                <w:sz w:val="22"/>
                <w:szCs w:val="22"/>
                <w:lang w:eastAsia="ja-JP"/>
              </w:rPr>
              <w:t xml:space="preserve">; </w:t>
            </w:r>
            <w:r w:rsidR="00F67705" w:rsidRPr="0083131D">
              <w:rPr>
                <w:i/>
                <w:iCs/>
                <w:spacing w:val="-2"/>
                <w:sz w:val="22"/>
                <w:szCs w:val="22"/>
                <w:lang w:eastAsia="ja-JP"/>
              </w:rPr>
              <w:t>Informe de la Comisión de Control del Presupuesto (</w:t>
            </w:r>
            <w:hyperlink r:id="rId11" w:history="1">
              <w:r w:rsidR="00F67705" w:rsidRPr="0083131D">
                <w:rPr>
                  <w:rStyle w:val="Hyperlink"/>
                  <w:i/>
                  <w:iCs/>
                  <w:spacing w:val="-2"/>
                  <w:sz w:val="22"/>
                  <w:szCs w:val="22"/>
                  <w:lang w:eastAsia="ja-JP"/>
                </w:rPr>
                <w:t>Doc. 11</w:t>
              </w:r>
              <w:r w:rsidR="00F67705" w:rsidRPr="0083131D">
                <w:rPr>
                  <w:rStyle w:val="Hyperlink"/>
                  <w:i/>
                  <w:iCs/>
                  <w:spacing w:val="-2"/>
                  <w:sz w:val="22"/>
                  <w:szCs w:val="22"/>
                  <w:lang w:eastAsia="ja-JP"/>
                </w:rPr>
                <w:t>9</w:t>
              </w:r>
              <w:r w:rsidR="00F67705" w:rsidRPr="0083131D">
                <w:rPr>
                  <w:rStyle w:val="Hyperlink"/>
                  <w:i/>
                  <w:iCs/>
                  <w:spacing w:val="-2"/>
                  <w:sz w:val="22"/>
                  <w:szCs w:val="22"/>
                  <w:lang w:eastAsia="ja-JP"/>
                </w:rPr>
                <w:t xml:space="preserve"> de la AMNT</w:t>
              </w:r>
            </w:hyperlink>
            <w:r w:rsidR="00F67705" w:rsidRPr="0083131D">
              <w:rPr>
                <w:i/>
                <w:iCs/>
                <w:spacing w:val="-2"/>
                <w:sz w:val="22"/>
                <w:szCs w:val="22"/>
                <w:lang w:eastAsia="ja-JP"/>
              </w:rPr>
              <w:t>)</w:t>
            </w:r>
          </w:p>
        </w:tc>
      </w:tr>
      <w:bookmarkEnd w:id="0"/>
    </w:tbl>
    <w:p w14:paraId="5D76E101"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5BA57FF0" w14:textId="77777777" w:rsidR="004A06F1" w:rsidRPr="00C54449" w:rsidRDefault="004A06F1" w:rsidP="009C3543">
      <w:pPr>
        <w:pStyle w:val="Heading1"/>
      </w:pPr>
      <w:r w:rsidRPr="008266C7">
        <w:lastRenderedPageBreak/>
        <w:t>1</w:t>
      </w:r>
      <w:r w:rsidRPr="008266C7">
        <w:tab/>
        <w:t xml:space="preserve">Simposio </w:t>
      </w:r>
      <w:r w:rsidRPr="009C3543">
        <w:t>Mundial</w:t>
      </w:r>
      <w:r w:rsidRPr="008266C7">
        <w:t xml:space="preserve"> de Normalización (SMN-24)</w:t>
      </w:r>
    </w:p>
    <w:p w14:paraId="772A08DB" w14:textId="0B883E50" w:rsidR="004A06F1" w:rsidRPr="004A06F1" w:rsidRDefault="004A06F1" w:rsidP="00DB044B">
      <w:pPr>
        <w:jc w:val="both"/>
      </w:pPr>
      <w:r w:rsidRPr="004A06F1">
        <w:t>1.1</w:t>
      </w:r>
      <w:r w:rsidRPr="004A06F1">
        <w:tab/>
        <w:t xml:space="preserve">El </w:t>
      </w:r>
      <w:hyperlink r:id="rId12" w:anchor="/es" w:history="1">
        <w:r w:rsidRPr="004A06F1">
          <w:rPr>
            <w:rStyle w:val="Hyperlink"/>
          </w:rPr>
          <w:t>quinto Simposio M</w:t>
        </w:r>
        <w:r w:rsidRPr="004A06F1">
          <w:rPr>
            <w:rStyle w:val="Hyperlink"/>
          </w:rPr>
          <w:t>u</w:t>
        </w:r>
        <w:r w:rsidRPr="004A06F1">
          <w:rPr>
            <w:rStyle w:val="Hyperlink"/>
          </w:rPr>
          <w:t>ndial de Normalización (SMN-24)</w:t>
        </w:r>
      </w:hyperlink>
      <w:r w:rsidRPr="004A06F1">
        <w:t>, celebrado el 14 de octubre de</w:t>
      </w:r>
      <w:r w:rsidR="00F82AA7">
        <w:t> </w:t>
      </w:r>
      <w:r w:rsidRPr="004A06F1">
        <w:t xml:space="preserve">2024 en Nueva Delhi (India), revistió una importancia crucial para los líderes mundiales de los sectores de la normalización, la formulación de políticas y la industria. El tema central del simposio fue "Charting the Next Digital Wave: Emerging Technologies, Innovation, and International Standards" (Trazar la próxima ola digital: tecnologías emergentes, innovación y normas internacionales) y, a ese respecto, se destacó el papel fundamental que desempeñan las normas técnicas en el fomento de la innovación en ámbitos como la inteligencia artificial (IA), las ciudades inteligentes, los mundos virtuales y las infraestructuras digitales. </w:t>
      </w:r>
    </w:p>
    <w:p w14:paraId="22A29E44" w14:textId="04CB35B8" w:rsidR="004A06F1" w:rsidRPr="004A06F1" w:rsidRDefault="004A06F1" w:rsidP="00DB044B">
      <w:pPr>
        <w:jc w:val="both"/>
      </w:pPr>
      <w:r w:rsidRPr="004A06F1">
        <w:t>1.2</w:t>
      </w:r>
      <w:r w:rsidRPr="004A06F1">
        <w:tab/>
        <w:t xml:space="preserve">El SMN-24 concluyó con un </w:t>
      </w:r>
      <w:hyperlink r:id="rId13" w:history="1">
        <w:r w:rsidRPr="004A06F1">
          <w:rPr>
            <w:rStyle w:val="Hyperlink"/>
          </w:rPr>
          <w:t>doc</w:t>
        </w:r>
        <w:r w:rsidRPr="004A06F1">
          <w:rPr>
            <w:rStyle w:val="Hyperlink"/>
          </w:rPr>
          <w:t>u</w:t>
        </w:r>
        <w:r w:rsidRPr="004A06F1">
          <w:rPr>
            <w:rStyle w:val="Hyperlink"/>
          </w:rPr>
          <w:t>mento de resultados</w:t>
        </w:r>
      </w:hyperlink>
      <w:r w:rsidRPr="004A06F1">
        <w:t>, que fue adoptado por la</w:t>
      </w:r>
      <w:r w:rsidR="00C54449">
        <w:t> </w:t>
      </w:r>
      <w:r w:rsidRPr="004A06F1">
        <w:t>AMNT</w:t>
      </w:r>
      <w:r w:rsidR="00F82AA7">
        <w:noBreakHyphen/>
      </w:r>
      <w:r w:rsidRPr="004A06F1">
        <w:t>24 y que pone de manifiesto la importante contribución de las normas al impulso de la innovación tecnológica, la promoción de la sostenibilidad y la aceleración de la transformación digital global.</w:t>
      </w:r>
    </w:p>
    <w:p w14:paraId="539E4EF9" w14:textId="064E55F1" w:rsidR="004A06F1" w:rsidRPr="004A06F1" w:rsidRDefault="004A06F1" w:rsidP="00DB044B">
      <w:pPr>
        <w:jc w:val="both"/>
      </w:pPr>
      <w:r w:rsidRPr="004A06F1">
        <w:t>1.3</w:t>
      </w:r>
      <w:r w:rsidRPr="004A06F1">
        <w:tab/>
        <w:t>El SMN-24 registró una tasa de participación sin precedentes, con más de 2</w:t>
      </w:r>
      <w:r w:rsidR="00282BE4">
        <w:t> </w:t>
      </w:r>
      <w:r w:rsidRPr="004A06F1">
        <w:t>600 participantes de diversos ámbitos. El evento congregó a más de 1 800 asistentes presenciales y 800 participantes a distancia, lo que facilitó un dinámico intercambio de ideas. Entre los distinguidos asistentes figuraron más de 70 líderes del sector que intervinieron en calidad de ponentes, así como más de 20 jefes de organismos reguladores y un número análogo de Ministros y Viceministros. El Simposio también acogió a más de 10 representantes de organizaciones de investigación y normalización en un diálogo amplio e inclusivo sobre normas internacionales y tecnologías incipientes.</w:t>
      </w:r>
    </w:p>
    <w:p w14:paraId="7B48901A" w14:textId="2E69A60A" w:rsidR="004A06F1" w:rsidRPr="004A06F1" w:rsidRDefault="004A06F1" w:rsidP="00DB044B">
      <w:pPr>
        <w:jc w:val="both"/>
      </w:pPr>
      <w:r w:rsidRPr="004A06F1">
        <w:t>1.4</w:t>
      </w:r>
      <w:r w:rsidRPr="004A06F1">
        <w:tab/>
        <w:t xml:space="preserve">En la </w:t>
      </w:r>
      <w:r w:rsidR="00C54449">
        <w:t>"</w:t>
      </w:r>
      <w:r w:rsidRPr="004A06F1">
        <w:t>Serie de sesiones de alto nivel sobre catalizar el cambio: líderes ministeriales y del sector forjan el futuro de la innovación</w:t>
      </w:r>
      <w:r w:rsidR="00C54449">
        <w:t>"</w:t>
      </w:r>
      <w:r w:rsidRPr="004A06F1">
        <w:t xml:space="preserve"> participaron Ministros de comunicación, líderes de la industria y expertos en tecnología. En esta serie de sesiones de alto nivel se analizó el papel de las normas internacionales en el impulso de la innovación y la adopción de tecnologías digitales incipientes como la IA y el metaverso. Su objetivo principal fue promover un diálogo único sobre los ecosistemas innovadores y la importancia de la cooperación internacional para poner estas tecnologías al servicio de la transformación digital y aplicar los Pactos Digitales Globales.</w:t>
      </w:r>
    </w:p>
    <w:p w14:paraId="29CD39FF" w14:textId="0F14F180" w:rsidR="004A06F1" w:rsidRPr="004A06F1" w:rsidRDefault="004A06F1" w:rsidP="00DB044B">
      <w:pPr>
        <w:jc w:val="both"/>
      </w:pPr>
      <w:r w:rsidRPr="004A06F1">
        <w:t>1.5</w:t>
      </w:r>
      <w:r w:rsidRPr="004A06F1">
        <w:tab/>
        <w:t xml:space="preserve">Con motivo del Día Mundial de la Normalización, cuyo tema fue </w:t>
      </w:r>
      <w:r w:rsidR="00C54449">
        <w:t>"</w:t>
      </w:r>
      <w:r w:rsidRPr="004A06F1">
        <w:t>Achieving industry, innovation and infrastructure through AI</w:t>
      </w:r>
      <w:r w:rsidR="00EF7460">
        <w:t>"</w:t>
      </w:r>
      <w:r w:rsidRPr="004A06F1">
        <w:t xml:space="preserve"> (Transformar la industria, la innovación y la infraestructura a través de la IA), los líderes de la UIT, la Comisión Electrotécnica Internacional (CEI) y la Organización Internacional de Normalización (ISO) enfatizaron el papel decisivo que desempeñan las normas internacionales en la configuración de las tecnologías incipientes, el impulso de la innovación y la orientación de la próxima ola de transformación digital.</w:t>
      </w:r>
    </w:p>
    <w:p w14:paraId="4136AB8D" w14:textId="3CAC3052" w:rsidR="004A06F1" w:rsidRPr="004A06F1" w:rsidRDefault="004A06F1" w:rsidP="00DB044B">
      <w:pPr>
        <w:jc w:val="both"/>
      </w:pPr>
      <w:r w:rsidRPr="004A06F1">
        <w:t>1.6</w:t>
      </w:r>
      <w:r w:rsidRPr="004A06F1">
        <w:tab/>
        <w:t>Presentada durante el SMN-24, la Cumbre Internacional sobre Normalización de la IA reunió a los principales organismos de normalización y líderes digitales del mundo, para someter a debate los marcos necesarios a efectos del desarrollo responsable de la inteligencia artificial, y contó con un discurso inaugural del Sr.</w:t>
      </w:r>
      <w:r w:rsidR="000A501E">
        <w:t> </w:t>
      </w:r>
      <w:r w:rsidRPr="004A06F1">
        <w:t>Amandeep Singh Gill, Secretario General Adjunto y Enviado del Secretario General de las Naciones Unidas para la</w:t>
      </w:r>
      <w:r w:rsidR="00C54449">
        <w:t> </w:t>
      </w:r>
      <w:r w:rsidRPr="004A06F1">
        <w:t>Tecnología.</w:t>
      </w:r>
    </w:p>
    <w:p w14:paraId="696017BD" w14:textId="35A59D0B" w:rsidR="004A06F1" w:rsidRPr="004A06F1" w:rsidRDefault="004A06F1" w:rsidP="00DB044B">
      <w:pPr>
        <w:jc w:val="both"/>
      </w:pPr>
      <w:r w:rsidRPr="004A06F1">
        <w:t>1.7</w:t>
      </w:r>
      <w:r w:rsidRPr="004A06F1">
        <w:tab/>
        <w:t xml:space="preserve">En este Simposio se abordaron temas de primer orden, como la IA, el metaverso y las tecnologías incipientes, y se entablaron debates centrados en la elaboración de directrices atinentes a la gobernanza, la ética y la seguridad de la IA. También se ahondó en las ciudades inteligentes y la sostenibilidad, con el debido reconocimiento a las ciudades que habían </w:t>
      </w:r>
      <w:r w:rsidRPr="004A06F1">
        <w:lastRenderedPageBreak/>
        <w:t>aplicado los indicadores fundamentales de rendimiento (IFR) de la iniciativa Unidos por las</w:t>
      </w:r>
      <w:r w:rsidR="00C54449">
        <w:t> </w:t>
      </w:r>
      <w:r w:rsidRPr="004A06F1">
        <w:t>Ciudades Inteligentes y Sostenibles (U4SSC), basados en la Recomendación UIT-T Y.4903. El Simposio giró asimismo en torno a la inclusión financiera y digital, el código abierto y las normas, y profundizó en la contribución del código abierto a la colaboración, la transparencia y la generalización del acceso a la tecnología y las normas.</w:t>
      </w:r>
    </w:p>
    <w:p w14:paraId="267B8D7F" w14:textId="784D9D86" w:rsidR="004A06F1" w:rsidRPr="004A06F1" w:rsidRDefault="004A06F1" w:rsidP="00DB044B">
      <w:pPr>
        <w:jc w:val="both"/>
      </w:pPr>
      <w:r w:rsidRPr="004A06F1">
        <w:t>1.8</w:t>
      </w:r>
      <w:r w:rsidRPr="004A06F1">
        <w:tab/>
        <w:t xml:space="preserve">El SMN-24, reconociendo que las normas internacionales podían desempeñar un papel fundamental a la hora de ayudar a los países, las ciudades y los sectores a impulsar la innovación y la adopción de tecnologías digitales incipientes, invitó a la UIT a: seguir configurando el panorama de las tecnologías digitales incipientes; seguir trabajando en la reducción de la brecha de normalización entre los países desarrollados y en desarrollo, a través de iniciativas como el programa "Bridging the Standardization Gap" (Reducir la brecha de normalización) de la UIT; apoyar las actividades de la iniciativa U4SSC, en particular para facilitar la aplicación de los IFR de la U4SSC (basados en la Recomendación UIT-T Y.4903); seguir apoyando AI for Good; colaborar estrechamente con los desarrolladores de software de código fuente abierto (OSS) para fomentar la creación de proyectos mundiales y el crecimiento de ecosistemas de código abierto en todo el mundo; reconocer la importancia de la Iniciativa Global sobre Mundos Virtuales e IA </w:t>
      </w:r>
      <w:r w:rsidR="00A477DB">
        <w:t>–</w:t>
      </w:r>
      <w:r w:rsidR="0083131D">
        <w:t xml:space="preserve"> </w:t>
      </w:r>
      <w:r w:rsidRPr="004A06F1">
        <w:rPr>
          <w:i/>
        </w:rPr>
        <w:t xml:space="preserve">Descubrir el </w:t>
      </w:r>
      <w:proofErr w:type="spellStart"/>
      <w:r w:rsidRPr="004A06F1">
        <w:rPr>
          <w:i/>
        </w:rPr>
        <w:t>Urbaverso</w:t>
      </w:r>
      <w:proofErr w:type="spellEnd"/>
      <w:r w:rsidR="009C3543">
        <w:rPr>
          <w:i/>
        </w:rPr>
        <w:t xml:space="preserve"> </w:t>
      </w:r>
      <w:r w:rsidR="00A477DB" w:rsidRPr="00A477DB">
        <w:rPr>
          <w:i/>
        </w:rPr>
        <w:t>–</w:t>
      </w:r>
      <w:r w:rsidRPr="004A06F1">
        <w:t xml:space="preserve"> para aprovechar la convergencia de la IA y el metaverso; y dar continuidad al concurso de aplicaciones de la autentificación segura mediante cadenas de bloques (BSA).</w:t>
      </w:r>
    </w:p>
    <w:p w14:paraId="6CF000D3" w14:textId="77777777" w:rsidR="004A06F1" w:rsidRPr="00C54449" w:rsidRDefault="004A06F1" w:rsidP="009C3543">
      <w:pPr>
        <w:pStyle w:val="Heading1"/>
      </w:pPr>
      <w:r w:rsidRPr="008266C7">
        <w:t>2</w:t>
      </w:r>
      <w:r w:rsidRPr="008266C7">
        <w:tab/>
        <w:t>AMNT-24</w:t>
      </w:r>
    </w:p>
    <w:p w14:paraId="4E5C87A0" w14:textId="77777777" w:rsidR="004A06F1" w:rsidRPr="004A06F1" w:rsidRDefault="004A06F1" w:rsidP="00C54449">
      <w:pPr>
        <w:pStyle w:val="Heading2"/>
      </w:pPr>
      <w:r w:rsidRPr="004A06F1">
        <w:t>2.1</w:t>
      </w:r>
      <w:r w:rsidRPr="004A06F1">
        <w:tab/>
        <w:t>Consideraciones generales</w:t>
      </w:r>
    </w:p>
    <w:p w14:paraId="4ECBF165" w14:textId="65F4A6E7" w:rsidR="004A06F1" w:rsidRPr="004A06F1" w:rsidRDefault="004A06F1" w:rsidP="00DB044B">
      <w:pPr>
        <w:jc w:val="both"/>
      </w:pPr>
      <w:r w:rsidRPr="004A06F1">
        <w:t>La AMNT-24 tuvo lugar del 15 al 24 de octubre de 2024 en Nueva Delhi (India). La Asamblea fue precedida por el SMN-24 (14 de octubre de 2024) y seguida por una formación para dirigentes, que se ofreció a los Presidentes y Vicepresidentes recién nombrados. En la ceremonia de apertura participó el Excmo. Sr.</w:t>
      </w:r>
      <w:r w:rsidR="000A501E">
        <w:t> </w:t>
      </w:r>
      <w:r w:rsidRPr="004A06F1">
        <w:t>Shri Narendra Modi, Primer Ministro de la India. El Presidente de la AMNT-24 fue el Sr.</w:t>
      </w:r>
      <w:r w:rsidR="000A501E">
        <w:t> </w:t>
      </w:r>
      <w:r w:rsidRPr="004A06F1">
        <w:t>Ritu Ranjan Mittar (India). Al evento asistieron 3</w:t>
      </w:r>
      <w:r w:rsidR="00A477DB">
        <w:t> </w:t>
      </w:r>
      <w:r w:rsidRPr="004A06F1">
        <w:t>700 delegados de 164 países. La Asamblea logró una tasa de participación de mujeres satisfactoria (27</w:t>
      </w:r>
      <w:r w:rsidR="000A501E">
        <w:t> </w:t>
      </w:r>
      <w:r w:rsidRPr="004A06F1">
        <w:t>%) y registró el mayor número de Estados Miembros representados, con 37</w:t>
      </w:r>
      <w:r w:rsidR="00A477DB">
        <w:t> </w:t>
      </w:r>
      <w:r w:rsidRPr="004A06F1">
        <w:t>Ministros. Durante la AMNT-24, se celebraron más de 20 eventos paralelos.</w:t>
      </w:r>
    </w:p>
    <w:p w14:paraId="00F89B98" w14:textId="77777777" w:rsidR="004A06F1" w:rsidRPr="004A06F1" w:rsidRDefault="004A06F1" w:rsidP="00DB044B">
      <w:pPr>
        <w:jc w:val="both"/>
      </w:pPr>
      <w:r w:rsidRPr="004A06F1">
        <w:t>Entre los resultados de la AMNT-24 figuran los siguientes:</w:t>
      </w:r>
    </w:p>
    <w:p w14:paraId="5C75B8E9" w14:textId="0BD894F0" w:rsidR="004A06F1" w:rsidRPr="004A06F1" w:rsidRDefault="00C54449" w:rsidP="00DB044B">
      <w:pPr>
        <w:pStyle w:val="enumlev1"/>
        <w:jc w:val="both"/>
      </w:pPr>
      <w:r>
        <w:t>–</w:t>
      </w:r>
      <w:r w:rsidR="004A06F1" w:rsidRPr="004A06F1">
        <w:tab/>
        <w:t xml:space="preserve">la fusión de las CE 9 y CE 16 del UIT-T en la nueva Comisión de Estudio 21 sobre </w:t>
      </w:r>
      <w:r>
        <w:t>"</w:t>
      </w:r>
      <w:r w:rsidR="004A06F1" w:rsidRPr="004A06F1">
        <w:t>Tecnologías para los multimedios, la entrega de contenidos y la televisión por cable</w:t>
      </w:r>
      <w:r>
        <w:t>"</w:t>
      </w:r>
      <w:r w:rsidR="004A06F1" w:rsidRPr="004A06F1">
        <w:t>;</w:t>
      </w:r>
    </w:p>
    <w:p w14:paraId="2B43A04F" w14:textId="1A39EE13" w:rsidR="004A06F1" w:rsidRPr="004A06F1" w:rsidRDefault="00C54449" w:rsidP="00DB044B">
      <w:pPr>
        <w:pStyle w:val="enumlev1"/>
        <w:jc w:val="both"/>
      </w:pPr>
      <w:r>
        <w:t>–</w:t>
      </w:r>
      <w:r w:rsidR="004A06F1" w:rsidRPr="004A06F1">
        <w:tab/>
        <w:t>el nombramiento de los Presidentes y Vicepresidentes de las diez Comisiones de</w:t>
      </w:r>
      <w:r>
        <w:t> </w:t>
      </w:r>
      <w:r w:rsidR="004A06F1" w:rsidRPr="004A06F1">
        <w:t>Estudio del UIT-T, el GANT y el CNV;</w:t>
      </w:r>
    </w:p>
    <w:p w14:paraId="5C69B796" w14:textId="31332171" w:rsidR="004A06F1" w:rsidRPr="004A06F1" w:rsidRDefault="00C54449" w:rsidP="00DB044B">
      <w:pPr>
        <w:pStyle w:val="enumlev1"/>
        <w:jc w:val="both"/>
      </w:pPr>
      <w:r>
        <w:t>–</w:t>
      </w:r>
      <w:r w:rsidR="004A06F1" w:rsidRPr="004A06F1">
        <w:tab/>
        <w:t>la actualización del mandato y las Cuestiones de las diez Comisiones de Estudio del</w:t>
      </w:r>
      <w:r>
        <w:t> </w:t>
      </w:r>
      <w:r w:rsidR="004A06F1" w:rsidRPr="004A06F1">
        <w:t>UIT-T (véase la Resolución 2)</w:t>
      </w:r>
      <w:r>
        <w:t>,</w:t>
      </w:r>
    </w:p>
    <w:p w14:paraId="5EB4DADE" w14:textId="2708B460" w:rsidR="004A06F1" w:rsidRPr="004A06F1" w:rsidRDefault="00C54449" w:rsidP="00DB044B">
      <w:pPr>
        <w:pStyle w:val="enumlev1"/>
        <w:jc w:val="both"/>
      </w:pPr>
      <w:r>
        <w:t>–</w:t>
      </w:r>
      <w:r w:rsidR="004A06F1" w:rsidRPr="004A06F1">
        <w:tab/>
        <w:t xml:space="preserve">la adopción de ocho nuevas Resoluciones, la revisión de 44 Resoluciones vigentes, la supresión de una Resolución y la revisión de la Recomendación UIT-T A.25, complementadas con 15 medidas (para más información, véanse las </w:t>
      </w:r>
      <w:hyperlink r:id="rId14" w:history="1">
        <w:r w:rsidR="004A06F1" w:rsidRPr="004A06F1">
          <w:rPr>
            <w:rStyle w:val="Hyperlink"/>
          </w:rPr>
          <w:t>Actas</w:t>
        </w:r>
        <w:r w:rsidR="004A06F1" w:rsidRPr="004A06F1">
          <w:rPr>
            <w:rStyle w:val="Hyperlink"/>
          </w:rPr>
          <w:t xml:space="preserve"> </w:t>
        </w:r>
        <w:r w:rsidR="004A06F1" w:rsidRPr="004A06F1">
          <w:rPr>
            <w:rStyle w:val="Hyperlink"/>
          </w:rPr>
          <w:t>de la</w:t>
        </w:r>
        <w:r w:rsidR="00EF7460">
          <w:rPr>
            <w:rStyle w:val="Hyperlink"/>
          </w:rPr>
          <w:t> </w:t>
        </w:r>
        <w:r w:rsidR="004A06F1" w:rsidRPr="004A06F1">
          <w:rPr>
            <w:rStyle w:val="Hyperlink"/>
          </w:rPr>
          <w:t>AMNT</w:t>
        </w:r>
        <w:r w:rsidR="00EF7460">
          <w:rPr>
            <w:rStyle w:val="Hyperlink"/>
          </w:rPr>
          <w:noBreakHyphen/>
        </w:r>
        <w:r w:rsidR="004A06F1" w:rsidRPr="004A06F1">
          <w:rPr>
            <w:rStyle w:val="Hyperlink"/>
          </w:rPr>
          <w:t>24</w:t>
        </w:r>
      </w:hyperlink>
      <w:r w:rsidR="004A06F1" w:rsidRPr="004A06F1">
        <w:t>).</w:t>
      </w:r>
    </w:p>
    <w:p w14:paraId="5B3D6DA2" w14:textId="77777777" w:rsidR="004A06F1" w:rsidRPr="004A06F1" w:rsidRDefault="004A06F1" w:rsidP="00DB044B">
      <w:pPr>
        <w:keepNext/>
        <w:jc w:val="both"/>
      </w:pPr>
      <w:r w:rsidRPr="004A06F1">
        <w:lastRenderedPageBreak/>
        <w:t>Información conexa:</w:t>
      </w:r>
    </w:p>
    <w:p w14:paraId="5EA3CAC6" w14:textId="5A2B2461" w:rsidR="004A06F1" w:rsidRPr="004A06F1" w:rsidRDefault="00C54449" w:rsidP="00DB044B">
      <w:pPr>
        <w:pStyle w:val="enumlev1"/>
        <w:jc w:val="both"/>
      </w:pPr>
      <w:r>
        <w:t>–</w:t>
      </w:r>
      <w:r w:rsidR="004A06F1" w:rsidRPr="004A06F1">
        <w:tab/>
        <w:t xml:space="preserve">página web de la AMNT-24: </w:t>
      </w:r>
      <w:hyperlink r:id="rId15" w:anchor="/es" w:history="1">
        <w:r w:rsidR="00EF7460">
          <w:rPr>
            <w:rStyle w:val="Hyperlink"/>
          </w:rPr>
          <w:t>https://www.</w:t>
        </w:r>
        <w:r w:rsidR="00EF7460">
          <w:rPr>
            <w:rStyle w:val="Hyperlink"/>
          </w:rPr>
          <w:t>i</w:t>
        </w:r>
        <w:r w:rsidR="00EF7460">
          <w:rPr>
            <w:rStyle w:val="Hyperlink"/>
          </w:rPr>
          <w:t>tu.int/wtsa/2024/</w:t>
        </w:r>
      </w:hyperlink>
      <w:r w:rsidR="004A06F1" w:rsidRPr="004A06F1">
        <w:t>;</w:t>
      </w:r>
    </w:p>
    <w:p w14:paraId="4CA6EF7C" w14:textId="5F2D6583" w:rsidR="004A06F1" w:rsidRPr="004A06F1" w:rsidRDefault="00C54449" w:rsidP="00DB044B">
      <w:pPr>
        <w:pStyle w:val="enumlev1"/>
        <w:jc w:val="both"/>
      </w:pPr>
      <w:r>
        <w:t>–</w:t>
      </w:r>
      <w:r w:rsidR="004A06F1" w:rsidRPr="004A06F1">
        <w:tab/>
      </w:r>
      <w:hyperlink r:id="rId16" w:history="1">
        <w:r w:rsidR="004A06F1" w:rsidRPr="004A06F1">
          <w:rPr>
            <w:rStyle w:val="Hyperlink"/>
          </w:rPr>
          <w:t xml:space="preserve">Actas de la </w:t>
        </w:r>
        <w:r w:rsidR="004A06F1" w:rsidRPr="004A06F1">
          <w:rPr>
            <w:rStyle w:val="Hyperlink"/>
          </w:rPr>
          <w:t>A</w:t>
        </w:r>
        <w:r w:rsidR="004A06F1" w:rsidRPr="004A06F1">
          <w:rPr>
            <w:rStyle w:val="Hyperlink"/>
          </w:rPr>
          <w:t>MNT-24</w:t>
        </w:r>
        <w:r w:rsidR="004A06F1" w:rsidRPr="00124B34">
          <w:rPr>
            <w:rStyle w:val="Hyperlink"/>
            <w:u w:val="none"/>
          </w:rPr>
          <w:t xml:space="preserve"> </w:t>
        </w:r>
      </w:hyperlink>
      <w:r w:rsidR="004A06F1" w:rsidRPr="004A06F1">
        <w:t>(versión final publicada en los seis idiomas)</w:t>
      </w:r>
      <w:r>
        <w:t>,</w:t>
      </w:r>
    </w:p>
    <w:p w14:paraId="3B3E54EB" w14:textId="78A46C45" w:rsidR="004A06F1" w:rsidRPr="004A06F1" w:rsidRDefault="00C54449" w:rsidP="00DB044B">
      <w:pPr>
        <w:pStyle w:val="enumlev1"/>
        <w:jc w:val="both"/>
      </w:pPr>
      <w:r>
        <w:t>–</w:t>
      </w:r>
      <w:r w:rsidR="004A06F1" w:rsidRPr="004A06F1">
        <w:tab/>
        <w:t xml:space="preserve">eventos relacionados con la </w:t>
      </w:r>
      <w:proofErr w:type="spellStart"/>
      <w:r w:rsidR="004A06F1" w:rsidRPr="004A06F1">
        <w:t>AMNT</w:t>
      </w:r>
      <w:proofErr w:type="spellEnd"/>
      <w:r w:rsidR="004A06F1" w:rsidRPr="004A06F1">
        <w:t>-24:</w:t>
      </w:r>
      <w:r w:rsidR="00A606FA">
        <w:t xml:space="preserve"> </w:t>
      </w:r>
      <w:hyperlink r:id="rId17" w:history="1">
        <w:r w:rsidR="00A606FA" w:rsidRPr="00F7280B">
          <w:rPr>
            <w:rStyle w:val="Hyperlink"/>
          </w:rPr>
          <w:t>https://</w:t>
        </w:r>
        <w:proofErr w:type="spellStart"/>
        <w:r w:rsidR="00A606FA" w:rsidRPr="00F7280B">
          <w:rPr>
            <w:rStyle w:val="Hyperlink"/>
          </w:rPr>
          <w:t>www.itu.int</w:t>
        </w:r>
        <w:proofErr w:type="spellEnd"/>
        <w:r w:rsidR="00A606FA" w:rsidRPr="00F7280B">
          <w:rPr>
            <w:rStyle w:val="Hyperlink"/>
          </w:rPr>
          <w:t>/</w:t>
        </w:r>
        <w:proofErr w:type="spellStart"/>
        <w:r w:rsidR="00A606FA" w:rsidRPr="00F7280B">
          <w:rPr>
            <w:rStyle w:val="Hyperlink"/>
          </w:rPr>
          <w:t>wtsa</w:t>
        </w:r>
        <w:proofErr w:type="spellEnd"/>
        <w:r w:rsidR="00A606FA" w:rsidRPr="00F7280B">
          <w:rPr>
            <w:rStyle w:val="Hyperlink"/>
          </w:rPr>
          <w:t>/2024/</w:t>
        </w:r>
        <w:proofErr w:type="spellStart"/>
        <w:r w:rsidR="00A606FA" w:rsidRPr="00F7280B">
          <w:rPr>
            <w:rStyle w:val="Hyperlink"/>
          </w:rPr>
          <w:t>related-events</w:t>
        </w:r>
        <w:proofErr w:type="spellEnd"/>
        <w:r w:rsidR="00A606FA" w:rsidRPr="00F7280B">
          <w:rPr>
            <w:rStyle w:val="Hyperlink"/>
          </w:rPr>
          <w:t>/</w:t>
        </w:r>
      </w:hyperlink>
      <w:r w:rsidR="00A606FA">
        <w:t>.</w:t>
      </w:r>
      <w:r w:rsidR="00BE69B0">
        <w:t xml:space="preserve"> </w:t>
      </w:r>
    </w:p>
    <w:p w14:paraId="614C9249" w14:textId="77777777" w:rsidR="004A06F1" w:rsidRPr="004A06F1" w:rsidRDefault="004A06F1" w:rsidP="00DB044B">
      <w:pPr>
        <w:pStyle w:val="Heading2"/>
        <w:jc w:val="both"/>
      </w:pPr>
      <w:r w:rsidRPr="004A06F1">
        <w:t>2.2</w:t>
      </w:r>
      <w:r w:rsidRPr="004A06F1">
        <w:tab/>
        <w:t>Repercusiones presupuestarias</w:t>
      </w:r>
    </w:p>
    <w:p w14:paraId="5194EF55" w14:textId="0A61C7F1" w:rsidR="004A06F1" w:rsidRPr="004A06F1" w:rsidRDefault="004A06F1" w:rsidP="00DB044B">
      <w:pPr>
        <w:tabs>
          <w:tab w:val="clear" w:pos="567"/>
          <w:tab w:val="left" w:pos="709"/>
        </w:tabs>
        <w:jc w:val="both"/>
      </w:pPr>
      <w:r w:rsidRPr="004A06F1">
        <w:t>La AMNT-24 adoptó una serie de decisiones relacionadas con la organización de nuevos estudios, talleres y actividades, con el objetivo de que la Oficina de Normalización de las Telecomunicaciones (TSB) pudiera responder de forma oportuna a las demandas de los miembros y abordar las cuestiones estratégicas que requerirán la atención de la próxima</w:t>
      </w:r>
      <w:r w:rsidR="009C3543">
        <w:t> </w:t>
      </w:r>
      <w:r w:rsidRPr="004A06F1">
        <w:t>Asamblea (AMNT-28). La Asamblea identificó ciertas actividades (descritas en las nuevas Resoluciones y medidas de la AMNT-24, incluidas las relativas a la IA, la infraestructura pública digital (IPD) y la transformación digital sostenible (TDS)) como ámbitos prioritarios para el UIT-T. Incumbe a la TSB llevar a cabo estas actividades e informar al respecto a la</w:t>
      </w:r>
      <w:r w:rsidR="00EF7460">
        <w:t> </w:t>
      </w:r>
      <w:r w:rsidRPr="004A06F1">
        <w:t>AMNT-28.</w:t>
      </w:r>
      <w:r w:rsidR="0083131D">
        <w:t xml:space="preserve"> </w:t>
      </w:r>
      <w:r w:rsidR="0083131D" w:rsidRPr="0083131D">
        <w:t>Estas decisiones y sus repercusiones financieras se abordan en los Documentos</w:t>
      </w:r>
      <w:r w:rsidR="009C3543">
        <w:t> </w:t>
      </w:r>
      <w:hyperlink r:id="rId18" w:history="1">
        <w:r w:rsidR="0083131D" w:rsidRPr="0083131D">
          <w:rPr>
            <w:rStyle w:val="Hyperlink"/>
          </w:rPr>
          <w:t>C25/13</w:t>
        </w:r>
      </w:hyperlink>
      <w:r w:rsidR="0083131D" w:rsidRPr="0083131D">
        <w:t xml:space="preserve"> y </w:t>
      </w:r>
      <w:hyperlink r:id="rId19" w:history="1">
        <w:r w:rsidR="0083131D" w:rsidRPr="0083131D">
          <w:rPr>
            <w:rStyle w:val="Hyperlink"/>
          </w:rPr>
          <w:t>C25/43</w:t>
        </w:r>
      </w:hyperlink>
      <w:r w:rsidR="0083131D">
        <w:t>.</w:t>
      </w:r>
    </w:p>
    <w:p w14:paraId="6707666D" w14:textId="77777777" w:rsidR="004A06F1" w:rsidRPr="004A06F1" w:rsidRDefault="004A06F1" w:rsidP="009C3543">
      <w:pPr>
        <w:pStyle w:val="Heading1"/>
      </w:pPr>
      <w:r w:rsidRPr="004A06F1">
        <w:t>3</w:t>
      </w:r>
      <w:r w:rsidRPr="004A06F1">
        <w:tab/>
        <w:t xml:space="preserve">Red de </w:t>
      </w:r>
      <w:r w:rsidRPr="009C3543">
        <w:t>Mujeres</w:t>
      </w:r>
      <w:r w:rsidRPr="004A06F1">
        <w:t xml:space="preserve"> para la AMNT-24</w:t>
      </w:r>
    </w:p>
    <w:p w14:paraId="73B42A61" w14:textId="076DFECF" w:rsidR="000A501E" w:rsidRDefault="004A06F1" w:rsidP="008E7A47">
      <w:pPr>
        <w:jc w:val="both"/>
      </w:pPr>
      <w:r w:rsidRPr="004A06F1">
        <w:t>E</w:t>
      </w:r>
      <w:r w:rsidR="002C6B0D">
        <w:t>l</w:t>
      </w:r>
      <w:r w:rsidRPr="004A06F1">
        <w:t xml:space="preserve"> objetivo de la Red de Mujeres (NoW) en el UIT-T es fomentar la participación de mujeres en el sector de normalización. La NoW para la AMNT-24 (</w:t>
      </w:r>
      <w:hyperlink r:id="rId20" w:anchor="/es" w:history="1">
        <w:r w:rsidRPr="004A06F1">
          <w:rPr>
            <w:rStyle w:val="Hyperlink"/>
          </w:rPr>
          <w:t>NOW</w:t>
        </w:r>
        <w:r w:rsidRPr="004A06F1">
          <w:rPr>
            <w:rStyle w:val="Hyperlink"/>
          </w:rPr>
          <w:t>4</w:t>
        </w:r>
        <w:r w:rsidRPr="004A06F1">
          <w:rPr>
            <w:rStyle w:val="Hyperlink"/>
          </w:rPr>
          <w:t>WTSA24</w:t>
        </w:r>
      </w:hyperlink>
      <w:r w:rsidRPr="004A06F1">
        <w:t>) alentó a los</w:t>
      </w:r>
      <w:r w:rsidR="000A501E">
        <w:t> </w:t>
      </w:r>
      <w:r w:rsidRPr="004A06F1">
        <w:t>Estados Miembros de la UIT a adoptar la inclusividad de género durante la AMNT-24. En concreto, la Red abogó por:</w:t>
      </w:r>
    </w:p>
    <w:p w14:paraId="42D3D510" w14:textId="0F94288F" w:rsidR="004A06F1" w:rsidRPr="008E7A47" w:rsidRDefault="008E7A47" w:rsidP="008E7A47">
      <w:pPr>
        <w:pStyle w:val="enumlev1"/>
        <w:jc w:val="both"/>
      </w:pPr>
      <w:r w:rsidRPr="008E7A47">
        <w:t>1)</w:t>
      </w:r>
      <w:r w:rsidRPr="008E7A47">
        <w:tab/>
      </w:r>
      <w:r w:rsidR="004A06F1" w:rsidRPr="008E7A47">
        <w:t>el nombramiento de mujeres para los principales puestos de dirección del UIT-T (véanse las presidencias y vicepresidencias del GANT, las Comisiones de Estudio y el</w:t>
      </w:r>
      <w:r w:rsidR="000A501E" w:rsidRPr="008E7A47">
        <w:t> </w:t>
      </w:r>
      <w:r w:rsidR="004A06F1" w:rsidRPr="008E7A47">
        <w:t>Comité de Normalización del Vocabulario);</w:t>
      </w:r>
    </w:p>
    <w:p w14:paraId="53A18EAB" w14:textId="29D29B14" w:rsidR="004A06F1" w:rsidRPr="008E7A47" w:rsidRDefault="008E7A47" w:rsidP="008E7A47">
      <w:pPr>
        <w:pStyle w:val="enumlev1"/>
        <w:jc w:val="both"/>
      </w:pPr>
      <w:r w:rsidRPr="008E7A47">
        <w:t>2)</w:t>
      </w:r>
      <w:r w:rsidRPr="008E7A47">
        <w:tab/>
      </w:r>
      <w:r w:rsidR="004A06F1" w:rsidRPr="008E7A47">
        <w:t>el nombramiento de mujeres como jefas de delegación;</w:t>
      </w:r>
    </w:p>
    <w:p w14:paraId="77EB1760" w14:textId="4487D3BC" w:rsidR="004A06F1" w:rsidRPr="008E7A47" w:rsidRDefault="008E7A47" w:rsidP="008E7A47">
      <w:pPr>
        <w:pStyle w:val="enumlev1"/>
        <w:jc w:val="both"/>
      </w:pPr>
      <w:r w:rsidRPr="008E7A47">
        <w:t>3)</w:t>
      </w:r>
      <w:r w:rsidRPr="008E7A47">
        <w:tab/>
      </w:r>
      <w:r w:rsidR="004A06F1" w:rsidRPr="008E7A47">
        <w:t xml:space="preserve">la </w:t>
      </w:r>
      <w:proofErr w:type="gramStart"/>
      <w:r w:rsidR="004A06F1" w:rsidRPr="008E7A47">
        <w:t>participación activa</w:t>
      </w:r>
      <w:proofErr w:type="gramEnd"/>
      <w:r w:rsidR="004A06F1" w:rsidRPr="008E7A47">
        <w:t xml:space="preserve"> de mujeres en las delegaciones nacionales</w:t>
      </w:r>
      <w:r w:rsidR="006B3051" w:rsidRPr="008E7A47">
        <w:t>,</w:t>
      </w:r>
      <w:r w:rsidR="004A06F1" w:rsidRPr="008E7A47">
        <w:t xml:space="preserve"> y</w:t>
      </w:r>
    </w:p>
    <w:p w14:paraId="10ECB53D" w14:textId="1C109DF0" w:rsidR="004A06F1" w:rsidRPr="008E7A47" w:rsidRDefault="008E7A47" w:rsidP="008E7A47">
      <w:pPr>
        <w:pStyle w:val="enumlev1"/>
        <w:jc w:val="both"/>
      </w:pPr>
      <w:r w:rsidRPr="008E7A47">
        <w:t>4)</w:t>
      </w:r>
      <w:r w:rsidRPr="008E7A47">
        <w:tab/>
      </w:r>
      <w:r w:rsidR="004A06F1" w:rsidRPr="008E7A47">
        <w:t>la consecución de un 35</w:t>
      </w:r>
      <w:r w:rsidR="000A501E" w:rsidRPr="008E7A47">
        <w:t> </w:t>
      </w:r>
      <w:r w:rsidR="004A06F1" w:rsidRPr="008E7A47">
        <w:t xml:space="preserve">% de participación femenina global en la </w:t>
      </w:r>
      <w:proofErr w:type="spellStart"/>
      <w:r w:rsidR="004A06F1" w:rsidRPr="008E7A47">
        <w:t>AMNT</w:t>
      </w:r>
      <w:proofErr w:type="spellEnd"/>
      <w:r w:rsidR="004A06F1" w:rsidRPr="008E7A47">
        <w:t>-24.</w:t>
      </w:r>
    </w:p>
    <w:p w14:paraId="63F1A645" w14:textId="02E2A1DE" w:rsidR="004A06F1" w:rsidRPr="00A606FA" w:rsidRDefault="004A06F1" w:rsidP="008E7A47">
      <w:pPr>
        <w:jc w:val="both"/>
        <w:rPr>
          <w:spacing w:val="-2"/>
        </w:rPr>
      </w:pPr>
      <w:r w:rsidRPr="00A606FA">
        <w:rPr>
          <w:spacing w:val="-2"/>
        </w:rPr>
        <w:t>Los esfuerzos conjuntos que se desplegaron en aras de los objetivos de esta campaña se tradujeron en una tasa de representación de mujeres en la Asamblea del 26</w:t>
      </w:r>
      <w:r w:rsidR="000A501E" w:rsidRPr="00A606FA">
        <w:rPr>
          <w:spacing w:val="-2"/>
        </w:rPr>
        <w:t> </w:t>
      </w:r>
      <w:r w:rsidRPr="00A606FA">
        <w:rPr>
          <w:spacing w:val="-2"/>
        </w:rPr>
        <w:t>%, la más alta registrada en una AMNT fuera de Ginebra. El número de mujeres en puestos directivos aumentó un 24</w:t>
      </w:r>
      <w:r w:rsidR="000A501E" w:rsidRPr="00A606FA">
        <w:rPr>
          <w:spacing w:val="-2"/>
        </w:rPr>
        <w:t> </w:t>
      </w:r>
      <w:r w:rsidRPr="00A606FA">
        <w:rPr>
          <w:spacing w:val="-2"/>
        </w:rPr>
        <w:t>% en comparación con el periodo de estudios anterior. Las mujeres ocupan actualmente alrededor de una cuarta parte de los principales puestos de dirección del UIT-T. También se lograron avances notables en materia de liderazgo femenino en la</w:t>
      </w:r>
      <w:r w:rsidR="000A501E" w:rsidRPr="00A606FA">
        <w:rPr>
          <w:spacing w:val="-2"/>
        </w:rPr>
        <w:t> </w:t>
      </w:r>
      <w:r w:rsidRPr="00A606FA">
        <w:rPr>
          <w:spacing w:val="-2"/>
        </w:rPr>
        <w:t>Asamblea, en cuyo marco se duplicó el número de mujeres en puestos de liderazgo con respecto a la</w:t>
      </w:r>
      <w:r w:rsidR="000A501E" w:rsidRPr="00A606FA">
        <w:rPr>
          <w:spacing w:val="-2"/>
        </w:rPr>
        <w:t> </w:t>
      </w:r>
      <w:r w:rsidRPr="00A606FA">
        <w:rPr>
          <w:spacing w:val="-2"/>
        </w:rPr>
        <w:t>AMNT-20.</w:t>
      </w:r>
    </w:p>
    <w:p w14:paraId="48849F59" w14:textId="318678D2" w:rsidR="004A06F1" w:rsidRPr="004A06F1" w:rsidRDefault="004A06F1" w:rsidP="008E7A47">
      <w:pPr>
        <w:jc w:val="both"/>
      </w:pPr>
      <w:r w:rsidRPr="004A06F1">
        <w:t xml:space="preserve">La campaña culminó con un </w:t>
      </w:r>
      <w:hyperlink r:id="rId21" w:anchor="/es" w:history="1">
        <w:r w:rsidRPr="004A06F1">
          <w:rPr>
            <w:rStyle w:val="Hyperlink"/>
          </w:rPr>
          <w:t>evento especial en</w:t>
        </w:r>
        <w:r w:rsidRPr="004A06F1">
          <w:rPr>
            <w:rStyle w:val="Hyperlink"/>
          </w:rPr>
          <w:t xml:space="preserve"> </w:t>
        </w:r>
        <w:r w:rsidRPr="004A06F1">
          <w:rPr>
            <w:rStyle w:val="Hyperlink"/>
          </w:rPr>
          <w:t>la AMNT-24</w:t>
        </w:r>
      </w:hyperlink>
      <w:r w:rsidRPr="004A06F1">
        <w:t>, celebrado el 17 de octubre de</w:t>
      </w:r>
      <w:r w:rsidR="000A501E">
        <w:t> </w:t>
      </w:r>
      <w:r w:rsidRPr="004A06F1">
        <w:t>2024, que incluyó una serie de mesas redondas dedicadas a la reducción de la brecha de género en el ámbito de la normalización y las normas para una IA inclusiva. El evento concluyó con una ceremonia en honor de los logros relacionados con los objetivos de la campaña y las contribuciones a la igualdad de género.</w:t>
      </w:r>
    </w:p>
    <w:p w14:paraId="22E203F5" w14:textId="77777777" w:rsidR="004A06F1" w:rsidRPr="009C3543" w:rsidRDefault="004A06F1" w:rsidP="002C2EAF">
      <w:pPr>
        <w:pStyle w:val="Heading1"/>
      </w:pPr>
      <w:r w:rsidRPr="009C3543">
        <w:lastRenderedPageBreak/>
        <w:t>4</w:t>
      </w:r>
      <w:r w:rsidRPr="009C3543">
        <w:tab/>
        <w:t>Eventos paralelos y exposiciones</w:t>
      </w:r>
    </w:p>
    <w:p w14:paraId="53BE93B0" w14:textId="77777777" w:rsidR="004A06F1" w:rsidRPr="004A06F1" w:rsidRDefault="004A06F1" w:rsidP="008E7A47">
      <w:pPr>
        <w:jc w:val="both"/>
      </w:pPr>
      <w:r w:rsidRPr="004A06F1">
        <w:t>En paralelo a la AMNT-24 se celebraron más de 20 eventos, que sumaron más de 80 horas de contenido, pusieron de manifiesto la importancia y la repercusión de la labor de la UIT e hicieron partícipe al próspero ecosistema tecnológico de la India. La Asamblea también se vio enriquecida por más de 85 exposiciones y demostraciones.</w:t>
      </w:r>
    </w:p>
    <w:p w14:paraId="51349DEE" w14:textId="77777777" w:rsidR="004A06F1" w:rsidRPr="004A06F1" w:rsidRDefault="004A06F1" w:rsidP="002C2EAF">
      <w:pPr>
        <w:pStyle w:val="Heading1"/>
      </w:pPr>
      <w:r w:rsidRPr="009C3543">
        <w:t>5</w:t>
      </w:r>
      <w:r w:rsidRPr="009C3543">
        <w:tab/>
        <w:t>Cobertura mediática</w:t>
      </w:r>
    </w:p>
    <w:p w14:paraId="6A9B88E0" w14:textId="526558FF" w:rsidR="004A06F1" w:rsidRPr="004A06F1" w:rsidRDefault="004A06F1" w:rsidP="008E7A47">
      <w:pPr>
        <w:jc w:val="both"/>
      </w:pPr>
      <w:r w:rsidRPr="004A06F1">
        <w:t>La ceremonia de apertura de la AMNT-24 fue la mayor de la historia, con más de 300</w:t>
      </w:r>
      <w:r w:rsidR="00A606FA">
        <w:t> </w:t>
      </w:r>
      <w:r w:rsidRPr="004A06F1">
        <w:t>000 visualizaciones en línea, y suscitó unos debates técnicos globales sin precedentes, en los que participaron figuras destacadas como el Excmo. Sr.</w:t>
      </w:r>
      <w:r w:rsidR="000A501E">
        <w:t> </w:t>
      </w:r>
      <w:r w:rsidRPr="004A06F1">
        <w:t>Shri Narendra Modi, Primer Ministro de la India, y otros líderes tecnológicos de renombre que sumaron sus voces a la de la UIT en las redes sociales.</w:t>
      </w:r>
    </w:p>
    <w:p w14:paraId="6BDEFC46" w14:textId="77777777" w:rsidR="004A06F1" w:rsidRPr="004A06F1" w:rsidRDefault="004A06F1" w:rsidP="008E7A47">
      <w:pPr>
        <w:jc w:val="both"/>
      </w:pPr>
      <w:r w:rsidRPr="004A06F1">
        <w:t>Además, la Asamblea contó con el mayor número de medios de comunicación registrados, los cuales captaron la atención mundial y cubrieron el evento a través de canales nuevos y tradicionales. A continuación se presentan algunas cifras relacionadas con la cobertura mediática:</w:t>
      </w:r>
    </w:p>
    <w:p w14:paraId="6480EFC8" w14:textId="48871531" w:rsidR="004A06F1" w:rsidRPr="004A06F1" w:rsidRDefault="000A501E" w:rsidP="008E7A47">
      <w:pPr>
        <w:pStyle w:val="enumlev1"/>
        <w:jc w:val="both"/>
      </w:pPr>
      <w:r>
        <w:t>–</w:t>
      </w:r>
      <w:r w:rsidR="004A06F1" w:rsidRPr="004A06F1">
        <w:tab/>
        <w:t>alcance en redes sociales superior a 100 millones;</w:t>
      </w:r>
    </w:p>
    <w:p w14:paraId="417BAA4A" w14:textId="3C8D2A52" w:rsidR="004A06F1" w:rsidRPr="004A06F1" w:rsidRDefault="000A501E" w:rsidP="008E7A47">
      <w:pPr>
        <w:pStyle w:val="enumlev1"/>
        <w:jc w:val="both"/>
      </w:pPr>
      <w:r>
        <w:t>–</w:t>
      </w:r>
      <w:r w:rsidR="004A06F1" w:rsidRPr="004A06F1">
        <w:tab/>
        <w:t>más de 300</w:t>
      </w:r>
      <w:r>
        <w:t> </w:t>
      </w:r>
      <w:r w:rsidR="004A06F1" w:rsidRPr="004A06F1">
        <w:t>000 visualizaciones de la ceremonia de apertura;</w:t>
      </w:r>
    </w:p>
    <w:p w14:paraId="4040C288" w14:textId="6841D759" w:rsidR="004A06F1" w:rsidRPr="004A06F1" w:rsidRDefault="000A501E" w:rsidP="008E7A47">
      <w:pPr>
        <w:pStyle w:val="enumlev1"/>
        <w:jc w:val="both"/>
      </w:pPr>
      <w:r>
        <w:t>–</w:t>
      </w:r>
      <w:r w:rsidR="004A06F1" w:rsidRPr="004A06F1">
        <w:tab/>
        <w:t>182 medios de comunicación registrados;</w:t>
      </w:r>
    </w:p>
    <w:p w14:paraId="0F73B998" w14:textId="010A17D0" w:rsidR="004A06F1" w:rsidRPr="004A06F1" w:rsidRDefault="000A501E" w:rsidP="008E7A47">
      <w:pPr>
        <w:pStyle w:val="enumlev1"/>
        <w:jc w:val="both"/>
      </w:pPr>
      <w:r>
        <w:t>–</w:t>
      </w:r>
      <w:r w:rsidR="004A06F1" w:rsidRPr="004A06F1">
        <w:tab/>
        <w:t>alcance mediático global equivalente a 3</w:t>
      </w:r>
      <w:r>
        <w:t> </w:t>
      </w:r>
      <w:r w:rsidR="004A06F1" w:rsidRPr="004A06F1">
        <w:t>600 millones;</w:t>
      </w:r>
    </w:p>
    <w:p w14:paraId="65A3BC0E" w14:textId="4EF4FB64" w:rsidR="004A06F1" w:rsidRPr="004A06F1" w:rsidRDefault="000A501E" w:rsidP="008E7A47">
      <w:pPr>
        <w:pStyle w:val="enumlev1"/>
        <w:jc w:val="both"/>
      </w:pPr>
      <w:r>
        <w:t>–</w:t>
      </w:r>
      <w:r w:rsidR="004A06F1" w:rsidRPr="004A06F1">
        <w:tab/>
        <w:t>1</w:t>
      </w:r>
      <w:r>
        <w:t> </w:t>
      </w:r>
      <w:r w:rsidR="004A06F1" w:rsidRPr="004A06F1">
        <w:t>290 menciones a la UIT en medios de comunicación</w:t>
      </w:r>
      <w:r w:rsidR="008E7A47">
        <w:t>;</w:t>
      </w:r>
    </w:p>
    <w:p w14:paraId="6635180A" w14:textId="35D08C1E" w:rsidR="00F92BED" w:rsidRDefault="000A501E" w:rsidP="008E7A47">
      <w:pPr>
        <w:pStyle w:val="enumlev1"/>
        <w:jc w:val="both"/>
      </w:pPr>
      <w:r>
        <w:t>–</w:t>
      </w:r>
      <w:r w:rsidR="004A06F1" w:rsidRPr="004A06F1">
        <w:tab/>
        <w:t>99</w:t>
      </w:r>
      <w:r>
        <w:t> </w:t>
      </w:r>
      <w:r w:rsidR="004A06F1" w:rsidRPr="004A06F1">
        <w:t>% de cobertura positiva o neutra.</w:t>
      </w:r>
    </w:p>
    <w:p w14:paraId="1DE81838" w14:textId="77777777" w:rsidR="00F92BED" w:rsidRDefault="00F92BED" w:rsidP="0032202E">
      <w:pPr>
        <w:pStyle w:val="Reasons"/>
      </w:pPr>
    </w:p>
    <w:p w14:paraId="6BF5D4FD" w14:textId="77777777" w:rsidR="00F92BED" w:rsidRPr="00F92BED" w:rsidRDefault="00F92BED" w:rsidP="00F92BED">
      <w:pPr>
        <w:jc w:val="center"/>
      </w:pPr>
      <w:r>
        <w:t>______________</w:t>
      </w:r>
    </w:p>
    <w:sectPr w:rsidR="00F92BED" w:rsidRPr="00F92BED"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97D4" w14:textId="77777777" w:rsidR="00656C23" w:rsidRDefault="00656C23">
      <w:r>
        <w:separator/>
      </w:r>
    </w:p>
  </w:endnote>
  <w:endnote w:type="continuationSeparator" w:id="0">
    <w:p w14:paraId="755055E6" w14:textId="77777777" w:rsidR="00656C23" w:rsidRDefault="0065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D904556" w14:textId="77777777" w:rsidTr="00E31DCE">
      <w:trPr>
        <w:jc w:val="center"/>
      </w:trPr>
      <w:tc>
        <w:tcPr>
          <w:tcW w:w="1803" w:type="dxa"/>
          <w:vAlign w:val="center"/>
        </w:tcPr>
        <w:p w14:paraId="7796D5B0" w14:textId="6AC09769" w:rsidR="003273A4" w:rsidRDefault="002946E2" w:rsidP="003273A4">
          <w:pPr>
            <w:pStyle w:val="Header"/>
            <w:jc w:val="left"/>
            <w:rPr>
              <w:noProof/>
            </w:rPr>
          </w:pPr>
          <w:r>
            <w:rPr>
              <w:noProof/>
            </w:rPr>
            <w:t xml:space="preserve">gDoc </w:t>
          </w:r>
          <w:r w:rsidR="00282BE4">
            <w:rPr>
              <w:noProof/>
            </w:rPr>
            <w:t>2500934</w:t>
          </w:r>
        </w:p>
      </w:tc>
      <w:tc>
        <w:tcPr>
          <w:tcW w:w="8261" w:type="dxa"/>
        </w:tcPr>
        <w:p w14:paraId="7090C987" w14:textId="0DC73D10"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E69B0">
            <w:rPr>
              <w:bCs/>
            </w:rPr>
            <w:t>24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2C0F9D7"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15A1892" w14:textId="77777777" w:rsidTr="00E31DCE">
      <w:trPr>
        <w:jc w:val="center"/>
      </w:trPr>
      <w:tc>
        <w:tcPr>
          <w:tcW w:w="1803" w:type="dxa"/>
          <w:vAlign w:val="center"/>
        </w:tcPr>
        <w:p w14:paraId="51B3AB3F"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4BD6860" w14:textId="05B7C953"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0F674D">
            <w:rPr>
              <w:bCs/>
            </w:rPr>
            <w:t>24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86D6FE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2615" w14:textId="77777777" w:rsidR="00656C23" w:rsidRDefault="00656C23">
      <w:r>
        <w:t>____________________</w:t>
      </w:r>
    </w:p>
  </w:footnote>
  <w:footnote w:type="continuationSeparator" w:id="0">
    <w:p w14:paraId="130CB63B" w14:textId="77777777" w:rsidR="00656C23" w:rsidRDefault="0065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9FEA089" w14:textId="77777777" w:rsidTr="00666D09">
      <w:trPr>
        <w:trHeight w:val="1104"/>
        <w:jc w:val="center"/>
      </w:trPr>
      <w:tc>
        <w:tcPr>
          <w:tcW w:w="5998" w:type="dxa"/>
          <w:vAlign w:val="center"/>
        </w:tcPr>
        <w:p w14:paraId="32AB4C6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996B9E3" wp14:editId="7665F8A0">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09E0A50" w14:textId="77777777" w:rsidR="00666D09" w:rsidRDefault="00666D09" w:rsidP="001559F5">
          <w:pPr>
            <w:pStyle w:val="Header"/>
            <w:jc w:val="right"/>
            <w:rPr>
              <w:rFonts w:ascii="Arial" w:hAnsi="Arial" w:cs="Arial"/>
              <w:b/>
              <w:bCs/>
              <w:color w:val="009CD6"/>
              <w:szCs w:val="18"/>
            </w:rPr>
          </w:pPr>
        </w:p>
      </w:tc>
    </w:tr>
  </w:tbl>
  <w:p w14:paraId="3861A32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100170C" wp14:editId="3B810A3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6151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73FE"/>
    <w:multiLevelType w:val="hybridMultilevel"/>
    <w:tmpl w:val="4F784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3668"/>
    <w:multiLevelType w:val="hybridMultilevel"/>
    <w:tmpl w:val="D772E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87655"/>
    <w:multiLevelType w:val="hybridMultilevel"/>
    <w:tmpl w:val="FB86E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3105A"/>
    <w:multiLevelType w:val="hybridMultilevel"/>
    <w:tmpl w:val="1564F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E2813"/>
    <w:multiLevelType w:val="hybridMultilevel"/>
    <w:tmpl w:val="58982F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010E6"/>
    <w:multiLevelType w:val="hybridMultilevel"/>
    <w:tmpl w:val="58982F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27562F"/>
    <w:multiLevelType w:val="hybridMultilevel"/>
    <w:tmpl w:val="6416F548"/>
    <w:lvl w:ilvl="0" w:tplc="E0A223C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E23FA"/>
    <w:multiLevelType w:val="hybridMultilevel"/>
    <w:tmpl w:val="D2D0EB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4035C5"/>
    <w:multiLevelType w:val="hybridMultilevel"/>
    <w:tmpl w:val="93CA11F6"/>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5375">
    <w:abstractNumId w:val="0"/>
  </w:num>
  <w:num w:numId="2" w16cid:durableId="1068961491">
    <w:abstractNumId w:val="6"/>
  </w:num>
  <w:num w:numId="3" w16cid:durableId="2115130677">
    <w:abstractNumId w:val="1"/>
  </w:num>
  <w:num w:numId="4" w16cid:durableId="1718166834">
    <w:abstractNumId w:val="2"/>
  </w:num>
  <w:num w:numId="5" w16cid:durableId="1305044949">
    <w:abstractNumId w:val="8"/>
  </w:num>
  <w:num w:numId="6" w16cid:durableId="1397506330">
    <w:abstractNumId w:val="3"/>
  </w:num>
  <w:num w:numId="7" w16cid:durableId="920529177">
    <w:abstractNumId w:val="7"/>
  </w:num>
  <w:num w:numId="8" w16cid:durableId="1946764514">
    <w:abstractNumId w:val="4"/>
  </w:num>
  <w:num w:numId="9" w16cid:durableId="2075229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A5"/>
    <w:rsid w:val="000007D1"/>
    <w:rsid w:val="0001595B"/>
    <w:rsid w:val="000500FD"/>
    <w:rsid w:val="0006007D"/>
    <w:rsid w:val="00093EEB"/>
    <w:rsid w:val="000A501E"/>
    <w:rsid w:val="000B0D00"/>
    <w:rsid w:val="000B7C15"/>
    <w:rsid w:val="000D1D0F"/>
    <w:rsid w:val="000E3F07"/>
    <w:rsid w:val="000F5290"/>
    <w:rsid w:val="000F674D"/>
    <w:rsid w:val="0010165C"/>
    <w:rsid w:val="00124B34"/>
    <w:rsid w:val="00146BFB"/>
    <w:rsid w:val="001559F5"/>
    <w:rsid w:val="00157AC4"/>
    <w:rsid w:val="0016169C"/>
    <w:rsid w:val="001B6E2B"/>
    <w:rsid w:val="001E1CB2"/>
    <w:rsid w:val="001F14A2"/>
    <w:rsid w:val="002801AA"/>
    <w:rsid w:val="00282BE4"/>
    <w:rsid w:val="002946E2"/>
    <w:rsid w:val="002C2EAF"/>
    <w:rsid w:val="002C3F32"/>
    <w:rsid w:val="002C4676"/>
    <w:rsid w:val="002C6B0D"/>
    <w:rsid w:val="002C70B0"/>
    <w:rsid w:val="002F3CC4"/>
    <w:rsid w:val="003032E2"/>
    <w:rsid w:val="0031300A"/>
    <w:rsid w:val="003273A4"/>
    <w:rsid w:val="0034796E"/>
    <w:rsid w:val="00397421"/>
    <w:rsid w:val="00473962"/>
    <w:rsid w:val="004A06F1"/>
    <w:rsid w:val="004B5D49"/>
    <w:rsid w:val="004D3A3C"/>
    <w:rsid w:val="00511DED"/>
    <w:rsid w:val="00513630"/>
    <w:rsid w:val="00560125"/>
    <w:rsid w:val="00585553"/>
    <w:rsid w:val="005A772A"/>
    <w:rsid w:val="005B34D9"/>
    <w:rsid w:val="005B6485"/>
    <w:rsid w:val="005D0CCF"/>
    <w:rsid w:val="005F3BCB"/>
    <w:rsid w:val="005F410F"/>
    <w:rsid w:val="0060149A"/>
    <w:rsid w:val="00601924"/>
    <w:rsid w:val="00610AD4"/>
    <w:rsid w:val="006447EA"/>
    <w:rsid w:val="0064481D"/>
    <w:rsid w:val="0064731F"/>
    <w:rsid w:val="00656C23"/>
    <w:rsid w:val="00664572"/>
    <w:rsid w:val="00666D09"/>
    <w:rsid w:val="006710F6"/>
    <w:rsid w:val="00677A97"/>
    <w:rsid w:val="0068165A"/>
    <w:rsid w:val="006A72B0"/>
    <w:rsid w:val="006B3051"/>
    <w:rsid w:val="006C1B56"/>
    <w:rsid w:val="006D4761"/>
    <w:rsid w:val="00726872"/>
    <w:rsid w:val="00760F1C"/>
    <w:rsid w:val="007657F0"/>
    <w:rsid w:val="0077110E"/>
    <w:rsid w:val="0077252D"/>
    <w:rsid w:val="007955DA"/>
    <w:rsid w:val="007E5DD3"/>
    <w:rsid w:val="007F350B"/>
    <w:rsid w:val="00820BE4"/>
    <w:rsid w:val="008266C7"/>
    <w:rsid w:val="0083131D"/>
    <w:rsid w:val="008451E8"/>
    <w:rsid w:val="008E7A47"/>
    <w:rsid w:val="008F6ABC"/>
    <w:rsid w:val="00913B9C"/>
    <w:rsid w:val="00927F93"/>
    <w:rsid w:val="00956E77"/>
    <w:rsid w:val="00977E6D"/>
    <w:rsid w:val="00985D37"/>
    <w:rsid w:val="00994257"/>
    <w:rsid w:val="009A338E"/>
    <w:rsid w:val="009C3543"/>
    <w:rsid w:val="009E6F25"/>
    <w:rsid w:val="009F4811"/>
    <w:rsid w:val="00A477DB"/>
    <w:rsid w:val="00A606FA"/>
    <w:rsid w:val="00A85506"/>
    <w:rsid w:val="00A94438"/>
    <w:rsid w:val="00AA390C"/>
    <w:rsid w:val="00B0200A"/>
    <w:rsid w:val="00B03124"/>
    <w:rsid w:val="00B060DF"/>
    <w:rsid w:val="00B574DB"/>
    <w:rsid w:val="00B746A5"/>
    <w:rsid w:val="00B826C2"/>
    <w:rsid w:val="00B8298E"/>
    <w:rsid w:val="00BB6FD8"/>
    <w:rsid w:val="00BD0723"/>
    <w:rsid w:val="00BD2518"/>
    <w:rsid w:val="00BE69B0"/>
    <w:rsid w:val="00BF1D1C"/>
    <w:rsid w:val="00C20C59"/>
    <w:rsid w:val="00C2727F"/>
    <w:rsid w:val="00C538FC"/>
    <w:rsid w:val="00C54449"/>
    <w:rsid w:val="00C55B1F"/>
    <w:rsid w:val="00C6274F"/>
    <w:rsid w:val="00CD20F0"/>
    <w:rsid w:val="00CF1A67"/>
    <w:rsid w:val="00D2750E"/>
    <w:rsid w:val="00D375E0"/>
    <w:rsid w:val="00D50A36"/>
    <w:rsid w:val="00D62446"/>
    <w:rsid w:val="00DA4EA2"/>
    <w:rsid w:val="00DB044B"/>
    <w:rsid w:val="00DC3D3E"/>
    <w:rsid w:val="00DE2C90"/>
    <w:rsid w:val="00DE3B24"/>
    <w:rsid w:val="00E06947"/>
    <w:rsid w:val="00E11319"/>
    <w:rsid w:val="00E21444"/>
    <w:rsid w:val="00E34072"/>
    <w:rsid w:val="00E3592D"/>
    <w:rsid w:val="00E50D76"/>
    <w:rsid w:val="00E54516"/>
    <w:rsid w:val="00E8018B"/>
    <w:rsid w:val="00E92DE8"/>
    <w:rsid w:val="00EB1212"/>
    <w:rsid w:val="00ED65AB"/>
    <w:rsid w:val="00EF7460"/>
    <w:rsid w:val="00F12850"/>
    <w:rsid w:val="00F24B71"/>
    <w:rsid w:val="00F33BF4"/>
    <w:rsid w:val="00F67705"/>
    <w:rsid w:val="00F7105E"/>
    <w:rsid w:val="00F75F57"/>
    <w:rsid w:val="00F82AA7"/>
    <w:rsid w:val="00F82FEE"/>
    <w:rsid w:val="00F92BED"/>
    <w:rsid w:val="00FA4C07"/>
    <w:rsid w:val="00FD4EF3"/>
    <w:rsid w:val="00FD57D3"/>
    <w:rsid w:val="00FE57F6"/>
    <w:rsid w:val="00FF11BD"/>
    <w:rsid w:val="00FF6D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FC7CB"/>
  <w15:docId w15:val="{F1F042E2-6489-402D-9295-BC12F32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DB044B"/>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ListParagraph">
    <w:name w:val="List Paragraph"/>
    <w:basedOn w:val="Normal"/>
    <w:uiPriority w:val="34"/>
    <w:qFormat/>
    <w:rsid w:val="000A501E"/>
    <w:pPr>
      <w:ind w:left="720"/>
      <w:contextualSpacing/>
    </w:pPr>
  </w:style>
  <w:style w:type="paragraph" w:styleId="Revision">
    <w:name w:val="Revision"/>
    <w:hidden/>
    <w:uiPriority w:val="99"/>
    <w:semiHidden/>
    <w:rsid w:val="0083131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43/es" TargetMode="External"/><Relationship Id="rId13" Type="http://schemas.openxmlformats.org/officeDocument/2006/relationships/hyperlink" Target="https://www.itu.int/md/T22-WTSA.24-C-0043/es" TargetMode="External"/><Relationship Id="rId18" Type="http://schemas.openxmlformats.org/officeDocument/2006/relationships/hyperlink" Target="https://www.itu.int/md/S25-CL-C-0013/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en/ITU-T/NoW/events/20241017/Pages/default.aspx" TargetMode="External"/><Relationship Id="rId7" Type="http://schemas.openxmlformats.org/officeDocument/2006/relationships/hyperlink" Target="https://www.itu.int/md/S25-CL-C-0013/es" TargetMode="External"/><Relationship Id="rId12" Type="http://schemas.openxmlformats.org/officeDocument/2006/relationships/hyperlink" Target="https://gss.itu.int/" TargetMode="External"/><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pub/T-REG-LIV.1-2024/es" TargetMode="External"/><Relationship Id="rId20" Type="http://schemas.openxmlformats.org/officeDocument/2006/relationships/hyperlink" Target="https://www.itu.int/wtsa/2024/n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WTSA.24-C-0119/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wtsa/2024/" TargetMode="External"/><Relationship Id="rId23" Type="http://schemas.openxmlformats.org/officeDocument/2006/relationships/header" Target="header1.xml"/><Relationship Id="rId10" Type="http://schemas.openxmlformats.org/officeDocument/2006/relationships/hyperlink" Target="https://gss.itu.int/" TargetMode="External"/><Relationship Id="rId19" Type="http://schemas.openxmlformats.org/officeDocument/2006/relationships/hyperlink" Target="https://www.itu.int/md/S25-CL-C-0043/es" TargetMode="External"/><Relationship Id="rId4" Type="http://schemas.openxmlformats.org/officeDocument/2006/relationships/webSettings" Target="webSettings.xml"/><Relationship Id="rId9" Type="http://schemas.openxmlformats.org/officeDocument/2006/relationships/hyperlink" Target="https://www.itu.int/wtsa/2024/" TargetMode="External"/><Relationship Id="rId14" Type="http://schemas.openxmlformats.org/officeDocument/2006/relationships/hyperlink" Target="https://www.itu.int/pub/T-REG-LIV.1-2024/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9</TotalTime>
  <Pages>5</Pages>
  <Words>2010</Words>
  <Characters>10880</Characters>
  <Application>Microsoft Office Word</Application>
  <DocSecurity>0</DocSecurity>
  <Lines>187</Lines>
  <Paragraphs>76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12814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Simposio Mundial de Normalización (SMN 24) y la Asamblea Mundial de Normalización de las Telecomunicaciones (AMNT-24)</dc:title>
  <dc:subject>Consejo 2025 de la UIT</dc:subject>
  <cp:keywords>C2025, C25, Council-25</cp:keywords>
  <dc:description/>
  <cp:lastPrinted>2006-03-24T09:51:00Z</cp:lastPrinted>
  <dcterms:created xsi:type="dcterms:W3CDTF">2025-05-12T14:44:00Z</dcterms:created>
  <dcterms:modified xsi:type="dcterms:W3CDTF">2025-05-13T15:25:00Z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