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98A056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2F9658" w14:textId="2DF18E57" w:rsidR="00796BD3" w:rsidRPr="006D1044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6D1044">
              <w:rPr>
                <w:b/>
                <w:lang w:val="ru-RU"/>
              </w:rPr>
              <w:t xml:space="preserve"> </w:t>
            </w:r>
            <w:r w:rsidR="006D1044">
              <w:rPr>
                <w:b/>
                <w:lang w:val="en-US"/>
              </w:rPr>
              <w:t>PL 3</w:t>
            </w:r>
          </w:p>
        </w:tc>
        <w:tc>
          <w:tcPr>
            <w:tcW w:w="5245" w:type="dxa"/>
          </w:tcPr>
          <w:p w14:paraId="4BA7A5A2" w14:textId="32BC0EA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6D1044">
              <w:rPr>
                <w:b/>
                <w:lang w:val="ru-RU"/>
              </w:rPr>
              <w:t>24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57B73A8B" w14:textId="77777777" w:rsidTr="00DA770A">
        <w:trPr>
          <w:cantSplit/>
        </w:trPr>
        <w:tc>
          <w:tcPr>
            <w:tcW w:w="3969" w:type="dxa"/>
            <w:vMerge/>
          </w:tcPr>
          <w:p w14:paraId="3EFE1A2F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3F47EE" w14:textId="7ECA9B5A" w:rsidR="00796BD3" w:rsidRPr="00E85629" w:rsidRDefault="000C5ADF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 xml:space="preserve">12 мая </w:t>
            </w:r>
            <w:r w:rsidR="006D1044">
              <w:rPr>
                <w:b/>
                <w:lang w:val="ru-RU"/>
              </w:rPr>
              <w:t>2025 г</w:t>
            </w:r>
            <w:r>
              <w:rPr>
                <w:b/>
                <w:lang w:val="ru-RU"/>
              </w:rPr>
              <w:t>ода</w:t>
            </w:r>
          </w:p>
        </w:tc>
      </w:tr>
      <w:tr w:rsidR="00796BD3" w:rsidRPr="00813E5E" w14:paraId="299A27F0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B4DD278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390159E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0EB56BFC" w14:textId="77777777" w:rsidTr="00DA770A">
        <w:trPr>
          <w:cantSplit/>
          <w:trHeight w:val="23"/>
        </w:trPr>
        <w:tc>
          <w:tcPr>
            <w:tcW w:w="3969" w:type="dxa"/>
          </w:tcPr>
          <w:p w14:paraId="19FAFE5A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CFC8635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4B7CF5DA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0FC5605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506DE" w14:paraId="0D4199B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3F08596" w14:textId="25526C00" w:rsidR="00796BD3" w:rsidRPr="006D1044" w:rsidRDefault="006D1044" w:rsidP="00DA770A">
            <w:pPr>
              <w:pStyle w:val="Subtitle"/>
              <w:framePr w:hSpace="0" w:wrap="auto" w:hAnchor="text" w:xAlign="left" w:yAlign="inline"/>
              <w:rPr>
                <w:caps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D1044">
              <w:rPr>
                <w:rFonts w:cstheme="minorHAnsi"/>
                <w:caps/>
                <w:sz w:val="32"/>
                <w:szCs w:val="32"/>
                <w:lang w:val="ru-RU"/>
              </w:rPr>
              <w:t>отчет о глобальном симпозиуме по стандартам (гсс-24) и всемирной ассамблее по стандартизации электросвязи (ВАСЭ-24)</w:t>
            </w:r>
          </w:p>
        </w:tc>
      </w:tr>
      <w:tr w:rsidR="00796BD3" w:rsidRPr="006D1044" w14:paraId="0E198FB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8B2F399" w14:textId="77777777" w:rsidR="00796BD3" w:rsidRPr="004B3E75" w:rsidRDefault="0033025A" w:rsidP="004B3E75">
            <w:pPr>
              <w:spacing w:before="16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438008E" w14:textId="307EE207" w:rsidR="00796BD3" w:rsidRPr="006D1044" w:rsidRDefault="006D1044" w:rsidP="004B3E75">
            <w:pPr>
              <w:jc w:val="both"/>
              <w:rPr>
                <w:lang w:val="ru-RU"/>
              </w:rPr>
            </w:pPr>
            <w:r w:rsidRPr="006D1044">
              <w:rPr>
                <w:lang w:val="ru-RU"/>
              </w:rPr>
              <w:t>В настоящем документе представлена краткая информация о</w:t>
            </w:r>
            <w:r w:rsidR="000C5ADF" w:rsidRPr="004216D2">
              <w:rPr>
                <w:lang w:val="ru-RU"/>
              </w:rPr>
              <w:t xml:space="preserve"> </w:t>
            </w:r>
            <w:r w:rsidR="000C5ADF" w:rsidRPr="000C5ADF">
              <w:rPr>
                <w:lang w:val="ru-RU"/>
              </w:rPr>
              <w:t xml:space="preserve">Глобальном симпозиуме по стандартам </w:t>
            </w:r>
            <w:r w:rsidR="000C5ADF" w:rsidRPr="004216D2">
              <w:rPr>
                <w:lang w:val="ru-RU"/>
              </w:rPr>
              <w:t xml:space="preserve">2024 </w:t>
            </w:r>
            <w:r w:rsidR="000C5ADF">
              <w:rPr>
                <w:lang w:val="ru-RU"/>
              </w:rPr>
              <w:t>года</w:t>
            </w:r>
            <w:r w:rsidR="000C5ADF" w:rsidRPr="006D1044">
              <w:rPr>
                <w:lang w:val="ru-RU"/>
              </w:rPr>
              <w:t xml:space="preserve"> </w:t>
            </w:r>
            <w:r w:rsidR="000C5ADF">
              <w:rPr>
                <w:lang w:val="ru-RU"/>
              </w:rPr>
              <w:t>(</w:t>
            </w:r>
            <w:r w:rsidRPr="006D1044">
              <w:rPr>
                <w:lang w:val="ru-RU"/>
              </w:rPr>
              <w:t>ГСС-24</w:t>
            </w:r>
            <w:r w:rsidR="000C5ADF">
              <w:rPr>
                <w:lang w:val="ru-RU"/>
              </w:rPr>
              <w:t>)</w:t>
            </w:r>
            <w:r w:rsidRPr="006D1044">
              <w:rPr>
                <w:lang w:val="ru-RU"/>
              </w:rPr>
              <w:t xml:space="preserve"> и </w:t>
            </w:r>
            <w:r w:rsidR="000C5ADF" w:rsidRPr="000C5ADF">
              <w:rPr>
                <w:lang w:val="ru-RU"/>
              </w:rPr>
              <w:t xml:space="preserve">Всемирной ассамблее по стандартизации электросвязи </w:t>
            </w:r>
            <w:r w:rsidR="000C5ADF" w:rsidRPr="004216D2">
              <w:rPr>
                <w:lang w:val="ru-RU"/>
              </w:rPr>
              <w:t>2024</w:t>
            </w:r>
            <w:r w:rsidR="000C5ADF">
              <w:rPr>
                <w:lang w:val="ru-RU"/>
              </w:rPr>
              <w:t> года</w:t>
            </w:r>
            <w:r w:rsidR="000C5ADF" w:rsidRPr="006D1044">
              <w:rPr>
                <w:lang w:val="ru-RU"/>
              </w:rPr>
              <w:t xml:space="preserve"> </w:t>
            </w:r>
            <w:r w:rsidR="000C5ADF">
              <w:rPr>
                <w:lang w:val="ru-RU"/>
              </w:rPr>
              <w:t>(</w:t>
            </w:r>
            <w:r w:rsidRPr="006D1044">
              <w:rPr>
                <w:lang w:val="ru-RU"/>
              </w:rPr>
              <w:t>ВАСЭ-24</w:t>
            </w:r>
            <w:r w:rsidR="000C5ADF">
              <w:rPr>
                <w:lang w:val="ru-RU"/>
              </w:rPr>
              <w:t>)</w:t>
            </w:r>
            <w:r w:rsidRPr="006D1044">
              <w:rPr>
                <w:lang w:val="ru-RU"/>
              </w:rPr>
              <w:t>.</w:t>
            </w:r>
          </w:p>
          <w:p w14:paraId="237A4ED5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62F15FA" w14:textId="7BBC713E" w:rsidR="00796BD3" w:rsidRPr="00D631AA" w:rsidRDefault="006D1044" w:rsidP="00DA770A">
            <w:pPr>
              <w:rPr>
                <w:lang w:val="ru-RU"/>
              </w:rPr>
            </w:pPr>
            <w:r w:rsidRPr="006D1044">
              <w:rPr>
                <w:lang w:val="ru-RU"/>
              </w:rPr>
              <w:t xml:space="preserve">Совету предлагается </w:t>
            </w:r>
            <w:r w:rsidRPr="006D1044">
              <w:rPr>
                <w:b/>
                <w:bCs/>
                <w:lang w:val="ru-RU"/>
              </w:rPr>
              <w:t>принять к сведению</w:t>
            </w:r>
            <w:r w:rsidRPr="006D1044">
              <w:rPr>
                <w:lang w:val="ru-RU"/>
              </w:rPr>
              <w:t xml:space="preserve"> данный отчет.</w:t>
            </w:r>
          </w:p>
          <w:p w14:paraId="776ACE11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7704F7F" w14:textId="6B3778B0" w:rsidR="00796BD3" w:rsidRPr="006D1044" w:rsidRDefault="006D1044" w:rsidP="00DA770A">
            <w:pPr>
              <w:rPr>
                <w:lang w:val="ru-RU"/>
              </w:rPr>
            </w:pPr>
            <w:r w:rsidRPr="006D1044">
              <w:rPr>
                <w:lang w:val="ru-RU"/>
              </w:rPr>
              <w:t>Универсальная возможность установления соединений;</w:t>
            </w:r>
            <w:r>
              <w:rPr>
                <w:lang w:val="ru-RU"/>
              </w:rPr>
              <w:t xml:space="preserve"> </w:t>
            </w:r>
            <w:r w:rsidRPr="006D1044">
              <w:rPr>
                <w:lang w:val="ru-RU"/>
              </w:rPr>
              <w:t>устойчивая цифровая трансформация</w:t>
            </w:r>
            <w:r w:rsidR="006B3CAC">
              <w:rPr>
                <w:lang w:val="ru-RU"/>
              </w:rPr>
              <w:t>.</w:t>
            </w:r>
          </w:p>
          <w:p w14:paraId="0AA69594" w14:textId="77777777" w:rsidR="00796BD3" w:rsidRPr="004B3E7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3C50B75" w14:textId="47509E2D" w:rsidR="00345D2A" w:rsidRPr="006D1044" w:rsidRDefault="006D1044" w:rsidP="00DA770A">
            <w:pPr>
              <w:spacing w:before="160"/>
              <w:rPr>
                <w:szCs w:val="22"/>
                <w:lang w:val="ru-RU"/>
              </w:rPr>
            </w:pPr>
            <w:r w:rsidRPr="006D1044">
              <w:rPr>
                <w:szCs w:val="22"/>
                <w:lang w:val="ru-RU"/>
              </w:rPr>
              <w:t xml:space="preserve">1,414 млн. швейцарских франков </w:t>
            </w:r>
            <w:r w:rsidR="000C5ADF">
              <w:rPr>
                <w:szCs w:val="22"/>
                <w:lang w:val="ru-RU"/>
              </w:rPr>
              <w:t xml:space="preserve">на период </w:t>
            </w:r>
            <w:r w:rsidRPr="006D1044">
              <w:rPr>
                <w:rFonts w:asciiTheme="minorHAnsi" w:hAnsiTheme="minorHAnsi" w:cstheme="minorHAnsi"/>
                <w:szCs w:val="22"/>
                <w:lang w:val="ru-RU"/>
              </w:rPr>
              <w:t>2025−2028</w:t>
            </w:r>
            <w:r w:rsidRPr="006D1044">
              <w:rPr>
                <w:szCs w:val="22"/>
                <w:lang w:val="ru-RU"/>
              </w:rPr>
              <w:t xml:space="preserve"> год</w:t>
            </w:r>
            <w:r w:rsidR="000C5ADF">
              <w:rPr>
                <w:szCs w:val="22"/>
                <w:lang w:val="ru-RU"/>
              </w:rPr>
              <w:t>ов</w:t>
            </w:r>
            <w:r w:rsidRPr="006D1044">
              <w:rPr>
                <w:szCs w:val="22"/>
                <w:lang w:val="ru-RU"/>
              </w:rPr>
              <w:t xml:space="preserve"> (см. раздел 2.2 отчета</w:t>
            </w:r>
            <w:r w:rsidR="000C5ADF">
              <w:rPr>
                <w:szCs w:val="22"/>
                <w:lang w:val="ru-RU"/>
              </w:rPr>
              <w:t xml:space="preserve"> и </w:t>
            </w:r>
            <w:r w:rsidR="000C5ADF">
              <w:rPr>
                <w:lang w:val="ru-RU"/>
              </w:rPr>
              <w:t xml:space="preserve">Документы </w:t>
            </w:r>
            <w:hyperlink r:id="rId7" w:history="1">
              <w:r w:rsidR="000C5ADF" w:rsidRPr="00BD7B7F">
                <w:rPr>
                  <w:rStyle w:val="Hyperlink"/>
                </w:rPr>
                <w:t>C</w:t>
              </w:r>
              <w:r w:rsidR="000C5ADF" w:rsidRPr="004216D2">
                <w:rPr>
                  <w:rStyle w:val="Hyperlink"/>
                  <w:lang w:val="ru-RU"/>
                </w:rPr>
                <w:t>25/13</w:t>
              </w:r>
            </w:hyperlink>
            <w:r w:rsidR="000C5ADF" w:rsidRPr="004216D2">
              <w:rPr>
                <w:lang w:val="ru-RU"/>
              </w:rPr>
              <w:t xml:space="preserve"> </w:t>
            </w:r>
            <w:r w:rsidR="000C5ADF">
              <w:rPr>
                <w:lang w:val="ru-RU"/>
              </w:rPr>
              <w:t>и</w:t>
            </w:r>
            <w:r w:rsidR="000C5ADF" w:rsidRPr="004216D2">
              <w:rPr>
                <w:lang w:val="ru-RU"/>
              </w:rPr>
              <w:t xml:space="preserve"> </w:t>
            </w:r>
            <w:hyperlink r:id="rId8" w:history="1">
              <w:r w:rsidR="000C5ADF" w:rsidRPr="00BD7B7F">
                <w:rPr>
                  <w:rStyle w:val="Hyperlink"/>
                </w:rPr>
                <w:t>C</w:t>
              </w:r>
              <w:r w:rsidR="000C5ADF" w:rsidRPr="004216D2">
                <w:rPr>
                  <w:rStyle w:val="Hyperlink"/>
                  <w:lang w:val="ru-RU"/>
                </w:rPr>
                <w:t>25/43</w:t>
              </w:r>
            </w:hyperlink>
            <w:r w:rsidRPr="006D1044">
              <w:rPr>
                <w:szCs w:val="22"/>
                <w:lang w:val="ru-RU"/>
              </w:rPr>
              <w:t>)</w:t>
            </w:r>
            <w:r w:rsidR="006B3CAC">
              <w:rPr>
                <w:szCs w:val="22"/>
                <w:lang w:val="ru-RU"/>
              </w:rPr>
              <w:t>.</w:t>
            </w:r>
          </w:p>
          <w:p w14:paraId="2955664A" w14:textId="77777777" w:rsidR="00796BD3" w:rsidRPr="006D1044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D1044">
              <w:rPr>
                <w:sz w:val="20"/>
                <w:szCs w:val="18"/>
                <w:lang w:val="ru-RU"/>
              </w:rPr>
              <w:t>__________________</w:t>
            </w:r>
          </w:p>
          <w:p w14:paraId="4C41F61B" w14:textId="77777777" w:rsidR="00796BD3" w:rsidRPr="006D1044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D104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98B3FC1" w14:textId="619E26C2" w:rsidR="00796BD3" w:rsidRPr="006D1044" w:rsidRDefault="000C5ADF" w:rsidP="00DA770A">
            <w:pPr>
              <w:spacing w:after="160"/>
              <w:rPr>
                <w:i/>
                <w:iCs/>
              </w:rPr>
            </w:pPr>
            <w:hyperlink r:id="rId9" w:history="1">
              <w:r w:rsidRPr="005B2038">
                <w:rPr>
                  <w:rStyle w:val="Hyperlink"/>
                  <w:i/>
                  <w:iCs/>
                  <w:szCs w:val="22"/>
                </w:rPr>
                <w:t>https</w:t>
              </w:r>
              <w:r w:rsidRPr="004216D2">
                <w:rPr>
                  <w:rStyle w:val="Hyperlink"/>
                  <w:i/>
                  <w:iCs/>
                  <w:szCs w:val="22"/>
                  <w:lang w:val="ru-RU"/>
                </w:rPr>
                <w:t>://</w:t>
              </w:r>
              <w:r w:rsidRPr="005B2038">
                <w:rPr>
                  <w:rStyle w:val="Hyperlink"/>
                  <w:i/>
                  <w:iCs/>
                  <w:szCs w:val="22"/>
                </w:rPr>
                <w:t>www</w:t>
              </w:r>
              <w:r w:rsidRPr="004216D2">
                <w:rPr>
                  <w:rStyle w:val="Hyperlink"/>
                  <w:i/>
                  <w:iCs/>
                  <w:szCs w:val="22"/>
                  <w:lang w:val="ru-RU"/>
                </w:rPr>
                <w:t>.</w:t>
              </w:r>
              <w:r w:rsidRPr="005B2038">
                <w:rPr>
                  <w:rStyle w:val="Hyperlink"/>
                  <w:i/>
                  <w:iCs/>
                  <w:szCs w:val="22"/>
                </w:rPr>
                <w:t>itu</w:t>
              </w:r>
              <w:r w:rsidRPr="004216D2">
                <w:rPr>
                  <w:rStyle w:val="Hyperlink"/>
                  <w:i/>
                  <w:iCs/>
                  <w:szCs w:val="22"/>
                  <w:lang w:val="ru-RU"/>
                </w:rPr>
                <w:t>.</w:t>
              </w:r>
              <w:r w:rsidRPr="005B2038">
                <w:rPr>
                  <w:rStyle w:val="Hyperlink"/>
                  <w:i/>
                  <w:iCs/>
                  <w:szCs w:val="22"/>
                </w:rPr>
                <w:t>int</w:t>
              </w:r>
              <w:r w:rsidRPr="004216D2">
                <w:rPr>
                  <w:rStyle w:val="Hyperlink"/>
                  <w:i/>
                  <w:iCs/>
                  <w:szCs w:val="22"/>
                  <w:lang w:val="ru-RU"/>
                </w:rPr>
                <w:t>/</w:t>
              </w:r>
              <w:r w:rsidRPr="005B2038">
                <w:rPr>
                  <w:rStyle w:val="Hyperlink"/>
                  <w:i/>
                  <w:iCs/>
                  <w:szCs w:val="22"/>
                </w:rPr>
                <w:t>wtsa</w:t>
              </w:r>
              <w:r w:rsidRPr="004216D2">
                <w:rPr>
                  <w:rStyle w:val="Hyperlink"/>
                  <w:i/>
                  <w:iCs/>
                  <w:szCs w:val="22"/>
                  <w:lang w:val="ru-RU"/>
                </w:rPr>
                <w:t>/2024/</w:t>
              </w:r>
            </w:hyperlink>
            <w:r w:rsidR="006D1044" w:rsidRPr="00BF2BC9">
              <w:rPr>
                <w:i/>
                <w:iCs/>
                <w:spacing w:val="-2"/>
                <w:szCs w:val="22"/>
                <w:lang w:val="ru-RU" w:eastAsia="ja-JP"/>
              </w:rPr>
              <w:t xml:space="preserve">; </w:t>
            </w:r>
            <w:hyperlink r:id="rId10" w:history="1">
              <w:r w:rsidR="006D1044" w:rsidRPr="00124942">
                <w:rPr>
                  <w:rStyle w:val="Hyperlink"/>
                  <w:i/>
                  <w:iCs/>
                  <w:spacing w:val="-2"/>
                  <w:szCs w:val="22"/>
                  <w:lang w:eastAsia="ja-JP"/>
                </w:rPr>
                <w:t>https</w:t>
              </w:r>
              <w:r w:rsidR="006D1044" w:rsidRPr="00BF2BC9">
                <w:rPr>
                  <w:rStyle w:val="Hyperlink"/>
                  <w:i/>
                  <w:iCs/>
                  <w:spacing w:val="-2"/>
                  <w:szCs w:val="22"/>
                  <w:lang w:val="ru-RU" w:eastAsia="ja-JP"/>
                </w:rPr>
                <w:t>://</w:t>
              </w:r>
              <w:r w:rsidR="006D1044" w:rsidRPr="00124942">
                <w:rPr>
                  <w:rStyle w:val="Hyperlink"/>
                  <w:i/>
                  <w:iCs/>
                  <w:spacing w:val="-2"/>
                  <w:szCs w:val="22"/>
                  <w:lang w:eastAsia="ja-JP"/>
                </w:rPr>
                <w:t>gss</w:t>
              </w:r>
              <w:r w:rsidR="006D1044" w:rsidRPr="00BF2BC9">
                <w:rPr>
                  <w:rStyle w:val="Hyperlink"/>
                  <w:i/>
                  <w:iCs/>
                  <w:spacing w:val="-2"/>
                  <w:szCs w:val="22"/>
                  <w:lang w:val="ru-RU" w:eastAsia="ja-JP"/>
                </w:rPr>
                <w:t>.</w:t>
              </w:r>
              <w:r w:rsidR="006D1044" w:rsidRPr="00124942">
                <w:rPr>
                  <w:rStyle w:val="Hyperlink"/>
                  <w:i/>
                  <w:iCs/>
                  <w:spacing w:val="-2"/>
                  <w:szCs w:val="22"/>
                  <w:lang w:eastAsia="ja-JP"/>
                </w:rPr>
                <w:t>itu</w:t>
              </w:r>
              <w:r w:rsidR="006D1044" w:rsidRPr="00BF2BC9">
                <w:rPr>
                  <w:rStyle w:val="Hyperlink"/>
                  <w:i/>
                  <w:iCs/>
                  <w:spacing w:val="-2"/>
                  <w:szCs w:val="22"/>
                  <w:lang w:val="ru-RU" w:eastAsia="ja-JP"/>
                </w:rPr>
                <w:t>.</w:t>
              </w:r>
              <w:r w:rsidR="006D1044" w:rsidRPr="00124942">
                <w:rPr>
                  <w:rStyle w:val="Hyperlink"/>
                  <w:i/>
                  <w:iCs/>
                  <w:spacing w:val="-2"/>
                  <w:szCs w:val="22"/>
                  <w:lang w:eastAsia="ja-JP"/>
                </w:rPr>
                <w:t>int</w:t>
              </w:r>
              <w:r w:rsidR="006D1044" w:rsidRPr="00BF2BC9">
                <w:rPr>
                  <w:rStyle w:val="Hyperlink"/>
                  <w:i/>
                  <w:iCs/>
                  <w:spacing w:val="-2"/>
                  <w:szCs w:val="22"/>
                  <w:lang w:val="ru-RU" w:eastAsia="ja-JP"/>
                </w:rPr>
                <w:t>/</w:t>
              </w:r>
            </w:hyperlink>
            <w:r w:rsidR="006D1044" w:rsidRPr="00BF2BC9">
              <w:rPr>
                <w:i/>
                <w:iCs/>
                <w:spacing w:val="-2"/>
                <w:szCs w:val="22"/>
                <w:lang w:val="ru-RU" w:eastAsia="ja-JP"/>
              </w:rPr>
              <w:t>;</w:t>
            </w:r>
            <w:r w:rsidRPr="004216D2">
              <w:rPr>
                <w:lang w:val="ru-RU"/>
              </w:rPr>
              <w:t xml:space="preserve"> </w:t>
            </w:r>
            <w:r w:rsidRPr="000C5ADF">
              <w:rPr>
                <w:i/>
                <w:iCs/>
                <w:spacing w:val="-2"/>
                <w:szCs w:val="22"/>
                <w:lang w:val="ru-RU" w:eastAsia="ja-JP"/>
              </w:rPr>
              <w:t>Отчет Комитета по бюджетному контролю</w:t>
            </w:r>
            <w:r>
              <w:rPr>
                <w:i/>
                <w:iCs/>
                <w:spacing w:val="-2"/>
                <w:szCs w:val="22"/>
                <w:lang w:val="ru-RU" w:eastAsia="ja-JP"/>
              </w:rPr>
              <w:t xml:space="preserve"> (</w:t>
            </w:r>
            <w:hyperlink r:id="rId11" w:history="1">
              <w:r w:rsidR="00BF2BC9" w:rsidRPr="00BF2BC9">
                <w:rPr>
                  <w:rStyle w:val="Hyperlink"/>
                  <w:i/>
                  <w:iCs/>
                  <w:spacing w:val="-2"/>
                  <w:szCs w:val="22"/>
                  <w:lang w:eastAsia="ja-JP"/>
                </w:rPr>
                <w:t>Документ 119 ВАСЭ</w:t>
              </w:r>
            </w:hyperlink>
            <w:r>
              <w:rPr>
                <w:i/>
                <w:iCs/>
                <w:spacing w:val="-2"/>
                <w:szCs w:val="22"/>
                <w:lang w:val="ru-RU" w:eastAsia="ja-JP"/>
              </w:rPr>
              <w:t>)</w:t>
            </w:r>
          </w:p>
        </w:tc>
      </w:tr>
      <w:bookmarkEnd w:id="2"/>
      <w:bookmarkEnd w:id="6"/>
    </w:tbl>
    <w:p w14:paraId="05AAB5E6" w14:textId="77777777" w:rsidR="00796BD3" w:rsidRPr="006D1044" w:rsidRDefault="00796BD3" w:rsidP="00796BD3"/>
    <w:p w14:paraId="0110F34D" w14:textId="77777777" w:rsidR="00165D06" w:rsidRPr="006D104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1044">
        <w:br w:type="page"/>
      </w:r>
    </w:p>
    <w:p w14:paraId="64E6749F" w14:textId="7B1A202F" w:rsidR="006D1044" w:rsidRPr="0026151F" w:rsidRDefault="006D1044" w:rsidP="006D1044">
      <w:pPr>
        <w:pStyle w:val="Heading1"/>
        <w:rPr>
          <w:lang w:val="ru-RU"/>
        </w:rPr>
      </w:pPr>
      <w:r w:rsidRPr="00BF2BC9">
        <w:rPr>
          <w:lang w:val="ru-RU"/>
        </w:rPr>
        <w:lastRenderedPageBreak/>
        <w:t>1</w:t>
      </w:r>
      <w:r w:rsidRPr="00BF2BC9">
        <w:rPr>
          <w:lang w:val="ru-RU"/>
        </w:rPr>
        <w:tab/>
      </w:r>
      <w:r w:rsidR="00BF2BC9" w:rsidRPr="0026151F">
        <w:rPr>
          <w:bCs/>
          <w:lang w:val="ru-RU"/>
        </w:rPr>
        <w:t>Глобальный симпозиум по стандартам (ГСС-24)</w:t>
      </w:r>
    </w:p>
    <w:p w14:paraId="7814DC16" w14:textId="481F1BAB" w:rsidR="006D1044" w:rsidRPr="0026151F" w:rsidRDefault="006D1044" w:rsidP="004B3E75">
      <w:pPr>
        <w:jc w:val="both"/>
        <w:rPr>
          <w:lang w:val="ru-RU"/>
        </w:rPr>
      </w:pPr>
      <w:r w:rsidRPr="0026151F">
        <w:rPr>
          <w:lang w:val="ru-RU"/>
        </w:rPr>
        <w:t>1.1</w:t>
      </w:r>
      <w:r w:rsidRPr="0026151F">
        <w:rPr>
          <w:lang w:val="ru-RU"/>
        </w:rPr>
        <w:tab/>
      </w:r>
      <w:hyperlink r:id="rId12" w:history="1">
        <w:r w:rsidR="00BF2BC9" w:rsidRPr="0026151F">
          <w:rPr>
            <w:rStyle w:val="Hyperlink"/>
            <w:lang w:val="ru-RU"/>
          </w:rPr>
          <w:t>Пятый Глобальный симпозиум по стандартам (ГСС-24)</w:t>
        </w:r>
      </w:hyperlink>
      <w:r w:rsidR="00BF2BC9" w:rsidRPr="0026151F">
        <w:rPr>
          <w:lang w:val="ru-RU"/>
        </w:rPr>
        <w:t>, состоявшийся 14 октября 2024 года в Нью-Дели, Индия, стал одним из ключевых форумов для мировых лидеров в области стандартизации и разработки политики</w:t>
      </w:r>
      <w:r w:rsidR="00820CE2" w:rsidRPr="0026151F">
        <w:rPr>
          <w:lang w:val="ru-RU"/>
        </w:rPr>
        <w:t xml:space="preserve"> и </w:t>
      </w:r>
      <w:r w:rsidR="00BF2BC9" w:rsidRPr="0026151F">
        <w:rPr>
          <w:lang w:val="ru-RU"/>
        </w:rPr>
        <w:t xml:space="preserve">лидеров отрасли. </w:t>
      </w:r>
      <w:r w:rsidR="00820CE2" w:rsidRPr="0026151F">
        <w:rPr>
          <w:lang w:val="ru-RU"/>
        </w:rPr>
        <w:t>В ходе с</w:t>
      </w:r>
      <w:r w:rsidR="00BF2BC9" w:rsidRPr="0026151F">
        <w:rPr>
          <w:lang w:val="ru-RU"/>
        </w:rPr>
        <w:t>импозиум</w:t>
      </w:r>
      <w:r w:rsidR="00820CE2" w:rsidRPr="0026151F">
        <w:rPr>
          <w:lang w:val="ru-RU"/>
        </w:rPr>
        <w:t>а, посвященного</w:t>
      </w:r>
      <w:r w:rsidR="00BF2BC9" w:rsidRPr="0026151F">
        <w:rPr>
          <w:lang w:val="ru-RU"/>
        </w:rPr>
        <w:t xml:space="preserve"> теме "Формирование нового импульса цифрового развития: появляющиеся технологии, инновации и международные стандарты"</w:t>
      </w:r>
      <w:r w:rsidR="00820CE2" w:rsidRPr="0026151F">
        <w:rPr>
          <w:lang w:val="ru-RU"/>
        </w:rPr>
        <w:t xml:space="preserve">, была подчеркнута </w:t>
      </w:r>
      <w:r w:rsidR="00BF2BC9" w:rsidRPr="0026151F">
        <w:rPr>
          <w:lang w:val="ru-RU"/>
        </w:rPr>
        <w:t>важнейш</w:t>
      </w:r>
      <w:r w:rsidR="00820CE2" w:rsidRPr="0026151F">
        <w:rPr>
          <w:lang w:val="ru-RU"/>
        </w:rPr>
        <w:t>ая</w:t>
      </w:r>
      <w:r w:rsidR="00BF2BC9" w:rsidRPr="0026151F">
        <w:rPr>
          <w:lang w:val="ru-RU"/>
        </w:rPr>
        <w:t xml:space="preserve"> роль технических стандартов в стимулировании инноваций в таких областях, как искусственный интеллект (ИИ), "умные" города, виртуальные миры и цифровая инфраструктура.</w:t>
      </w:r>
    </w:p>
    <w:p w14:paraId="534C4083" w14:textId="0B41C3D6" w:rsidR="006D1044" w:rsidRPr="004B3E75" w:rsidRDefault="006D1044" w:rsidP="004B3E75">
      <w:pPr>
        <w:jc w:val="both"/>
        <w:rPr>
          <w:lang w:val="ru-RU"/>
        </w:rPr>
      </w:pPr>
      <w:r w:rsidRPr="0026151F">
        <w:rPr>
          <w:rFonts w:eastAsia="Calibri" w:cs="Calibri"/>
          <w:szCs w:val="24"/>
          <w:lang w:val="ru-RU"/>
        </w:rPr>
        <w:t>1.2</w:t>
      </w:r>
      <w:r w:rsidRPr="0026151F">
        <w:rPr>
          <w:lang w:val="ru-RU"/>
        </w:rPr>
        <w:tab/>
      </w:r>
      <w:r w:rsidR="00FB6C91" w:rsidRPr="0026151F">
        <w:rPr>
          <w:lang w:val="ru-RU"/>
        </w:rPr>
        <w:t xml:space="preserve">По завершении ГСС-24 был подготовлен </w:t>
      </w:r>
      <w:hyperlink r:id="rId13" w:history="1">
        <w:r w:rsidR="00FB6C91" w:rsidRPr="0026151F">
          <w:rPr>
            <w:rStyle w:val="Hyperlink"/>
            <w:lang w:val="ru-RU"/>
          </w:rPr>
          <w:t>итоговый документ</w:t>
        </w:r>
      </w:hyperlink>
      <w:r w:rsidR="00FB6C91" w:rsidRPr="0026151F">
        <w:rPr>
          <w:lang w:val="ru-RU"/>
        </w:rPr>
        <w:t xml:space="preserve">, который был принят </w:t>
      </w:r>
      <w:r w:rsidR="00FB6C91" w:rsidRPr="0026151F">
        <w:rPr>
          <w:rFonts w:asciiTheme="minorHAnsi" w:hAnsiTheme="minorHAnsi" w:cstheme="minorHAnsi"/>
          <w:lang w:val="ru-RU"/>
        </w:rPr>
        <w:t>ВАСЭ</w:t>
      </w:r>
      <w:r w:rsidR="00FB6C91" w:rsidRPr="0026151F">
        <w:rPr>
          <w:rFonts w:ascii="Cambria Math" w:hAnsi="Cambria Math" w:cs="Cambria Math"/>
          <w:lang w:val="ru-RU"/>
        </w:rPr>
        <w:t>‑</w:t>
      </w:r>
      <w:r w:rsidR="00FB6C91" w:rsidRPr="0026151F">
        <w:rPr>
          <w:rFonts w:asciiTheme="minorHAnsi" w:hAnsiTheme="minorHAnsi" w:cstheme="minorHAnsi"/>
          <w:lang w:val="ru-RU"/>
        </w:rPr>
        <w:t xml:space="preserve">24 и в котором </w:t>
      </w:r>
      <w:r w:rsidR="00A2523C" w:rsidRPr="0026151F">
        <w:rPr>
          <w:rFonts w:asciiTheme="minorHAnsi" w:hAnsiTheme="minorHAnsi" w:cstheme="minorHAnsi"/>
          <w:lang w:val="ru-RU"/>
        </w:rPr>
        <w:t>была показана важность</w:t>
      </w:r>
      <w:r w:rsidR="00FB6C91" w:rsidRPr="0026151F">
        <w:rPr>
          <w:rFonts w:asciiTheme="minorHAnsi" w:hAnsiTheme="minorHAnsi" w:cstheme="minorHAnsi"/>
          <w:lang w:val="ru-RU"/>
        </w:rPr>
        <w:t xml:space="preserve"> стандартов для стимулирования технологических</w:t>
      </w:r>
      <w:r w:rsidR="00FB6C91" w:rsidRPr="0026151F">
        <w:rPr>
          <w:lang w:val="ru-RU"/>
        </w:rPr>
        <w:t xml:space="preserve"> инноваций, обеспечения устойчивости и ускорения глобальной цифровой трансформации.</w:t>
      </w:r>
    </w:p>
    <w:p w14:paraId="2F53B9A2" w14:textId="25C9C75B" w:rsidR="006D1044" w:rsidRPr="005F336D" w:rsidRDefault="006D1044" w:rsidP="004B3E75">
      <w:pPr>
        <w:jc w:val="both"/>
        <w:rPr>
          <w:rFonts w:eastAsia="Calibri" w:cs="Calibri"/>
          <w:spacing w:val="-2"/>
          <w:lang w:val="ru-RU"/>
        </w:rPr>
      </w:pPr>
      <w:r w:rsidRPr="0026151F">
        <w:rPr>
          <w:rFonts w:eastAsia="Calibri" w:cs="Calibri"/>
          <w:spacing w:val="-2"/>
          <w:szCs w:val="24"/>
          <w:lang w:val="ru-RU"/>
        </w:rPr>
        <w:t>1.3</w:t>
      </w:r>
      <w:r w:rsidRPr="0026151F">
        <w:rPr>
          <w:spacing w:val="-2"/>
          <w:lang w:val="ru-RU"/>
        </w:rPr>
        <w:tab/>
      </w:r>
      <w:r w:rsidR="001E5536" w:rsidRPr="0026151F">
        <w:rPr>
          <w:rFonts w:eastAsia="Calibri" w:cs="Calibri"/>
          <w:spacing w:val="-2"/>
          <w:lang w:val="ru-RU"/>
        </w:rPr>
        <w:t>На ГСС-24 наблюдалось беспрецедентное количество уч</w:t>
      </w:r>
      <w:r w:rsidR="001E5536" w:rsidRPr="0026151F">
        <w:rPr>
          <w:rFonts w:asciiTheme="minorHAnsi" w:eastAsia="Calibri" w:hAnsiTheme="minorHAnsi" w:cstheme="minorHAnsi"/>
          <w:spacing w:val="-2"/>
          <w:lang w:val="ru-RU"/>
        </w:rPr>
        <w:t xml:space="preserve">астников </w:t>
      </w:r>
      <w:r w:rsidR="00A2523C" w:rsidRPr="0026151F">
        <w:rPr>
          <w:rFonts w:asciiTheme="minorHAnsi" w:eastAsia="Calibri" w:hAnsiTheme="minorHAnsi" w:cstheme="minorHAnsi"/>
          <w:spacing w:val="-2"/>
          <w:lang w:val="ru-RU"/>
        </w:rPr>
        <w:t>−</w:t>
      </w:r>
      <w:r w:rsidR="001E5536" w:rsidRPr="0026151F">
        <w:rPr>
          <w:rFonts w:asciiTheme="minorHAnsi" w:eastAsia="Calibri" w:hAnsiTheme="minorHAnsi" w:cstheme="minorHAnsi"/>
          <w:spacing w:val="-2"/>
          <w:lang w:val="ru-RU"/>
        </w:rPr>
        <w:t xml:space="preserve"> более 2600</w:t>
      </w:r>
      <w:r w:rsidR="001E5536" w:rsidRPr="0026151F">
        <w:rPr>
          <w:rFonts w:eastAsia="Calibri" w:cs="Calibri"/>
          <w:spacing w:val="-2"/>
          <w:lang w:val="ru-RU"/>
        </w:rPr>
        <w:t xml:space="preserve"> человек из различных секторов. В мероприятии приняли участие более 1800 человек в очном формате и 800 человек </w:t>
      </w:r>
      <w:r w:rsidR="001E5536" w:rsidRPr="0026151F">
        <w:rPr>
          <w:rFonts w:asciiTheme="minorHAnsi" w:eastAsia="Calibri" w:hAnsiTheme="minorHAnsi" w:cstheme="minorHAnsi"/>
          <w:spacing w:val="-2"/>
          <w:lang w:val="ru-RU"/>
        </w:rPr>
        <w:t>− в</w:t>
      </w:r>
      <w:r w:rsidR="001E5536" w:rsidRPr="0026151F">
        <w:rPr>
          <w:rFonts w:eastAsia="Calibri" w:cs="Calibri"/>
          <w:spacing w:val="-2"/>
          <w:lang w:val="ru-RU"/>
        </w:rPr>
        <w:t xml:space="preserve"> дистанционном, что</w:t>
      </w:r>
      <w:r w:rsidR="001E5536" w:rsidRPr="001E5536">
        <w:rPr>
          <w:rFonts w:eastAsia="Calibri" w:cs="Calibri"/>
          <w:spacing w:val="-2"/>
          <w:lang w:val="ru-RU"/>
        </w:rPr>
        <w:t xml:space="preserve"> способствовало динамичному обмену идеями.</w:t>
      </w:r>
      <w:r w:rsidR="001E5536">
        <w:rPr>
          <w:rFonts w:eastAsia="Calibri" w:cs="Calibri"/>
          <w:spacing w:val="-2"/>
          <w:lang w:val="ru-RU"/>
        </w:rPr>
        <w:t xml:space="preserve"> </w:t>
      </w:r>
      <w:r w:rsidR="005F336D" w:rsidRPr="005F336D">
        <w:rPr>
          <w:rFonts w:eastAsia="Calibri" w:cs="Calibri"/>
          <w:spacing w:val="-2"/>
          <w:szCs w:val="24"/>
          <w:lang w:val="ru-RU"/>
        </w:rPr>
        <w:t>Среди высокопоставленных участников было более 70 лидеров отрасли, выступавших в качестве докладчиков, а также более 20 руководителей регуляторных органов и такое же число министров и заместителей министров.</w:t>
      </w:r>
      <w:r w:rsidRPr="005F336D">
        <w:rPr>
          <w:rFonts w:eastAsia="Calibri" w:cs="Calibri"/>
          <w:spacing w:val="-2"/>
          <w:szCs w:val="24"/>
          <w:lang w:val="ru-RU"/>
        </w:rPr>
        <w:t xml:space="preserve"> </w:t>
      </w:r>
      <w:r w:rsidR="005F336D" w:rsidRPr="005F336D">
        <w:rPr>
          <w:rFonts w:eastAsia="Calibri" w:cs="Calibri"/>
          <w:spacing w:val="-2"/>
          <w:lang w:val="ru-RU"/>
        </w:rPr>
        <w:t>Кроме того, в симпозиуме приняли участие более десяти представителей исследовательских организаций и организаций по стандартизации, что свидетельствует о широком и всеохватном характере диалога по вопросам международных стандартов и появляющихся технологий.</w:t>
      </w:r>
    </w:p>
    <w:p w14:paraId="3A053FBD" w14:textId="50E3D733" w:rsidR="006D1044" w:rsidRPr="0023776C" w:rsidRDefault="006D1044" w:rsidP="004B3E75">
      <w:pPr>
        <w:jc w:val="both"/>
        <w:rPr>
          <w:rFonts w:eastAsia="Calibri" w:cs="Calibri"/>
          <w:lang w:val="ru-RU"/>
        </w:rPr>
      </w:pPr>
      <w:r w:rsidRPr="005F336D">
        <w:rPr>
          <w:rFonts w:eastAsia="Calibri" w:cs="Calibri"/>
          <w:szCs w:val="24"/>
          <w:lang w:val="ru-RU"/>
        </w:rPr>
        <w:t>1.4</w:t>
      </w:r>
      <w:r w:rsidRPr="005F336D">
        <w:rPr>
          <w:lang w:val="ru-RU"/>
        </w:rPr>
        <w:tab/>
      </w:r>
      <w:r w:rsidR="005F336D" w:rsidRPr="005F336D">
        <w:rPr>
          <w:rFonts w:eastAsia="Calibri" w:cs="Calibri"/>
          <w:szCs w:val="24"/>
          <w:lang w:val="ru-RU"/>
        </w:rPr>
        <w:t xml:space="preserve">В сегменте высокого уровня "Ускорение процесса перемен: лидеры отрасли и главы министерств создают будущее инноваций" приняли участие министры связи, лидеры отрасли и эксперты в </w:t>
      </w:r>
      <w:r w:rsidR="005F336D" w:rsidRPr="004216D2">
        <w:rPr>
          <w:lang w:val="ru-RU"/>
        </w:rPr>
        <w:t>области</w:t>
      </w:r>
      <w:r w:rsidR="005F336D" w:rsidRPr="005F336D">
        <w:rPr>
          <w:rFonts w:eastAsia="Calibri" w:cs="Calibri"/>
          <w:szCs w:val="24"/>
          <w:lang w:val="ru-RU"/>
        </w:rPr>
        <w:t xml:space="preserve"> технологий.</w:t>
      </w:r>
      <w:r w:rsidR="005F336D">
        <w:rPr>
          <w:rFonts w:eastAsia="Calibri" w:cs="Calibri"/>
          <w:szCs w:val="24"/>
          <w:lang w:val="ru-RU"/>
        </w:rPr>
        <w:t xml:space="preserve"> </w:t>
      </w:r>
      <w:r w:rsidR="005F336D">
        <w:rPr>
          <w:rFonts w:eastAsia="Calibri" w:cs="Calibri"/>
          <w:lang w:val="ru-RU"/>
        </w:rPr>
        <w:t>На этом сегменте</w:t>
      </w:r>
      <w:r w:rsidR="005F336D" w:rsidRPr="005F336D">
        <w:rPr>
          <w:rFonts w:eastAsia="Calibri" w:cs="Calibri"/>
          <w:lang w:val="ru-RU"/>
        </w:rPr>
        <w:t xml:space="preserve"> высокого уровня рассматривалась роль международных стандартов в стимулировании инноваций и внедрении появляющихся цифровых технологий, таких как ИИ и метавселенная.</w:t>
      </w:r>
      <w:r w:rsidRPr="005F336D">
        <w:rPr>
          <w:rFonts w:eastAsia="Calibri" w:cs="Calibri"/>
          <w:szCs w:val="24"/>
          <w:lang w:val="ru-RU"/>
        </w:rPr>
        <w:t xml:space="preserve"> </w:t>
      </w:r>
      <w:r w:rsidR="0023776C" w:rsidRPr="0023776C">
        <w:rPr>
          <w:rFonts w:eastAsia="Calibri" w:cs="Calibri"/>
          <w:szCs w:val="24"/>
          <w:lang w:val="ru-RU"/>
        </w:rPr>
        <w:t>Основное внимание было уделено поощрению уникального диалога об инновационных экосистемах и важности международного сотрудничества для использования этих технологий в целях цифровой трансформации и реализации Глобального цифрового договора.</w:t>
      </w:r>
    </w:p>
    <w:p w14:paraId="766AFEDD" w14:textId="0FEA48E8" w:rsidR="006D1044" w:rsidRPr="0026151F" w:rsidRDefault="006D1044" w:rsidP="004B3E75">
      <w:pPr>
        <w:jc w:val="both"/>
        <w:rPr>
          <w:rFonts w:eastAsia="Calibri" w:cs="Calibri"/>
          <w:szCs w:val="24"/>
          <w:lang w:val="ru-RU"/>
        </w:rPr>
      </w:pPr>
      <w:r w:rsidRPr="0023776C">
        <w:rPr>
          <w:rFonts w:eastAsia="Calibri" w:cs="Calibri"/>
          <w:szCs w:val="24"/>
          <w:lang w:val="ru-RU"/>
        </w:rPr>
        <w:t>1.5</w:t>
      </w:r>
      <w:r w:rsidRPr="0023776C">
        <w:rPr>
          <w:lang w:val="ru-RU"/>
        </w:rPr>
        <w:tab/>
      </w:r>
      <w:r w:rsidR="0023776C" w:rsidRPr="0023776C">
        <w:rPr>
          <w:rFonts w:eastAsia="Calibri" w:cs="Calibri"/>
          <w:szCs w:val="24"/>
          <w:lang w:val="ru-RU"/>
        </w:rPr>
        <w:t xml:space="preserve">По </w:t>
      </w:r>
      <w:r w:rsidR="0023776C" w:rsidRPr="004216D2">
        <w:rPr>
          <w:lang w:val="ru-RU"/>
        </w:rPr>
        <w:t>случаю</w:t>
      </w:r>
      <w:r w:rsidR="0023776C" w:rsidRPr="0023776C">
        <w:rPr>
          <w:rFonts w:eastAsia="Calibri" w:cs="Calibri"/>
          <w:szCs w:val="24"/>
          <w:lang w:val="ru-RU"/>
        </w:rPr>
        <w:t xml:space="preserve"> Всемирного дня стандартов, посвященного теме "Развитие отрасли, инноваций и инфраструктуры с помощью ИИ</w:t>
      </w:r>
      <w:r w:rsidR="00A2523C" w:rsidRPr="0023776C">
        <w:rPr>
          <w:rFonts w:eastAsia="Calibri" w:cs="Calibri"/>
          <w:szCs w:val="24"/>
          <w:lang w:val="ru-RU"/>
        </w:rPr>
        <w:t>"</w:t>
      </w:r>
      <w:r w:rsidR="0023776C" w:rsidRPr="0023776C">
        <w:rPr>
          <w:rFonts w:eastAsia="Calibri" w:cs="Calibri"/>
          <w:szCs w:val="24"/>
          <w:lang w:val="ru-RU"/>
        </w:rPr>
        <w:t xml:space="preserve">, руководители МСЭ, Международной электротехнической комиссии (МЭК) и Международной организации по стандартизации (ИСО) подчеркнули важную роль международных стандартов в формировании появляющихся технологий, стимулировании инноваций и </w:t>
      </w:r>
      <w:r w:rsidR="0023776C" w:rsidRPr="0026151F">
        <w:rPr>
          <w:rFonts w:eastAsia="Calibri" w:cs="Calibri"/>
          <w:szCs w:val="24"/>
          <w:lang w:val="ru-RU"/>
        </w:rPr>
        <w:t>направлении следующей волны цифровой трансформации.</w:t>
      </w:r>
    </w:p>
    <w:p w14:paraId="01C04FE3" w14:textId="5A331AFC" w:rsidR="006D1044" w:rsidRPr="0026151F" w:rsidRDefault="006D1044" w:rsidP="004B3E75">
      <w:pPr>
        <w:jc w:val="both"/>
        <w:rPr>
          <w:rFonts w:eastAsia="Calibri" w:cs="Calibri"/>
          <w:szCs w:val="24"/>
          <w:lang w:val="ru-RU"/>
        </w:rPr>
      </w:pPr>
      <w:r w:rsidRPr="0026151F">
        <w:rPr>
          <w:rFonts w:eastAsia="Calibri" w:cs="Calibri"/>
          <w:szCs w:val="24"/>
          <w:lang w:val="ru-RU"/>
        </w:rPr>
        <w:t>1.6</w:t>
      </w:r>
      <w:r w:rsidRPr="0026151F">
        <w:rPr>
          <w:lang w:val="ru-RU"/>
        </w:rPr>
        <w:tab/>
      </w:r>
      <w:r w:rsidR="003665D3" w:rsidRPr="0026151F">
        <w:rPr>
          <w:rFonts w:eastAsia="Calibri" w:cs="Calibri"/>
          <w:szCs w:val="24"/>
          <w:lang w:val="ru-RU"/>
        </w:rPr>
        <w:t xml:space="preserve">В рамках ГСС-24 состоялся Саммит по международным стандартам ИИ, на котором ведущие организации по стандартизации и мировые лидеры в области цифровых технологий обсудили </w:t>
      </w:r>
      <w:r w:rsidR="003665D3" w:rsidRPr="004216D2">
        <w:rPr>
          <w:lang w:val="ru-RU"/>
        </w:rPr>
        <w:t>рамочные</w:t>
      </w:r>
      <w:r w:rsidR="003665D3" w:rsidRPr="0026151F">
        <w:rPr>
          <w:rFonts w:eastAsia="Calibri" w:cs="Calibri"/>
          <w:szCs w:val="24"/>
          <w:lang w:val="ru-RU"/>
        </w:rPr>
        <w:t xml:space="preserve"> основы, необходимые для ответственного развития ИИ, а также с основным докладом </w:t>
      </w:r>
      <w:r w:rsidR="00A2523C" w:rsidRPr="0026151F">
        <w:rPr>
          <w:rFonts w:eastAsia="Calibri" w:cs="Calibri"/>
          <w:szCs w:val="24"/>
          <w:lang w:val="ru-RU"/>
        </w:rPr>
        <w:t xml:space="preserve">выступил </w:t>
      </w:r>
      <w:r w:rsidR="003665D3" w:rsidRPr="0026151F">
        <w:rPr>
          <w:rFonts w:eastAsia="Calibri" w:cs="Calibri"/>
          <w:szCs w:val="24"/>
          <w:lang w:val="ru-RU"/>
        </w:rPr>
        <w:t>заместитель Генерального секретаря и посланник Генерального секретаря Организации Объединенных Наций по вопросам технологий Амандип Сингх Гилл.</w:t>
      </w:r>
    </w:p>
    <w:p w14:paraId="49C564A5" w14:textId="158A18A2" w:rsidR="006D1044" w:rsidRPr="0026151F" w:rsidRDefault="006D1044" w:rsidP="004B3E75">
      <w:pPr>
        <w:jc w:val="both"/>
        <w:rPr>
          <w:rFonts w:eastAsia="Calibri" w:cs="Calibri"/>
          <w:szCs w:val="24"/>
          <w:lang w:val="ru-RU"/>
        </w:rPr>
      </w:pPr>
      <w:r w:rsidRPr="0026151F">
        <w:rPr>
          <w:rFonts w:eastAsia="Calibri" w:cs="Calibri"/>
          <w:szCs w:val="24"/>
          <w:lang w:val="ru-RU"/>
        </w:rPr>
        <w:t>1.7</w:t>
      </w:r>
      <w:r w:rsidRPr="0026151F">
        <w:rPr>
          <w:rFonts w:eastAsia="Calibri" w:cs="Calibri"/>
          <w:szCs w:val="24"/>
          <w:lang w:val="ru-RU"/>
        </w:rPr>
        <w:tab/>
      </w:r>
      <w:r w:rsidR="003665D3" w:rsidRPr="0026151F">
        <w:rPr>
          <w:rFonts w:eastAsia="Calibri" w:cs="Calibri"/>
          <w:szCs w:val="24"/>
          <w:lang w:val="ru-RU"/>
        </w:rPr>
        <w:t>Участники симпозиума затронули целый ряд важнейших тем</w:t>
      </w:r>
      <w:r w:rsidR="003665D3" w:rsidRPr="003665D3">
        <w:rPr>
          <w:rFonts w:eastAsia="Calibri" w:cs="Calibri"/>
          <w:szCs w:val="24"/>
          <w:lang w:val="ru-RU"/>
        </w:rPr>
        <w:t xml:space="preserve">, включая ИИ, метавселенную и появляющиеся технологии, при этом особое внимание в обсуждениях </w:t>
      </w:r>
      <w:r w:rsidR="00A2523C">
        <w:rPr>
          <w:rFonts w:eastAsia="Calibri" w:cs="Calibri"/>
          <w:szCs w:val="24"/>
          <w:lang w:val="ru-RU"/>
        </w:rPr>
        <w:t>уделялось</w:t>
      </w:r>
      <w:r w:rsidR="003665D3" w:rsidRPr="003665D3">
        <w:rPr>
          <w:rFonts w:eastAsia="Calibri" w:cs="Calibri"/>
          <w:szCs w:val="24"/>
          <w:lang w:val="ru-RU"/>
        </w:rPr>
        <w:t xml:space="preserve"> </w:t>
      </w:r>
      <w:r w:rsidR="003665D3" w:rsidRPr="004216D2">
        <w:rPr>
          <w:lang w:val="ru-RU"/>
        </w:rPr>
        <w:t>выработке</w:t>
      </w:r>
      <w:r w:rsidR="003665D3" w:rsidRPr="003665D3">
        <w:rPr>
          <w:rFonts w:eastAsia="Calibri" w:cs="Calibri"/>
          <w:szCs w:val="24"/>
          <w:lang w:val="ru-RU"/>
        </w:rPr>
        <w:t xml:space="preserve"> руководящих указаний по </w:t>
      </w:r>
      <w:r w:rsidR="003665D3" w:rsidRPr="0026151F">
        <w:rPr>
          <w:rFonts w:eastAsia="Calibri" w:cs="Calibri"/>
          <w:szCs w:val="24"/>
          <w:lang w:val="ru-RU"/>
        </w:rPr>
        <w:t xml:space="preserve">управлению, этике и безопасности ИИ. </w:t>
      </w:r>
      <w:r w:rsidR="0044228E" w:rsidRPr="0026151F">
        <w:rPr>
          <w:rFonts w:eastAsia="Calibri" w:cs="Calibri"/>
          <w:szCs w:val="24"/>
          <w:lang w:val="ru-RU"/>
        </w:rPr>
        <w:t>На симпозиуме также обсуждались вопросы, связанные с "умными" городами и устойчив</w:t>
      </w:r>
      <w:r w:rsidR="00A2523C" w:rsidRPr="0026151F">
        <w:rPr>
          <w:rFonts w:eastAsia="Calibri" w:cs="Calibri"/>
          <w:szCs w:val="24"/>
          <w:lang w:val="ru-RU"/>
        </w:rPr>
        <w:t>остью</w:t>
      </w:r>
      <w:r w:rsidR="0044228E" w:rsidRPr="0026151F">
        <w:rPr>
          <w:rFonts w:eastAsia="Calibri" w:cs="Calibri"/>
          <w:szCs w:val="24"/>
          <w:lang w:val="ru-RU"/>
        </w:rPr>
        <w:t>, и были отмечены города, внедрившие ключевые показатели деятельности (</w:t>
      </w:r>
      <w:r w:rsidR="0044228E" w:rsidRPr="0026151F">
        <w:rPr>
          <w:rFonts w:eastAsia="Calibri" w:cs="Calibri"/>
          <w:szCs w:val="24"/>
        </w:rPr>
        <w:t>KPI</w:t>
      </w:r>
      <w:r w:rsidR="0044228E" w:rsidRPr="0026151F">
        <w:rPr>
          <w:rFonts w:eastAsia="Calibri" w:cs="Calibri"/>
          <w:szCs w:val="24"/>
          <w:lang w:val="ru-RU"/>
        </w:rPr>
        <w:t>) инициативы "Объединение усилий в целях построения «умных» устойчивых городов" (</w:t>
      </w:r>
      <w:r w:rsidR="0044228E" w:rsidRPr="0026151F">
        <w:rPr>
          <w:rFonts w:eastAsia="Calibri" w:cs="Calibri"/>
          <w:szCs w:val="24"/>
        </w:rPr>
        <w:t>U</w:t>
      </w:r>
      <w:r w:rsidR="0044228E" w:rsidRPr="0026151F">
        <w:rPr>
          <w:rFonts w:eastAsia="Calibri" w:cs="Calibri"/>
          <w:szCs w:val="24"/>
          <w:lang w:val="ru-RU"/>
        </w:rPr>
        <w:t>4</w:t>
      </w:r>
      <w:r w:rsidR="0044228E" w:rsidRPr="0026151F">
        <w:rPr>
          <w:rFonts w:eastAsia="Calibri" w:cs="Calibri"/>
          <w:szCs w:val="24"/>
        </w:rPr>
        <w:t>SSC</w:t>
      </w:r>
      <w:r w:rsidR="0044228E" w:rsidRPr="0026151F">
        <w:rPr>
          <w:rFonts w:eastAsia="Calibri" w:cs="Calibri"/>
          <w:szCs w:val="24"/>
          <w:lang w:val="ru-RU"/>
        </w:rPr>
        <w:t xml:space="preserve">) на основе Рекомендации МСЭ-Т </w:t>
      </w:r>
      <w:r w:rsidR="0044228E" w:rsidRPr="0026151F">
        <w:rPr>
          <w:rFonts w:eastAsia="Calibri" w:cs="Calibri"/>
          <w:szCs w:val="24"/>
        </w:rPr>
        <w:t>Y</w:t>
      </w:r>
      <w:r w:rsidR="0044228E" w:rsidRPr="0026151F">
        <w:rPr>
          <w:rFonts w:eastAsia="Calibri" w:cs="Calibri"/>
          <w:szCs w:val="24"/>
          <w:lang w:val="ru-RU"/>
        </w:rPr>
        <w:t xml:space="preserve">.4903. Кроме того, </w:t>
      </w:r>
      <w:r w:rsidR="00A2523C" w:rsidRPr="0026151F">
        <w:rPr>
          <w:rFonts w:eastAsia="Calibri" w:cs="Calibri"/>
          <w:szCs w:val="24"/>
          <w:lang w:val="ru-RU"/>
        </w:rPr>
        <w:t xml:space="preserve">особое внимание на симпозиуме было уделено </w:t>
      </w:r>
      <w:r w:rsidR="0044228E" w:rsidRPr="0026151F">
        <w:rPr>
          <w:rFonts w:eastAsia="Calibri" w:cs="Calibri"/>
          <w:szCs w:val="24"/>
          <w:lang w:val="ru-RU"/>
        </w:rPr>
        <w:t xml:space="preserve">охвату финансовыми услугами и цифровыми технологиями, открытому исходному коду и стандартам, </w:t>
      </w:r>
      <w:r w:rsidR="0044228E" w:rsidRPr="0026151F">
        <w:rPr>
          <w:rFonts w:eastAsia="Calibri" w:cs="Calibri"/>
          <w:szCs w:val="24"/>
          <w:lang w:val="ru-RU"/>
        </w:rPr>
        <w:lastRenderedPageBreak/>
        <w:t xml:space="preserve">а также рассмотрению того, как </w:t>
      </w:r>
      <w:r w:rsidR="00B06208">
        <w:rPr>
          <w:rFonts w:eastAsia="Calibri" w:cs="Calibri"/>
          <w:szCs w:val="24"/>
          <w:lang w:val="ru-RU"/>
        </w:rPr>
        <w:t xml:space="preserve">использование </w:t>
      </w:r>
      <w:r w:rsidR="0044228E" w:rsidRPr="0026151F">
        <w:rPr>
          <w:rFonts w:eastAsia="Calibri" w:cs="Calibri"/>
          <w:szCs w:val="24"/>
          <w:lang w:val="ru-RU"/>
        </w:rPr>
        <w:t>открыт</w:t>
      </w:r>
      <w:r w:rsidR="00B06208">
        <w:rPr>
          <w:rFonts w:eastAsia="Calibri" w:cs="Calibri"/>
          <w:szCs w:val="24"/>
          <w:lang w:val="ru-RU"/>
        </w:rPr>
        <w:t xml:space="preserve">ого </w:t>
      </w:r>
      <w:r w:rsidR="0044228E" w:rsidRPr="0026151F">
        <w:rPr>
          <w:rFonts w:eastAsia="Calibri" w:cs="Calibri"/>
          <w:szCs w:val="24"/>
          <w:lang w:val="ru-RU"/>
        </w:rPr>
        <w:t>исходн</w:t>
      </w:r>
      <w:r w:rsidR="00B06208">
        <w:rPr>
          <w:rFonts w:eastAsia="Calibri" w:cs="Calibri"/>
          <w:szCs w:val="24"/>
          <w:lang w:val="ru-RU"/>
        </w:rPr>
        <w:t>ого</w:t>
      </w:r>
      <w:r w:rsidR="0044228E" w:rsidRPr="0026151F">
        <w:rPr>
          <w:rFonts w:eastAsia="Calibri" w:cs="Calibri"/>
          <w:szCs w:val="24"/>
          <w:lang w:val="ru-RU"/>
        </w:rPr>
        <w:t xml:space="preserve"> код</w:t>
      </w:r>
      <w:r w:rsidR="00B06208">
        <w:rPr>
          <w:rFonts w:eastAsia="Calibri" w:cs="Calibri"/>
          <w:szCs w:val="24"/>
          <w:lang w:val="ru-RU"/>
        </w:rPr>
        <w:t>а</w:t>
      </w:r>
      <w:r w:rsidR="0044228E" w:rsidRPr="0026151F">
        <w:rPr>
          <w:rFonts w:eastAsia="Calibri" w:cs="Calibri"/>
          <w:szCs w:val="24"/>
          <w:lang w:val="ru-RU"/>
        </w:rPr>
        <w:t xml:space="preserve"> способству</w:t>
      </w:r>
      <w:r w:rsidR="00B06208">
        <w:rPr>
          <w:rFonts w:eastAsia="Calibri" w:cs="Calibri"/>
          <w:szCs w:val="24"/>
          <w:lang w:val="ru-RU"/>
        </w:rPr>
        <w:t>е</w:t>
      </w:r>
      <w:r w:rsidR="0044228E" w:rsidRPr="0026151F">
        <w:rPr>
          <w:rFonts w:eastAsia="Calibri" w:cs="Calibri"/>
          <w:szCs w:val="24"/>
          <w:lang w:val="ru-RU"/>
        </w:rPr>
        <w:t>т сотрудничеству, прозрачности и более широкому доступу к технологиям и стандартам.</w:t>
      </w:r>
    </w:p>
    <w:p w14:paraId="45A96984" w14:textId="601FDA61" w:rsidR="00A2523C" w:rsidRPr="00C2168A" w:rsidRDefault="006D1044" w:rsidP="004B3E75">
      <w:pPr>
        <w:jc w:val="both"/>
        <w:rPr>
          <w:rFonts w:eastAsia="Calibri" w:cs="Calibri"/>
          <w:spacing w:val="-2"/>
          <w:lang w:val="ru-RU"/>
        </w:rPr>
      </w:pPr>
      <w:r w:rsidRPr="0026151F">
        <w:rPr>
          <w:rFonts w:eastAsia="Calibri" w:cs="Calibri"/>
          <w:spacing w:val="-2"/>
          <w:szCs w:val="24"/>
          <w:lang w:val="ru-RU"/>
        </w:rPr>
        <w:t>1.8</w:t>
      </w:r>
      <w:r w:rsidRPr="0026151F">
        <w:rPr>
          <w:spacing w:val="-2"/>
          <w:lang w:val="ru-RU"/>
        </w:rPr>
        <w:tab/>
      </w:r>
      <w:r w:rsidR="00C2168A" w:rsidRPr="0026151F">
        <w:rPr>
          <w:rFonts w:eastAsia="Calibri" w:cs="Calibri"/>
          <w:spacing w:val="-2"/>
          <w:lang w:val="ru-RU"/>
        </w:rPr>
        <w:t xml:space="preserve">Участники ГСС-24, признавая решающую роль международных стандартов в поддержке стран, </w:t>
      </w:r>
      <w:r w:rsidR="00C2168A" w:rsidRPr="004216D2">
        <w:rPr>
          <w:lang w:val="ru-RU"/>
        </w:rPr>
        <w:t>городов</w:t>
      </w:r>
      <w:r w:rsidR="00C2168A" w:rsidRPr="0026151F">
        <w:rPr>
          <w:rFonts w:eastAsia="Calibri" w:cs="Calibri"/>
          <w:spacing w:val="-2"/>
          <w:lang w:val="ru-RU"/>
        </w:rPr>
        <w:t xml:space="preserve"> и отраслей при стимулировании инноваций и внедрении появляющихся</w:t>
      </w:r>
      <w:r w:rsidR="00C2168A" w:rsidRPr="00C2168A">
        <w:rPr>
          <w:rFonts w:eastAsia="Calibri" w:cs="Calibri"/>
          <w:spacing w:val="-2"/>
          <w:lang w:val="ru-RU"/>
        </w:rPr>
        <w:t xml:space="preserve"> цифровых технологий, предложили МСЭ: продолжать формировать среду появляющихся цифровых технологий; продолжать усилия по преодолению разрыва в стандартизации между развитыми и развивающимися странами с помощью таких инициатив, как программа МСЭ по преодолению разрыва в стандартизации (ПРС); поддерживать деятельность в рамках инициативы </w:t>
      </w:r>
      <w:r w:rsidR="00C2168A" w:rsidRPr="00C2168A">
        <w:rPr>
          <w:rFonts w:eastAsia="Calibri" w:cs="Calibri"/>
          <w:spacing w:val="-2"/>
        </w:rPr>
        <w:t>U</w:t>
      </w:r>
      <w:r w:rsidR="00C2168A" w:rsidRPr="00C2168A">
        <w:rPr>
          <w:rFonts w:eastAsia="Calibri" w:cs="Calibri"/>
          <w:spacing w:val="-2"/>
          <w:lang w:val="ru-RU"/>
        </w:rPr>
        <w:t>4</w:t>
      </w:r>
      <w:r w:rsidR="00C2168A" w:rsidRPr="00C2168A">
        <w:rPr>
          <w:rFonts w:eastAsia="Calibri" w:cs="Calibri"/>
          <w:spacing w:val="-2"/>
        </w:rPr>
        <w:t>SSC</w:t>
      </w:r>
      <w:r w:rsidR="00C2168A" w:rsidRPr="00C2168A">
        <w:rPr>
          <w:rFonts w:eastAsia="Calibri" w:cs="Calibri"/>
          <w:spacing w:val="-2"/>
          <w:lang w:val="ru-RU"/>
        </w:rPr>
        <w:t xml:space="preserve">, в частности, содействие внедрению </w:t>
      </w:r>
      <w:r w:rsidR="00C2168A" w:rsidRPr="00C2168A">
        <w:rPr>
          <w:rFonts w:eastAsia="Calibri" w:cs="Calibri"/>
          <w:spacing w:val="-2"/>
        </w:rPr>
        <w:t>KPI</w:t>
      </w:r>
      <w:r w:rsidR="00C2168A" w:rsidRPr="00C2168A">
        <w:rPr>
          <w:rFonts w:eastAsia="Calibri" w:cs="Calibri"/>
          <w:spacing w:val="-2"/>
          <w:lang w:val="ru-RU"/>
        </w:rPr>
        <w:t xml:space="preserve"> </w:t>
      </w:r>
      <w:r w:rsidR="00C2168A" w:rsidRPr="00C2168A">
        <w:rPr>
          <w:rFonts w:eastAsia="Calibri" w:cs="Calibri"/>
          <w:spacing w:val="-2"/>
        </w:rPr>
        <w:t>U</w:t>
      </w:r>
      <w:r w:rsidR="00C2168A" w:rsidRPr="00C2168A">
        <w:rPr>
          <w:rFonts w:eastAsia="Calibri" w:cs="Calibri"/>
          <w:spacing w:val="-2"/>
          <w:lang w:val="ru-RU"/>
        </w:rPr>
        <w:t>4</w:t>
      </w:r>
      <w:r w:rsidR="00C2168A" w:rsidRPr="00C2168A">
        <w:rPr>
          <w:rFonts w:eastAsia="Calibri" w:cs="Calibri"/>
          <w:spacing w:val="-2"/>
        </w:rPr>
        <w:t>SSC</w:t>
      </w:r>
      <w:r w:rsidR="00C2168A" w:rsidRPr="00C2168A">
        <w:rPr>
          <w:rFonts w:eastAsia="Calibri" w:cs="Calibri"/>
          <w:spacing w:val="-2"/>
          <w:lang w:val="ru-RU"/>
        </w:rPr>
        <w:t xml:space="preserve"> (Рекомендация МСЭ-</w:t>
      </w:r>
      <w:r w:rsidR="00C2168A" w:rsidRPr="00C2168A">
        <w:rPr>
          <w:rFonts w:eastAsia="Calibri" w:cs="Calibri"/>
          <w:spacing w:val="-2"/>
        </w:rPr>
        <w:t>T</w:t>
      </w:r>
      <w:r w:rsidR="00C2168A" w:rsidRPr="00C2168A">
        <w:rPr>
          <w:rFonts w:eastAsia="Calibri" w:cs="Calibri"/>
          <w:spacing w:val="-2"/>
          <w:lang w:val="ru-RU"/>
        </w:rPr>
        <w:t xml:space="preserve"> </w:t>
      </w:r>
      <w:r w:rsidR="00C2168A" w:rsidRPr="00C2168A">
        <w:rPr>
          <w:rFonts w:eastAsia="Calibri" w:cs="Calibri"/>
          <w:spacing w:val="-2"/>
        </w:rPr>
        <w:t>Y</w:t>
      </w:r>
      <w:r w:rsidR="00C2168A" w:rsidRPr="00C2168A">
        <w:rPr>
          <w:rFonts w:eastAsia="Calibri" w:cs="Calibri"/>
          <w:spacing w:val="-2"/>
          <w:lang w:val="ru-RU"/>
        </w:rPr>
        <w:t>.4903); продолжать поддерживать инициативу "ИИ во благо"; тесно сотрудничать с разработчиками программного обеспечения с открытым исходным кодом (</w:t>
      </w:r>
      <w:r w:rsidR="00C2168A" w:rsidRPr="00C2168A">
        <w:rPr>
          <w:rFonts w:eastAsia="Calibri" w:cs="Calibri"/>
          <w:spacing w:val="-2"/>
        </w:rPr>
        <w:t>OSS</w:t>
      </w:r>
      <w:r w:rsidR="00C2168A" w:rsidRPr="00C2168A">
        <w:rPr>
          <w:rFonts w:eastAsia="Calibri" w:cs="Calibri"/>
          <w:spacing w:val="-2"/>
          <w:lang w:val="ru-RU"/>
        </w:rPr>
        <w:t>) в целях содействия созданию глобальных проектов с открытым исходным кодом и обеспечения роста экосистем открытого исходного кода во всем мире; признать значимость Глобальной инициативы "Виртуальные миры и ИИ</w:t>
      </w:r>
      <w:r w:rsidR="00C2168A" w:rsidRPr="00C2168A">
        <w:rPr>
          <w:rFonts w:asciiTheme="minorHAnsi" w:eastAsia="Calibri" w:hAnsiTheme="minorHAnsi" w:cstheme="minorHAnsi"/>
          <w:spacing w:val="-2"/>
          <w:lang w:val="ru-RU"/>
        </w:rPr>
        <w:t xml:space="preserve"> −</w:t>
      </w:r>
      <w:r w:rsidR="00C2168A" w:rsidRPr="00C2168A">
        <w:rPr>
          <w:rFonts w:eastAsia="Calibri" w:cs="Calibri"/>
          <w:spacing w:val="-2"/>
          <w:lang w:val="ru-RU"/>
        </w:rPr>
        <w:t xml:space="preserve"> знакомство с городской метавселенной" для использования потенциала конвергенции ИИ и метавселенной; и продолжить проведение конкурса по приложениям защищенной аутентификации на основе технологии блокчейна (</w:t>
      </w:r>
      <w:r w:rsidR="00C2168A" w:rsidRPr="00C2168A">
        <w:rPr>
          <w:rFonts w:eastAsia="Calibri" w:cs="Calibri"/>
          <w:spacing w:val="-2"/>
        </w:rPr>
        <w:t>BSA</w:t>
      </w:r>
      <w:r w:rsidR="00C2168A" w:rsidRPr="00C2168A">
        <w:rPr>
          <w:rFonts w:eastAsia="Calibri" w:cs="Calibri"/>
          <w:spacing w:val="-2"/>
          <w:lang w:val="ru-RU"/>
        </w:rPr>
        <w:t>).</w:t>
      </w:r>
    </w:p>
    <w:p w14:paraId="517DC948" w14:textId="55E64B10" w:rsidR="006D1044" w:rsidRPr="00C2168A" w:rsidRDefault="006D1044" w:rsidP="006D1044">
      <w:pPr>
        <w:pStyle w:val="Heading1"/>
        <w:rPr>
          <w:lang w:val="ru-RU"/>
        </w:rPr>
      </w:pPr>
      <w:r w:rsidRPr="00C2168A">
        <w:rPr>
          <w:lang w:val="ru-RU"/>
        </w:rPr>
        <w:t>2</w:t>
      </w:r>
      <w:r w:rsidRPr="00C2168A">
        <w:rPr>
          <w:lang w:val="ru-RU"/>
        </w:rPr>
        <w:tab/>
      </w:r>
      <w:r w:rsidR="00C2168A" w:rsidRPr="00C2168A">
        <w:rPr>
          <w:bCs/>
          <w:lang w:val="ru-RU"/>
        </w:rPr>
        <w:t>ВАСЭ</w:t>
      </w:r>
      <w:r w:rsidRPr="00C2168A">
        <w:rPr>
          <w:lang w:val="ru-RU"/>
        </w:rPr>
        <w:t>-24</w:t>
      </w:r>
    </w:p>
    <w:p w14:paraId="619FC192" w14:textId="6E0E695C" w:rsidR="006D1044" w:rsidRPr="00C2168A" w:rsidRDefault="006D1044" w:rsidP="006D1044">
      <w:pPr>
        <w:pStyle w:val="Heading2"/>
        <w:rPr>
          <w:lang w:val="ru-RU"/>
        </w:rPr>
      </w:pPr>
      <w:r w:rsidRPr="00C2168A">
        <w:rPr>
          <w:lang w:val="ru-RU"/>
        </w:rPr>
        <w:t>2.1</w:t>
      </w:r>
      <w:r w:rsidRPr="00C2168A">
        <w:rPr>
          <w:lang w:val="ru-RU"/>
        </w:rPr>
        <w:tab/>
      </w:r>
      <w:r w:rsidR="00C2168A" w:rsidRPr="00C2168A">
        <w:rPr>
          <w:bCs/>
          <w:lang w:val="ru-RU"/>
        </w:rPr>
        <w:t>Общая информация</w:t>
      </w:r>
    </w:p>
    <w:p w14:paraId="48D1E5E4" w14:textId="05843EE6" w:rsidR="006D1044" w:rsidRPr="0026151F" w:rsidRDefault="00C2168A" w:rsidP="004B3E75">
      <w:pPr>
        <w:jc w:val="both"/>
        <w:rPr>
          <w:lang w:val="ru-RU"/>
        </w:rPr>
      </w:pPr>
      <w:r w:rsidRPr="00C2168A">
        <w:rPr>
          <w:lang w:val="ru-RU"/>
        </w:rPr>
        <w:t>ВАСЭ-</w:t>
      </w:r>
      <w:r w:rsidRPr="0026151F">
        <w:rPr>
          <w:lang w:val="ru-RU"/>
        </w:rPr>
        <w:t>24 прошла с 15 по 24 октября 2024 года в Нью-Дели, Индия. Ей предшествовал ГСС-24 (14</w:t>
      </w:r>
      <w:r w:rsidR="000A20E1">
        <w:rPr>
          <w:lang w:val="ru-RU"/>
        </w:rPr>
        <w:t> </w:t>
      </w:r>
      <w:r w:rsidRPr="0026151F">
        <w:rPr>
          <w:lang w:val="ru-RU"/>
        </w:rPr>
        <w:t>октября 2024 г.), а сразу после нее состоялось обучение для руковод</w:t>
      </w:r>
      <w:r w:rsidR="00596209" w:rsidRPr="0026151F">
        <w:rPr>
          <w:lang w:val="ru-RU"/>
        </w:rPr>
        <w:t>ителей</w:t>
      </w:r>
      <w:r w:rsidRPr="0026151F">
        <w:rPr>
          <w:lang w:val="ru-RU"/>
        </w:rPr>
        <w:t>, организованное для недавно назначенных председателей и заместителей председателей.</w:t>
      </w:r>
      <w:r w:rsidR="00596209">
        <w:rPr>
          <w:lang w:val="ru-RU"/>
        </w:rPr>
        <w:t xml:space="preserve"> </w:t>
      </w:r>
      <w:r w:rsidR="00D81940" w:rsidRPr="00D81940">
        <w:rPr>
          <w:lang w:val="ru-RU"/>
        </w:rPr>
        <w:t>На</w:t>
      </w:r>
      <w:r w:rsidR="0064310E">
        <w:rPr>
          <w:lang w:val="en-US"/>
        </w:rPr>
        <w:t> </w:t>
      </w:r>
      <w:r w:rsidR="00D81940" w:rsidRPr="0026151F">
        <w:rPr>
          <w:lang w:val="ru-RU"/>
        </w:rPr>
        <w:t>церемонии открытия Ассамблеи присутствовал Его</w:t>
      </w:r>
      <w:r w:rsidR="00596209" w:rsidRPr="0026151F">
        <w:rPr>
          <w:lang w:val="ru-RU"/>
        </w:rPr>
        <w:t> </w:t>
      </w:r>
      <w:r w:rsidR="00D81940" w:rsidRPr="0026151F">
        <w:rPr>
          <w:lang w:val="ru-RU"/>
        </w:rPr>
        <w:t xml:space="preserve">Превосходительство Премьер-министр Индии Нарендра Моди. </w:t>
      </w:r>
      <w:r w:rsidR="00D81940" w:rsidRPr="0026151F">
        <w:rPr>
          <w:lang w:val="ru-RU" w:eastAsia="ja-JP"/>
        </w:rPr>
        <w:t xml:space="preserve">Ассамблея проходила под председательством г-на Риту Ранджана Миттара (Индия). </w:t>
      </w:r>
      <w:r w:rsidR="00D81940" w:rsidRPr="0026151F">
        <w:rPr>
          <w:lang w:val="ru-RU"/>
        </w:rPr>
        <w:t xml:space="preserve">В ней приняли участие 3700 делегатов из 164 стран. </w:t>
      </w:r>
      <w:r w:rsidR="00596209" w:rsidRPr="0026151F">
        <w:rPr>
          <w:lang w:val="ru-RU"/>
        </w:rPr>
        <w:t xml:space="preserve">На мероприятии был обеспечен высокий уровень участия </w:t>
      </w:r>
      <w:r w:rsidR="00D81940" w:rsidRPr="0026151F">
        <w:rPr>
          <w:lang w:val="ru-RU"/>
        </w:rPr>
        <w:t>женщин (27</w:t>
      </w:r>
      <w:r w:rsidR="00C45260" w:rsidRPr="0026151F">
        <w:rPr>
          <w:lang w:val="ru-RU"/>
        </w:rPr>
        <w:t xml:space="preserve"> процентов</w:t>
      </w:r>
      <w:r w:rsidR="00D81940" w:rsidRPr="0026151F">
        <w:rPr>
          <w:lang w:val="ru-RU"/>
        </w:rPr>
        <w:t xml:space="preserve">), а также </w:t>
      </w:r>
      <w:r w:rsidR="00587DA6" w:rsidRPr="0026151F">
        <w:rPr>
          <w:lang w:val="ru-RU"/>
        </w:rPr>
        <w:t xml:space="preserve">было зафиксировано </w:t>
      </w:r>
      <w:r w:rsidR="00D81940" w:rsidRPr="0026151F">
        <w:rPr>
          <w:lang w:val="ru-RU"/>
        </w:rPr>
        <w:t>наибольшее количество Государств-Членов, представленных 37</w:t>
      </w:r>
      <w:r w:rsidR="00596209" w:rsidRPr="0026151F">
        <w:rPr>
          <w:lang w:val="ru-RU"/>
        </w:rPr>
        <w:t> </w:t>
      </w:r>
      <w:r w:rsidR="00D81940" w:rsidRPr="0026151F">
        <w:rPr>
          <w:lang w:val="ru-RU"/>
        </w:rPr>
        <w:t>министрами. В</w:t>
      </w:r>
      <w:r w:rsidR="00596209" w:rsidRPr="0026151F">
        <w:rPr>
          <w:lang w:val="ru-RU"/>
        </w:rPr>
        <w:t> </w:t>
      </w:r>
      <w:r w:rsidR="00D81940" w:rsidRPr="0026151F">
        <w:rPr>
          <w:lang w:val="ru-RU"/>
        </w:rPr>
        <w:t>ходе ВАСЭ-24 было проведено более 20 сопутствующих мероприятий.</w:t>
      </w:r>
    </w:p>
    <w:p w14:paraId="376D2C3A" w14:textId="153B4149" w:rsidR="006D1044" w:rsidRPr="00587DA6" w:rsidRDefault="00587DA6" w:rsidP="006D1044">
      <w:pPr>
        <w:rPr>
          <w:lang w:val="ru-RU"/>
        </w:rPr>
      </w:pPr>
      <w:r w:rsidRPr="0026151F">
        <w:rPr>
          <w:lang w:val="ru-RU"/>
        </w:rPr>
        <w:t>К результатам ВАСЭ-24 относятся</w:t>
      </w:r>
      <w:r w:rsidR="006D1044" w:rsidRPr="0026151F">
        <w:rPr>
          <w:lang w:val="ru-RU"/>
        </w:rPr>
        <w:t>:</w:t>
      </w:r>
    </w:p>
    <w:p w14:paraId="72468316" w14:textId="6370EC2C" w:rsidR="006D1044" w:rsidRPr="00587DA6" w:rsidRDefault="006D1044" w:rsidP="004B3E75">
      <w:pPr>
        <w:pStyle w:val="enumlev1"/>
        <w:jc w:val="both"/>
        <w:rPr>
          <w:lang w:val="ru-RU"/>
        </w:rPr>
      </w:pPr>
      <w:r w:rsidRPr="00587DA6">
        <w:rPr>
          <w:lang w:val="ru-RU"/>
        </w:rPr>
        <w:t>–</w:t>
      </w:r>
      <w:r w:rsidRPr="00587DA6">
        <w:rPr>
          <w:lang w:val="ru-RU"/>
        </w:rPr>
        <w:tab/>
      </w:r>
      <w:r w:rsidR="00587DA6" w:rsidRPr="00587DA6">
        <w:rPr>
          <w:lang w:val="ru-RU"/>
        </w:rPr>
        <w:t>объединение ИК9 и ИК16 МСЭ-Т в новую 21-ю Исследовательскую комиссию "</w:t>
      </w:r>
      <w:r w:rsidR="00587DA6" w:rsidRPr="004B3E75">
        <w:rPr>
          <w:lang w:val="ru-RU"/>
        </w:rPr>
        <w:t>Мультимедийные</w:t>
      </w:r>
      <w:r w:rsidR="00587DA6" w:rsidRPr="00587DA6">
        <w:rPr>
          <w:lang w:val="ru-RU"/>
        </w:rPr>
        <w:t xml:space="preserve"> технологии для систем, доставки контента и кабельного телевидения";</w:t>
      </w:r>
    </w:p>
    <w:p w14:paraId="161FD0EA" w14:textId="3D6D22ED" w:rsidR="006D1044" w:rsidRPr="00587DA6" w:rsidRDefault="006D1044" w:rsidP="004B3E75">
      <w:pPr>
        <w:pStyle w:val="enumlev1"/>
        <w:jc w:val="both"/>
        <w:rPr>
          <w:lang w:val="ru-RU"/>
        </w:rPr>
      </w:pPr>
      <w:r w:rsidRPr="00587DA6">
        <w:rPr>
          <w:lang w:val="ru-RU"/>
        </w:rPr>
        <w:t>–</w:t>
      </w:r>
      <w:r w:rsidRPr="00587DA6">
        <w:rPr>
          <w:lang w:val="ru-RU"/>
        </w:rPr>
        <w:tab/>
      </w:r>
      <w:r w:rsidR="00587DA6" w:rsidRPr="004B3E75">
        <w:rPr>
          <w:lang w:val="ru-RU"/>
        </w:rPr>
        <w:t>назначение</w:t>
      </w:r>
      <w:r w:rsidR="00587DA6" w:rsidRPr="00587DA6">
        <w:rPr>
          <w:lang w:val="ru-RU"/>
        </w:rPr>
        <w:t xml:space="preserve"> председателей и заместителей председателей десяти исследовательских комиссий МСЭ-Т, КГСЭ и КСТ</w:t>
      </w:r>
      <w:r w:rsidRPr="00587DA6">
        <w:rPr>
          <w:lang w:val="ru-RU"/>
        </w:rPr>
        <w:t>;</w:t>
      </w:r>
    </w:p>
    <w:p w14:paraId="5D9E6677" w14:textId="711DB147" w:rsidR="006D1044" w:rsidRPr="00587DA6" w:rsidRDefault="006D1044" w:rsidP="004B3E75">
      <w:pPr>
        <w:pStyle w:val="enumlev1"/>
        <w:jc w:val="both"/>
        <w:rPr>
          <w:lang w:val="ru-RU"/>
        </w:rPr>
      </w:pPr>
      <w:r w:rsidRPr="00587DA6">
        <w:rPr>
          <w:lang w:val="ru-RU"/>
        </w:rPr>
        <w:t>–</w:t>
      </w:r>
      <w:r w:rsidRPr="00587DA6">
        <w:rPr>
          <w:lang w:val="ru-RU"/>
        </w:rPr>
        <w:tab/>
      </w:r>
      <w:r w:rsidR="00587DA6" w:rsidRPr="00587DA6">
        <w:rPr>
          <w:lang w:val="ru-RU"/>
        </w:rPr>
        <w:t>обновление мандатов (Резолюция 2) и Вопросов десяти исследовательских комиссий МСЭ-Т;</w:t>
      </w:r>
      <w:r w:rsidR="00587DA6">
        <w:rPr>
          <w:lang w:val="ru-RU"/>
        </w:rPr>
        <w:t xml:space="preserve"> и</w:t>
      </w:r>
    </w:p>
    <w:p w14:paraId="20CDCBAF" w14:textId="44DB81AA" w:rsidR="006D1044" w:rsidRPr="00133142" w:rsidRDefault="006D1044" w:rsidP="004B3E75">
      <w:pPr>
        <w:pStyle w:val="enumlev1"/>
        <w:jc w:val="both"/>
        <w:rPr>
          <w:lang w:val="ru-RU"/>
        </w:rPr>
      </w:pPr>
      <w:r w:rsidRPr="00133142">
        <w:rPr>
          <w:lang w:val="ru-RU"/>
        </w:rPr>
        <w:t>–</w:t>
      </w:r>
      <w:r w:rsidRPr="00133142">
        <w:rPr>
          <w:lang w:val="ru-RU"/>
        </w:rPr>
        <w:tab/>
      </w:r>
      <w:r w:rsidR="00133142" w:rsidRPr="00133142">
        <w:rPr>
          <w:lang w:val="ru-RU"/>
        </w:rPr>
        <w:t>принятие 8 новых резолюций, пересмотр 44 резолюции, исключение 1 резолюции и пересмотр Рекомендации МСЭ-Т (</w:t>
      </w:r>
      <w:r w:rsidR="00133142" w:rsidRPr="00133142">
        <w:t>A</w:t>
      </w:r>
      <w:r w:rsidR="00133142" w:rsidRPr="00133142">
        <w:rPr>
          <w:lang w:val="ru-RU"/>
        </w:rPr>
        <w:t xml:space="preserve">.25), а также выполнение 15 действий (более </w:t>
      </w:r>
      <w:r w:rsidR="00133142" w:rsidRPr="0064310E">
        <w:rPr>
          <w:lang w:val="ru-RU"/>
        </w:rPr>
        <w:t>подробную</w:t>
      </w:r>
      <w:r w:rsidR="00133142" w:rsidRPr="00133142">
        <w:rPr>
          <w:lang w:val="ru-RU"/>
        </w:rPr>
        <w:t xml:space="preserve"> информацию см. в </w:t>
      </w:r>
      <w:hyperlink r:id="rId14" w:history="1">
        <w:r w:rsidR="0064310E">
          <w:rPr>
            <w:rStyle w:val="Hyperlink"/>
            <w:lang w:val="ru-RU"/>
          </w:rPr>
          <w:t>м</w:t>
        </w:r>
        <w:r w:rsidR="00133142" w:rsidRPr="00133142">
          <w:rPr>
            <w:rStyle w:val="Hyperlink"/>
            <w:lang w:val="ru-RU"/>
          </w:rPr>
          <w:t>атериалах ВАСЭ-24</w:t>
        </w:r>
      </w:hyperlink>
      <w:r w:rsidR="00133142" w:rsidRPr="00133142">
        <w:rPr>
          <w:lang w:val="ru-RU"/>
        </w:rPr>
        <w:t>).</w:t>
      </w:r>
    </w:p>
    <w:p w14:paraId="120BB3FF" w14:textId="7724D9C7" w:rsidR="006D1044" w:rsidRPr="00133142" w:rsidRDefault="00133142" w:rsidP="006D1044">
      <w:pPr>
        <w:rPr>
          <w:lang w:val="ru-RU"/>
        </w:rPr>
      </w:pPr>
      <w:r w:rsidRPr="00133142">
        <w:rPr>
          <w:lang w:val="ru-RU"/>
        </w:rPr>
        <w:t>Сопутствующая информация</w:t>
      </w:r>
      <w:r w:rsidR="006D1044" w:rsidRPr="00133142">
        <w:rPr>
          <w:lang w:val="ru-RU"/>
        </w:rPr>
        <w:t>:</w:t>
      </w:r>
    </w:p>
    <w:p w14:paraId="6604F2AF" w14:textId="280927E9" w:rsidR="006D1044" w:rsidRPr="00133142" w:rsidRDefault="006D1044" w:rsidP="004B3E75">
      <w:pPr>
        <w:pStyle w:val="enumlev1"/>
        <w:jc w:val="both"/>
        <w:rPr>
          <w:szCs w:val="24"/>
          <w:lang w:val="ru-RU"/>
        </w:rPr>
      </w:pPr>
      <w:r w:rsidRPr="00133142">
        <w:rPr>
          <w:lang w:val="ru-RU"/>
        </w:rPr>
        <w:t>–</w:t>
      </w:r>
      <w:r w:rsidRPr="00133142">
        <w:rPr>
          <w:lang w:val="ru-RU"/>
        </w:rPr>
        <w:tab/>
      </w:r>
      <w:r w:rsidR="00133142" w:rsidRPr="004B3E75">
        <w:rPr>
          <w:lang w:val="ru-RU"/>
        </w:rPr>
        <w:t>веб</w:t>
      </w:r>
      <w:r w:rsidR="00133142" w:rsidRPr="00133142">
        <w:rPr>
          <w:szCs w:val="24"/>
          <w:lang w:val="ru-RU"/>
        </w:rPr>
        <w:t>-сайт ВАСЭ-24</w:t>
      </w:r>
      <w:r w:rsidRPr="00133142">
        <w:rPr>
          <w:szCs w:val="24"/>
          <w:lang w:val="ru-RU"/>
        </w:rPr>
        <w:t xml:space="preserve">: </w:t>
      </w:r>
      <w:hyperlink r:id="rId15" w:history="1">
        <w:r w:rsidRPr="00124942">
          <w:rPr>
            <w:rStyle w:val="Hyperlink"/>
          </w:rPr>
          <w:t>https</w:t>
        </w:r>
        <w:r w:rsidRPr="00133142">
          <w:rPr>
            <w:rStyle w:val="Hyperlink"/>
            <w:lang w:val="ru-RU"/>
          </w:rPr>
          <w:t>://</w:t>
        </w:r>
        <w:r w:rsidRPr="00124942">
          <w:rPr>
            <w:rStyle w:val="Hyperlink"/>
          </w:rPr>
          <w:t>www</w:t>
        </w:r>
        <w:r w:rsidRPr="00133142">
          <w:rPr>
            <w:rStyle w:val="Hyperlink"/>
            <w:lang w:val="ru-RU"/>
          </w:rPr>
          <w:t>.</w:t>
        </w:r>
        <w:r w:rsidRPr="00124942">
          <w:rPr>
            <w:rStyle w:val="Hyperlink"/>
          </w:rPr>
          <w:t>itu</w:t>
        </w:r>
        <w:r w:rsidRPr="00133142">
          <w:rPr>
            <w:rStyle w:val="Hyperlink"/>
            <w:lang w:val="ru-RU"/>
          </w:rPr>
          <w:t>.</w:t>
        </w:r>
        <w:r w:rsidRPr="00124942">
          <w:rPr>
            <w:rStyle w:val="Hyperlink"/>
          </w:rPr>
          <w:t>int</w:t>
        </w:r>
        <w:r w:rsidRPr="00133142">
          <w:rPr>
            <w:rStyle w:val="Hyperlink"/>
            <w:lang w:val="ru-RU"/>
          </w:rPr>
          <w:t>/</w:t>
        </w:r>
        <w:r w:rsidRPr="00124942">
          <w:rPr>
            <w:rStyle w:val="Hyperlink"/>
          </w:rPr>
          <w:t>wtsa</w:t>
        </w:r>
        <w:r w:rsidRPr="00133142">
          <w:rPr>
            <w:rStyle w:val="Hyperlink"/>
            <w:lang w:val="ru-RU"/>
          </w:rPr>
          <w:t>/2024/</w:t>
        </w:r>
      </w:hyperlink>
      <w:r w:rsidRPr="00133142">
        <w:rPr>
          <w:lang w:val="ru-RU"/>
        </w:rPr>
        <w:t>;</w:t>
      </w:r>
    </w:p>
    <w:p w14:paraId="66DF147D" w14:textId="0584A0C6" w:rsidR="006D1044" w:rsidRPr="00133142" w:rsidRDefault="006D1044" w:rsidP="004B3E75">
      <w:pPr>
        <w:pStyle w:val="enumlev1"/>
        <w:jc w:val="both"/>
        <w:rPr>
          <w:szCs w:val="24"/>
          <w:lang w:val="ru-RU"/>
        </w:rPr>
      </w:pPr>
      <w:r w:rsidRPr="00133142">
        <w:rPr>
          <w:lang w:val="ru-RU"/>
        </w:rPr>
        <w:t>–</w:t>
      </w:r>
      <w:r w:rsidRPr="00133142">
        <w:rPr>
          <w:lang w:val="ru-RU"/>
        </w:rPr>
        <w:tab/>
      </w:r>
      <w:hyperlink r:id="rId16" w:history="1">
        <w:r w:rsidR="00E37870">
          <w:rPr>
            <w:rStyle w:val="Hyperlink"/>
            <w:lang w:val="ru-RU"/>
          </w:rPr>
          <w:t>м</w:t>
        </w:r>
        <w:r w:rsidR="00133142">
          <w:rPr>
            <w:rStyle w:val="Hyperlink"/>
            <w:lang w:val="ru-RU"/>
          </w:rPr>
          <w:t>атериалы</w:t>
        </w:r>
        <w:r w:rsidR="00133142" w:rsidRPr="00133142">
          <w:rPr>
            <w:rStyle w:val="Hyperlink"/>
            <w:lang w:val="ru-RU"/>
          </w:rPr>
          <w:t xml:space="preserve"> </w:t>
        </w:r>
        <w:r w:rsidR="00133142">
          <w:rPr>
            <w:rStyle w:val="Hyperlink"/>
            <w:lang w:val="ru-RU"/>
          </w:rPr>
          <w:t>ВАСЭ</w:t>
        </w:r>
        <w:r w:rsidRPr="00133142">
          <w:rPr>
            <w:rStyle w:val="Hyperlink"/>
            <w:lang w:val="ru-RU"/>
          </w:rPr>
          <w:t>-24</w:t>
        </w:r>
      </w:hyperlink>
      <w:r w:rsidRPr="00133142">
        <w:rPr>
          <w:lang w:val="ru-RU"/>
        </w:rPr>
        <w:t xml:space="preserve"> (</w:t>
      </w:r>
      <w:r w:rsidR="00133142" w:rsidRPr="00133142">
        <w:rPr>
          <w:lang w:val="ru-RU"/>
        </w:rPr>
        <w:t>окончательная версия теперь опубликована на шести языках</w:t>
      </w:r>
      <w:r w:rsidRPr="00133142">
        <w:rPr>
          <w:lang w:val="ru-RU"/>
        </w:rPr>
        <w:t>);</w:t>
      </w:r>
    </w:p>
    <w:p w14:paraId="1721F55A" w14:textId="551DF524" w:rsidR="006D1044" w:rsidRPr="00133142" w:rsidRDefault="006D1044" w:rsidP="004B3E75">
      <w:pPr>
        <w:pStyle w:val="enumlev1"/>
        <w:jc w:val="both"/>
        <w:rPr>
          <w:szCs w:val="24"/>
          <w:lang w:val="ru-RU"/>
        </w:rPr>
      </w:pPr>
      <w:r w:rsidRPr="00133142">
        <w:rPr>
          <w:lang w:val="ru-RU"/>
        </w:rPr>
        <w:t>–</w:t>
      </w:r>
      <w:r w:rsidRPr="00133142">
        <w:rPr>
          <w:lang w:val="ru-RU"/>
        </w:rPr>
        <w:tab/>
      </w:r>
      <w:r w:rsidR="00E37870">
        <w:rPr>
          <w:szCs w:val="24"/>
          <w:lang w:val="ru-RU"/>
        </w:rPr>
        <w:t>м</w:t>
      </w:r>
      <w:r w:rsidR="00133142" w:rsidRPr="00133142">
        <w:rPr>
          <w:szCs w:val="24"/>
          <w:lang w:val="ru-RU"/>
        </w:rPr>
        <w:t>ероприятия, связанные с ВАСЭ-24</w:t>
      </w:r>
      <w:r w:rsidRPr="00133142">
        <w:rPr>
          <w:szCs w:val="24"/>
          <w:lang w:val="ru-RU"/>
        </w:rPr>
        <w:t xml:space="preserve">: </w:t>
      </w:r>
      <w:hyperlink r:id="rId17" w:history="1">
        <w:r w:rsidRPr="00124942">
          <w:rPr>
            <w:color w:val="4F81BD" w:themeColor="accent1"/>
            <w:szCs w:val="24"/>
            <w:u w:val="single"/>
          </w:rPr>
          <w:t>https</w:t>
        </w:r>
        <w:r w:rsidRPr="00133142">
          <w:rPr>
            <w:color w:val="4F81BD" w:themeColor="accent1"/>
            <w:szCs w:val="24"/>
            <w:u w:val="single"/>
            <w:lang w:val="ru-RU"/>
          </w:rPr>
          <w:t>://</w:t>
        </w:r>
        <w:r w:rsidRPr="00124942">
          <w:rPr>
            <w:color w:val="4F81BD" w:themeColor="accent1"/>
            <w:szCs w:val="24"/>
            <w:u w:val="single"/>
          </w:rPr>
          <w:t>www</w:t>
        </w:r>
        <w:r w:rsidRPr="00133142">
          <w:rPr>
            <w:color w:val="4F81BD" w:themeColor="accent1"/>
            <w:szCs w:val="24"/>
            <w:u w:val="single"/>
            <w:lang w:val="ru-RU"/>
          </w:rPr>
          <w:t>.</w:t>
        </w:r>
        <w:r w:rsidRPr="00124942">
          <w:rPr>
            <w:color w:val="4F81BD" w:themeColor="accent1"/>
            <w:szCs w:val="24"/>
            <w:u w:val="single"/>
          </w:rPr>
          <w:t>itu</w:t>
        </w:r>
        <w:r w:rsidRPr="00133142">
          <w:rPr>
            <w:color w:val="4F81BD" w:themeColor="accent1"/>
            <w:szCs w:val="24"/>
            <w:u w:val="single"/>
            <w:lang w:val="ru-RU"/>
          </w:rPr>
          <w:t>.</w:t>
        </w:r>
        <w:r w:rsidRPr="00124942">
          <w:rPr>
            <w:color w:val="4F81BD" w:themeColor="accent1"/>
            <w:szCs w:val="24"/>
            <w:u w:val="single"/>
          </w:rPr>
          <w:t>int</w:t>
        </w:r>
        <w:r w:rsidRPr="00133142">
          <w:rPr>
            <w:color w:val="4F81BD" w:themeColor="accent1"/>
            <w:szCs w:val="24"/>
            <w:u w:val="single"/>
            <w:lang w:val="ru-RU"/>
          </w:rPr>
          <w:t>/</w:t>
        </w:r>
        <w:r w:rsidRPr="00124942">
          <w:rPr>
            <w:color w:val="4F81BD" w:themeColor="accent1"/>
            <w:szCs w:val="24"/>
            <w:u w:val="single"/>
          </w:rPr>
          <w:t>wtsa</w:t>
        </w:r>
        <w:r w:rsidRPr="00133142">
          <w:rPr>
            <w:color w:val="4F81BD" w:themeColor="accent1"/>
            <w:szCs w:val="24"/>
            <w:u w:val="single"/>
            <w:lang w:val="ru-RU"/>
          </w:rPr>
          <w:t>/2024/</w:t>
        </w:r>
        <w:r w:rsidRPr="00124942">
          <w:rPr>
            <w:color w:val="4F81BD" w:themeColor="accent1"/>
            <w:szCs w:val="24"/>
            <w:u w:val="single"/>
          </w:rPr>
          <w:t>related</w:t>
        </w:r>
        <w:r w:rsidRPr="00133142">
          <w:rPr>
            <w:color w:val="4F81BD" w:themeColor="accent1"/>
            <w:szCs w:val="24"/>
            <w:u w:val="single"/>
            <w:lang w:val="ru-RU"/>
          </w:rPr>
          <w:t>-</w:t>
        </w:r>
        <w:r w:rsidRPr="00124942">
          <w:rPr>
            <w:color w:val="4F81BD" w:themeColor="accent1"/>
            <w:szCs w:val="24"/>
            <w:u w:val="single"/>
          </w:rPr>
          <w:t>events</w:t>
        </w:r>
        <w:r w:rsidRPr="00133142">
          <w:rPr>
            <w:color w:val="4F81BD" w:themeColor="accent1"/>
            <w:szCs w:val="24"/>
            <w:u w:val="single"/>
            <w:lang w:val="ru-RU"/>
          </w:rPr>
          <w:t>/</w:t>
        </w:r>
      </w:hyperlink>
      <w:r w:rsidRPr="00133142">
        <w:rPr>
          <w:lang w:val="ru-RU"/>
        </w:rPr>
        <w:t>.</w:t>
      </w:r>
    </w:p>
    <w:p w14:paraId="0CCE2D6E" w14:textId="0F64FC74" w:rsidR="006D1044" w:rsidRPr="00E44578" w:rsidRDefault="006D1044" w:rsidP="004B3E75">
      <w:pPr>
        <w:pStyle w:val="Heading2"/>
        <w:jc w:val="both"/>
        <w:rPr>
          <w:lang w:val="ru-RU"/>
        </w:rPr>
      </w:pPr>
      <w:r w:rsidRPr="006A06A7">
        <w:rPr>
          <w:lang w:val="ru-RU"/>
        </w:rPr>
        <w:lastRenderedPageBreak/>
        <w:t>2.2</w:t>
      </w:r>
      <w:r w:rsidRPr="006A06A7">
        <w:rPr>
          <w:lang w:val="ru-RU"/>
        </w:rPr>
        <w:tab/>
      </w:r>
      <w:r w:rsidR="00E44578" w:rsidRPr="006A06A7">
        <w:rPr>
          <w:bCs/>
          <w:lang w:val="ru-RU"/>
        </w:rPr>
        <w:t>Влияние на бюджет</w:t>
      </w:r>
    </w:p>
    <w:p w14:paraId="5CB17D1F" w14:textId="61335DDA" w:rsidR="006D1044" w:rsidRPr="00872C42" w:rsidRDefault="00872C42" w:rsidP="004B3E75">
      <w:pPr>
        <w:keepLines/>
        <w:jc w:val="both"/>
        <w:rPr>
          <w:lang w:val="ru-RU"/>
        </w:rPr>
      </w:pPr>
      <w:r w:rsidRPr="00872C42">
        <w:rPr>
          <w:lang w:val="ru-RU"/>
        </w:rPr>
        <w:t xml:space="preserve">ВАСЭ-24 приняла ряд решений касательно новых видов деятельности, исследований и семинаров-практикумов, которые позволят Бюро стандартизации электросвязи (БСЭ) своевременно реагировать на </w:t>
      </w:r>
      <w:r w:rsidRPr="0026151F">
        <w:rPr>
          <w:lang w:val="ru-RU"/>
        </w:rPr>
        <w:t xml:space="preserve">потребности членов и заниматься стратегическими вопросами, которые потребуют внимания </w:t>
      </w:r>
      <w:r w:rsidR="000A20E1">
        <w:rPr>
          <w:lang w:val="ru-RU"/>
        </w:rPr>
        <w:t>следующей</w:t>
      </w:r>
      <w:r w:rsidRPr="0026151F">
        <w:rPr>
          <w:lang w:val="ru-RU"/>
        </w:rPr>
        <w:t xml:space="preserve"> Ассамблеи (ВАСЭ-28). </w:t>
      </w:r>
      <w:r w:rsidRPr="0026151F">
        <w:rPr>
          <w:spacing w:val="2"/>
          <w:lang w:val="ru-RU"/>
        </w:rPr>
        <w:t xml:space="preserve">ВАСЭ-24 определила виды деятельности (описанные в новых резолюциях и действиях ВАСЭ-24, </w:t>
      </w:r>
      <w:r w:rsidR="00E37870" w:rsidRPr="0026151F">
        <w:rPr>
          <w:spacing w:val="2"/>
          <w:lang w:val="ru-RU"/>
        </w:rPr>
        <w:t xml:space="preserve">такие как </w:t>
      </w:r>
      <w:r w:rsidRPr="0026151F">
        <w:rPr>
          <w:spacing w:val="2"/>
          <w:lang w:val="ru-RU"/>
        </w:rPr>
        <w:t>ИИ, цифровая инфраструктура общего пользования (</w:t>
      </w:r>
      <w:r w:rsidRPr="0026151F">
        <w:rPr>
          <w:spacing w:val="2"/>
        </w:rPr>
        <w:t>DPI</w:t>
      </w:r>
      <w:r w:rsidRPr="0026151F">
        <w:rPr>
          <w:spacing w:val="2"/>
          <w:lang w:val="ru-RU"/>
        </w:rPr>
        <w:t>) и устойчивая цифровая трансформация (</w:t>
      </w:r>
      <w:r w:rsidRPr="0026151F">
        <w:rPr>
          <w:spacing w:val="2"/>
        </w:rPr>
        <w:t>SDT</w:t>
      </w:r>
      <w:r w:rsidRPr="0026151F">
        <w:rPr>
          <w:spacing w:val="2"/>
          <w:lang w:val="ru-RU"/>
        </w:rPr>
        <w:t xml:space="preserve">)) в качестве </w:t>
      </w:r>
      <w:r w:rsidRPr="004216D2">
        <w:rPr>
          <w:lang w:val="ru-RU"/>
        </w:rPr>
        <w:t>приоритетных</w:t>
      </w:r>
      <w:r w:rsidRPr="0026151F">
        <w:rPr>
          <w:spacing w:val="2"/>
          <w:lang w:val="ru-RU"/>
        </w:rPr>
        <w:t xml:space="preserve"> областей для МСЭ-Т. </w:t>
      </w:r>
      <w:r w:rsidRPr="0026151F">
        <w:rPr>
          <w:lang w:val="ru-RU"/>
        </w:rPr>
        <w:t xml:space="preserve">БСЭ поручено выполнить эти </w:t>
      </w:r>
      <w:r w:rsidR="00E37870" w:rsidRPr="0026151F">
        <w:rPr>
          <w:lang w:val="ru-RU"/>
        </w:rPr>
        <w:t>виды деятельности</w:t>
      </w:r>
      <w:r w:rsidRPr="0026151F">
        <w:rPr>
          <w:lang w:val="ru-RU"/>
        </w:rPr>
        <w:t xml:space="preserve"> и представить отчет ВАСЭ-28.</w:t>
      </w:r>
      <w:r w:rsidR="000A20E1">
        <w:rPr>
          <w:lang w:val="ru-RU"/>
        </w:rPr>
        <w:t xml:space="preserve"> Эти решения и их финансовые последствия рассматриваются в Документах </w:t>
      </w:r>
      <w:hyperlink r:id="rId18" w:history="1">
        <w:r w:rsidR="000A20E1" w:rsidRPr="000A20E1">
          <w:rPr>
            <w:rStyle w:val="Hyperlink"/>
          </w:rPr>
          <w:t>C</w:t>
        </w:r>
        <w:r w:rsidR="000A20E1" w:rsidRPr="004216D2">
          <w:rPr>
            <w:rStyle w:val="Hyperlink"/>
            <w:lang w:val="ru-RU"/>
          </w:rPr>
          <w:t>25/13</w:t>
        </w:r>
      </w:hyperlink>
      <w:r w:rsidR="000A20E1" w:rsidRPr="004216D2">
        <w:rPr>
          <w:lang w:val="ru-RU"/>
        </w:rPr>
        <w:t xml:space="preserve"> </w:t>
      </w:r>
      <w:r w:rsidR="000A20E1">
        <w:rPr>
          <w:lang w:val="ru-RU"/>
        </w:rPr>
        <w:t>и</w:t>
      </w:r>
      <w:r w:rsidR="000A20E1" w:rsidRPr="004216D2">
        <w:rPr>
          <w:lang w:val="ru-RU"/>
        </w:rPr>
        <w:t xml:space="preserve"> </w:t>
      </w:r>
      <w:hyperlink r:id="rId19" w:history="1">
        <w:r w:rsidR="000A20E1" w:rsidRPr="000A20E1">
          <w:rPr>
            <w:rStyle w:val="Hyperlink"/>
          </w:rPr>
          <w:t>C</w:t>
        </w:r>
        <w:r w:rsidR="000A20E1" w:rsidRPr="004216D2">
          <w:rPr>
            <w:rStyle w:val="Hyperlink"/>
            <w:lang w:val="ru-RU"/>
          </w:rPr>
          <w:t>25/43</w:t>
        </w:r>
      </w:hyperlink>
      <w:r w:rsidR="000A20E1" w:rsidRPr="004216D2">
        <w:rPr>
          <w:lang w:val="ru-RU"/>
        </w:rPr>
        <w:t>.</w:t>
      </w:r>
    </w:p>
    <w:p w14:paraId="34CDFB0F" w14:textId="4B5CFDDA" w:rsidR="006D1044" w:rsidRPr="0026151F" w:rsidRDefault="006D1044" w:rsidP="006D1044">
      <w:pPr>
        <w:pStyle w:val="Heading1"/>
        <w:rPr>
          <w:lang w:val="ru-RU"/>
        </w:rPr>
      </w:pPr>
      <w:r w:rsidRPr="0026151F">
        <w:rPr>
          <w:lang w:val="ru-RU"/>
        </w:rPr>
        <w:t>3</w:t>
      </w:r>
      <w:r w:rsidRPr="0026151F">
        <w:rPr>
          <w:lang w:val="ru-RU"/>
        </w:rPr>
        <w:tab/>
      </w:r>
      <w:r w:rsidR="00A54827" w:rsidRPr="0026151F">
        <w:rPr>
          <w:bCs/>
          <w:lang w:val="ru-RU"/>
        </w:rPr>
        <w:t>Сеть женщин (</w:t>
      </w:r>
      <w:r w:rsidR="00A54827" w:rsidRPr="0026151F">
        <w:rPr>
          <w:bCs/>
        </w:rPr>
        <w:t>NoW</w:t>
      </w:r>
      <w:r w:rsidR="00A54827" w:rsidRPr="0026151F">
        <w:rPr>
          <w:bCs/>
          <w:lang w:val="ru-RU"/>
        </w:rPr>
        <w:t>) в интересах ВАСЭ-24</w:t>
      </w:r>
    </w:p>
    <w:p w14:paraId="5D25364E" w14:textId="642E467A" w:rsidR="006D1044" w:rsidRPr="0026151F" w:rsidRDefault="00A54827" w:rsidP="004B3E75">
      <w:pPr>
        <w:jc w:val="both"/>
        <w:rPr>
          <w:lang w:val="ru-RU"/>
        </w:rPr>
      </w:pPr>
      <w:r w:rsidRPr="0026151F">
        <w:rPr>
          <w:lang w:val="ru-RU"/>
        </w:rPr>
        <w:t>Целью Сет</w:t>
      </w:r>
      <w:r w:rsidR="00C45260" w:rsidRPr="0026151F">
        <w:rPr>
          <w:lang w:val="ru-RU"/>
        </w:rPr>
        <w:t>и</w:t>
      </w:r>
      <w:r w:rsidRPr="0026151F">
        <w:rPr>
          <w:lang w:val="ru-RU"/>
        </w:rPr>
        <w:t xml:space="preserve"> женщин в МСЭ-</w:t>
      </w:r>
      <w:r w:rsidRPr="0026151F">
        <w:t>T</w:t>
      </w:r>
      <w:r w:rsidRPr="0026151F">
        <w:rPr>
          <w:lang w:val="ru-RU"/>
        </w:rPr>
        <w:t xml:space="preserve"> (</w:t>
      </w:r>
      <w:r w:rsidRPr="0026151F">
        <w:t>NoW</w:t>
      </w:r>
      <w:r w:rsidRPr="0026151F">
        <w:rPr>
          <w:lang w:val="ru-RU"/>
        </w:rPr>
        <w:t xml:space="preserve"> в МСЭ-</w:t>
      </w:r>
      <w:r w:rsidRPr="0026151F">
        <w:t>T</w:t>
      </w:r>
      <w:r w:rsidRPr="0026151F">
        <w:rPr>
          <w:lang w:val="ru-RU"/>
        </w:rPr>
        <w:t xml:space="preserve">) является расширение участия женщин в деятельности сектора стандартизации. </w:t>
      </w:r>
      <w:r w:rsidR="006A369D" w:rsidRPr="0026151F">
        <w:rPr>
          <w:lang w:val="ru-RU"/>
        </w:rPr>
        <w:t>Сеть женщин в интересах ВАСЭ-24 (</w:t>
      </w:r>
      <w:hyperlink r:id="rId20" w:history="1">
        <w:r w:rsidR="006A369D" w:rsidRPr="0026151F">
          <w:rPr>
            <w:rStyle w:val="Hyperlink"/>
            <w:rFonts w:asciiTheme="minorHAnsi" w:hAnsiTheme="minorHAnsi" w:cstheme="minorHAnsi"/>
          </w:rPr>
          <w:t>NOW</w:t>
        </w:r>
        <w:r w:rsidR="006A369D" w:rsidRPr="0026151F">
          <w:rPr>
            <w:rStyle w:val="Hyperlink"/>
            <w:rFonts w:asciiTheme="minorHAnsi" w:hAnsiTheme="minorHAnsi" w:cstheme="minorHAnsi"/>
            <w:lang w:val="ru-RU"/>
          </w:rPr>
          <w:t>4</w:t>
        </w:r>
        <w:r w:rsidR="006A369D" w:rsidRPr="0026151F">
          <w:rPr>
            <w:rStyle w:val="Hyperlink"/>
            <w:rFonts w:asciiTheme="minorHAnsi" w:hAnsiTheme="minorHAnsi" w:cstheme="minorHAnsi"/>
          </w:rPr>
          <w:t>WTSA</w:t>
        </w:r>
        <w:r w:rsidR="006A369D" w:rsidRPr="0026151F">
          <w:rPr>
            <w:rStyle w:val="Hyperlink"/>
            <w:rFonts w:asciiTheme="minorHAnsi" w:hAnsiTheme="minorHAnsi" w:cstheme="minorHAnsi"/>
            <w:lang w:val="ru-RU"/>
          </w:rPr>
          <w:t>24</w:t>
        </w:r>
      </w:hyperlink>
      <w:r w:rsidR="006A369D" w:rsidRPr="0026151F">
        <w:rPr>
          <w:lang w:val="ru-RU"/>
        </w:rPr>
        <w:t xml:space="preserve">) призвала Государства </w:t>
      </w:r>
      <w:r w:rsidR="006A369D" w:rsidRPr="0026151F">
        <w:rPr>
          <w:rFonts w:asciiTheme="minorHAnsi" w:hAnsiTheme="minorHAnsi" w:cstheme="minorHAnsi"/>
          <w:lang w:val="ru-RU"/>
        </w:rPr>
        <w:t>−</w:t>
      </w:r>
      <w:r w:rsidR="006A369D" w:rsidRPr="0026151F">
        <w:rPr>
          <w:lang w:val="ru-RU"/>
        </w:rPr>
        <w:t xml:space="preserve"> Члены МСЭ поддержать гендерную инклюзивность на ВАСЭ-24. Призыв к действию </w:t>
      </w:r>
      <w:r w:rsidR="00C45260" w:rsidRPr="0026151F">
        <w:rPr>
          <w:lang w:val="ru-RU"/>
        </w:rPr>
        <w:t>включал следующие пункты</w:t>
      </w:r>
      <w:r w:rsidR="006A369D" w:rsidRPr="0026151F">
        <w:rPr>
          <w:lang w:val="ru-RU"/>
        </w:rPr>
        <w:t>:</w:t>
      </w:r>
    </w:p>
    <w:p w14:paraId="77A12F97" w14:textId="6CA082BC" w:rsidR="006D1044" w:rsidRPr="006A369D" w:rsidRDefault="006D1044" w:rsidP="004B3E75">
      <w:pPr>
        <w:pStyle w:val="enumlev1"/>
        <w:jc w:val="both"/>
        <w:rPr>
          <w:lang w:val="ru-RU"/>
        </w:rPr>
      </w:pPr>
      <w:r w:rsidRPr="0026151F">
        <w:rPr>
          <w:rFonts w:eastAsia="SimSun"/>
          <w:lang w:val="ru-RU"/>
        </w:rPr>
        <w:t>1</w:t>
      </w:r>
      <w:r w:rsidRPr="0026151F">
        <w:rPr>
          <w:rFonts w:eastAsia="SimSun"/>
          <w:lang w:val="ru-RU"/>
        </w:rPr>
        <w:tab/>
      </w:r>
      <w:r w:rsidR="006A369D" w:rsidRPr="0026151F">
        <w:rPr>
          <w:lang w:val="ru-RU"/>
        </w:rPr>
        <w:t>выдвигать женщин на ключевые руководящие</w:t>
      </w:r>
      <w:r w:rsidR="006A369D" w:rsidRPr="006A369D">
        <w:rPr>
          <w:lang w:val="ru-RU"/>
        </w:rPr>
        <w:t xml:space="preserve"> должности в МСЭ-Т (председатели, </w:t>
      </w:r>
      <w:r w:rsidR="006A369D" w:rsidRPr="004B3E75">
        <w:rPr>
          <w:lang w:val="ru-RU"/>
        </w:rPr>
        <w:t>заместители</w:t>
      </w:r>
      <w:r w:rsidR="006A369D" w:rsidRPr="006A369D">
        <w:rPr>
          <w:lang w:val="ru-RU"/>
        </w:rPr>
        <w:t xml:space="preserve"> председателей КГСЭ, исследовательских комиссий и Комитета по стандартизации терминологии);</w:t>
      </w:r>
    </w:p>
    <w:p w14:paraId="7DABAB36" w14:textId="7BEDAEC6" w:rsidR="006D1044" w:rsidRPr="006A369D" w:rsidRDefault="006D1044" w:rsidP="004B3E75">
      <w:pPr>
        <w:pStyle w:val="enumlev1"/>
        <w:jc w:val="both"/>
        <w:rPr>
          <w:lang w:val="ru-RU"/>
        </w:rPr>
      </w:pPr>
      <w:r w:rsidRPr="006A369D">
        <w:rPr>
          <w:rFonts w:eastAsia="SimSun"/>
          <w:lang w:val="ru-RU"/>
        </w:rPr>
        <w:t>2</w:t>
      </w:r>
      <w:r w:rsidRPr="006A369D">
        <w:rPr>
          <w:rFonts w:eastAsia="SimSun"/>
          <w:lang w:val="ru-RU"/>
        </w:rPr>
        <w:tab/>
      </w:r>
      <w:r w:rsidR="006A369D" w:rsidRPr="004B3E75">
        <w:rPr>
          <w:lang w:val="ru-RU"/>
        </w:rPr>
        <w:t>поощрять</w:t>
      </w:r>
      <w:r w:rsidR="006A369D" w:rsidRPr="006A369D">
        <w:rPr>
          <w:lang w:val="ru-RU"/>
        </w:rPr>
        <w:t xml:space="preserve"> назначение женщин главами делегаций;</w:t>
      </w:r>
    </w:p>
    <w:p w14:paraId="3DD44475" w14:textId="324FA94D" w:rsidR="006D1044" w:rsidRPr="006A369D" w:rsidRDefault="006D1044" w:rsidP="004B3E75">
      <w:pPr>
        <w:pStyle w:val="enumlev1"/>
        <w:jc w:val="both"/>
        <w:rPr>
          <w:lang w:val="ru-RU"/>
        </w:rPr>
      </w:pPr>
      <w:r w:rsidRPr="006A369D">
        <w:rPr>
          <w:rFonts w:eastAsia="SimSun"/>
          <w:lang w:val="ru-RU"/>
        </w:rPr>
        <w:t>3</w:t>
      </w:r>
      <w:r w:rsidRPr="006A369D">
        <w:rPr>
          <w:rFonts w:eastAsia="SimSun"/>
          <w:lang w:val="ru-RU"/>
        </w:rPr>
        <w:tab/>
      </w:r>
      <w:r w:rsidR="006A369D" w:rsidRPr="004B3E75">
        <w:rPr>
          <w:lang w:val="ru-RU"/>
        </w:rPr>
        <w:t>содействовать</w:t>
      </w:r>
      <w:r w:rsidR="006A369D" w:rsidRPr="006A369D">
        <w:rPr>
          <w:lang w:val="ru-RU"/>
        </w:rPr>
        <w:t xml:space="preserve"> активному участию женщин в делегациях стран;</w:t>
      </w:r>
    </w:p>
    <w:p w14:paraId="13531080" w14:textId="2868D69E" w:rsidR="006D1044" w:rsidRPr="006A369D" w:rsidRDefault="006D1044" w:rsidP="004B3E75">
      <w:pPr>
        <w:pStyle w:val="enumlev1"/>
        <w:jc w:val="both"/>
        <w:rPr>
          <w:lang w:val="ru-RU"/>
        </w:rPr>
      </w:pPr>
      <w:r w:rsidRPr="006A369D">
        <w:rPr>
          <w:rFonts w:eastAsia="SimSun"/>
          <w:lang w:val="ru-RU"/>
        </w:rPr>
        <w:t>4</w:t>
      </w:r>
      <w:r w:rsidRPr="006A369D">
        <w:rPr>
          <w:rFonts w:eastAsia="SimSun"/>
          <w:lang w:val="ru-RU"/>
        </w:rPr>
        <w:tab/>
      </w:r>
      <w:r w:rsidR="006A369D" w:rsidRPr="004B3E75">
        <w:rPr>
          <w:lang w:val="ru-RU"/>
        </w:rPr>
        <w:t>поддержать</w:t>
      </w:r>
      <w:r w:rsidR="006A369D" w:rsidRPr="006A369D">
        <w:rPr>
          <w:lang w:val="ru-RU"/>
        </w:rPr>
        <w:t xml:space="preserve"> достижение общего 35-процентного участия женщин на ВАСЭ-24</w:t>
      </w:r>
      <w:r w:rsidRPr="006A369D">
        <w:rPr>
          <w:lang w:val="ru-RU"/>
        </w:rPr>
        <w:t>.</w:t>
      </w:r>
    </w:p>
    <w:p w14:paraId="74ACC9BA" w14:textId="3B6551B8" w:rsidR="006D1044" w:rsidRPr="0026151F" w:rsidRDefault="006A369D" w:rsidP="004B3E75">
      <w:pPr>
        <w:jc w:val="both"/>
        <w:rPr>
          <w:lang w:val="ru-RU"/>
        </w:rPr>
      </w:pPr>
      <w:r w:rsidRPr="006A369D">
        <w:rPr>
          <w:lang w:val="ru-RU"/>
        </w:rPr>
        <w:t>Благодаря согласованным усилиям по достижению целей кампании доля женщин на Ассамблее составила 26 процентов, что является самым высоким показателем для ВАСЭ за пределами Женевы.</w:t>
      </w:r>
      <w:r>
        <w:rPr>
          <w:lang w:val="ru-RU"/>
        </w:rPr>
        <w:t xml:space="preserve"> </w:t>
      </w:r>
      <w:r w:rsidRPr="006A369D">
        <w:rPr>
          <w:lang w:val="ru-RU"/>
        </w:rPr>
        <w:t>Число женщин на руководящих должностях увеличилось на 24 процента по сравнению с прошлым исследовательским периодом.</w:t>
      </w:r>
      <w:r>
        <w:rPr>
          <w:lang w:val="ru-RU"/>
        </w:rPr>
        <w:t xml:space="preserve"> В настоящее время</w:t>
      </w:r>
      <w:r w:rsidRPr="006A369D">
        <w:rPr>
          <w:lang w:val="ru-RU"/>
        </w:rPr>
        <w:t xml:space="preserve"> женщины занимают около четверти всех ключевых руководящих должностей в МСЭ-Т.</w:t>
      </w:r>
      <w:r>
        <w:rPr>
          <w:lang w:val="ru-RU"/>
        </w:rPr>
        <w:t xml:space="preserve"> </w:t>
      </w:r>
      <w:r w:rsidR="00FE2FD6" w:rsidRPr="00FE2FD6">
        <w:rPr>
          <w:lang w:val="ru-RU"/>
        </w:rPr>
        <w:t xml:space="preserve">На самой Ассамблее также был достигнут </w:t>
      </w:r>
      <w:r w:rsidR="00FE2FD6" w:rsidRPr="0026151F">
        <w:rPr>
          <w:lang w:val="ru-RU"/>
        </w:rPr>
        <w:t>значительный прогресс в плане представленности женщин среди руководства: число женщин на руководящих должностях увеличилось вдвое по сравнению с ВАСЭ-20.</w:t>
      </w:r>
    </w:p>
    <w:p w14:paraId="23C3CC7F" w14:textId="5D63E6A6" w:rsidR="006D1044" w:rsidRPr="00FE2FD6" w:rsidRDefault="00FE2FD6" w:rsidP="004B3E75">
      <w:pPr>
        <w:jc w:val="both"/>
        <w:rPr>
          <w:rFonts w:asciiTheme="minorHAnsi" w:hAnsiTheme="minorHAnsi" w:cstheme="minorHAnsi"/>
          <w:lang w:val="ru-RU"/>
        </w:rPr>
      </w:pPr>
      <w:r w:rsidRPr="0026151F">
        <w:rPr>
          <w:rFonts w:asciiTheme="minorHAnsi" w:hAnsiTheme="minorHAnsi" w:cstheme="minorHAnsi"/>
          <w:szCs w:val="24"/>
          <w:lang w:val="ru-RU"/>
        </w:rPr>
        <w:t xml:space="preserve">Кульминацией кампании стало проведение </w:t>
      </w:r>
      <w:hyperlink r:id="rId21" w:history="1">
        <w:r w:rsidRPr="0026151F">
          <w:rPr>
            <w:rStyle w:val="Hyperlink"/>
            <w:rFonts w:asciiTheme="minorHAnsi" w:hAnsiTheme="minorHAnsi" w:cstheme="minorHAnsi"/>
            <w:szCs w:val="24"/>
            <w:lang w:val="ru-RU"/>
          </w:rPr>
          <w:t>специального мероприятия на ВАСЭ-24</w:t>
        </w:r>
      </w:hyperlink>
      <w:r w:rsidRPr="0026151F">
        <w:rPr>
          <w:rFonts w:asciiTheme="minorHAnsi" w:hAnsiTheme="minorHAnsi" w:cstheme="minorHAnsi"/>
          <w:szCs w:val="24"/>
          <w:lang w:val="ru-RU"/>
        </w:rPr>
        <w:t xml:space="preserve"> 17 октября 2024 года, в рамках которого состоялись групповые обсуждения, посвященные преодолению гендерного разрыва в области стандартизации</w:t>
      </w:r>
      <w:r w:rsidR="00C45260" w:rsidRPr="0026151F">
        <w:rPr>
          <w:rFonts w:asciiTheme="minorHAnsi" w:hAnsiTheme="minorHAnsi" w:cstheme="minorHAnsi"/>
          <w:szCs w:val="24"/>
          <w:lang w:val="ru-RU"/>
        </w:rPr>
        <w:t>, а также</w:t>
      </w:r>
      <w:r w:rsidRPr="0026151F">
        <w:rPr>
          <w:rFonts w:asciiTheme="minorHAnsi" w:hAnsiTheme="minorHAnsi" w:cstheme="minorHAnsi"/>
          <w:szCs w:val="24"/>
          <w:lang w:val="ru-RU"/>
        </w:rPr>
        <w:t xml:space="preserve"> стандартам для всеохватывающего ИИ. </w:t>
      </w:r>
      <w:r w:rsidRPr="0026151F">
        <w:rPr>
          <w:rFonts w:asciiTheme="minorHAnsi" w:hAnsiTheme="minorHAnsi" w:cstheme="minorHAnsi"/>
          <w:lang w:val="ru-RU"/>
        </w:rPr>
        <w:t>Мероприятие завершилось церемонией признания заслуг, в ходе которой были отмечены достижения, связанные с целями</w:t>
      </w:r>
      <w:r w:rsidRPr="00FE2FD6">
        <w:rPr>
          <w:rFonts w:asciiTheme="minorHAnsi" w:hAnsiTheme="minorHAnsi" w:cstheme="minorHAnsi"/>
          <w:lang w:val="ru-RU"/>
        </w:rPr>
        <w:t xml:space="preserve"> кампании и вкладом в обеспечение гендерного равенства.</w:t>
      </w:r>
    </w:p>
    <w:p w14:paraId="2988FB94" w14:textId="2025F865" w:rsidR="006D1044" w:rsidRPr="0026151F" w:rsidRDefault="006D1044" w:rsidP="006D1044">
      <w:pPr>
        <w:pStyle w:val="Heading1"/>
        <w:rPr>
          <w:lang w:val="ru-RU"/>
        </w:rPr>
      </w:pPr>
      <w:r w:rsidRPr="00AB3767">
        <w:rPr>
          <w:lang w:val="ru-RU"/>
        </w:rPr>
        <w:t>4</w:t>
      </w:r>
      <w:r w:rsidRPr="00AB3767">
        <w:rPr>
          <w:lang w:val="ru-RU"/>
        </w:rPr>
        <w:tab/>
      </w:r>
      <w:r w:rsidR="00AB3767" w:rsidRPr="00AB3767">
        <w:rPr>
          <w:bCs/>
          <w:lang w:val="ru-RU"/>
        </w:rPr>
        <w:t xml:space="preserve">Сопутствующие </w:t>
      </w:r>
      <w:r w:rsidR="00AB3767" w:rsidRPr="0026151F">
        <w:rPr>
          <w:bCs/>
          <w:lang w:val="ru-RU"/>
        </w:rPr>
        <w:t>мероприятия и выставки</w:t>
      </w:r>
    </w:p>
    <w:p w14:paraId="072835A2" w14:textId="14BEA9B8" w:rsidR="006D1044" w:rsidRPr="0026151F" w:rsidRDefault="00AB3767" w:rsidP="004B3E75">
      <w:pPr>
        <w:jc w:val="both"/>
        <w:rPr>
          <w:lang w:val="ru-RU"/>
        </w:rPr>
      </w:pPr>
      <w:r w:rsidRPr="0026151F">
        <w:rPr>
          <w:lang w:val="ru-RU"/>
        </w:rPr>
        <w:t xml:space="preserve">Параллельно с ВАСЭ-24 было проведено более 20 </w:t>
      </w:r>
      <w:r w:rsidRPr="0026151F">
        <w:rPr>
          <w:rFonts w:asciiTheme="minorHAnsi" w:hAnsiTheme="minorHAnsi" w:cstheme="minorHAnsi"/>
          <w:lang w:val="ru-RU"/>
        </w:rPr>
        <w:t>мероприятий</w:t>
      </w:r>
      <w:r w:rsidR="00AC197D" w:rsidRPr="0026151F">
        <w:rPr>
          <w:rFonts w:asciiTheme="minorHAnsi" w:hAnsiTheme="minorHAnsi" w:cstheme="minorHAnsi"/>
          <w:lang w:val="ru-RU"/>
        </w:rPr>
        <w:t>, которые насчитывали</w:t>
      </w:r>
      <w:r w:rsidRPr="0026151F">
        <w:rPr>
          <w:rFonts w:asciiTheme="minorHAnsi" w:hAnsiTheme="minorHAnsi" w:cstheme="minorHAnsi"/>
          <w:lang w:val="ru-RU"/>
        </w:rPr>
        <w:t xml:space="preserve"> свыше 80</w:t>
      </w:r>
      <w:r w:rsidR="00AC197D" w:rsidRPr="0026151F">
        <w:rPr>
          <w:rFonts w:asciiTheme="minorHAnsi" w:hAnsiTheme="minorHAnsi" w:cstheme="minorHAnsi"/>
          <w:lang w:val="ru-RU"/>
        </w:rPr>
        <w:t> </w:t>
      </w:r>
      <w:r w:rsidRPr="0026151F">
        <w:rPr>
          <w:rFonts w:asciiTheme="minorHAnsi" w:hAnsiTheme="minorHAnsi" w:cstheme="minorHAnsi"/>
          <w:lang w:val="ru-RU"/>
        </w:rPr>
        <w:t xml:space="preserve">часов </w:t>
      </w:r>
      <w:r w:rsidRPr="004216D2">
        <w:rPr>
          <w:lang w:val="ru-RU"/>
        </w:rPr>
        <w:t>насыщенной</w:t>
      </w:r>
      <w:r w:rsidRPr="0026151F">
        <w:rPr>
          <w:rFonts w:asciiTheme="minorHAnsi" w:hAnsiTheme="minorHAnsi" w:cstheme="minorHAnsi"/>
          <w:lang w:val="ru-RU"/>
        </w:rPr>
        <w:t xml:space="preserve"> программы</w:t>
      </w:r>
      <w:r w:rsidR="00AC197D" w:rsidRPr="0026151F">
        <w:rPr>
          <w:rFonts w:asciiTheme="minorHAnsi" w:hAnsiTheme="minorHAnsi" w:cstheme="minorHAnsi"/>
          <w:lang w:val="ru-RU"/>
        </w:rPr>
        <w:t xml:space="preserve"> и </w:t>
      </w:r>
      <w:r w:rsidR="00C45260" w:rsidRPr="0026151F">
        <w:rPr>
          <w:rFonts w:asciiTheme="minorHAnsi" w:hAnsiTheme="minorHAnsi" w:cstheme="minorHAnsi"/>
          <w:lang w:val="ru-RU"/>
        </w:rPr>
        <w:t>позволил</w:t>
      </w:r>
      <w:r w:rsidR="00AC197D" w:rsidRPr="0026151F">
        <w:rPr>
          <w:rFonts w:asciiTheme="minorHAnsi" w:hAnsiTheme="minorHAnsi" w:cstheme="minorHAnsi"/>
          <w:lang w:val="ru-RU"/>
        </w:rPr>
        <w:t xml:space="preserve">и </w:t>
      </w:r>
      <w:r w:rsidR="00C45260" w:rsidRPr="0026151F">
        <w:rPr>
          <w:rFonts w:asciiTheme="minorHAnsi" w:hAnsiTheme="minorHAnsi" w:cstheme="minorHAnsi"/>
          <w:lang w:val="ru-RU"/>
        </w:rPr>
        <w:t>подчеркнуть</w:t>
      </w:r>
      <w:r w:rsidRPr="0026151F">
        <w:rPr>
          <w:lang w:val="ru-RU"/>
        </w:rPr>
        <w:t xml:space="preserve"> важность и влияние работы МСЭ, а также способствовал</w:t>
      </w:r>
      <w:r w:rsidR="00AC197D" w:rsidRPr="0026151F">
        <w:rPr>
          <w:lang w:val="ru-RU"/>
        </w:rPr>
        <w:t>и</w:t>
      </w:r>
      <w:r w:rsidRPr="0026151F">
        <w:rPr>
          <w:lang w:val="ru-RU"/>
        </w:rPr>
        <w:t xml:space="preserve"> вовлечению процветающей технологической экосистемы Индии. </w:t>
      </w:r>
      <w:r w:rsidR="007A151D" w:rsidRPr="0026151F">
        <w:rPr>
          <w:lang w:val="ru-RU"/>
        </w:rPr>
        <w:t>На Ассамблее также было представлено более 85 выставочных и демонстрационных стендов</w:t>
      </w:r>
      <w:r w:rsidR="006D1044" w:rsidRPr="0026151F">
        <w:rPr>
          <w:lang w:val="ru-RU"/>
        </w:rPr>
        <w:t>.</w:t>
      </w:r>
    </w:p>
    <w:p w14:paraId="2C9E4BAA" w14:textId="53950E0D" w:rsidR="006D1044" w:rsidRPr="0026151F" w:rsidRDefault="006D1044" w:rsidP="006D1044">
      <w:pPr>
        <w:pStyle w:val="Heading1"/>
        <w:rPr>
          <w:lang w:val="ru-RU"/>
        </w:rPr>
      </w:pPr>
      <w:r w:rsidRPr="0026151F">
        <w:rPr>
          <w:lang w:val="ru-RU"/>
        </w:rPr>
        <w:t>5</w:t>
      </w:r>
      <w:r w:rsidRPr="0026151F">
        <w:rPr>
          <w:lang w:val="ru-RU"/>
        </w:rPr>
        <w:tab/>
      </w:r>
      <w:r w:rsidR="007A151D" w:rsidRPr="0026151F">
        <w:rPr>
          <w:bCs/>
          <w:lang w:val="ru-RU"/>
        </w:rPr>
        <w:t xml:space="preserve">Освещение </w:t>
      </w:r>
      <w:r w:rsidR="000A20E1">
        <w:rPr>
          <w:bCs/>
          <w:lang w:val="ru-RU"/>
        </w:rPr>
        <w:t xml:space="preserve">в </w:t>
      </w:r>
      <w:r w:rsidR="007A151D" w:rsidRPr="0026151F">
        <w:rPr>
          <w:bCs/>
          <w:lang w:val="ru-RU"/>
        </w:rPr>
        <w:t>средства</w:t>
      </w:r>
      <w:r w:rsidR="000A20E1">
        <w:rPr>
          <w:bCs/>
          <w:lang w:val="ru-RU"/>
        </w:rPr>
        <w:t>х</w:t>
      </w:r>
      <w:r w:rsidR="007A151D" w:rsidRPr="0026151F">
        <w:rPr>
          <w:bCs/>
          <w:lang w:val="ru-RU"/>
        </w:rPr>
        <w:t xml:space="preserve"> массовой информации</w:t>
      </w:r>
    </w:p>
    <w:p w14:paraId="4FC97AFE" w14:textId="742563D5" w:rsidR="006D1044" w:rsidRPr="0026151F" w:rsidRDefault="00157B5F" w:rsidP="004B3E75">
      <w:pPr>
        <w:jc w:val="both"/>
        <w:rPr>
          <w:lang w:val="ru-RU"/>
        </w:rPr>
      </w:pPr>
      <w:r w:rsidRPr="0026151F">
        <w:rPr>
          <w:lang w:val="ru-RU"/>
        </w:rPr>
        <w:t xml:space="preserve">В рамках ВАСЭ-24 состоялась самая масштабная церемония открытия за всю </w:t>
      </w:r>
      <w:r w:rsidRPr="0026151F">
        <w:rPr>
          <w:rFonts w:asciiTheme="minorHAnsi" w:hAnsiTheme="minorHAnsi" w:cstheme="minorHAnsi"/>
          <w:lang w:val="ru-RU"/>
        </w:rPr>
        <w:t>историю −</w:t>
      </w:r>
      <w:r w:rsidRPr="0026151F">
        <w:rPr>
          <w:lang w:val="ru-RU"/>
        </w:rPr>
        <w:t xml:space="preserve"> онлайновую трансляцию посмотрели более 300 000 человек; Ассамблея также способствовала проведению беспрецедентных глобальных технических обсуждений, в которых приняли участие такие ключевые фигуры, как Его Превосходительство Премьер-министр Индии Нарендра Моди и другие влиятельные лидеры в области технологий, поддержавшие МСЭ в социальных сетях.</w:t>
      </w:r>
    </w:p>
    <w:p w14:paraId="7F8051FD" w14:textId="5A2AC47A" w:rsidR="006D1044" w:rsidRPr="0026151F" w:rsidRDefault="00157B5F" w:rsidP="004B3E75">
      <w:pPr>
        <w:keepNext/>
        <w:keepLines/>
        <w:jc w:val="both"/>
        <w:rPr>
          <w:lang w:val="ru-RU"/>
        </w:rPr>
      </w:pPr>
      <w:r w:rsidRPr="0026151F">
        <w:rPr>
          <w:lang w:val="ru-RU"/>
        </w:rPr>
        <w:lastRenderedPageBreak/>
        <w:t xml:space="preserve">Кроме того, на Ассамблее было зарегистрировано рекордное количество представителей СМИ, что позволило привлечь внимание мировой общественности и обеспечить освещение Ассамблеи </w:t>
      </w:r>
      <w:r w:rsidR="00C45260" w:rsidRPr="0026151F">
        <w:rPr>
          <w:lang w:val="ru-RU"/>
        </w:rPr>
        <w:t xml:space="preserve">как </w:t>
      </w:r>
      <w:r w:rsidRPr="0026151F">
        <w:rPr>
          <w:lang w:val="ru-RU"/>
        </w:rPr>
        <w:t>в новых</w:t>
      </w:r>
      <w:r w:rsidR="00C45260" w:rsidRPr="0026151F">
        <w:rPr>
          <w:lang w:val="ru-RU"/>
        </w:rPr>
        <w:t>, так</w:t>
      </w:r>
      <w:r w:rsidRPr="0026151F">
        <w:rPr>
          <w:lang w:val="ru-RU"/>
        </w:rPr>
        <w:t xml:space="preserve"> и</w:t>
      </w:r>
      <w:r w:rsidR="00C45260" w:rsidRPr="0026151F">
        <w:rPr>
          <w:lang w:val="ru-RU"/>
        </w:rPr>
        <w:t xml:space="preserve"> в</w:t>
      </w:r>
      <w:r w:rsidRPr="0026151F">
        <w:rPr>
          <w:lang w:val="ru-RU"/>
        </w:rPr>
        <w:t xml:space="preserve"> традиционных СМИ. </w:t>
      </w:r>
      <w:r w:rsidR="00151844" w:rsidRPr="0026151F">
        <w:rPr>
          <w:lang w:val="ru-RU"/>
        </w:rPr>
        <w:t xml:space="preserve">Ниже приведена статистика, связанная с освещением </w:t>
      </w:r>
      <w:r w:rsidR="00C45260" w:rsidRPr="0026151F">
        <w:rPr>
          <w:lang w:val="ru-RU"/>
        </w:rPr>
        <w:t xml:space="preserve">мероприятия </w:t>
      </w:r>
      <w:r w:rsidR="00151844" w:rsidRPr="0026151F">
        <w:rPr>
          <w:lang w:val="ru-RU"/>
        </w:rPr>
        <w:t>в СМИ</w:t>
      </w:r>
      <w:r w:rsidR="006D1044" w:rsidRPr="0026151F">
        <w:rPr>
          <w:lang w:val="ru-RU"/>
        </w:rPr>
        <w:t>:</w:t>
      </w:r>
    </w:p>
    <w:p w14:paraId="78D65071" w14:textId="70B6DF8C" w:rsidR="006D1044" w:rsidRPr="004B3E75" w:rsidRDefault="006D1044" w:rsidP="004B3E75">
      <w:pPr>
        <w:pStyle w:val="enumlev1"/>
        <w:jc w:val="both"/>
        <w:rPr>
          <w:lang w:val="ru-RU"/>
        </w:rPr>
      </w:pPr>
      <w:r w:rsidRPr="0026151F">
        <w:rPr>
          <w:lang w:val="ru-RU"/>
        </w:rPr>
        <w:t>–</w:t>
      </w:r>
      <w:r w:rsidRPr="0026151F">
        <w:rPr>
          <w:lang w:val="ru-RU"/>
        </w:rPr>
        <w:tab/>
      </w:r>
      <w:r w:rsidR="00A56520" w:rsidRPr="004B3E75">
        <w:rPr>
          <w:lang w:val="ru-RU"/>
        </w:rPr>
        <w:t>охват в социальных сетях − более 100 млн. человек;</w:t>
      </w:r>
    </w:p>
    <w:p w14:paraId="50D8F0DE" w14:textId="066C4691" w:rsidR="006D1044" w:rsidRPr="004B3E75" w:rsidRDefault="006D1044" w:rsidP="004B3E75">
      <w:pPr>
        <w:pStyle w:val="enumlev1"/>
        <w:jc w:val="both"/>
        <w:rPr>
          <w:lang w:val="ru-RU"/>
        </w:rPr>
      </w:pPr>
      <w:r w:rsidRPr="004B3E75">
        <w:rPr>
          <w:lang w:val="ru-RU"/>
        </w:rPr>
        <w:t>–</w:t>
      </w:r>
      <w:r w:rsidRPr="004B3E75">
        <w:rPr>
          <w:lang w:val="ru-RU"/>
        </w:rPr>
        <w:tab/>
      </w:r>
      <w:r w:rsidR="00A56520" w:rsidRPr="004B3E75">
        <w:rPr>
          <w:lang w:val="ru-RU"/>
        </w:rPr>
        <w:t>более 300 000 просмотров церемонии открытия;</w:t>
      </w:r>
    </w:p>
    <w:p w14:paraId="2D9D4B31" w14:textId="5717B97A" w:rsidR="006D1044" w:rsidRPr="004B3E75" w:rsidRDefault="006D1044" w:rsidP="004B3E75">
      <w:pPr>
        <w:pStyle w:val="enumlev1"/>
        <w:jc w:val="both"/>
        <w:rPr>
          <w:lang w:val="ru-RU"/>
        </w:rPr>
      </w:pPr>
      <w:r w:rsidRPr="004B3E75">
        <w:rPr>
          <w:lang w:val="ru-RU"/>
        </w:rPr>
        <w:t>–</w:t>
      </w:r>
      <w:r w:rsidRPr="004B3E75">
        <w:rPr>
          <w:lang w:val="ru-RU"/>
        </w:rPr>
        <w:tab/>
      </w:r>
      <w:r w:rsidR="00A56520" w:rsidRPr="004B3E75">
        <w:rPr>
          <w:lang w:val="ru-RU"/>
        </w:rPr>
        <w:t>182 зарегистрированных СМИ;</w:t>
      </w:r>
    </w:p>
    <w:p w14:paraId="065A68C7" w14:textId="7DFA21E8" w:rsidR="006D1044" w:rsidRPr="004B3E75" w:rsidRDefault="006D1044" w:rsidP="004B3E75">
      <w:pPr>
        <w:pStyle w:val="enumlev1"/>
        <w:jc w:val="both"/>
        <w:rPr>
          <w:lang w:val="ru-RU"/>
        </w:rPr>
      </w:pPr>
      <w:r w:rsidRPr="004B3E75">
        <w:rPr>
          <w:lang w:val="ru-RU"/>
        </w:rPr>
        <w:t>–</w:t>
      </w:r>
      <w:r w:rsidRPr="004B3E75">
        <w:rPr>
          <w:lang w:val="ru-RU"/>
        </w:rPr>
        <w:tab/>
      </w:r>
      <w:r w:rsidR="00A56520" w:rsidRPr="004B3E75">
        <w:rPr>
          <w:lang w:val="ru-RU"/>
        </w:rPr>
        <w:t>общий охват в мировых СМИ − 3,6 млрд. человек;</w:t>
      </w:r>
    </w:p>
    <w:p w14:paraId="557242D4" w14:textId="2C7DD5AD" w:rsidR="006D1044" w:rsidRPr="004B3E75" w:rsidRDefault="006D1044" w:rsidP="004B3E75">
      <w:pPr>
        <w:pStyle w:val="enumlev1"/>
        <w:jc w:val="both"/>
        <w:rPr>
          <w:lang w:val="ru-RU"/>
        </w:rPr>
      </w:pPr>
      <w:r w:rsidRPr="004B3E75">
        <w:rPr>
          <w:lang w:val="ru-RU"/>
        </w:rPr>
        <w:t>–</w:t>
      </w:r>
      <w:r w:rsidRPr="004B3E75">
        <w:rPr>
          <w:lang w:val="ru-RU"/>
        </w:rPr>
        <w:tab/>
      </w:r>
      <w:r w:rsidR="00A56520" w:rsidRPr="004B3E75">
        <w:rPr>
          <w:lang w:val="ru-RU"/>
        </w:rPr>
        <w:t>1290 упоминаний МСЭ в СМИ;</w:t>
      </w:r>
    </w:p>
    <w:p w14:paraId="3505E68D" w14:textId="11B08A7D" w:rsidR="00C462C5" w:rsidRPr="00D46B8F" w:rsidRDefault="006D1044" w:rsidP="004B3E75">
      <w:pPr>
        <w:pStyle w:val="enumlev1"/>
        <w:jc w:val="both"/>
        <w:rPr>
          <w:lang w:val="ru-RU"/>
        </w:rPr>
      </w:pPr>
      <w:r w:rsidRPr="004B3E75">
        <w:rPr>
          <w:lang w:val="ru-RU"/>
        </w:rPr>
        <w:t>–</w:t>
      </w:r>
      <w:r w:rsidRPr="004B3E75">
        <w:rPr>
          <w:lang w:val="ru-RU"/>
        </w:rPr>
        <w:tab/>
      </w:r>
      <w:r w:rsidR="00D46B8F" w:rsidRPr="004B3E75">
        <w:rPr>
          <w:lang w:val="ru-RU"/>
        </w:rPr>
        <w:t>99 процентов</w:t>
      </w:r>
      <w:r w:rsidR="00D46B8F" w:rsidRPr="00D46B8F">
        <w:rPr>
          <w:lang w:val="ru-RU"/>
        </w:rPr>
        <w:t xml:space="preserve"> публикаций </w:t>
      </w:r>
      <w:r w:rsidR="00D46B8F" w:rsidRPr="00D46B8F">
        <w:rPr>
          <w:rFonts w:asciiTheme="minorHAnsi" w:hAnsiTheme="minorHAnsi" w:cstheme="minorHAnsi"/>
          <w:lang w:val="ru-RU"/>
        </w:rPr>
        <w:t>−</w:t>
      </w:r>
      <w:r w:rsidR="00D46B8F" w:rsidRPr="00D46B8F">
        <w:rPr>
          <w:lang w:val="ru-RU"/>
        </w:rPr>
        <w:t xml:space="preserve"> положительные или нейтральные.</w:t>
      </w:r>
    </w:p>
    <w:p w14:paraId="3E6A86ED" w14:textId="77777777" w:rsidR="00796BD3" w:rsidRPr="00796BD3" w:rsidRDefault="00C462C5" w:rsidP="009233A0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FE4F" w14:textId="77777777" w:rsidR="007322A6" w:rsidRDefault="007322A6">
      <w:r>
        <w:separator/>
      </w:r>
    </w:p>
  </w:endnote>
  <w:endnote w:type="continuationSeparator" w:id="0">
    <w:p w14:paraId="72E7F050" w14:textId="77777777" w:rsidR="007322A6" w:rsidRDefault="0073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82EFAF4" w14:textId="77777777" w:rsidTr="00E31DCE">
      <w:trPr>
        <w:jc w:val="center"/>
      </w:trPr>
      <w:tc>
        <w:tcPr>
          <w:tcW w:w="1803" w:type="dxa"/>
          <w:vAlign w:val="center"/>
        </w:tcPr>
        <w:p w14:paraId="32CEF1BC" w14:textId="2D30F716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81C7E88" w14:textId="4B8C50A0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4310E">
            <w:rPr>
              <w:bCs/>
            </w:rPr>
            <w:t>24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D5E2A6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FA86629" w14:textId="77777777" w:rsidTr="00E31DCE">
      <w:trPr>
        <w:jc w:val="center"/>
      </w:trPr>
      <w:tc>
        <w:tcPr>
          <w:tcW w:w="1803" w:type="dxa"/>
          <w:vAlign w:val="center"/>
        </w:tcPr>
        <w:p w14:paraId="4E134E07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5A54081" w14:textId="5F66B6A9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D1044">
            <w:rPr>
              <w:bCs/>
              <w:lang w:val="ru-RU"/>
            </w:rPr>
            <w:t>24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640FCE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FC0F" w14:textId="77777777" w:rsidR="007322A6" w:rsidRDefault="007322A6">
      <w:r>
        <w:t>____________________</w:t>
      </w:r>
    </w:p>
  </w:footnote>
  <w:footnote w:type="continuationSeparator" w:id="0">
    <w:p w14:paraId="05A10B64" w14:textId="77777777" w:rsidR="007322A6" w:rsidRDefault="0073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0C0E6C31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DF428CD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A413395" wp14:editId="3264D650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ACE0123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0594A6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E8637" wp14:editId="4DEFCCF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F65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4"/>
    <w:rsid w:val="00005BE0"/>
    <w:rsid w:val="0002183E"/>
    <w:rsid w:val="000569B4"/>
    <w:rsid w:val="0006007D"/>
    <w:rsid w:val="0007184B"/>
    <w:rsid w:val="00080E82"/>
    <w:rsid w:val="000A20E1"/>
    <w:rsid w:val="000B2DE7"/>
    <w:rsid w:val="000C2ADA"/>
    <w:rsid w:val="000C5ADF"/>
    <w:rsid w:val="000E568E"/>
    <w:rsid w:val="00133142"/>
    <w:rsid w:val="0014229E"/>
    <w:rsid w:val="0014734F"/>
    <w:rsid w:val="00151844"/>
    <w:rsid w:val="00156890"/>
    <w:rsid w:val="0015710D"/>
    <w:rsid w:val="00157B5F"/>
    <w:rsid w:val="00163A32"/>
    <w:rsid w:val="00165D06"/>
    <w:rsid w:val="00192B41"/>
    <w:rsid w:val="001B7B09"/>
    <w:rsid w:val="001E5536"/>
    <w:rsid w:val="001E6719"/>
    <w:rsid w:val="001E7F50"/>
    <w:rsid w:val="00225368"/>
    <w:rsid w:val="00227FF0"/>
    <w:rsid w:val="0023740F"/>
    <w:rsid w:val="0023776C"/>
    <w:rsid w:val="0026151F"/>
    <w:rsid w:val="00290CA8"/>
    <w:rsid w:val="00291EB6"/>
    <w:rsid w:val="002C3F32"/>
    <w:rsid w:val="002D2F57"/>
    <w:rsid w:val="002D48C5"/>
    <w:rsid w:val="0033025A"/>
    <w:rsid w:val="00345D2A"/>
    <w:rsid w:val="003665D3"/>
    <w:rsid w:val="003F099E"/>
    <w:rsid w:val="003F235E"/>
    <w:rsid w:val="00401FD7"/>
    <w:rsid w:val="004023E0"/>
    <w:rsid w:val="00403DD8"/>
    <w:rsid w:val="004216D2"/>
    <w:rsid w:val="0044228E"/>
    <w:rsid w:val="00442515"/>
    <w:rsid w:val="00451983"/>
    <w:rsid w:val="0045686C"/>
    <w:rsid w:val="004918C4"/>
    <w:rsid w:val="00497703"/>
    <w:rsid w:val="004A0374"/>
    <w:rsid w:val="004A45B5"/>
    <w:rsid w:val="004B3E75"/>
    <w:rsid w:val="004D0129"/>
    <w:rsid w:val="00515795"/>
    <w:rsid w:val="00587DA6"/>
    <w:rsid w:val="00596209"/>
    <w:rsid w:val="005A64D5"/>
    <w:rsid w:val="005B3DEC"/>
    <w:rsid w:val="005F336D"/>
    <w:rsid w:val="00601994"/>
    <w:rsid w:val="0064310E"/>
    <w:rsid w:val="006506DE"/>
    <w:rsid w:val="00660449"/>
    <w:rsid w:val="00672F8A"/>
    <w:rsid w:val="006A06A7"/>
    <w:rsid w:val="006A369D"/>
    <w:rsid w:val="006B3CAC"/>
    <w:rsid w:val="006D1044"/>
    <w:rsid w:val="006E2D42"/>
    <w:rsid w:val="006E6F03"/>
    <w:rsid w:val="00703676"/>
    <w:rsid w:val="00707304"/>
    <w:rsid w:val="00710B17"/>
    <w:rsid w:val="00732269"/>
    <w:rsid w:val="007322A6"/>
    <w:rsid w:val="00762555"/>
    <w:rsid w:val="0077110E"/>
    <w:rsid w:val="00785ABD"/>
    <w:rsid w:val="00796BD3"/>
    <w:rsid w:val="007A151D"/>
    <w:rsid w:val="007A2DD4"/>
    <w:rsid w:val="007D38B5"/>
    <w:rsid w:val="007E7EA0"/>
    <w:rsid w:val="00807255"/>
    <w:rsid w:val="0081023E"/>
    <w:rsid w:val="008173AA"/>
    <w:rsid w:val="00820CE2"/>
    <w:rsid w:val="00840A14"/>
    <w:rsid w:val="00847FDE"/>
    <w:rsid w:val="00872C42"/>
    <w:rsid w:val="008B62B4"/>
    <w:rsid w:val="008D2D7B"/>
    <w:rsid w:val="008E0737"/>
    <w:rsid w:val="008F7C2C"/>
    <w:rsid w:val="00905242"/>
    <w:rsid w:val="009233A0"/>
    <w:rsid w:val="00940E96"/>
    <w:rsid w:val="00950A82"/>
    <w:rsid w:val="00966EA5"/>
    <w:rsid w:val="009B0BAE"/>
    <w:rsid w:val="009C1C89"/>
    <w:rsid w:val="009D519A"/>
    <w:rsid w:val="009F3448"/>
    <w:rsid w:val="00A01CF9"/>
    <w:rsid w:val="00A20B63"/>
    <w:rsid w:val="00A2523C"/>
    <w:rsid w:val="00A54827"/>
    <w:rsid w:val="00A56520"/>
    <w:rsid w:val="00A71773"/>
    <w:rsid w:val="00AB3767"/>
    <w:rsid w:val="00AC197D"/>
    <w:rsid w:val="00AD26EF"/>
    <w:rsid w:val="00AE2C85"/>
    <w:rsid w:val="00B0107F"/>
    <w:rsid w:val="00B06208"/>
    <w:rsid w:val="00B12A37"/>
    <w:rsid w:val="00B41837"/>
    <w:rsid w:val="00B63EF2"/>
    <w:rsid w:val="00BA7D89"/>
    <w:rsid w:val="00BC0D39"/>
    <w:rsid w:val="00BC7BC0"/>
    <w:rsid w:val="00BD57B7"/>
    <w:rsid w:val="00BE63E2"/>
    <w:rsid w:val="00BF2BC9"/>
    <w:rsid w:val="00C0450A"/>
    <w:rsid w:val="00C165AD"/>
    <w:rsid w:val="00C2168A"/>
    <w:rsid w:val="00C45260"/>
    <w:rsid w:val="00C462C5"/>
    <w:rsid w:val="00CB4FF6"/>
    <w:rsid w:val="00CD2009"/>
    <w:rsid w:val="00CF629C"/>
    <w:rsid w:val="00D46B8F"/>
    <w:rsid w:val="00D631AA"/>
    <w:rsid w:val="00D81940"/>
    <w:rsid w:val="00D92EEA"/>
    <w:rsid w:val="00DA5D4E"/>
    <w:rsid w:val="00DA770A"/>
    <w:rsid w:val="00E05752"/>
    <w:rsid w:val="00E176BA"/>
    <w:rsid w:val="00E37870"/>
    <w:rsid w:val="00E423EC"/>
    <w:rsid w:val="00E44578"/>
    <w:rsid w:val="00E55121"/>
    <w:rsid w:val="00E94B7F"/>
    <w:rsid w:val="00EB4FCB"/>
    <w:rsid w:val="00EC6BC5"/>
    <w:rsid w:val="00F348D0"/>
    <w:rsid w:val="00F35898"/>
    <w:rsid w:val="00F5225B"/>
    <w:rsid w:val="00F804F2"/>
    <w:rsid w:val="00FB03D6"/>
    <w:rsid w:val="00FB6C91"/>
    <w:rsid w:val="00FE2FD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F2345F"/>
  <w15:docId w15:val="{A663ECEC-46F1-4CE7-8C7E-DEDBD0BF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B3E75"/>
    <w:pPr>
      <w:keepNext/>
      <w:keepLines/>
      <w:spacing w:before="24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B3E75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B3E75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4B3E75"/>
    <w:rPr>
      <w:rFonts w:ascii="Calibri" w:hAnsi="Calibri"/>
      <w:b/>
      <w:sz w:val="26"/>
      <w:lang w:val="en-GB" w:eastAsia="en-US"/>
    </w:rPr>
  </w:style>
  <w:style w:type="paragraph" w:customStyle="1" w:styleId="Tablefin">
    <w:name w:val="Table_fin"/>
    <w:basedOn w:val="Tabletext"/>
    <w:rsid w:val="006D104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rFonts w:eastAsia="MS Minch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2BC9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BF2B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43/en" TargetMode="External"/><Relationship Id="rId13" Type="http://schemas.openxmlformats.org/officeDocument/2006/relationships/hyperlink" Target="https://www.itu.int/md/T22-WTSA.24-C-0043/en" TargetMode="External"/><Relationship Id="rId18" Type="http://schemas.openxmlformats.org/officeDocument/2006/relationships/hyperlink" Target="https://www.itu.int/md/S25-CL-C-0013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en/ITU-T/NoW/events/20241017/Pages/default.aspx" TargetMode="External"/><Relationship Id="rId7" Type="http://schemas.openxmlformats.org/officeDocument/2006/relationships/hyperlink" Target="https://www.itu.int/md/S25-CL-C-0013/en" TargetMode="External"/><Relationship Id="rId12" Type="http://schemas.openxmlformats.org/officeDocument/2006/relationships/hyperlink" Target="https://gss.itu.int/" TargetMode="External"/><Relationship Id="rId17" Type="http://schemas.openxmlformats.org/officeDocument/2006/relationships/hyperlink" Target="https://www.itu.int/wtsa/2024/related-event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pub/T-REG-LIV.1-2024" TargetMode="External"/><Relationship Id="rId20" Type="http://schemas.openxmlformats.org/officeDocument/2006/relationships/hyperlink" Target="https://www.itu.int/wtsa/2024/no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22-WTSA.24-C-0119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wtsa/2024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gss.itu.int/" TargetMode="External"/><Relationship Id="rId19" Type="http://schemas.openxmlformats.org/officeDocument/2006/relationships/hyperlink" Target="https://www.itu.int/md/S25-CL-C-004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wtsa/2024/" TargetMode="External"/><Relationship Id="rId14" Type="http://schemas.openxmlformats.org/officeDocument/2006/relationships/hyperlink" Target="https://www.itu.int/pub/T-REG-LIV.1-202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10693</Characters>
  <Application>Microsoft Office Word</Application>
  <DocSecurity>0</DocSecurity>
  <Lines>187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Global Standards Symposium (GSS-24) and the World Telecommunication Standardization Assembly (WTSA-24)</dc:title>
  <dc:subject>ITU Council 2025</dc:subject>
  <cp:keywords>C2025, C25, Council-25</cp:keywords>
  <dc:description/>
  <cp:lastPrinted>2006-03-28T16:12:00Z</cp:lastPrinted>
  <dcterms:created xsi:type="dcterms:W3CDTF">2025-05-21T09:18:00Z</dcterms:created>
  <dcterms:modified xsi:type="dcterms:W3CDTF">2025-05-21T09:19:00Z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