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1CFDAADB" w14:textId="77777777" w:rsidTr="00D72F49">
        <w:trPr>
          <w:cantSplit/>
          <w:trHeight w:val="23"/>
        </w:trPr>
        <w:tc>
          <w:tcPr>
            <w:tcW w:w="3969" w:type="dxa"/>
            <w:vMerge w:val="restart"/>
            <w:tcMar>
              <w:left w:w="0" w:type="dxa"/>
            </w:tcMar>
          </w:tcPr>
          <w:p w14:paraId="25C9AB76" w14:textId="1743B084" w:rsidR="00D72F49" w:rsidRPr="00E85629" w:rsidRDefault="00D72F49" w:rsidP="00D72F49">
            <w:pPr>
              <w:tabs>
                <w:tab w:val="left" w:pos="851"/>
              </w:tabs>
              <w:spacing w:before="0" w:line="240" w:lineRule="atLeast"/>
              <w:rPr>
                <w:b/>
              </w:rPr>
            </w:pPr>
            <w:r w:rsidRPr="00122CE1">
              <w:rPr>
                <w:b/>
              </w:rPr>
              <w:t>Point de l'ordre du jour</w:t>
            </w:r>
            <w:r>
              <w:rPr>
                <w:b/>
              </w:rPr>
              <w:t>:</w:t>
            </w:r>
            <w:r w:rsidR="008B2B90">
              <w:rPr>
                <w:b/>
              </w:rPr>
              <w:t xml:space="preserve"> PL 3</w:t>
            </w:r>
          </w:p>
        </w:tc>
        <w:tc>
          <w:tcPr>
            <w:tcW w:w="5245" w:type="dxa"/>
          </w:tcPr>
          <w:p w14:paraId="44C38CCF" w14:textId="23927FFA"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8B2B90">
              <w:rPr>
                <w:b/>
              </w:rPr>
              <w:t>24</w:t>
            </w:r>
            <w:r>
              <w:rPr>
                <w:b/>
              </w:rPr>
              <w:t>-F</w:t>
            </w:r>
          </w:p>
        </w:tc>
      </w:tr>
      <w:tr w:rsidR="00D72F49" w:rsidRPr="00C049D7" w14:paraId="7A1C06FF" w14:textId="77777777" w:rsidTr="00D72F49">
        <w:trPr>
          <w:cantSplit/>
        </w:trPr>
        <w:tc>
          <w:tcPr>
            <w:tcW w:w="3969" w:type="dxa"/>
            <w:vMerge/>
          </w:tcPr>
          <w:p w14:paraId="4A905C3D" w14:textId="77777777" w:rsidR="00D72F49" w:rsidRPr="00813E5E" w:rsidRDefault="00D72F49" w:rsidP="00D72F49">
            <w:pPr>
              <w:tabs>
                <w:tab w:val="left" w:pos="851"/>
              </w:tabs>
              <w:spacing w:line="240" w:lineRule="atLeast"/>
              <w:rPr>
                <w:b/>
              </w:rPr>
            </w:pPr>
          </w:p>
        </w:tc>
        <w:tc>
          <w:tcPr>
            <w:tcW w:w="5245" w:type="dxa"/>
          </w:tcPr>
          <w:p w14:paraId="1F2F7158" w14:textId="3D756B2A" w:rsidR="00D72F49" w:rsidRPr="00FC6D7D" w:rsidRDefault="001D5192" w:rsidP="00D72F49">
            <w:pPr>
              <w:tabs>
                <w:tab w:val="left" w:pos="851"/>
              </w:tabs>
              <w:spacing w:before="0"/>
              <w:jc w:val="right"/>
              <w:rPr>
                <w:b/>
                <w:lang w:val="en-GB"/>
              </w:rPr>
            </w:pPr>
            <w:r>
              <w:rPr>
                <w:b/>
              </w:rPr>
              <w:t>12 mai</w:t>
            </w:r>
            <w:r w:rsidR="008B2B90">
              <w:rPr>
                <w:b/>
              </w:rPr>
              <w:t xml:space="preserve"> 2025</w:t>
            </w:r>
          </w:p>
        </w:tc>
      </w:tr>
      <w:tr w:rsidR="00D72F49" w:rsidRPr="00813E5E" w14:paraId="73452ABA" w14:textId="77777777" w:rsidTr="00D72F49">
        <w:trPr>
          <w:cantSplit/>
          <w:trHeight w:val="23"/>
        </w:trPr>
        <w:tc>
          <w:tcPr>
            <w:tcW w:w="3969" w:type="dxa"/>
            <w:vMerge/>
          </w:tcPr>
          <w:p w14:paraId="20455029" w14:textId="77777777" w:rsidR="00D72F49" w:rsidRPr="00FC6D7D" w:rsidRDefault="00D72F49" w:rsidP="00D72F49">
            <w:pPr>
              <w:tabs>
                <w:tab w:val="left" w:pos="851"/>
              </w:tabs>
              <w:spacing w:line="240" w:lineRule="atLeast"/>
              <w:rPr>
                <w:b/>
                <w:lang w:val="en-GB"/>
              </w:rPr>
            </w:pPr>
          </w:p>
        </w:tc>
        <w:tc>
          <w:tcPr>
            <w:tcW w:w="5245" w:type="dxa"/>
          </w:tcPr>
          <w:p w14:paraId="1E21018C"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4D2DC91C" w14:textId="77777777" w:rsidTr="00D72F49">
        <w:trPr>
          <w:cantSplit/>
          <w:trHeight w:val="23"/>
        </w:trPr>
        <w:tc>
          <w:tcPr>
            <w:tcW w:w="3969" w:type="dxa"/>
          </w:tcPr>
          <w:p w14:paraId="3F851DBA" w14:textId="77777777" w:rsidR="00D72F49" w:rsidRPr="00813E5E" w:rsidRDefault="00D72F49" w:rsidP="00D72F49">
            <w:pPr>
              <w:tabs>
                <w:tab w:val="left" w:pos="851"/>
              </w:tabs>
              <w:spacing w:line="240" w:lineRule="atLeast"/>
              <w:rPr>
                <w:b/>
              </w:rPr>
            </w:pPr>
          </w:p>
        </w:tc>
        <w:tc>
          <w:tcPr>
            <w:tcW w:w="5245" w:type="dxa"/>
          </w:tcPr>
          <w:p w14:paraId="70D241A8" w14:textId="77777777" w:rsidR="00D72F49" w:rsidRDefault="00D72F49" w:rsidP="00D72F49">
            <w:pPr>
              <w:tabs>
                <w:tab w:val="left" w:pos="851"/>
              </w:tabs>
              <w:spacing w:before="0" w:line="240" w:lineRule="atLeast"/>
              <w:jc w:val="right"/>
              <w:rPr>
                <w:b/>
              </w:rPr>
            </w:pPr>
          </w:p>
        </w:tc>
      </w:tr>
      <w:tr w:rsidR="00D72F49" w:rsidRPr="00122CE1" w14:paraId="55BA6D9F" w14:textId="77777777" w:rsidTr="00D72F49">
        <w:trPr>
          <w:cantSplit/>
        </w:trPr>
        <w:tc>
          <w:tcPr>
            <w:tcW w:w="9214" w:type="dxa"/>
            <w:gridSpan w:val="2"/>
            <w:tcMar>
              <w:left w:w="0" w:type="dxa"/>
            </w:tcMar>
          </w:tcPr>
          <w:p w14:paraId="70891368" w14:textId="77777777" w:rsidR="00D72F49" w:rsidRPr="00C42437" w:rsidRDefault="00D72F49" w:rsidP="00D72F49">
            <w:pPr>
              <w:pStyle w:val="Source"/>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312DAEE4" w14:textId="77777777" w:rsidTr="00D72F49">
        <w:trPr>
          <w:cantSplit/>
        </w:trPr>
        <w:tc>
          <w:tcPr>
            <w:tcW w:w="9214" w:type="dxa"/>
            <w:gridSpan w:val="2"/>
            <w:tcMar>
              <w:left w:w="0" w:type="dxa"/>
            </w:tcMar>
          </w:tcPr>
          <w:p w14:paraId="6C0C5BE1" w14:textId="0B93D4EC" w:rsidR="00D72F49" w:rsidRPr="008B2B90" w:rsidRDefault="006D06CC" w:rsidP="00D72F49">
            <w:pPr>
              <w:pStyle w:val="Subtitle"/>
              <w:framePr w:hSpace="0" w:wrap="auto" w:hAnchor="text" w:xAlign="left" w:yAlign="inline"/>
              <w:rPr>
                <w:sz w:val="32"/>
                <w:szCs w:val="32"/>
                <w:lang w:val="fr-FR"/>
              </w:rPr>
            </w:pPr>
            <w:r w:rsidRPr="008B2B90">
              <w:rPr>
                <w:rFonts w:cstheme="minorHAnsi"/>
                <w:sz w:val="32"/>
                <w:szCs w:val="32"/>
                <w:lang w:val="fr-FR"/>
              </w:rPr>
              <w:t xml:space="preserve">Rapport sur le Colloque mondial sur la normalisation </w:t>
            </w:r>
            <w:r w:rsidR="008B2B90" w:rsidRPr="008B2B90">
              <w:rPr>
                <w:rFonts w:cstheme="minorHAnsi"/>
                <w:sz w:val="32"/>
                <w:szCs w:val="32"/>
                <w:lang w:val="fr-FR"/>
              </w:rPr>
              <w:t>(</w:t>
            </w:r>
            <w:proofErr w:type="spellStart"/>
            <w:r w:rsidR="008B2B90" w:rsidRPr="008B2B90">
              <w:rPr>
                <w:rFonts w:cstheme="minorHAnsi"/>
                <w:sz w:val="32"/>
                <w:szCs w:val="32"/>
                <w:lang w:val="fr-FR"/>
              </w:rPr>
              <w:t>GSS</w:t>
            </w:r>
            <w:proofErr w:type="spellEnd"/>
            <w:r w:rsidR="008B2B90" w:rsidRPr="008B2B90">
              <w:rPr>
                <w:rFonts w:cstheme="minorHAnsi"/>
                <w:sz w:val="32"/>
                <w:szCs w:val="32"/>
                <w:lang w:val="fr-FR"/>
              </w:rPr>
              <w:t xml:space="preserve">-24) </w:t>
            </w:r>
            <w:r w:rsidRPr="008B2B90">
              <w:rPr>
                <w:rFonts w:cstheme="minorHAnsi"/>
                <w:sz w:val="32"/>
                <w:szCs w:val="32"/>
                <w:lang w:val="fr-FR"/>
              </w:rPr>
              <w:t xml:space="preserve">et sur l'Assemblée mondiale de normalisation des télécommunications </w:t>
            </w:r>
            <w:r w:rsidR="008B2B90" w:rsidRPr="008B2B90">
              <w:rPr>
                <w:rFonts w:cstheme="minorHAnsi"/>
                <w:sz w:val="32"/>
                <w:szCs w:val="32"/>
                <w:lang w:val="fr-FR"/>
              </w:rPr>
              <w:t>(</w:t>
            </w:r>
            <w:proofErr w:type="spellStart"/>
            <w:r w:rsidR="008B2B90" w:rsidRPr="008B2B90">
              <w:rPr>
                <w:rFonts w:cstheme="minorHAnsi"/>
                <w:sz w:val="32"/>
                <w:szCs w:val="32"/>
                <w:lang w:val="fr-FR"/>
              </w:rPr>
              <w:t>AMNT</w:t>
            </w:r>
            <w:proofErr w:type="spellEnd"/>
            <w:r w:rsidR="008B2B90" w:rsidRPr="008B2B90">
              <w:rPr>
                <w:rFonts w:cstheme="minorHAnsi"/>
                <w:sz w:val="32"/>
                <w:szCs w:val="32"/>
                <w:lang w:val="fr-FR"/>
              </w:rPr>
              <w:t>-24)</w:t>
            </w:r>
          </w:p>
        </w:tc>
      </w:tr>
      <w:tr w:rsidR="00D72F49" w:rsidRPr="00813E5E" w14:paraId="5002734F" w14:textId="77777777" w:rsidTr="00D72F49">
        <w:trPr>
          <w:cantSplit/>
        </w:trPr>
        <w:tc>
          <w:tcPr>
            <w:tcW w:w="9214" w:type="dxa"/>
            <w:gridSpan w:val="2"/>
            <w:tcBorders>
              <w:top w:val="single" w:sz="4" w:space="0" w:color="auto"/>
              <w:bottom w:val="single" w:sz="4" w:space="0" w:color="auto"/>
            </w:tcBorders>
            <w:tcMar>
              <w:left w:w="0" w:type="dxa"/>
            </w:tcMar>
          </w:tcPr>
          <w:p w14:paraId="409B26E3" w14:textId="77777777" w:rsidR="00D72F49" w:rsidRPr="0099485B" w:rsidRDefault="00F37FE5" w:rsidP="00D72F49">
            <w:pPr>
              <w:spacing w:before="160"/>
              <w:rPr>
                <w:b/>
                <w:bCs/>
                <w:sz w:val="26"/>
                <w:szCs w:val="26"/>
                <w:lang w:val="fr-CH"/>
              </w:rPr>
            </w:pPr>
            <w:r>
              <w:rPr>
                <w:b/>
                <w:bCs/>
                <w:sz w:val="26"/>
                <w:szCs w:val="26"/>
                <w:lang w:val="fr-CH"/>
              </w:rPr>
              <w:t>Objet</w:t>
            </w:r>
          </w:p>
          <w:p w14:paraId="1B2FA5F0" w14:textId="44DD67B5" w:rsidR="00D72F49" w:rsidRPr="0099485B" w:rsidRDefault="007C276B" w:rsidP="00D72F49">
            <w:pPr>
              <w:rPr>
                <w:lang w:val="fr-CH"/>
              </w:rPr>
            </w:pPr>
            <w:r>
              <w:rPr>
                <w:lang w:val="fr-CH"/>
              </w:rPr>
              <w:t>L</w:t>
            </w:r>
            <w:r w:rsidR="008B2B90" w:rsidRPr="008B2B90">
              <w:rPr>
                <w:lang w:val="fr-CH"/>
              </w:rPr>
              <w:t xml:space="preserve">e présent document </w:t>
            </w:r>
            <w:r>
              <w:rPr>
                <w:lang w:val="fr-CH"/>
              </w:rPr>
              <w:t xml:space="preserve">contient </w:t>
            </w:r>
            <w:r w:rsidR="008B2B90" w:rsidRPr="008B2B90">
              <w:rPr>
                <w:lang w:val="fr-CH"/>
              </w:rPr>
              <w:t xml:space="preserve">un compte rendu </w:t>
            </w:r>
            <w:r>
              <w:rPr>
                <w:lang w:val="fr-CH"/>
              </w:rPr>
              <w:t xml:space="preserve">de l'édition de 2024 </w:t>
            </w:r>
            <w:r w:rsidR="008B2B90" w:rsidRPr="008B2B90">
              <w:rPr>
                <w:lang w:val="fr-CH"/>
              </w:rPr>
              <w:t xml:space="preserve">du </w:t>
            </w:r>
            <w:r w:rsidR="00591E9F" w:rsidRPr="00591E9F">
              <w:rPr>
                <w:lang w:val="fr-CH"/>
              </w:rPr>
              <w:t xml:space="preserve">Colloque mondial sur la normalisation </w:t>
            </w:r>
            <w:r w:rsidR="00591E9F">
              <w:rPr>
                <w:lang w:val="fr-CH"/>
              </w:rPr>
              <w:t>(</w:t>
            </w:r>
            <w:r w:rsidR="008B2B90" w:rsidRPr="008B2B90">
              <w:rPr>
                <w:lang w:val="fr-CH"/>
              </w:rPr>
              <w:t>GSS-24</w:t>
            </w:r>
            <w:r w:rsidR="00591E9F">
              <w:rPr>
                <w:lang w:val="fr-CH"/>
              </w:rPr>
              <w:t>)</w:t>
            </w:r>
            <w:r w:rsidR="008B2B90" w:rsidRPr="008B2B90">
              <w:rPr>
                <w:lang w:val="fr-CH"/>
              </w:rPr>
              <w:t xml:space="preserve"> et de </w:t>
            </w:r>
            <w:r w:rsidR="00591E9F" w:rsidRPr="00591E9F">
              <w:rPr>
                <w:lang w:val="fr-CH"/>
              </w:rPr>
              <w:t>l'</w:t>
            </w:r>
            <w:r w:rsidR="00591E9F">
              <w:rPr>
                <w:lang w:val="fr-CH"/>
              </w:rPr>
              <w:t>A</w:t>
            </w:r>
            <w:r w:rsidR="00591E9F" w:rsidRPr="00591E9F">
              <w:rPr>
                <w:lang w:val="fr-CH"/>
              </w:rPr>
              <w:t xml:space="preserve">ssemblée mondiale de normalisation des télécommunications </w:t>
            </w:r>
            <w:r>
              <w:rPr>
                <w:lang w:val="fr-CH"/>
              </w:rPr>
              <w:t xml:space="preserve">de 2024 </w:t>
            </w:r>
            <w:r w:rsidR="00591E9F">
              <w:rPr>
                <w:lang w:val="fr-CH"/>
              </w:rPr>
              <w:t>(</w:t>
            </w:r>
            <w:r w:rsidR="008B2B90" w:rsidRPr="008B2B90">
              <w:rPr>
                <w:lang w:val="fr-CH"/>
              </w:rPr>
              <w:t>AMNT-24</w:t>
            </w:r>
            <w:r w:rsidR="00591E9F">
              <w:rPr>
                <w:lang w:val="fr-CH"/>
              </w:rPr>
              <w:t>)</w:t>
            </w:r>
            <w:r w:rsidR="008B2B90" w:rsidRPr="008B2B90">
              <w:rPr>
                <w:lang w:val="fr-CH"/>
              </w:rPr>
              <w:t>.</w:t>
            </w:r>
          </w:p>
          <w:p w14:paraId="0DFDA901" w14:textId="77777777" w:rsidR="00D72F49" w:rsidRPr="00122CE1" w:rsidRDefault="00D72F49" w:rsidP="00D72F49">
            <w:pPr>
              <w:spacing w:before="160"/>
              <w:rPr>
                <w:b/>
                <w:bCs/>
                <w:sz w:val="26"/>
                <w:szCs w:val="26"/>
                <w:lang w:val="fr-CH"/>
              </w:rPr>
            </w:pPr>
            <w:r w:rsidRPr="00122CE1">
              <w:rPr>
                <w:b/>
                <w:bCs/>
                <w:sz w:val="26"/>
                <w:szCs w:val="26"/>
                <w:lang w:val="fr-CH"/>
              </w:rPr>
              <w:t>Suite à donner par le Conseil</w:t>
            </w:r>
          </w:p>
          <w:p w14:paraId="57494369" w14:textId="4EA55FD6" w:rsidR="00D72F49" w:rsidRPr="00122CE1" w:rsidRDefault="008B2B90" w:rsidP="00D72F49">
            <w:pPr>
              <w:rPr>
                <w:lang w:val="fr-CH"/>
              </w:rPr>
            </w:pPr>
            <w:r w:rsidRPr="008B2B90">
              <w:rPr>
                <w:lang w:val="fr-CH"/>
              </w:rPr>
              <w:t xml:space="preserve">Le Conseil est invité à </w:t>
            </w:r>
            <w:r w:rsidRPr="008B2B90">
              <w:rPr>
                <w:b/>
                <w:bCs/>
                <w:lang w:val="fr-CH"/>
              </w:rPr>
              <w:t>prendre note</w:t>
            </w:r>
            <w:r w:rsidRPr="008B2B90">
              <w:rPr>
                <w:lang w:val="fr-CH"/>
              </w:rPr>
              <w:t xml:space="preserve"> du rapport.</w:t>
            </w:r>
          </w:p>
          <w:p w14:paraId="30ABE7E4" w14:textId="4109B9D7" w:rsidR="00D72F49" w:rsidRPr="00122CE1" w:rsidRDefault="00D72F49" w:rsidP="00D72F49">
            <w:pPr>
              <w:spacing w:before="160"/>
              <w:rPr>
                <w:b/>
                <w:bCs/>
                <w:sz w:val="26"/>
                <w:szCs w:val="26"/>
                <w:lang w:val="fr-CH"/>
              </w:rPr>
            </w:pPr>
            <w:r w:rsidRPr="00122CE1">
              <w:rPr>
                <w:b/>
                <w:bCs/>
                <w:sz w:val="26"/>
                <w:szCs w:val="26"/>
                <w:lang w:val="fr-CH"/>
              </w:rPr>
              <w:t xml:space="preserve">Liens pertinents avec le </w:t>
            </w:r>
            <w:r w:rsidR="00F37FE5">
              <w:rPr>
                <w:b/>
                <w:bCs/>
                <w:sz w:val="26"/>
                <w:szCs w:val="26"/>
                <w:lang w:val="fr-CH"/>
              </w:rPr>
              <w:t>p</w:t>
            </w:r>
            <w:r w:rsidRPr="00122CE1">
              <w:rPr>
                <w:b/>
                <w:bCs/>
                <w:sz w:val="26"/>
                <w:szCs w:val="26"/>
                <w:lang w:val="fr-CH"/>
              </w:rPr>
              <w:t>lan stratégique</w:t>
            </w:r>
          </w:p>
          <w:p w14:paraId="4DEBDA03" w14:textId="612E56AC" w:rsidR="00D72F49" w:rsidRPr="00122CE1" w:rsidRDefault="008B2B90" w:rsidP="00D72F49">
            <w:pPr>
              <w:rPr>
                <w:lang w:val="fr-CH"/>
              </w:rPr>
            </w:pPr>
            <w:r w:rsidRPr="008B2B90">
              <w:rPr>
                <w:lang w:val="fr-CH"/>
              </w:rPr>
              <w:t xml:space="preserve">Connectivité universelle; </w:t>
            </w:r>
            <w:r>
              <w:rPr>
                <w:lang w:val="fr-CH"/>
              </w:rPr>
              <w:t>t</w:t>
            </w:r>
            <w:r w:rsidRPr="008B2B90">
              <w:rPr>
                <w:lang w:val="fr-CH"/>
              </w:rPr>
              <w:t>ransformation numérique durable</w:t>
            </w:r>
            <w:r>
              <w:rPr>
                <w:lang w:val="fr-CH"/>
              </w:rPr>
              <w:t>.</w:t>
            </w:r>
          </w:p>
          <w:p w14:paraId="6C178A2A" w14:textId="77777777" w:rsidR="00E95647" w:rsidRDefault="00D72F49" w:rsidP="00D72F49">
            <w:pPr>
              <w:spacing w:before="160"/>
              <w:rPr>
                <w:b/>
                <w:bCs/>
                <w:sz w:val="26"/>
                <w:szCs w:val="26"/>
                <w:lang w:val="fr-CH"/>
              </w:rPr>
            </w:pPr>
            <w:r w:rsidRPr="00122CE1">
              <w:rPr>
                <w:b/>
                <w:bCs/>
                <w:sz w:val="26"/>
                <w:szCs w:val="26"/>
                <w:lang w:val="fr-CH"/>
              </w:rPr>
              <w:t>Incidences financières</w:t>
            </w:r>
          </w:p>
          <w:p w14:paraId="5E1C6EBB" w14:textId="6F90C692" w:rsidR="00D72F49" w:rsidRPr="00882919" w:rsidRDefault="008B2B90" w:rsidP="00882919">
            <w:pPr>
              <w:rPr>
                <w:szCs w:val="24"/>
              </w:rPr>
            </w:pPr>
            <w:r w:rsidRPr="008B2B90">
              <w:rPr>
                <w:szCs w:val="24"/>
              </w:rPr>
              <w:t xml:space="preserve">1 414 000 CHF pour </w:t>
            </w:r>
            <w:r w:rsidR="00591E9F">
              <w:rPr>
                <w:szCs w:val="24"/>
              </w:rPr>
              <w:t>la période</w:t>
            </w:r>
            <w:r w:rsidRPr="008B2B90">
              <w:rPr>
                <w:szCs w:val="24"/>
              </w:rPr>
              <w:t xml:space="preserve"> 2025-2028 (voir le paragraphe 2.2 du présent rapport</w:t>
            </w:r>
            <w:r w:rsidR="00591E9F">
              <w:rPr>
                <w:szCs w:val="24"/>
              </w:rPr>
              <w:t xml:space="preserve">, et </w:t>
            </w:r>
            <w:r w:rsidR="00096327">
              <w:rPr>
                <w:szCs w:val="24"/>
              </w:rPr>
              <w:t xml:space="preserve">les </w:t>
            </w:r>
            <w:r w:rsidR="00591E9F">
              <w:rPr>
                <w:szCs w:val="24"/>
              </w:rPr>
              <w:t xml:space="preserve">Documents </w:t>
            </w:r>
            <w:hyperlink r:id="rId6" w:history="1">
              <w:r w:rsidR="00591E9F" w:rsidRPr="00591E9F">
                <w:rPr>
                  <w:rStyle w:val="Hyperlink"/>
                  <w:rFonts w:eastAsia="Times New Roman" w:cs="Times New Roman"/>
                  <w:szCs w:val="24"/>
                </w:rPr>
                <w:t>C25/13</w:t>
              </w:r>
            </w:hyperlink>
            <w:r w:rsidR="00591E9F">
              <w:rPr>
                <w:szCs w:val="24"/>
              </w:rPr>
              <w:t xml:space="preserve"> et </w:t>
            </w:r>
            <w:hyperlink r:id="rId7" w:history="1">
              <w:r w:rsidR="00591E9F" w:rsidRPr="00591E9F">
                <w:rPr>
                  <w:rStyle w:val="Hyperlink"/>
                  <w:rFonts w:eastAsia="Times New Roman" w:cs="Times New Roman"/>
                  <w:szCs w:val="24"/>
                </w:rPr>
                <w:t>C25/43</w:t>
              </w:r>
            </w:hyperlink>
            <w:r w:rsidR="00591E9F">
              <w:rPr>
                <w:szCs w:val="24"/>
              </w:rPr>
              <w:t>)</w:t>
            </w:r>
            <w:r>
              <w:rPr>
                <w:szCs w:val="24"/>
              </w:rPr>
              <w:t>.</w:t>
            </w:r>
          </w:p>
          <w:p w14:paraId="03D0F758" w14:textId="77777777" w:rsidR="00D72F49" w:rsidRPr="00813E5E" w:rsidRDefault="00D72F49" w:rsidP="00D72F49">
            <w:pPr>
              <w:spacing w:before="160"/>
              <w:rPr>
                <w:caps/>
                <w:sz w:val="22"/>
              </w:rPr>
            </w:pPr>
            <w:r w:rsidRPr="00813E5E">
              <w:rPr>
                <w:sz w:val="22"/>
              </w:rPr>
              <w:t>____________</w:t>
            </w:r>
            <w:r>
              <w:rPr>
                <w:sz w:val="22"/>
              </w:rPr>
              <w:t>______</w:t>
            </w:r>
          </w:p>
          <w:p w14:paraId="02ADA4AB" w14:textId="77777777" w:rsidR="00D72F49" w:rsidRDefault="00D72F49" w:rsidP="00D72F49">
            <w:pPr>
              <w:spacing w:before="160"/>
              <w:rPr>
                <w:b/>
                <w:bCs/>
                <w:sz w:val="26"/>
                <w:szCs w:val="26"/>
              </w:rPr>
            </w:pPr>
            <w:r w:rsidRPr="00F16BAB">
              <w:rPr>
                <w:b/>
                <w:bCs/>
                <w:sz w:val="26"/>
                <w:szCs w:val="26"/>
              </w:rPr>
              <w:t>Références</w:t>
            </w:r>
          </w:p>
          <w:p w14:paraId="5A92E25A" w14:textId="6BC14932" w:rsidR="00D72F49" w:rsidRPr="006D06CC" w:rsidRDefault="008B2B90" w:rsidP="00D72F49">
            <w:pPr>
              <w:spacing w:after="160"/>
              <w:rPr>
                <w:i/>
                <w:iCs/>
                <w:sz w:val="22"/>
                <w:szCs w:val="22"/>
              </w:rPr>
            </w:pPr>
            <w:hyperlink r:id="rId8" w:anchor="/fr" w:history="1">
              <w:r w:rsidRPr="006D06CC">
                <w:rPr>
                  <w:rStyle w:val="Hyperlink"/>
                  <w:rFonts w:eastAsia="Times New Roman" w:cs="Times New Roman"/>
                  <w:i/>
                  <w:iCs/>
                  <w:sz w:val="22"/>
                </w:rPr>
                <w:t>www.itu.int/wtsa/2024/</w:t>
              </w:r>
            </w:hyperlink>
            <w:r w:rsidRPr="006D06CC">
              <w:rPr>
                <w:i/>
                <w:iCs/>
                <w:sz w:val="22"/>
                <w:szCs w:val="22"/>
              </w:rPr>
              <w:t xml:space="preserve">; </w:t>
            </w:r>
            <w:hyperlink r:id="rId9" w:anchor="/fr" w:history="1">
              <w:r w:rsidRPr="006D06CC">
                <w:rPr>
                  <w:rStyle w:val="Hyperlink"/>
                  <w:rFonts w:eastAsia="Times New Roman" w:cs="Times New Roman"/>
                  <w:i/>
                  <w:iCs/>
                  <w:sz w:val="22"/>
                </w:rPr>
                <w:t>https://gss.itu.int/</w:t>
              </w:r>
            </w:hyperlink>
            <w:r w:rsidRPr="006D06CC">
              <w:rPr>
                <w:i/>
                <w:iCs/>
                <w:sz w:val="22"/>
                <w:szCs w:val="22"/>
              </w:rPr>
              <w:t>; Rapport de la Commission de contrôle budgétaire (Doc</w:t>
            </w:r>
            <w:r w:rsidR="00177AC8" w:rsidRPr="006D06CC">
              <w:rPr>
                <w:i/>
                <w:iCs/>
                <w:sz w:val="22"/>
                <w:szCs w:val="22"/>
              </w:rPr>
              <w:t>ument</w:t>
            </w:r>
            <w:r w:rsidRPr="006D06CC">
              <w:rPr>
                <w:i/>
                <w:iCs/>
                <w:sz w:val="22"/>
                <w:szCs w:val="22"/>
              </w:rPr>
              <w:t xml:space="preserve"> </w:t>
            </w:r>
            <w:hyperlink r:id="rId10" w:history="1">
              <w:r w:rsidRPr="006D06CC">
                <w:rPr>
                  <w:rStyle w:val="Hyperlink"/>
                  <w:rFonts w:eastAsia="Times New Roman" w:cs="Times New Roman"/>
                  <w:i/>
                  <w:iCs/>
                  <w:sz w:val="22"/>
                </w:rPr>
                <w:t>119</w:t>
              </w:r>
            </w:hyperlink>
            <w:r w:rsidR="00177AC8" w:rsidRPr="006D06CC">
              <w:rPr>
                <w:i/>
                <w:iCs/>
                <w:sz w:val="22"/>
                <w:szCs w:val="22"/>
              </w:rPr>
              <w:t xml:space="preserve"> de l'AMNT</w:t>
            </w:r>
            <w:r w:rsidR="008A7629" w:rsidRPr="006D06CC">
              <w:rPr>
                <w:i/>
                <w:iCs/>
                <w:sz w:val="22"/>
                <w:szCs w:val="22"/>
              </w:rPr>
              <w:t>-24</w:t>
            </w:r>
            <w:r w:rsidRPr="006D06CC">
              <w:rPr>
                <w:i/>
                <w:iCs/>
                <w:sz w:val="22"/>
                <w:szCs w:val="22"/>
              </w:rPr>
              <w:t>)</w:t>
            </w:r>
          </w:p>
        </w:tc>
      </w:tr>
    </w:tbl>
    <w:p w14:paraId="0BAAD3B2" w14:textId="77777777" w:rsidR="00A51849" w:rsidRDefault="00A51849">
      <w:pPr>
        <w:tabs>
          <w:tab w:val="clear" w:pos="567"/>
          <w:tab w:val="clear" w:pos="1134"/>
          <w:tab w:val="clear" w:pos="1701"/>
          <w:tab w:val="clear" w:pos="2268"/>
          <w:tab w:val="clear" w:pos="2835"/>
        </w:tabs>
        <w:overflowPunct/>
        <w:autoSpaceDE/>
        <w:autoSpaceDN/>
        <w:adjustRightInd/>
        <w:spacing w:before="0"/>
        <w:textAlignment w:val="auto"/>
      </w:pPr>
      <w:r>
        <w:br w:type="page"/>
      </w:r>
    </w:p>
    <w:p w14:paraId="19A7BF9D" w14:textId="0D0DA680" w:rsidR="008B2B90" w:rsidRDefault="008B2B90" w:rsidP="008B2B90">
      <w:pPr>
        <w:pStyle w:val="Heading1"/>
      </w:pPr>
      <w:r>
        <w:lastRenderedPageBreak/>
        <w:t>1</w:t>
      </w:r>
      <w:r>
        <w:tab/>
        <w:t>Colloque mondial sur la normalisation (GSS-24)</w:t>
      </w:r>
    </w:p>
    <w:p w14:paraId="536EAB26" w14:textId="21491DEC" w:rsidR="008B2B90" w:rsidRDefault="008B2B90" w:rsidP="006D06CC">
      <w:pPr>
        <w:jc w:val="both"/>
      </w:pPr>
      <w:r>
        <w:t>1.1</w:t>
      </w:r>
      <w:r>
        <w:tab/>
        <w:t xml:space="preserve">Le </w:t>
      </w:r>
      <w:hyperlink r:id="rId11" w:anchor="/fr" w:history="1">
        <w:r w:rsidRPr="008B2B90">
          <w:rPr>
            <w:rStyle w:val="Hyperlink"/>
            <w:rFonts w:eastAsia="Times New Roman" w:cs="Times New Roman"/>
            <w:szCs w:val="20"/>
          </w:rPr>
          <w:t>cinquième Colloque mondial sur la normalisation (GSS-24)</w:t>
        </w:r>
      </w:hyperlink>
      <w:r>
        <w:t xml:space="preserve">, qui s'est tenu le 14 octobre 2024 à New Delhi (Inde), a été une rencontre décisive pour les responsables des milieux de la normalisation, les décideurs et les chefs d'entreprise du monde entier. L'objectif de ce colloque, qui avait pour thème "Anticiper la prochaine vague numérique: </w:t>
      </w:r>
      <w:r w:rsidRPr="00F012E2">
        <w:t>te</w:t>
      </w:r>
      <w:r>
        <w:t>chnologies émergentes, innovation et normes internationales", était de mettre l'accent sur le rôle essentiel que jouent les normes techniques en ce qui concerne la promotion de l'innovation dans des domaines tels que l'intelligence artificielle (IA), les villes intelligentes, les mondes virtuels et l'infrastructure numérique.</w:t>
      </w:r>
    </w:p>
    <w:p w14:paraId="57A8A4B9" w14:textId="5CDD99AA" w:rsidR="008B2B90" w:rsidRDefault="008B2B90" w:rsidP="006D06CC">
      <w:pPr>
        <w:jc w:val="both"/>
      </w:pPr>
      <w:r>
        <w:t>1.2</w:t>
      </w:r>
      <w:r>
        <w:tab/>
        <w:t xml:space="preserve">Le GSS-24 a abouti à l'élaboration d'un </w:t>
      </w:r>
      <w:hyperlink r:id="rId12" w:history="1">
        <w:r w:rsidRPr="000374ED">
          <w:rPr>
            <w:rStyle w:val="Hyperlink"/>
            <w:rFonts w:eastAsia="Times New Roman" w:cs="Times New Roman"/>
            <w:szCs w:val="20"/>
          </w:rPr>
          <w:t>document final</w:t>
        </w:r>
      </w:hyperlink>
      <w:r>
        <w:t>, adopté par l'AMNT</w:t>
      </w:r>
      <w:r w:rsidR="00C43B78">
        <w:noBreakHyphen/>
      </w:r>
      <w:r>
        <w:t>24, montrant que les normes sont importantes pour stimuler l'innovation technologique, promouvoir la durabilité et accélérer la transformation numérique mondiale.</w:t>
      </w:r>
    </w:p>
    <w:p w14:paraId="7BC437D4" w14:textId="73E78982" w:rsidR="008B2B90" w:rsidRDefault="008B2B90" w:rsidP="006D06CC">
      <w:pPr>
        <w:jc w:val="both"/>
      </w:pPr>
      <w:r>
        <w:t>1.3</w:t>
      </w:r>
      <w:r>
        <w:tab/>
        <w:t xml:space="preserve">Avec plus de 2 600 participants de différents secteurs </w:t>
      </w:r>
      <w:r w:rsidR="000374ED">
        <w:t xml:space="preserve">– </w:t>
      </w:r>
      <w:r>
        <w:t>plus de 1 800 en présentiel et</w:t>
      </w:r>
      <w:r w:rsidR="000374ED">
        <w:t> </w:t>
      </w:r>
      <w:r>
        <w:t>800 à distance, le GSS-24 a enregistré une mobilisation record propice à des échanges d'idées dynamiques. Parmi les personnalités éminentes présentes figuraient plus de</w:t>
      </w:r>
      <w:r w:rsidR="000374ED">
        <w:t> </w:t>
      </w:r>
      <w:r>
        <w:t>70</w:t>
      </w:r>
      <w:r w:rsidR="000374ED">
        <w:t> </w:t>
      </w:r>
      <w:r>
        <w:t>chefs d'entreprises participant en tant qu'intervenants, plus de 20 responsables d'autorités de régulation et autant de ministres et de vice-ministres. Plus d'une dizaine de représentants d'organismes de recherche et de normalisation étaient également présents, signe que le dialogue sur les normes internationales et les technologies émergentes est aussi large qu'inclusif.</w:t>
      </w:r>
    </w:p>
    <w:p w14:paraId="319EAC10" w14:textId="43AD0C5E" w:rsidR="008B2B90" w:rsidRDefault="008B2B90" w:rsidP="006D06CC">
      <w:pPr>
        <w:jc w:val="both"/>
      </w:pPr>
      <w:r>
        <w:t>1.4</w:t>
      </w:r>
      <w:r>
        <w:tab/>
      </w:r>
      <w:r w:rsidRPr="00F012E2">
        <w:t>Le Segment de haut niveau</w:t>
      </w:r>
      <w:r>
        <w:t xml:space="preserve"> sur le thème "Catalyser le changement</w:t>
      </w:r>
      <w:r w:rsidRPr="00F012E2">
        <w:t>: des che</w:t>
      </w:r>
      <w:r>
        <w:t xml:space="preserve">fs d'entreprise et des responsables ministériels pour façonner l'avenir de l'innovation" a réuni des ministres des communications, des chefs d'entreprise et des spécialistes des technologies. Les participants se sont penchés sur le rôle que jouent les normes internationales dans la promotion de l'innovation et de l'adoption de technologies numériques émergentes telles </w:t>
      </w:r>
      <w:r w:rsidRPr="00F012E2">
        <w:t xml:space="preserve">que l'intelligence artificielle </w:t>
      </w:r>
      <w:r w:rsidR="00816078" w:rsidRPr="00F012E2">
        <w:t xml:space="preserve">(IA) </w:t>
      </w:r>
      <w:r w:rsidRPr="00F012E2">
        <w:t>et le métavers. L'objectif était d'encourager un dialogue sans précédent sur les écosystèmes innovants</w:t>
      </w:r>
      <w:r>
        <w:t xml:space="preserve"> et sur l'importance de la coopération internationale pour mettre ces technologies au service de la transformation numérique et favoriser la mise en œuvre du Pacte numérique mondial.</w:t>
      </w:r>
    </w:p>
    <w:p w14:paraId="2F3BB8F5" w14:textId="1D2946C1" w:rsidR="008B2B90" w:rsidRDefault="008B2B90" w:rsidP="006D06CC">
      <w:pPr>
        <w:jc w:val="both"/>
      </w:pPr>
      <w:r>
        <w:t>1.5</w:t>
      </w:r>
      <w:r>
        <w:tab/>
      </w:r>
      <w:r w:rsidR="000374ED">
        <w:t>À</w:t>
      </w:r>
      <w:r>
        <w:t xml:space="preserve"> l'occasion de la Journée mondiale de la normalisation, qui avait pour thème </w:t>
      </w:r>
      <w:r w:rsidR="000374ED">
        <w:t>"</w:t>
      </w:r>
      <w:r>
        <w:t>L'intelligence artificielle au service de l'industrie, de l'innovation et de l'infrastructure</w:t>
      </w:r>
      <w:r w:rsidR="000374ED">
        <w:t>"</w:t>
      </w:r>
      <w:r>
        <w:t>, de hauts responsables de l'UIT, de la Commission électrotechnique internationale (CEI) et de l'Organisation internationale de normalisation (ISO) ont souligné le rôle essentiel que jouent les normes internationales en aidant à façonner les technologies émergentes, à stimuler l'innovation et à orienter la prochaine vague de transformation numérique.</w:t>
      </w:r>
    </w:p>
    <w:p w14:paraId="21334BFF" w14:textId="3E6A7DA8" w:rsidR="008B2B90" w:rsidRDefault="008B2B90" w:rsidP="006D06CC">
      <w:pPr>
        <w:jc w:val="both"/>
      </w:pPr>
      <w:r>
        <w:t>1.6</w:t>
      </w:r>
      <w:r>
        <w:tab/>
        <w:t>Le Sommet international sur les normes relatives à l'intelligence artificielle, organisé pour la première fois à l'occasion du GSS-24, a réuni des représentants d'organismes de normalisation de premier plan et des chefs de file mondiaux du secteur du numérique pour discuter des cadres nécessaires au développement responsable de l'intelligence artificielle. Le discours principal a été prononcé par Amandeep Singh Gill, Secrétaire général adjoint de</w:t>
      </w:r>
      <w:r w:rsidR="000374ED">
        <w:t> </w:t>
      </w:r>
      <w:r>
        <w:t>l'ONU et Envoyé du Secrétaire général de l'ONU pour les technologies.</w:t>
      </w:r>
    </w:p>
    <w:p w14:paraId="47F749EE" w14:textId="52589AA1" w:rsidR="008B2B90" w:rsidRDefault="008B2B90" w:rsidP="006D06CC">
      <w:pPr>
        <w:keepLines/>
        <w:jc w:val="both"/>
      </w:pPr>
      <w:r>
        <w:lastRenderedPageBreak/>
        <w:t>1.7</w:t>
      </w:r>
      <w:r>
        <w:tab/>
        <w:t xml:space="preserve">Les participants au Colloque ont abordé divers sujets essentiels, notamment l'IA, le métavers et les technologies émergentes, en axant essentiellement les discussions sur l'établissement de lignes directrices relatives à la gouvernance, à l'utilisation éthique et à la sécurité de l'IA. Ils se sont également intéressés aux villes intelligentes et à la durabilité, en mettant à l'honneur les villes qui appliquent les indicateurs fondamentaux de performance (IFP) établis dans le cadre de </w:t>
      </w:r>
      <w:r w:rsidRPr="008A7629">
        <w:t>l'initiative "Tous unis pour des villes intelligentes et durables"</w:t>
      </w:r>
      <w:r>
        <w:t xml:space="preserve"> (U4SSC) fondés sur la Recommandation UIT-T Y.4903. Une attention particulière a également été portée à l'inclusion financière et numérique, au code source ouvert et aux normes, la réflexion étant plus particulièrement centrée sur la manière dont le code source ouvert favorise la collaboration, la transparence et un accès plus large aux technologies et aux normes.</w:t>
      </w:r>
    </w:p>
    <w:p w14:paraId="74DC168F" w14:textId="03478B24" w:rsidR="008B2B90" w:rsidRDefault="008B2B90" w:rsidP="006D06CC">
      <w:pPr>
        <w:jc w:val="both"/>
      </w:pPr>
      <w:r>
        <w:t>1.8</w:t>
      </w:r>
      <w:r>
        <w:tab/>
        <w:t xml:space="preserve">Le GSS-24, conscient du rôle de premier plan que jouent les normes internationales pour aider les pays, les villes et les entreprises à stimuler l'innovation et à favoriser l'adoption de nouvelles technologies numériques, a invité l'UIT à: continuer de façonner le paysage des nouvelles technologies numériques; poursuivre les efforts visant à réduire les écarts qui existent en matière de normalisation entre les pays développés et les pays en développement, dans le cadre d'initiatives telles que </w:t>
      </w:r>
      <w:r w:rsidRPr="00FE65A2">
        <w:t>le Programme de l'UIT sur la réduction de l'écart en matière de normalisation (BSG); appuyer les activités de l'</w:t>
      </w:r>
      <w:r w:rsidR="00A742E8" w:rsidRPr="00FE65A2">
        <w:t>i</w:t>
      </w:r>
      <w:r w:rsidRPr="00FE65A2">
        <w:t>nitiative "Tous unis pour des villes intelligentes et durables" (U4SSC), en pa</w:t>
      </w:r>
      <w:r>
        <w:t>rticulier pour faciliter la mise en œuvre des indicateurs fondamentaux de performance (IFP) de l</w:t>
      </w:r>
      <w:r w:rsidRPr="00177AC8">
        <w:t>'initiative</w:t>
      </w:r>
      <w:r>
        <w:t xml:space="preserve"> U4SSC (Recommandation UIT-T Y.4903); continuer </w:t>
      </w:r>
      <w:r w:rsidRPr="00FE65A2">
        <w:t>d'appuyer l'</w:t>
      </w:r>
      <w:r w:rsidR="00FE65A2" w:rsidRPr="00FE65A2">
        <w:t>i</w:t>
      </w:r>
      <w:r w:rsidRPr="00FE65A2">
        <w:t>nitiative sur l'intelligence artificielle au service du bien social travailler en étroite collaborat</w:t>
      </w:r>
      <w:r>
        <w:t xml:space="preserve">ion avec les développeurs de logiciels à code source ouvert (OSS) pour encourager la création de projets mondiaux dans ce domaine et favoriser la croissance d'écosystèmes à code source ouvert dans le monde entier; reconnaître l'importance que </w:t>
      </w:r>
      <w:r w:rsidRPr="00FE65A2">
        <w:t>revêt l'</w:t>
      </w:r>
      <w:r w:rsidR="00FE65A2" w:rsidRPr="00FE65A2">
        <w:t>i</w:t>
      </w:r>
      <w:r w:rsidRPr="00FE65A2">
        <w:t>nitiative mondiale sur</w:t>
      </w:r>
      <w:r>
        <w:t xml:space="preserve"> les mondes virtuels – À la découverte des </w:t>
      </w:r>
      <w:proofErr w:type="spellStart"/>
      <w:r>
        <w:t>métavilles</w:t>
      </w:r>
      <w:proofErr w:type="spellEnd"/>
      <w:r w:rsidR="00FE65A2">
        <w:t xml:space="preserve"> –</w:t>
      </w:r>
      <w:r>
        <w:t xml:space="preserve"> pour ce qui est de tirer parti de la convergence de l'intelligence artificielle et du métavers; continuer d'organiser le Concours d'applications de l'UIT sur l'authentification sécurisée dans les chaînes de blocs (BSA).</w:t>
      </w:r>
    </w:p>
    <w:p w14:paraId="3A5A69C1" w14:textId="77777777" w:rsidR="008B2B90" w:rsidRDefault="008B2B90" w:rsidP="00A742E8">
      <w:pPr>
        <w:pStyle w:val="Heading1"/>
      </w:pPr>
      <w:r>
        <w:t>2</w:t>
      </w:r>
      <w:r>
        <w:tab/>
        <w:t>AMNT-24</w:t>
      </w:r>
    </w:p>
    <w:p w14:paraId="3997EA0E" w14:textId="77777777" w:rsidR="008B2B90" w:rsidRDefault="008B2B90" w:rsidP="00A742E8">
      <w:pPr>
        <w:pStyle w:val="Heading2"/>
      </w:pPr>
      <w:r>
        <w:t>2.1</w:t>
      </w:r>
      <w:r>
        <w:tab/>
        <w:t>Vue d'ensemble</w:t>
      </w:r>
    </w:p>
    <w:p w14:paraId="13FAE5DE" w14:textId="65637ABB" w:rsidR="008B2B90" w:rsidRDefault="008B2B90" w:rsidP="006D06CC">
      <w:pPr>
        <w:jc w:val="both"/>
      </w:pPr>
      <w:r>
        <w:t xml:space="preserve">L'AMNT-24 s'est tenue du 15 au 24 octobre 2024 à New Delhi (Inde). </w:t>
      </w:r>
      <w:r w:rsidR="00096327">
        <w:t>E</w:t>
      </w:r>
      <w:r>
        <w:t xml:space="preserve">lle a été précédée du GSS-24 (14 octobre 2024), et suivie de </w:t>
      </w:r>
      <w:r w:rsidRPr="00177AC8">
        <w:t xml:space="preserve">la </w:t>
      </w:r>
      <w:r w:rsidR="00177AC8" w:rsidRPr="00177AC8">
        <w:t>f</w:t>
      </w:r>
      <w:r w:rsidRPr="00177AC8">
        <w:t>ormation</w:t>
      </w:r>
      <w:r>
        <w:t xml:space="preserve"> sur le leadership qui a été proposée aux présidents et vice-présidents nouvellement nommés. La cérémonie d'ouverture de l'AMNT s'est déroulée en présence de</w:t>
      </w:r>
      <w:r w:rsidR="00A742E8">
        <w:t> </w:t>
      </w:r>
      <w:r>
        <w:t>S.</w:t>
      </w:r>
      <w:r w:rsidR="00A742E8">
        <w:t> </w:t>
      </w:r>
      <w:r>
        <w:t>E.</w:t>
      </w:r>
      <w:r w:rsidR="00A742E8">
        <w:t> </w:t>
      </w:r>
      <w:proofErr w:type="spellStart"/>
      <w:r>
        <w:t>Shri</w:t>
      </w:r>
      <w:proofErr w:type="spellEnd"/>
      <w:r w:rsidR="00A742E8">
        <w:t> </w:t>
      </w:r>
      <w:r>
        <w:t>Narendra Modi, Premier ministre de l'Inde. Présidée par M.</w:t>
      </w:r>
      <w:r w:rsidR="00A742E8">
        <w:t> </w:t>
      </w:r>
      <w:r>
        <w:t>Ritu</w:t>
      </w:r>
      <w:r w:rsidR="00A742E8">
        <w:t> </w:t>
      </w:r>
      <w:r>
        <w:t>Ranjan</w:t>
      </w:r>
      <w:r w:rsidR="00A742E8">
        <w:t> </w:t>
      </w:r>
      <w:proofErr w:type="spellStart"/>
      <w:r>
        <w:t>Mittar</w:t>
      </w:r>
      <w:proofErr w:type="spellEnd"/>
      <w:r>
        <w:t xml:space="preserve"> (Inde), l'</w:t>
      </w:r>
      <w:proofErr w:type="spellStart"/>
      <w:r>
        <w:t>AMNT</w:t>
      </w:r>
      <w:proofErr w:type="spellEnd"/>
      <w:r>
        <w:t>-24 a réuni 3 700 délégués de 164 pays, avec une participation importante des femmes (27%). Elle a également enregistré le plus grand nombre d'États Membres jamais représentés pour une AMNT, avec 37 ministres présents. Plus de 20 manifestations parallèles se sont tenues en marge de l'AMNT-24.</w:t>
      </w:r>
    </w:p>
    <w:p w14:paraId="1B5133C4" w14:textId="5B2E4694" w:rsidR="008B2B90" w:rsidRDefault="008B2B90" w:rsidP="008B2B90">
      <w:r>
        <w:t>L'AMNT-24 a abouti aux résultats suivants:</w:t>
      </w:r>
    </w:p>
    <w:p w14:paraId="153BAFEF" w14:textId="0DC1B9CA" w:rsidR="008B2B90" w:rsidRDefault="008B2B90" w:rsidP="006D06CC">
      <w:pPr>
        <w:pStyle w:val="enumlev1"/>
        <w:jc w:val="both"/>
      </w:pPr>
      <w:r>
        <w:t>–</w:t>
      </w:r>
      <w:r>
        <w:tab/>
        <w:t xml:space="preserve">Fusion de la CE 9 et de la CE 16 de l'UIT-T pour créer une nouvelle </w:t>
      </w:r>
      <w:r w:rsidR="00DF033C">
        <w:t>c</w:t>
      </w:r>
      <w:r>
        <w:t>ommission d'études, la CE 21 "Technologies pour le multimédia, la fourniture de contenus et la télévision par câble"</w:t>
      </w:r>
      <w:r w:rsidR="00E939B8">
        <w:t>.</w:t>
      </w:r>
    </w:p>
    <w:p w14:paraId="2DD93379" w14:textId="42968B8A" w:rsidR="008B2B90" w:rsidRDefault="008B2B90" w:rsidP="006D06CC">
      <w:pPr>
        <w:pStyle w:val="enumlev1"/>
        <w:jc w:val="both"/>
      </w:pPr>
      <w:r>
        <w:lastRenderedPageBreak/>
        <w:t>–</w:t>
      </w:r>
      <w:r>
        <w:tab/>
        <w:t>Nomination des présidents et vice-présidents des dix commissions d'études de l'UIT-T, du Groupe consultatif de la normalisation des télécommunications (GCNT) et du Comité de normalisation pour le vocabulaire (SCV)</w:t>
      </w:r>
      <w:r w:rsidR="00E939B8">
        <w:t>.</w:t>
      </w:r>
    </w:p>
    <w:p w14:paraId="00988606" w14:textId="587D1E4A" w:rsidR="008B2B90" w:rsidRDefault="008B2B90" w:rsidP="006D06CC">
      <w:pPr>
        <w:pStyle w:val="enumlev1"/>
        <w:jc w:val="both"/>
      </w:pPr>
      <w:r>
        <w:t>–</w:t>
      </w:r>
      <w:r>
        <w:tab/>
        <w:t>Mise à jour du mandat (Résolution 2) des dix commissions d'études de l'UIT-T et des Questions qui leur sont confiées</w:t>
      </w:r>
      <w:r w:rsidR="00E939B8">
        <w:t>.</w:t>
      </w:r>
    </w:p>
    <w:p w14:paraId="765A3838" w14:textId="568E1D25" w:rsidR="008B2B90" w:rsidRDefault="008B2B90" w:rsidP="006D06CC">
      <w:pPr>
        <w:pStyle w:val="enumlev1"/>
        <w:jc w:val="both"/>
      </w:pPr>
      <w:r>
        <w:t>–</w:t>
      </w:r>
      <w:r>
        <w:tab/>
        <w:t xml:space="preserve">Adoption de huit nouvelles Résolutions, révision de 44 Résolutions, suppression d'une Résolution, révision de la Recommandation UIT-T (A.25), et adoption de 15 mesures (voir les </w:t>
      </w:r>
      <w:hyperlink r:id="rId13" w:history="1">
        <w:r w:rsidRPr="00E939B8">
          <w:rPr>
            <w:rStyle w:val="Hyperlink"/>
            <w:rFonts w:eastAsia="Times New Roman" w:cs="Times New Roman"/>
            <w:szCs w:val="20"/>
          </w:rPr>
          <w:t>Actes de l'AMNT-24</w:t>
        </w:r>
      </w:hyperlink>
      <w:r>
        <w:t xml:space="preserve"> pour plus d'informations).</w:t>
      </w:r>
    </w:p>
    <w:p w14:paraId="7E2BA458" w14:textId="77777777" w:rsidR="008B2B90" w:rsidRDefault="008B2B90" w:rsidP="008B2B90">
      <w:r>
        <w:t>Informations connexes:</w:t>
      </w:r>
    </w:p>
    <w:p w14:paraId="6B4CADD7" w14:textId="50445FB6" w:rsidR="008B2B90" w:rsidRDefault="008B2B90" w:rsidP="006D06CC">
      <w:pPr>
        <w:pStyle w:val="enumlev1"/>
        <w:jc w:val="both"/>
      </w:pPr>
      <w:r>
        <w:t>–</w:t>
      </w:r>
      <w:r>
        <w:tab/>
        <w:t xml:space="preserve">Site web de l'AMNT-24: </w:t>
      </w:r>
      <w:hyperlink r:id="rId14" w:anchor="/fr" w:history="1">
        <w:r w:rsidRPr="00E939B8">
          <w:rPr>
            <w:rStyle w:val="Hyperlink"/>
            <w:rFonts w:eastAsia="Times New Roman" w:cs="Times New Roman"/>
            <w:szCs w:val="20"/>
          </w:rPr>
          <w:t>https://www.itu.int/wtsa/2024/</w:t>
        </w:r>
      </w:hyperlink>
      <w:r w:rsidR="00E939B8">
        <w:t>.</w:t>
      </w:r>
    </w:p>
    <w:p w14:paraId="77B60444" w14:textId="2129D27A" w:rsidR="008B2B90" w:rsidRDefault="008B2B90" w:rsidP="006D06CC">
      <w:pPr>
        <w:pStyle w:val="enumlev1"/>
        <w:jc w:val="both"/>
      </w:pPr>
      <w:r>
        <w:t>–</w:t>
      </w:r>
      <w:r>
        <w:tab/>
      </w:r>
      <w:hyperlink r:id="rId15" w:history="1">
        <w:r w:rsidRPr="00E939B8">
          <w:rPr>
            <w:rStyle w:val="Hyperlink"/>
            <w:rFonts w:eastAsia="Times New Roman" w:cs="Times New Roman"/>
            <w:szCs w:val="20"/>
          </w:rPr>
          <w:t>Actes de l'AMNT-24</w:t>
        </w:r>
      </w:hyperlink>
      <w:r>
        <w:t xml:space="preserve"> (</w:t>
      </w:r>
      <w:r w:rsidR="00096327">
        <w:t>l</w:t>
      </w:r>
      <w:r>
        <w:t>a version finale est désormais disponible dans les six langues)</w:t>
      </w:r>
      <w:r w:rsidR="00E939B8">
        <w:t>.</w:t>
      </w:r>
    </w:p>
    <w:p w14:paraId="1CCEABF3" w14:textId="219E0D5A" w:rsidR="008B2B90" w:rsidRDefault="008B2B90" w:rsidP="006D06CC">
      <w:pPr>
        <w:pStyle w:val="enumlev1"/>
        <w:jc w:val="both"/>
      </w:pPr>
      <w:r>
        <w:t>–</w:t>
      </w:r>
      <w:r>
        <w:tab/>
        <w:t xml:space="preserve">Manifestations liées à l'AMNT-24: </w:t>
      </w:r>
      <w:hyperlink r:id="rId16" w:anchor="/fr" w:history="1">
        <w:r w:rsidRPr="00E939B8">
          <w:rPr>
            <w:rStyle w:val="Hyperlink"/>
            <w:rFonts w:eastAsia="Times New Roman" w:cs="Times New Roman"/>
            <w:szCs w:val="20"/>
          </w:rPr>
          <w:t>https://www.itu.int/wtsa/2024/related-events/</w:t>
        </w:r>
      </w:hyperlink>
      <w:r>
        <w:t>.</w:t>
      </w:r>
    </w:p>
    <w:p w14:paraId="3FA75DDF" w14:textId="77777777" w:rsidR="008B2B90" w:rsidRDefault="008B2B90" w:rsidP="006D06CC">
      <w:pPr>
        <w:pStyle w:val="Heading2"/>
        <w:jc w:val="both"/>
      </w:pPr>
      <w:r>
        <w:t>2.2</w:t>
      </w:r>
      <w:r>
        <w:tab/>
        <w:t>Incidences budgétaires</w:t>
      </w:r>
    </w:p>
    <w:p w14:paraId="12C910A0" w14:textId="3BD7B94A" w:rsidR="008B2B90" w:rsidRDefault="008B2B90" w:rsidP="006D06CC">
      <w:pPr>
        <w:jc w:val="both"/>
      </w:pPr>
      <w:r>
        <w:t xml:space="preserve">L'AMNT-24 a adopté des décisions concernant la mise en place d'activités, d'études et d'ateliers nouveaux afin de permettre au Bureau de la normalisation des télécommunications (TSB) de répondre rapidement aux demandes des membres et de traiter des questions d'ordre stratégique qui nécessiteront l'attention de la prochaine Assemblée (AMNT-28). L'AMNT-24 a défini certaines activités (décrites dans les nouvelles </w:t>
      </w:r>
      <w:r w:rsidR="00DF033C">
        <w:t>R</w:t>
      </w:r>
      <w:r>
        <w:t xml:space="preserve">ésolutions et mesures de l'AMNT-24, dans des domaines tels </w:t>
      </w:r>
      <w:r w:rsidRPr="00F012E2">
        <w:t>que l'</w:t>
      </w:r>
      <w:r w:rsidR="00816078" w:rsidRPr="00F012E2">
        <w:t>intelligence artificielle (</w:t>
      </w:r>
      <w:r w:rsidRPr="00F012E2">
        <w:t>IA</w:t>
      </w:r>
      <w:r w:rsidR="00816078" w:rsidRPr="00F012E2">
        <w:t>)</w:t>
      </w:r>
      <w:r w:rsidRPr="00F012E2">
        <w:t>, l'infrastructure publique numérique (DPI) et la transformati</w:t>
      </w:r>
      <w:r>
        <w:t>on numérique durable (SDT)) qui seront des domaines prioritaires pour l'UIT-T. Le TSB est chargé de mettre en œuvre ces activités et de faire rapport à l'AMNT-28.</w:t>
      </w:r>
      <w:r w:rsidR="00096327">
        <w:t xml:space="preserve"> </w:t>
      </w:r>
      <w:r w:rsidR="007C276B" w:rsidRPr="007C276B">
        <w:t xml:space="preserve">Ces décisions et leurs incidences financières sont présentées dans les Documents </w:t>
      </w:r>
      <w:hyperlink r:id="rId17" w:history="1">
        <w:r w:rsidR="007C276B" w:rsidRPr="006245D0">
          <w:rPr>
            <w:rStyle w:val="Hyperlink"/>
            <w:rFonts w:eastAsia="Times New Roman" w:cs="Times New Roman"/>
            <w:szCs w:val="20"/>
          </w:rPr>
          <w:t>C25/13</w:t>
        </w:r>
      </w:hyperlink>
      <w:r w:rsidR="007C276B" w:rsidRPr="007C276B">
        <w:t xml:space="preserve"> et </w:t>
      </w:r>
      <w:hyperlink r:id="rId18" w:history="1">
        <w:r w:rsidR="007C276B" w:rsidRPr="006245D0">
          <w:rPr>
            <w:rStyle w:val="Hyperlink"/>
            <w:rFonts w:eastAsia="Times New Roman" w:cs="Times New Roman"/>
            <w:szCs w:val="20"/>
          </w:rPr>
          <w:t>C25/43</w:t>
        </w:r>
      </w:hyperlink>
      <w:r w:rsidR="007C276B">
        <w:t>.</w:t>
      </w:r>
    </w:p>
    <w:p w14:paraId="55EFC2CF" w14:textId="22A1568A" w:rsidR="00AF589A" w:rsidRDefault="00AF589A" w:rsidP="00AF589A">
      <w:pPr>
        <w:pStyle w:val="Heading1"/>
      </w:pPr>
      <w:r>
        <w:t>3</w:t>
      </w:r>
      <w:r>
        <w:tab/>
        <w:t>Réseau de femmes (</w:t>
      </w:r>
      <w:proofErr w:type="spellStart"/>
      <w:r>
        <w:t>NoW</w:t>
      </w:r>
      <w:proofErr w:type="spellEnd"/>
      <w:r>
        <w:t>) pour l'</w:t>
      </w:r>
      <w:proofErr w:type="spellStart"/>
      <w:r>
        <w:t>AMNT</w:t>
      </w:r>
      <w:proofErr w:type="spellEnd"/>
      <w:r>
        <w:t>-24</w:t>
      </w:r>
    </w:p>
    <w:p w14:paraId="6A115D62" w14:textId="3A71BF9F" w:rsidR="00AF589A" w:rsidRDefault="00AF589A" w:rsidP="006D06CC">
      <w:pPr>
        <w:jc w:val="both"/>
      </w:pPr>
      <w:r>
        <w:t xml:space="preserve">Le </w:t>
      </w:r>
      <w:r w:rsidRPr="00FE65A2">
        <w:t xml:space="preserve">Réseau de femmes </w:t>
      </w:r>
      <w:r w:rsidR="00FE65A2" w:rsidRPr="00FE65A2">
        <w:t>(</w:t>
      </w:r>
      <w:proofErr w:type="spellStart"/>
      <w:r w:rsidR="00FE65A2" w:rsidRPr="00FE65A2">
        <w:t>NoW</w:t>
      </w:r>
      <w:proofErr w:type="spellEnd"/>
      <w:r w:rsidR="00FE65A2" w:rsidRPr="00FE65A2">
        <w:t xml:space="preserve">) </w:t>
      </w:r>
      <w:r w:rsidRPr="00FE65A2">
        <w:t>à l'UIT-T vise</w:t>
      </w:r>
      <w:r>
        <w:t xml:space="preserve"> à promouvoir la participation des femmes dans le secteur de la normalisation. La campagne Réseau de femmes pour</w:t>
      </w:r>
      <w:r w:rsidR="00724CC0">
        <w:t xml:space="preserve"> </w:t>
      </w:r>
      <w:r>
        <w:t>l'AMNT</w:t>
      </w:r>
      <w:r>
        <w:noBreakHyphen/>
        <w:t>24 (</w:t>
      </w:r>
      <w:hyperlink r:id="rId19" w:anchor="/fr" w:history="1">
        <w:r w:rsidRPr="00AF589A">
          <w:rPr>
            <w:rStyle w:val="Hyperlink"/>
            <w:rFonts w:eastAsia="Times New Roman" w:cs="Times New Roman"/>
            <w:szCs w:val="20"/>
          </w:rPr>
          <w:t>NOW4WTSA24</w:t>
        </w:r>
      </w:hyperlink>
      <w:r>
        <w:t>) avait pour objet d'encourager les États Membres de l'UIT à promouvoir l'inclusion de femmes dans leur délégation à l'AMNT-24. L'appel à l'action était le suivant:</w:t>
      </w:r>
    </w:p>
    <w:p w14:paraId="37385ECE" w14:textId="1D10782C" w:rsidR="00AF589A" w:rsidRDefault="00AF589A" w:rsidP="006D06CC">
      <w:pPr>
        <w:pStyle w:val="enumlev1"/>
        <w:jc w:val="both"/>
      </w:pPr>
      <w:r>
        <w:t>1)</w:t>
      </w:r>
      <w:r>
        <w:tab/>
        <w:t>Nommer des femmes à des fonctions de direction clés de l'UIT-T (présidente ou vice</w:t>
      </w:r>
      <w:r>
        <w:noBreakHyphen/>
        <w:t>présidentes du GCNT, des commissions d'études et du Comité de normalisation pour le vocabulaire).</w:t>
      </w:r>
    </w:p>
    <w:p w14:paraId="0899D563" w14:textId="1BDEE184" w:rsidR="00AF589A" w:rsidRDefault="00AF589A" w:rsidP="006D06CC">
      <w:pPr>
        <w:pStyle w:val="enumlev1"/>
        <w:jc w:val="both"/>
      </w:pPr>
      <w:r>
        <w:t>2)</w:t>
      </w:r>
      <w:r>
        <w:tab/>
        <w:t>Encourager la nomination de femmes à la tête des délégations.</w:t>
      </w:r>
    </w:p>
    <w:p w14:paraId="109BF48F" w14:textId="15A6815E" w:rsidR="00AF589A" w:rsidRDefault="00AF589A" w:rsidP="006D06CC">
      <w:pPr>
        <w:pStyle w:val="enumlev1"/>
        <w:jc w:val="both"/>
      </w:pPr>
      <w:r>
        <w:t>3)</w:t>
      </w:r>
      <w:r>
        <w:tab/>
        <w:t>Promouvoir la participation active des femmes au sein des délégations des pays.</w:t>
      </w:r>
    </w:p>
    <w:p w14:paraId="4A01D143" w14:textId="2140B102" w:rsidR="00AF589A" w:rsidRDefault="00AF589A" w:rsidP="006D06CC">
      <w:pPr>
        <w:pStyle w:val="enumlev1"/>
        <w:jc w:val="both"/>
      </w:pPr>
      <w:r>
        <w:t>4)</w:t>
      </w:r>
      <w:r>
        <w:tab/>
        <w:t>Contribuer à atteindre un taux de participation global des femmes de 35% à l'AMNT</w:t>
      </w:r>
      <w:r>
        <w:noBreakHyphen/>
        <w:t>24.</w:t>
      </w:r>
    </w:p>
    <w:p w14:paraId="42C5E3D6" w14:textId="1663677C" w:rsidR="00AF589A" w:rsidRDefault="00AF589A" w:rsidP="006D06CC">
      <w:pPr>
        <w:jc w:val="both"/>
      </w:pPr>
      <w:r>
        <w:t>Les efforts concertés déployés pour atteindre les objectifs de cette campagne ont permis d'atteindre un taux de représentation des femmes de 26% à l'AMNT-24, un record pour une</w:t>
      </w:r>
      <w:r w:rsidR="007920A5">
        <w:t> </w:t>
      </w:r>
      <w:r>
        <w:t xml:space="preserve">AMNT tenue en dehors de Genève. Le nombre de femmes occupant des fonctions de direction a augmenté de 24% par rapport à la période d'études précédente. Les femmes occupent aujourd'hui environ un quart des fonctions de direction clés à l'UIT-T. Des progrès significatifs ont également été accomplis en ce qui concerne les femmes occupant des </w:t>
      </w:r>
      <w:r>
        <w:lastRenderedPageBreak/>
        <w:t>fonctions de direction à l'Assemblée elle-même, puisqu'à l'AMNT-24 leur nombre avait doublé par rapport à l'AMNT-20.</w:t>
      </w:r>
    </w:p>
    <w:p w14:paraId="3CC2632E" w14:textId="55303288" w:rsidR="00AF589A" w:rsidRDefault="00AF589A" w:rsidP="006D06CC">
      <w:pPr>
        <w:jc w:val="both"/>
      </w:pPr>
      <w:r>
        <w:t xml:space="preserve">La campagne s'est terminée par une </w:t>
      </w:r>
      <w:hyperlink r:id="rId20" w:anchor="/fr" w:history="1">
        <w:r w:rsidRPr="00AF589A">
          <w:rPr>
            <w:rStyle w:val="Hyperlink"/>
            <w:rFonts w:eastAsia="Times New Roman" w:cs="Times New Roman"/>
            <w:szCs w:val="20"/>
          </w:rPr>
          <w:t>manifestation spéciale en marge de l'AMNT-24</w:t>
        </w:r>
      </w:hyperlink>
      <w:r>
        <w:t>, le 17 octobre 2024, qui comprenait des tables rondes sur le thème de la réduction de l'écart entre les hommes et les femmes dans le domaine de la normalisation et des normes pour une intelligence artificielle inclusive. Cette manifestation s'est conclue par une cérémonie mettant à l'honneur les résultats obtenus en lien avec les objectifs de la campagne et les efforts faits pour progresser vers l'égalité hommes-femmes.</w:t>
      </w:r>
    </w:p>
    <w:p w14:paraId="0863BEC5" w14:textId="77777777" w:rsidR="00AF589A" w:rsidRDefault="00AF589A" w:rsidP="00AF589A">
      <w:pPr>
        <w:pStyle w:val="Heading1"/>
      </w:pPr>
      <w:r>
        <w:t>4</w:t>
      </w:r>
      <w:r>
        <w:tab/>
        <w:t>Manifestations parallèles et expositions</w:t>
      </w:r>
    </w:p>
    <w:p w14:paraId="759A43FC" w14:textId="2B8C2979" w:rsidR="00AF589A" w:rsidRDefault="00AF589A" w:rsidP="006D06CC">
      <w:pPr>
        <w:jc w:val="both"/>
      </w:pPr>
      <w:r>
        <w:t>Plus de 20 manifestations représentant plus de 80 heures de contenu ont été organisées en marge de l'AMNT-24. Elles ont été l'occasion de mettre en avant l'importance et les retombées des travaux de l'UIT, et de mobiliser des représentants de l'écosystème technologique florissant de l'Inde. Plus de 85 expositions et démonstrations étaient également au programme.</w:t>
      </w:r>
    </w:p>
    <w:p w14:paraId="3A2F1222" w14:textId="77777777" w:rsidR="00AF589A" w:rsidRDefault="00AF589A" w:rsidP="00AF589A">
      <w:pPr>
        <w:pStyle w:val="Heading1"/>
      </w:pPr>
      <w:r>
        <w:t>5</w:t>
      </w:r>
      <w:r>
        <w:tab/>
        <w:t>Couverture médiatique</w:t>
      </w:r>
    </w:p>
    <w:p w14:paraId="3AD7784C" w14:textId="13422E36" w:rsidR="00AF589A" w:rsidRDefault="00AF589A" w:rsidP="006D06CC">
      <w:pPr>
        <w:jc w:val="both"/>
      </w:pPr>
      <w:r>
        <w:t>L'AMNT-24 a été marquée par la plus grande cérémonie d'ouverture jamais organisée, qui a enregistré plus de 300 000 vues en ligne. Elle a donné lieu à un foisonnement sans précédent de conversations techniques avec des personnalités du monde entier, telles que S. E. </w:t>
      </w:r>
      <w:proofErr w:type="spellStart"/>
      <w:r>
        <w:t>Shri</w:t>
      </w:r>
      <w:proofErr w:type="spellEnd"/>
      <w:r>
        <w:t> Narendra Modi, Premier Ministre de l'Inde, et d'autres responsables influents du</w:t>
      </w:r>
      <w:r w:rsidR="00177AC8">
        <w:t> </w:t>
      </w:r>
      <w:r>
        <w:t>secteur des technologies qui ont fait entendre leur voix sur les réseaux sociaux aux côtés de l'UIT.</w:t>
      </w:r>
    </w:p>
    <w:p w14:paraId="772EBC32" w14:textId="435B8187" w:rsidR="00AF589A" w:rsidRDefault="00AF589A" w:rsidP="006D06CC">
      <w:pPr>
        <w:jc w:val="both"/>
      </w:pPr>
      <w:r>
        <w:t>En outre, le nombre record de médias accrédités pour l'AMNT-24 a permis d'attirer l'attention du monde entier sur cette manifestation et d'assurer sa couverture sur les nouveaux médias en plus des médias traditionnels. On trouvera ci-dessous quelques chiffres sur la couverture médiatique:</w:t>
      </w:r>
    </w:p>
    <w:p w14:paraId="56F6BA08" w14:textId="0C1D7927" w:rsidR="00AF589A" w:rsidRDefault="00AF589A" w:rsidP="006D06CC">
      <w:pPr>
        <w:pStyle w:val="enumlev1"/>
        <w:jc w:val="both"/>
      </w:pPr>
      <w:r>
        <w:t>–</w:t>
      </w:r>
      <w:r>
        <w:tab/>
        <w:t>Plus de 100 millions de personnes touchées grâces aux réseaux sociaux.</w:t>
      </w:r>
    </w:p>
    <w:p w14:paraId="524BA616" w14:textId="420E2794" w:rsidR="00AF589A" w:rsidRDefault="00AF589A" w:rsidP="006D06CC">
      <w:pPr>
        <w:pStyle w:val="enumlev1"/>
        <w:jc w:val="both"/>
      </w:pPr>
      <w:r>
        <w:t>–</w:t>
      </w:r>
      <w:r>
        <w:tab/>
        <w:t>Plus de 300 000 vues pour la cérémonie d'ouverture.</w:t>
      </w:r>
    </w:p>
    <w:p w14:paraId="3B2F8A63" w14:textId="341136E0" w:rsidR="00AF589A" w:rsidRDefault="00AF589A" w:rsidP="006D06CC">
      <w:pPr>
        <w:pStyle w:val="enumlev1"/>
        <w:jc w:val="both"/>
      </w:pPr>
      <w:r>
        <w:t>–</w:t>
      </w:r>
      <w:r>
        <w:tab/>
        <w:t>182 médias accrédités.</w:t>
      </w:r>
    </w:p>
    <w:p w14:paraId="29DCBD20" w14:textId="13730E9D" w:rsidR="00AF589A" w:rsidRDefault="00AF589A" w:rsidP="006D06CC">
      <w:pPr>
        <w:pStyle w:val="enumlev1"/>
        <w:jc w:val="both"/>
      </w:pPr>
      <w:r>
        <w:t>–</w:t>
      </w:r>
      <w:r>
        <w:tab/>
        <w:t>3,6 milliards de personnes touchées dans le monde grâce à la couverture médiatique.</w:t>
      </w:r>
    </w:p>
    <w:p w14:paraId="14504134" w14:textId="40044B57" w:rsidR="00AF589A" w:rsidRDefault="00AF589A" w:rsidP="006D06CC">
      <w:pPr>
        <w:pStyle w:val="enumlev1"/>
        <w:jc w:val="both"/>
      </w:pPr>
      <w:r>
        <w:t>–</w:t>
      </w:r>
      <w:r>
        <w:tab/>
        <w:t>Le nom de l'UIT mentionné 1 290 fois dans les médias.</w:t>
      </w:r>
    </w:p>
    <w:p w14:paraId="40A1773E" w14:textId="65E233CA" w:rsidR="00E11C66" w:rsidRPr="00E939B8" w:rsidRDefault="00AF589A" w:rsidP="006D06CC">
      <w:pPr>
        <w:pStyle w:val="enumlev1"/>
        <w:jc w:val="both"/>
      </w:pPr>
      <w:r>
        <w:t>–</w:t>
      </w:r>
      <w:r>
        <w:tab/>
        <w:t>Couverture positive ou neutre à 99%.</w:t>
      </w:r>
    </w:p>
    <w:p w14:paraId="6A0AB1A8" w14:textId="77777777" w:rsidR="00897553" w:rsidRDefault="006A11AE" w:rsidP="006A11AE">
      <w:pPr>
        <w:jc w:val="center"/>
      </w:pPr>
      <w:r>
        <w:t>______________</w:t>
      </w:r>
    </w:p>
    <w:sectPr w:rsidR="00897553" w:rsidSect="00D72F49">
      <w:headerReference w:type="even" r:id="rId21"/>
      <w:footerReference w:type="even" r:id="rId22"/>
      <w:footerReference w:type="default" r:id="rId23"/>
      <w:headerReference w:type="first" r:id="rId24"/>
      <w:footerReference w:type="first" r:id="rId2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092C" w14:textId="77777777" w:rsidR="0063435E" w:rsidRDefault="0063435E">
      <w:r>
        <w:separator/>
      </w:r>
    </w:p>
  </w:endnote>
  <w:endnote w:type="continuationSeparator" w:id="0">
    <w:p w14:paraId="0899F9FC" w14:textId="77777777" w:rsidR="0063435E" w:rsidRDefault="0063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E7F5" w14:textId="1B31CD34" w:rsidR="00732045" w:rsidRDefault="00BB0496">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6D06CC">
      <w:t>13.05.25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6721C6C" w14:textId="77777777" w:rsidTr="00E31DCE">
      <w:trPr>
        <w:jc w:val="center"/>
      </w:trPr>
      <w:tc>
        <w:tcPr>
          <w:tcW w:w="1803" w:type="dxa"/>
          <w:vAlign w:val="center"/>
        </w:tcPr>
        <w:p w14:paraId="7FA1BCFF" w14:textId="5BC1EF7D" w:rsidR="00A51849" w:rsidRDefault="008B2B90" w:rsidP="00A51849">
          <w:pPr>
            <w:pStyle w:val="Header"/>
            <w:jc w:val="left"/>
            <w:rPr>
              <w:noProof/>
            </w:rPr>
          </w:pPr>
          <w:r>
            <w:rPr>
              <w:noProof/>
            </w:rPr>
            <w:t>2500934</w:t>
          </w:r>
        </w:p>
      </w:tc>
      <w:tc>
        <w:tcPr>
          <w:tcW w:w="8261" w:type="dxa"/>
        </w:tcPr>
        <w:p w14:paraId="7ADC7499" w14:textId="5EA244D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B2B90">
            <w:rPr>
              <w:bCs/>
            </w:rPr>
            <w:t>24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2B94B68"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15A7292" w14:textId="77777777" w:rsidTr="00E31DCE">
      <w:trPr>
        <w:jc w:val="center"/>
      </w:trPr>
      <w:tc>
        <w:tcPr>
          <w:tcW w:w="1803" w:type="dxa"/>
          <w:vAlign w:val="center"/>
        </w:tcPr>
        <w:p w14:paraId="7A567033"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11B5A0C" w14:textId="626B1035"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B2B90">
            <w:rPr>
              <w:bCs/>
            </w:rPr>
            <w:t>24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5EA40AD"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62BB" w14:textId="77777777" w:rsidR="0063435E" w:rsidRDefault="0063435E">
      <w:r>
        <w:t>____________________</w:t>
      </w:r>
    </w:p>
  </w:footnote>
  <w:footnote w:type="continuationSeparator" w:id="0">
    <w:p w14:paraId="53913352" w14:textId="77777777" w:rsidR="0063435E" w:rsidRDefault="0063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C09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71CF1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C4A4C60" w14:textId="77777777" w:rsidTr="00D37B53">
      <w:trPr>
        <w:trHeight w:val="1104"/>
        <w:jc w:val="center"/>
      </w:trPr>
      <w:tc>
        <w:tcPr>
          <w:tcW w:w="5317" w:type="dxa"/>
          <w:vAlign w:val="center"/>
        </w:tcPr>
        <w:p w14:paraId="1B956315"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627CB26" wp14:editId="1FA96F70">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D06E349" w14:textId="77777777" w:rsidR="00524E8D" w:rsidRDefault="00524E8D" w:rsidP="00A51849">
          <w:pPr>
            <w:pStyle w:val="Header"/>
            <w:jc w:val="right"/>
            <w:rPr>
              <w:rFonts w:ascii="Arial" w:hAnsi="Arial" w:cs="Arial"/>
              <w:b/>
              <w:bCs/>
              <w:color w:val="009CD6"/>
              <w:szCs w:val="18"/>
            </w:rPr>
          </w:pPr>
        </w:p>
      </w:tc>
    </w:tr>
  </w:tbl>
  <w:p w14:paraId="6960C51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224CE1D" wp14:editId="190411B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86FB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96"/>
    <w:rsid w:val="000374ED"/>
    <w:rsid w:val="00076A2C"/>
    <w:rsid w:val="00096327"/>
    <w:rsid w:val="000C2759"/>
    <w:rsid w:val="000D0D0A"/>
    <w:rsid w:val="000D4DF2"/>
    <w:rsid w:val="00103163"/>
    <w:rsid w:val="00106B19"/>
    <w:rsid w:val="001133EF"/>
    <w:rsid w:val="00115D93"/>
    <w:rsid w:val="001247A8"/>
    <w:rsid w:val="001370B2"/>
    <w:rsid w:val="001378C0"/>
    <w:rsid w:val="00177AC8"/>
    <w:rsid w:val="0018694A"/>
    <w:rsid w:val="001A3287"/>
    <w:rsid w:val="001A6508"/>
    <w:rsid w:val="001D4C31"/>
    <w:rsid w:val="001D5192"/>
    <w:rsid w:val="001E4D21"/>
    <w:rsid w:val="00207CD1"/>
    <w:rsid w:val="00226657"/>
    <w:rsid w:val="002477A2"/>
    <w:rsid w:val="00263A51"/>
    <w:rsid w:val="00267E02"/>
    <w:rsid w:val="00270B6B"/>
    <w:rsid w:val="002A5D44"/>
    <w:rsid w:val="002C3F32"/>
    <w:rsid w:val="002C4E3D"/>
    <w:rsid w:val="002E0BC4"/>
    <w:rsid w:val="002F1B76"/>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91E9F"/>
    <w:rsid w:val="005B1938"/>
    <w:rsid w:val="005C3890"/>
    <w:rsid w:val="005F7BFE"/>
    <w:rsid w:val="00600017"/>
    <w:rsid w:val="006235CA"/>
    <w:rsid w:val="0062366E"/>
    <w:rsid w:val="006245D0"/>
    <w:rsid w:val="0063435E"/>
    <w:rsid w:val="006643AB"/>
    <w:rsid w:val="006A11AE"/>
    <w:rsid w:val="006D06CC"/>
    <w:rsid w:val="006F0A53"/>
    <w:rsid w:val="007210CD"/>
    <w:rsid w:val="00724CC0"/>
    <w:rsid w:val="00732045"/>
    <w:rsid w:val="0073275D"/>
    <w:rsid w:val="007369DB"/>
    <w:rsid w:val="0077110E"/>
    <w:rsid w:val="00781058"/>
    <w:rsid w:val="007920A5"/>
    <w:rsid w:val="007956C2"/>
    <w:rsid w:val="007A187E"/>
    <w:rsid w:val="007C276B"/>
    <w:rsid w:val="007C72C2"/>
    <w:rsid w:val="007D4436"/>
    <w:rsid w:val="007F257A"/>
    <w:rsid w:val="007F3665"/>
    <w:rsid w:val="00800037"/>
    <w:rsid w:val="00816078"/>
    <w:rsid w:val="0082299A"/>
    <w:rsid w:val="0083391C"/>
    <w:rsid w:val="00861D73"/>
    <w:rsid w:val="0087339F"/>
    <w:rsid w:val="00882919"/>
    <w:rsid w:val="00897553"/>
    <w:rsid w:val="008A4E87"/>
    <w:rsid w:val="008A7629"/>
    <w:rsid w:val="008B2B90"/>
    <w:rsid w:val="008D76E6"/>
    <w:rsid w:val="0092392D"/>
    <w:rsid w:val="0093234A"/>
    <w:rsid w:val="00956A78"/>
    <w:rsid w:val="0097363B"/>
    <w:rsid w:val="00973F53"/>
    <w:rsid w:val="00994257"/>
    <w:rsid w:val="009A6BAA"/>
    <w:rsid w:val="009C307F"/>
    <w:rsid w:val="009C353C"/>
    <w:rsid w:val="009F0FB8"/>
    <w:rsid w:val="00A2113E"/>
    <w:rsid w:val="00A23A51"/>
    <w:rsid w:val="00A24607"/>
    <w:rsid w:val="00A25CD3"/>
    <w:rsid w:val="00A51849"/>
    <w:rsid w:val="00A709FE"/>
    <w:rsid w:val="00A72395"/>
    <w:rsid w:val="00A73C60"/>
    <w:rsid w:val="00A742E8"/>
    <w:rsid w:val="00A82767"/>
    <w:rsid w:val="00AA332F"/>
    <w:rsid w:val="00AA7BBB"/>
    <w:rsid w:val="00AB64A8"/>
    <w:rsid w:val="00AC0266"/>
    <w:rsid w:val="00AD24EC"/>
    <w:rsid w:val="00AF589A"/>
    <w:rsid w:val="00B27B00"/>
    <w:rsid w:val="00B309F9"/>
    <w:rsid w:val="00B32B60"/>
    <w:rsid w:val="00B51005"/>
    <w:rsid w:val="00B61619"/>
    <w:rsid w:val="00BB0496"/>
    <w:rsid w:val="00BB4545"/>
    <w:rsid w:val="00BC2869"/>
    <w:rsid w:val="00BD5873"/>
    <w:rsid w:val="00BF4B60"/>
    <w:rsid w:val="00C049D7"/>
    <w:rsid w:val="00C04BE3"/>
    <w:rsid w:val="00C25D29"/>
    <w:rsid w:val="00C27A7C"/>
    <w:rsid w:val="00C42437"/>
    <w:rsid w:val="00C43B78"/>
    <w:rsid w:val="00CA08ED"/>
    <w:rsid w:val="00CC6EAA"/>
    <w:rsid w:val="00CF183B"/>
    <w:rsid w:val="00CF7A40"/>
    <w:rsid w:val="00D375CD"/>
    <w:rsid w:val="00D37B53"/>
    <w:rsid w:val="00D553A2"/>
    <w:rsid w:val="00D72F49"/>
    <w:rsid w:val="00D774D3"/>
    <w:rsid w:val="00D904E8"/>
    <w:rsid w:val="00DA08C3"/>
    <w:rsid w:val="00DB5A3E"/>
    <w:rsid w:val="00DC22AA"/>
    <w:rsid w:val="00DD1A99"/>
    <w:rsid w:val="00DF033C"/>
    <w:rsid w:val="00DF74DD"/>
    <w:rsid w:val="00E11C66"/>
    <w:rsid w:val="00E221F9"/>
    <w:rsid w:val="00E25AD0"/>
    <w:rsid w:val="00E4428F"/>
    <w:rsid w:val="00E47427"/>
    <w:rsid w:val="00E605D6"/>
    <w:rsid w:val="00E85F57"/>
    <w:rsid w:val="00E93668"/>
    <w:rsid w:val="00E939B8"/>
    <w:rsid w:val="00E95647"/>
    <w:rsid w:val="00EB6350"/>
    <w:rsid w:val="00F012E2"/>
    <w:rsid w:val="00F15B57"/>
    <w:rsid w:val="00F35EF4"/>
    <w:rsid w:val="00F37FE5"/>
    <w:rsid w:val="00F427DB"/>
    <w:rsid w:val="00FA5EB1"/>
    <w:rsid w:val="00FA7439"/>
    <w:rsid w:val="00FC09BA"/>
    <w:rsid w:val="00FC4EC0"/>
    <w:rsid w:val="00FC6D7D"/>
    <w:rsid w:val="00FE65A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8ED1"/>
  <w15:docId w15:val="{FBB2F8BD-E795-4C48-B801-3B44A768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wtsa/2024/" TargetMode="External"/><Relationship Id="rId13" Type="http://schemas.openxmlformats.org/officeDocument/2006/relationships/hyperlink" Target="https://www.itu.int/pub/T-REG-LIV.1-2024/fr" TargetMode="External"/><Relationship Id="rId18" Type="http://schemas.openxmlformats.org/officeDocument/2006/relationships/hyperlink" Target="https://www.itu.int/md/S25-CL-C-0043/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md/S25-CL-C-0043/en" TargetMode="External"/><Relationship Id="rId12" Type="http://schemas.openxmlformats.org/officeDocument/2006/relationships/hyperlink" Target="https://www.itu.int/md/T22-WTSA.24-C-0043/en" TargetMode="External"/><Relationship Id="rId17" Type="http://schemas.openxmlformats.org/officeDocument/2006/relationships/hyperlink" Target="https://www.itu.int/md/S25-CL-C-0013/en"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wtsa/2024/related-events/" TargetMode="External"/><Relationship Id="rId20" Type="http://schemas.openxmlformats.org/officeDocument/2006/relationships/hyperlink" Target="https://www.itu.int/en/ITU-T/NoW/events/20241017/Pages/default.aspx" TargetMode="External"/><Relationship Id="rId1" Type="http://schemas.openxmlformats.org/officeDocument/2006/relationships/styles" Target="styles.xml"/><Relationship Id="rId6" Type="http://schemas.openxmlformats.org/officeDocument/2006/relationships/hyperlink" Target="https://www.itu.int/md/S25-CL-C-0013/en" TargetMode="External"/><Relationship Id="rId11" Type="http://schemas.openxmlformats.org/officeDocument/2006/relationships/hyperlink" Target="https://gss.itu.int/"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itu.int/pub/T-REG-LIV.1-2024/fr" TargetMode="External"/><Relationship Id="rId23" Type="http://schemas.openxmlformats.org/officeDocument/2006/relationships/footer" Target="footer2.xml"/><Relationship Id="rId10" Type="http://schemas.openxmlformats.org/officeDocument/2006/relationships/hyperlink" Target="https://www.itu.int/md/T22-WTSA.24-C-0119/en" TargetMode="External"/><Relationship Id="rId19" Type="http://schemas.openxmlformats.org/officeDocument/2006/relationships/hyperlink" Target="https://www.itu.int/wtsa/2024/now/" TargetMode="External"/><Relationship Id="rId4" Type="http://schemas.openxmlformats.org/officeDocument/2006/relationships/footnotes" Target="footnotes.xml"/><Relationship Id="rId9" Type="http://schemas.openxmlformats.org/officeDocument/2006/relationships/hyperlink" Target="https://gss.itu.int/" TargetMode="External"/><Relationship Id="rId14" Type="http://schemas.openxmlformats.org/officeDocument/2006/relationships/hyperlink" Target="https://www.itu.int/wtsa/2024/"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364</TotalTime>
  <Pages>5</Pages>
  <Words>1893</Words>
  <Characters>10993</Characters>
  <Application>Microsoft Office Word</Application>
  <DocSecurity>0</DocSecurity>
  <Lines>183</Lines>
  <Paragraphs>60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12842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Colloque mondial sur la normalisation (GSS-24) et sur l'Assemblée mondiale de normalisation des télécommunications (AMNT-24)</dc:title>
  <dc:subject>Conseil 2025 de l'UIT</dc:subject>
  <cp:keywords>C2025, C25, Council-25</cp:keywords>
  <dc:description/>
  <cp:lastPrinted>2000-07-18T08:55:00Z</cp:lastPrinted>
  <dcterms:created xsi:type="dcterms:W3CDTF">2025-04-28T11:51:00Z</dcterms:created>
  <dcterms:modified xsi:type="dcterms:W3CDTF">2025-05-13T15:15:00Z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