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DF2956" w14:paraId="3E1C2769" w14:textId="77777777" w:rsidTr="789901E9">
        <w:trPr>
          <w:cantSplit/>
          <w:trHeight w:val="23"/>
        </w:trPr>
        <w:tc>
          <w:tcPr>
            <w:tcW w:w="3969" w:type="dxa"/>
            <w:vMerge w:val="restart"/>
            <w:tcMar>
              <w:left w:w="0" w:type="dxa"/>
            </w:tcMar>
          </w:tcPr>
          <w:p w14:paraId="7147B863" w14:textId="090D624D" w:rsidR="00AD3606" w:rsidRPr="00DF2956" w:rsidRDefault="00AD3606" w:rsidP="00472BAD">
            <w:pPr>
              <w:tabs>
                <w:tab w:val="left" w:pos="851"/>
              </w:tabs>
              <w:spacing w:before="0" w:line="240" w:lineRule="atLeast"/>
              <w:rPr>
                <w:b/>
                <w:lang w:eastAsia="ja-JP"/>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DF2956">
              <w:rPr>
                <w:b/>
              </w:rPr>
              <w:t xml:space="preserve">Agenda item: </w:t>
            </w:r>
            <w:r w:rsidR="006A6BF5" w:rsidRPr="00DF2956">
              <w:rPr>
                <w:rFonts w:hint="eastAsia"/>
                <w:b/>
                <w:lang w:eastAsia="ja-JP"/>
              </w:rPr>
              <w:t>PL 3</w:t>
            </w:r>
          </w:p>
        </w:tc>
        <w:tc>
          <w:tcPr>
            <w:tcW w:w="5245" w:type="dxa"/>
          </w:tcPr>
          <w:p w14:paraId="6779937E" w14:textId="53C5DF85" w:rsidR="00AD3606" w:rsidRPr="00DF2956" w:rsidRDefault="00AD3606" w:rsidP="00472BAD">
            <w:pPr>
              <w:tabs>
                <w:tab w:val="left" w:pos="851"/>
              </w:tabs>
              <w:spacing w:before="0" w:line="240" w:lineRule="atLeast"/>
              <w:jc w:val="right"/>
              <w:rPr>
                <w:b/>
              </w:rPr>
            </w:pPr>
            <w:r w:rsidRPr="00DF2956">
              <w:rPr>
                <w:b/>
              </w:rPr>
              <w:t>Document C2</w:t>
            </w:r>
            <w:r w:rsidR="00BF1FDE" w:rsidRPr="00DF2956">
              <w:rPr>
                <w:b/>
              </w:rPr>
              <w:t>5</w:t>
            </w:r>
            <w:r w:rsidRPr="00DF2956">
              <w:rPr>
                <w:b/>
              </w:rPr>
              <w:t>/</w:t>
            </w:r>
            <w:r w:rsidR="006A6BF5" w:rsidRPr="00DF2956">
              <w:rPr>
                <w:rFonts w:hint="eastAsia"/>
                <w:b/>
                <w:lang w:eastAsia="ja-JP"/>
              </w:rPr>
              <w:t>24</w:t>
            </w:r>
            <w:r w:rsidRPr="00DF2956">
              <w:rPr>
                <w:b/>
              </w:rPr>
              <w:t>-E</w:t>
            </w:r>
          </w:p>
        </w:tc>
      </w:tr>
      <w:tr w:rsidR="00AD3606" w:rsidRPr="00DF2956" w14:paraId="3E3F9DA5" w14:textId="77777777" w:rsidTr="789901E9">
        <w:trPr>
          <w:cantSplit/>
        </w:trPr>
        <w:tc>
          <w:tcPr>
            <w:tcW w:w="3969" w:type="dxa"/>
            <w:vMerge/>
          </w:tcPr>
          <w:p w14:paraId="5920AA6E" w14:textId="77777777" w:rsidR="00AD3606" w:rsidRPr="00DF2956"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4E97FCAC" w:rsidR="00AD3606" w:rsidRPr="00DF2956" w:rsidRDefault="00A877CA" w:rsidP="00AD3606">
            <w:pPr>
              <w:tabs>
                <w:tab w:val="left" w:pos="851"/>
              </w:tabs>
              <w:spacing w:before="0"/>
              <w:jc w:val="right"/>
              <w:rPr>
                <w:b/>
              </w:rPr>
            </w:pPr>
            <w:r>
              <w:rPr>
                <w:b/>
              </w:rPr>
              <w:t>12 May</w:t>
            </w:r>
            <w:r w:rsidR="009E331D">
              <w:rPr>
                <w:b/>
              </w:rPr>
              <w:t xml:space="preserve"> 2025</w:t>
            </w:r>
          </w:p>
        </w:tc>
      </w:tr>
      <w:tr w:rsidR="00AD3606" w:rsidRPr="00DF2956" w14:paraId="75730376" w14:textId="77777777" w:rsidTr="789901E9">
        <w:trPr>
          <w:cantSplit/>
          <w:trHeight w:val="23"/>
        </w:trPr>
        <w:tc>
          <w:tcPr>
            <w:tcW w:w="3969" w:type="dxa"/>
            <w:vMerge/>
          </w:tcPr>
          <w:p w14:paraId="298F937E" w14:textId="77777777" w:rsidR="00AD3606" w:rsidRPr="00DF2956"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DF2956" w:rsidRDefault="00AD3606" w:rsidP="00AD3606">
            <w:pPr>
              <w:tabs>
                <w:tab w:val="left" w:pos="851"/>
              </w:tabs>
              <w:spacing w:before="0" w:line="240" w:lineRule="atLeast"/>
              <w:jc w:val="right"/>
              <w:rPr>
                <w:b/>
              </w:rPr>
            </w:pPr>
            <w:r w:rsidRPr="00DF2956">
              <w:rPr>
                <w:b/>
              </w:rPr>
              <w:t>Original: English</w:t>
            </w:r>
          </w:p>
        </w:tc>
      </w:tr>
      <w:tr w:rsidR="00472BAD" w:rsidRPr="00DF2956" w14:paraId="14DA91C4" w14:textId="77777777" w:rsidTr="789901E9">
        <w:trPr>
          <w:cantSplit/>
          <w:trHeight w:val="23"/>
        </w:trPr>
        <w:tc>
          <w:tcPr>
            <w:tcW w:w="3969" w:type="dxa"/>
          </w:tcPr>
          <w:p w14:paraId="5858B25D" w14:textId="77777777" w:rsidR="00472BAD" w:rsidRPr="00DF2956" w:rsidRDefault="00472BAD" w:rsidP="00AD3606">
            <w:pPr>
              <w:tabs>
                <w:tab w:val="left" w:pos="851"/>
              </w:tabs>
              <w:spacing w:line="240" w:lineRule="atLeast"/>
              <w:rPr>
                <w:b/>
              </w:rPr>
            </w:pPr>
          </w:p>
        </w:tc>
        <w:tc>
          <w:tcPr>
            <w:tcW w:w="5245" w:type="dxa"/>
          </w:tcPr>
          <w:p w14:paraId="5DBF7439" w14:textId="77777777" w:rsidR="00472BAD" w:rsidRPr="00DF2956" w:rsidRDefault="00472BAD" w:rsidP="00AD3606">
            <w:pPr>
              <w:tabs>
                <w:tab w:val="left" w:pos="851"/>
              </w:tabs>
              <w:spacing w:before="0" w:line="240" w:lineRule="atLeast"/>
              <w:jc w:val="right"/>
              <w:rPr>
                <w:b/>
              </w:rPr>
            </w:pPr>
          </w:p>
        </w:tc>
      </w:tr>
      <w:tr w:rsidR="00AD3606" w:rsidRPr="00DF2956" w14:paraId="2481FF59" w14:textId="77777777" w:rsidTr="789901E9">
        <w:trPr>
          <w:cantSplit/>
        </w:trPr>
        <w:tc>
          <w:tcPr>
            <w:tcW w:w="9214" w:type="dxa"/>
            <w:gridSpan w:val="2"/>
            <w:tcMar>
              <w:left w:w="0" w:type="dxa"/>
            </w:tcMar>
          </w:tcPr>
          <w:p w14:paraId="2016C4A0" w14:textId="0C348CB9" w:rsidR="00AD3606" w:rsidRPr="00DF2956" w:rsidRDefault="00AD3606" w:rsidP="000F7289">
            <w:pPr>
              <w:pStyle w:val="Source"/>
              <w:framePr w:hSpace="0" w:wrap="auto" w:vAnchor="margin" w:hAnchor="text" w:xAlign="left" w:yAlign="inline"/>
            </w:pPr>
            <w:bookmarkStart w:id="8" w:name="dsource" w:colFirst="0" w:colLast="0"/>
            <w:bookmarkEnd w:id="7"/>
            <w:r w:rsidRPr="00DF2956">
              <w:t>Report by the Secretary-General</w:t>
            </w:r>
          </w:p>
        </w:tc>
      </w:tr>
      <w:tr w:rsidR="00AD3606" w:rsidRPr="00DF2956" w14:paraId="3A759762" w14:textId="77777777" w:rsidTr="789901E9">
        <w:trPr>
          <w:cantSplit/>
        </w:trPr>
        <w:tc>
          <w:tcPr>
            <w:tcW w:w="9214" w:type="dxa"/>
            <w:gridSpan w:val="2"/>
            <w:tcMar>
              <w:left w:w="0" w:type="dxa"/>
            </w:tcMar>
          </w:tcPr>
          <w:p w14:paraId="2A2DCF47" w14:textId="3C6D8756" w:rsidR="00AD3606" w:rsidRPr="00DF2956" w:rsidRDefault="006A6BF5" w:rsidP="000F7289">
            <w:pPr>
              <w:pStyle w:val="Subtitle"/>
              <w:framePr w:hSpace="0" w:wrap="auto" w:xAlign="left" w:yAlign="inline"/>
            </w:pPr>
            <w:bookmarkStart w:id="9" w:name="_Hlk195518663"/>
            <w:bookmarkStart w:id="10" w:name="dtitle1"/>
            <w:bookmarkEnd w:id="8"/>
            <w:r>
              <w:t>REPORT ON THE GLOBAL STANDARDS SYMPOSIUM (GSS-2</w:t>
            </w:r>
            <w:r w:rsidRPr="789901E9">
              <w:rPr>
                <w:lang w:eastAsia="ja-JP"/>
              </w:rPr>
              <w:t>4</w:t>
            </w:r>
            <w:r>
              <w:t>) AND THE WORLD TELECOMMUNICATION STANDARDIZATION ASSEMBLY (WTSA-2</w:t>
            </w:r>
            <w:r w:rsidRPr="789901E9">
              <w:rPr>
                <w:lang w:eastAsia="ja-JP"/>
              </w:rPr>
              <w:t>4</w:t>
            </w:r>
            <w:r>
              <w:t>)</w:t>
            </w:r>
            <w:bookmarkEnd w:id="9"/>
          </w:p>
        </w:tc>
      </w:tr>
      <w:tr w:rsidR="00AD3606" w:rsidRPr="00DF2956" w14:paraId="72B25568" w14:textId="77777777" w:rsidTr="789901E9">
        <w:trPr>
          <w:cantSplit/>
        </w:trPr>
        <w:tc>
          <w:tcPr>
            <w:tcW w:w="9214" w:type="dxa"/>
            <w:gridSpan w:val="2"/>
            <w:tcBorders>
              <w:top w:val="single" w:sz="4" w:space="0" w:color="auto"/>
              <w:bottom w:val="single" w:sz="4" w:space="0" w:color="auto"/>
            </w:tcBorders>
            <w:tcMar>
              <w:left w:w="0" w:type="dxa"/>
            </w:tcMar>
          </w:tcPr>
          <w:p w14:paraId="4C3D541B" w14:textId="1024FD2F" w:rsidR="00AD3606" w:rsidRPr="00DF2956" w:rsidRDefault="00F16BAB" w:rsidP="00F16BAB">
            <w:pPr>
              <w:spacing w:before="160"/>
              <w:rPr>
                <w:b/>
                <w:bCs/>
                <w:sz w:val="26"/>
                <w:szCs w:val="26"/>
              </w:rPr>
            </w:pPr>
            <w:r w:rsidRPr="00DF2956">
              <w:rPr>
                <w:b/>
                <w:bCs/>
                <w:sz w:val="26"/>
                <w:szCs w:val="26"/>
              </w:rPr>
              <w:t>Purpose</w:t>
            </w:r>
          </w:p>
          <w:p w14:paraId="67D070EA" w14:textId="6BA4CB82" w:rsidR="00AD3606" w:rsidRPr="00DF2956" w:rsidRDefault="006A6BF5" w:rsidP="00F16BAB">
            <w:r w:rsidRPr="00DF2956">
              <w:rPr>
                <w:szCs w:val="24"/>
              </w:rPr>
              <w:t xml:space="preserve">This document provides a summary of </w:t>
            </w:r>
            <w:r w:rsidR="00447031">
              <w:rPr>
                <w:szCs w:val="24"/>
              </w:rPr>
              <w:t>the 2024 Global S</w:t>
            </w:r>
            <w:r w:rsidR="00731EC3">
              <w:rPr>
                <w:szCs w:val="24"/>
              </w:rPr>
              <w:t>tandards Symposium (</w:t>
            </w:r>
            <w:r w:rsidRPr="00DF2956">
              <w:rPr>
                <w:szCs w:val="24"/>
              </w:rPr>
              <w:t>GSS-2</w:t>
            </w:r>
            <w:r w:rsidR="000779B6" w:rsidRPr="00DF2956">
              <w:rPr>
                <w:szCs w:val="24"/>
              </w:rPr>
              <w:t>4</w:t>
            </w:r>
            <w:r w:rsidR="00731EC3">
              <w:rPr>
                <w:szCs w:val="24"/>
              </w:rPr>
              <w:t>)</w:t>
            </w:r>
            <w:r w:rsidRPr="00DF2956">
              <w:rPr>
                <w:szCs w:val="24"/>
              </w:rPr>
              <w:t xml:space="preserve"> and</w:t>
            </w:r>
            <w:r w:rsidR="00731EC3">
              <w:rPr>
                <w:szCs w:val="24"/>
              </w:rPr>
              <w:t xml:space="preserve"> the 2024 World Telecommunication Standardization Assembly (</w:t>
            </w:r>
            <w:proofErr w:type="spellStart"/>
            <w:r w:rsidRPr="00DF2956">
              <w:rPr>
                <w:szCs w:val="24"/>
              </w:rPr>
              <w:t>WTSA</w:t>
            </w:r>
            <w:proofErr w:type="spellEnd"/>
            <w:r w:rsidRPr="00DF2956">
              <w:rPr>
                <w:szCs w:val="24"/>
              </w:rPr>
              <w:t>-2</w:t>
            </w:r>
            <w:r w:rsidR="000779B6" w:rsidRPr="00DF2956">
              <w:rPr>
                <w:szCs w:val="24"/>
              </w:rPr>
              <w:t>4</w:t>
            </w:r>
            <w:r w:rsidR="00731EC3">
              <w:rPr>
                <w:szCs w:val="24"/>
              </w:rPr>
              <w:t>)</w:t>
            </w:r>
            <w:r w:rsidRPr="00DF2956">
              <w:rPr>
                <w:szCs w:val="24"/>
              </w:rPr>
              <w:t>.</w:t>
            </w:r>
          </w:p>
          <w:p w14:paraId="4288AA6F" w14:textId="77777777" w:rsidR="00AD3606" w:rsidRPr="00DF2956" w:rsidRDefault="00AD3606" w:rsidP="00F16BAB">
            <w:pPr>
              <w:spacing w:before="160"/>
              <w:rPr>
                <w:b/>
                <w:bCs/>
                <w:sz w:val="26"/>
                <w:szCs w:val="26"/>
              </w:rPr>
            </w:pPr>
            <w:r w:rsidRPr="00DF2956">
              <w:rPr>
                <w:b/>
                <w:bCs/>
                <w:sz w:val="26"/>
                <w:szCs w:val="26"/>
              </w:rPr>
              <w:t>Action required</w:t>
            </w:r>
            <w:r w:rsidR="00F16BAB" w:rsidRPr="00DF2956">
              <w:rPr>
                <w:b/>
                <w:bCs/>
                <w:sz w:val="26"/>
                <w:szCs w:val="26"/>
              </w:rPr>
              <w:t xml:space="preserve"> by the Council</w:t>
            </w:r>
          </w:p>
          <w:p w14:paraId="0FFF2D9B" w14:textId="396FB9C1" w:rsidR="00722551" w:rsidRPr="00DF2956" w:rsidRDefault="006A6BF5" w:rsidP="00722551">
            <w:r w:rsidRPr="00DF2956">
              <w:rPr>
                <w:szCs w:val="24"/>
              </w:rPr>
              <w:t>The Council is requested to</w:t>
            </w:r>
            <w:r w:rsidRPr="00DF2956">
              <w:rPr>
                <w:b/>
                <w:bCs/>
                <w:szCs w:val="24"/>
              </w:rPr>
              <w:t xml:space="preserve"> note</w:t>
            </w:r>
            <w:r w:rsidRPr="00DF2956">
              <w:rPr>
                <w:szCs w:val="24"/>
              </w:rPr>
              <w:t xml:space="preserve"> the report. </w:t>
            </w:r>
          </w:p>
          <w:p w14:paraId="4B855F83" w14:textId="7E0F2BB7" w:rsidR="00722551" w:rsidRPr="00DF2956" w:rsidRDefault="00722551" w:rsidP="00722551">
            <w:pPr>
              <w:spacing w:before="160"/>
              <w:rPr>
                <w:b/>
                <w:bCs/>
                <w:sz w:val="26"/>
                <w:szCs w:val="26"/>
              </w:rPr>
            </w:pPr>
            <w:r w:rsidRPr="00DF2956">
              <w:rPr>
                <w:b/>
                <w:bCs/>
                <w:sz w:val="26"/>
                <w:szCs w:val="26"/>
              </w:rPr>
              <w:t>Relevant link</w:t>
            </w:r>
            <w:r w:rsidR="004B25A1" w:rsidRPr="00DF2956">
              <w:rPr>
                <w:b/>
                <w:bCs/>
                <w:sz w:val="26"/>
                <w:szCs w:val="26"/>
              </w:rPr>
              <w:t>(s)</w:t>
            </w:r>
            <w:r w:rsidRPr="00DF2956">
              <w:rPr>
                <w:b/>
                <w:bCs/>
                <w:sz w:val="26"/>
                <w:szCs w:val="26"/>
              </w:rPr>
              <w:t xml:space="preserve"> with the Strategic Plan</w:t>
            </w:r>
          </w:p>
          <w:p w14:paraId="05AF3BC2" w14:textId="15022283" w:rsidR="00F659DE" w:rsidRPr="00DF2956" w:rsidRDefault="00F659DE" w:rsidP="00722551">
            <w:r w:rsidRPr="00DF2956">
              <w:t>Universal Connectivity</w:t>
            </w:r>
            <w:r w:rsidR="00C834C6">
              <w:t xml:space="preserve">; </w:t>
            </w:r>
            <w:r w:rsidRPr="00DF2956">
              <w:t>Sustainable Digital Transformation</w:t>
            </w:r>
          </w:p>
          <w:p w14:paraId="6A77059B" w14:textId="270D1307" w:rsidR="00722551" w:rsidRPr="00DF2956" w:rsidRDefault="00722551" w:rsidP="00722551">
            <w:pPr>
              <w:spacing w:before="160"/>
              <w:rPr>
                <w:b/>
                <w:bCs/>
                <w:sz w:val="26"/>
                <w:szCs w:val="26"/>
              </w:rPr>
            </w:pPr>
            <w:r w:rsidRPr="00DF2956">
              <w:rPr>
                <w:b/>
                <w:bCs/>
                <w:sz w:val="26"/>
                <w:szCs w:val="26"/>
              </w:rPr>
              <w:t>Financial implications</w:t>
            </w:r>
          </w:p>
          <w:p w14:paraId="731F0870" w14:textId="07312601" w:rsidR="00453079" w:rsidRPr="00DF2956" w:rsidRDefault="005B2038" w:rsidP="00F16BAB">
            <w:pPr>
              <w:spacing w:before="160"/>
            </w:pPr>
            <w:r>
              <w:t>KCHF </w:t>
            </w:r>
            <w:r w:rsidR="00C54A74">
              <w:t xml:space="preserve">1414 </w:t>
            </w:r>
            <w:r w:rsidR="008466A1">
              <w:t xml:space="preserve">for the 2025-2028 </w:t>
            </w:r>
            <w:r w:rsidR="5DFB4653">
              <w:t xml:space="preserve">period </w:t>
            </w:r>
            <w:r w:rsidR="008466A1">
              <w:t xml:space="preserve">(see </w:t>
            </w:r>
            <w:r w:rsidR="00B3647C">
              <w:t xml:space="preserve">section </w:t>
            </w:r>
            <w:r w:rsidR="000779B6">
              <w:t xml:space="preserve">2.2 </w:t>
            </w:r>
            <w:r w:rsidR="008466A1">
              <w:t xml:space="preserve">of the </w:t>
            </w:r>
            <w:r w:rsidR="00B3647C">
              <w:t>Report</w:t>
            </w:r>
            <w:r w:rsidR="00BD7B7F">
              <w:t xml:space="preserve">, and </w:t>
            </w:r>
            <w:r w:rsidR="00B3647C">
              <w:t xml:space="preserve">Documents </w:t>
            </w:r>
            <w:hyperlink r:id="rId11" w:history="1">
              <w:proofErr w:type="spellStart"/>
              <w:r w:rsidR="00802E11" w:rsidRPr="00BD7B7F">
                <w:rPr>
                  <w:rStyle w:val="Hyperlink"/>
                </w:rPr>
                <w:t>C25</w:t>
              </w:r>
              <w:proofErr w:type="spellEnd"/>
              <w:r w:rsidR="00802E11" w:rsidRPr="00BD7B7F">
                <w:rPr>
                  <w:rStyle w:val="Hyperlink"/>
                </w:rPr>
                <w:t>/13</w:t>
              </w:r>
            </w:hyperlink>
            <w:r w:rsidR="00BD7B7F">
              <w:t xml:space="preserve"> and </w:t>
            </w:r>
            <w:hyperlink r:id="rId12" w:history="1">
              <w:proofErr w:type="spellStart"/>
              <w:r w:rsidR="00BD7B7F" w:rsidRPr="00BD7B7F">
                <w:rPr>
                  <w:rStyle w:val="Hyperlink"/>
                </w:rPr>
                <w:t>C25</w:t>
              </w:r>
              <w:proofErr w:type="spellEnd"/>
              <w:r w:rsidR="00BD7B7F" w:rsidRPr="00BD7B7F">
                <w:rPr>
                  <w:rStyle w:val="Hyperlink"/>
                </w:rPr>
                <w:t>/43</w:t>
              </w:r>
            </w:hyperlink>
            <w:r w:rsidR="008466A1">
              <w:t xml:space="preserve">) </w:t>
            </w:r>
          </w:p>
          <w:p w14:paraId="08939791" w14:textId="77777777" w:rsidR="00C0458D" w:rsidRPr="00DF2956" w:rsidRDefault="00C0458D">
            <w:r w:rsidRPr="00DF2956">
              <w:t>_______________</w:t>
            </w:r>
          </w:p>
          <w:p w14:paraId="212A584A" w14:textId="77777777" w:rsidR="00AD3606" w:rsidRPr="00DF2956" w:rsidRDefault="00AD3606" w:rsidP="00F16BAB">
            <w:pPr>
              <w:spacing w:before="160"/>
              <w:rPr>
                <w:b/>
                <w:bCs/>
                <w:sz w:val="26"/>
                <w:szCs w:val="26"/>
              </w:rPr>
            </w:pPr>
            <w:r w:rsidRPr="00DF2956">
              <w:rPr>
                <w:b/>
                <w:bCs/>
                <w:sz w:val="26"/>
                <w:szCs w:val="26"/>
              </w:rPr>
              <w:t>References</w:t>
            </w:r>
          </w:p>
          <w:p w14:paraId="7089D4B7" w14:textId="6CF01D05" w:rsidR="006A6BF5" w:rsidRPr="005B2038" w:rsidRDefault="006A6BF5" w:rsidP="00571799">
            <w:pPr>
              <w:spacing w:after="160"/>
              <w:rPr>
                <w:i/>
                <w:iCs/>
                <w:sz w:val="22"/>
                <w:szCs w:val="22"/>
                <w:lang w:eastAsia="ja-JP"/>
              </w:rPr>
            </w:pPr>
            <w:hyperlink r:id="rId13" w:history="1">
              <w:r w:rsidRPr="005B2038">
                <w:rPr>
                  <w:rStyle w:val="Hyperlink"/>
                  <w:i/>
                  <w:iCs/>
                  <w:sz w:val="22"/>
                  <w:szCs w:val="22"/>
                </w:rPr>
                <w:t>https://</w:t>
              </w:r>
              <w:proofErr w:type="spellStart"/>
              <w:r w:rsidRPr="005B2038">
                <w:rPr>
                  <w:rStyle w:val="Hyperlink"/>
                  <w:i/>
                  <w:iCs/>
                  <w:sz w:val="22"/>
                  <w:szCs w:val="22"/>
                </w:rPr>
                <w:t>ww</w:t>
              </w:r>
              <w:r w:rsidRPr="005B2038">
                <w:rPr>
                  <w:rStyle w:val="Hyperlink"/>
                  <w:i/>
                  <w:iCs/>
                  <w:sz w:val="22"/>
                  <w:szCs w:val="22"/>
                </w:rPr>
                <w:t>w</w:t>
              </w:r>
              <w:r w:rsidRPr="005B2038">
                <w:rPr>
                  <w:rStyle w:val="Hyperlink"/>
                  <w:i/>
                  <w:iCs/>
                  <w:sz w:val="22"/>
                  <w:szCs w:val="22"/>
                </w:rPr>
                <w:t>.itu.int</w:t>
              </w:r>
              <w:proofErr w:type="spellEnd"/>
              <w:r w:rsidRPr="005B2038">
                <w:rPr>
                  <w:rStyle w:val="Hyperlink"/>
                  <w:i/>
                  <w:iCs/>
                  <w:sz w:val="22"/>
                  <w:szCs w:val="22"/>
                </w:rPr>
                <w:t>/</w:t>
              </w:r>
              <w:proofErr w:type="spellStart"/>
              <w:r w:rsidRPr="005B2038">
                <w:rPr>
                  <w:rStyle w:val="Hyperlink"/>
                  <w:i/>
                  <w:iCs/>
                  <w:sz w:val="22"/>
                  <w:szCs w:val="22"/>
                </w:rPr>
                <w:t>wtsa</w:t>
              </w:r>
              <w:proofErr w:type="spellEnd"/>
              <w:r w:rsidRPr="005B2038">
                <w:rPr>
                  <w:rStyle w:val="Hyperlink"/>
                  <w:i/>
                  <w:iCs/>
                  <w:sz w:val="22"/>
                  <w:szCs w:val="22"/>
                </w:rPr>
                <w:t>/2024/</w:t>
              </w:r>
            </w:hyperlink>
            <w:r w:rsidR="00571799" w:rsidRPr="005B2038">
              <w:rPr>
                <w:i/>
                <w:iCs/>
                <w:sz w:val="22"/>
                <w:szCs w:val="22"/>
                <w:lang w:eastAsia="ja-JP"/>
              </w:rPr>
              <w:t xml:space="preserve">; </w:t>
            </w:r>
            <w:hyperlink r:id="rId14" w:history="1">
              <w:r w:rsidRPr="005B2038">
                <w:rPr>
                  <w:rStyle w:val="Hyperlink"/>
                  <w:i/>
                  <w:iCs/>
                  <w:sz w:val="22"/>
                  <w:szCs w:val="22"/>
                  <w:lang w:eastAsia="ja-JP"/>
                </w:rPr>
                <w:t>https://</w:t>
              </w:r>
              <w:proofErr w:type="spellStart"/>
              <w:r w:rsidRPr="005B2038">
                <w:rPr>
                  <w:rStyle w:val="Hyperlink"/>
                  <w:i/>
                  <w:iCs/>
                  <w:sz w:val="22"/>
                  <w:szCs w:val="22"/>
                  <w:lang w:eastAsia="ja-JP"/>
                </w:rPr>
                <w:t>gss.i</w:t>
              </w:r>
              <w:r w:rsidRPr="005B2038">
                <w:rPr>
                  <w:rStyle w:val="Hyperlink"/>
                  <w:i/>
                  <w:iCs/>
                  <w:sz w:val="22"/>
                  <w:szCs w:val="22"/>
                  <w:lang w:eastAsia="ja-JP"/>
                </w:rPr>
                <w:t>t</w:t>
              </w:r>
              <w:r w:rsidRPr="005B2038">
                <w:rPr>
                  <w:rStyle w:val="Hyperlink"/>
                  <w:i/>
                  <w:iCs/>
                  <w:sz w:val="22"/>
                  <w:szCs w:val="22"/>
                  <w:lang w:eastAsia="ja-JP"/>
                </w:rPr>
                <w:t>u.int</w:t>
              </w:r>
              <w:proofErr w:type="spellEnd"/>
              <w:r w:rsidRPr="005B2038">
                <w:rPr>
                  <w:rStyle w:val="Hyperlink"/>
                  <w:i/>
                  <w:iCs/>
                  <w:sz w:val="22"/>
                  <w:szCs w:val="22"/>
                  <w:lang w:eastAsia="ja-JP"/>
                </w:rPr>
                <w:t>/</w:t>
              </w:r>
            </w:hyperlink>
            <w:r w:rsidR="00571799" w:rsidRPr="005B2038">
              <w:rPr>
                <w:i/>
                <w:iCs/>
                <w:sz w:val="22"/>
                <w:szCs w:val="22"/>
                <w:lang w:eastAsia="ja-JP"/>
              </w:rPr>
              <w:t xml:space="preserve">; </w:t>
            </w:r>
            <w:r w:rsidRPr="00B3647C">
              <w:rPr>
                <w:i/>
                <w:iCs/>
                <w:sz w:val="22"/>
                <w:szCs w:val="22"/>
                <w:lang w:eastAsia="ja-JP"/>
              </w:rPr>
              <w:t>Report of the Budget Control Committe</w:t>
            </w:r>
            <w:r w:rsidR="000779B6" w:rsidRPr="00B3647C">
              <w:rPr>
                <w:i/>
                <w:iCs/>
                <w:sz w:val="22"/>
                <w:szCs w:val="22"/>
                <w:lang w:eastAsia="ja-JP"/>
              </w:rPr>
              <w:t xml:space="preserve">e </w:t>
            </w:r>
            <w:r w:rsidR="005855EE">
              <w:rPr>
                <w:i/>
                <w:iCs/>
                <w:sz w:val="22"/>
                <w:szCs w:val="22"/>
                <w:lang w:eastAsia="ja-JP"/>
              </w:rPr>
              <w:br/>
            </w:r>
            <w:r w:rsidR="000779B6" w:rsidRPr="00B3647C">
              <w:rPr>
                <w:i/>
                <w:iCs/>
                <w:sz w:val="22"/>
                <w:szCs w:val="22"/>
                <w:lang w:eastAsia="ja-JP"/>
              </w:rPr>
              <w:t>(</w:t>
            </w:r>
            <w:proofErr w:type="spellStart"/>
            <w:r w:rsidR="00B3647C">
              <w:rPr>
                <w:i/>
                <w:iCs/>
                <w:sz w:val="22"/>
                <w:szCs w:val="22"/>
                <w:lang w:eastAsia="ja-JP"/>
              </w:rPr>
              <w:fldChar w:fldCharType="begin"/>
            </w:r>
            <w:r w:rsidR="00B3647C">
              <w:rPr>
                <w:i/>
                <w:iCs/>
                <w:sz w:val="22"/>
                <w:szCs w:val="22"/>
                <w:lang w:eastAsia="ja-JP"/>
              </w:rPr>
              <w:instrText>HYPERLINK "https://www.itu.int/md/meetingdoc.asp?lang=en&amp;parent=T22-WTSA.24-C-0119"</w:instrText>
            </w:r>
            <w:r w:rsidR="00B3647C">
              <w:rPr>
                <w:i/>
                <w:iCs/>
                <w:sz w:val="22"/>
                <w:szCs w:val="22"/>
                <w:lang w:eastAsia="ja-JP"/>
              </w:rPr>
            </w:r>
            <w:r w:rsidR="00B3647C">
              <w:rPr>
                <w:i/>
                <w:iCs/>
                <w:sz w:val="22"/>
                <w:szCs w:val="22"/>
                <w:lang w:eastAsia="ja-JP"/>
              </w:rPr>
              <w:fldChar w:fldCharType="separate"/>
            </w:r>
            <w:r w:rsidR="000779B6" w:rsidRPr="00B3647C">
              <w:rPr>
                <w:rStyle w:val="Hyperlink"/>
                <w:i/>
                <w:iCs/>
                <w:sz w:val="22"/>
                <w:szCs w:val="22"/>
                <w:lang w:eastAsia="ja-JP"/>
              </w:rPr>
              <w:t>WTSA</w:t>
            </w:r>
            <w:proofErr w:type="spellEnd"/>
            <w:r w:rsidR="000779B6" w:rsidRPr="00B3647C">
              <w:rPr>
                <w:rStyle w:val="Hyperlink"/>
                <w:i/>
                <w:iCs/>
                <w:sz w:val="22"/>
                <w:szCs w:val="22"/>
                <w:lang w:eastAsia="ja-JP"/>
              </w:rPr>
              <w:t xml:space="preserve"> D</w:t>
            </w:r>
            <w:r w:rsidR="000779B6" w:rsidRPr="00B3647C">
              <w:rPr>
                <w:rStyle w:val="Hyperlink"/>
                <w:i/>
                <w:iCs/>
                <w:sz w:val="22"/>
                <w:szCs w:val="22"/>
                <w:lang w:eastAsia="ja-JP"/>
              </w:rPr>
              <w:t>o</w:t>
            </w:r>
            <w:r w:rsidR="000779B6" w:rsidRPr="00B3647C">
              <w:rPr>
                <w:rStyle w:val="Hyperlink"/>
                <w:i/>
                <w:iCs/>
                <w:sz w:val="22"/>
                <w:szCs w:val="22"/>
                <w:lang w:eastAsia="ja-JP"/>
              </w:rPr>
              <w:t>c. 119</w:t>
            </w:r>
            <w:r w:rsidR="00B3647C">
              <w:rPr>
                <w:i/>
                <w:iCs/>
                <w:sz w:val="22"/>
                <w:szCs w:val="22"/>
                <w:lang w:eastAsia="ja-JP"/>
              </w:rPr>
              <w:fldChar w:fldCharType="end"/>
            </w:r>
            <w:r w:rsidR="000779B6" w:rsidRPr="00B3647C">
              <w:rPr>
                <w:i/>
                <w:iCs/>
                <w:sz w:val="22"/>
                <w:szCs w:val="22"/>
                <w:lang w:eastAsia="ja-JP"/>
              </w:rPr>
              <w:t>)</w:t>
            </w:r>
          </w:p>
        </w:tc>
      </w:tr>
    </w:tbl>
    <w:p w14:paraId="3E836A65" w14:textId="77777777" w:rsidR="00E227F3" w:rsidRPr="00DF2956" w:rsidRDefault="00E227F3">
      <w:pPr>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DF2956" w:rsidRDefault="0090147A">
      <w:pPr>
        <w:overflowPunct/>
        <w:autoSpaceDE/>
        <w:autoSpaceDN/>
        <w:adjustRightInd/>
        <w:spacing w:before="0"/>
        <w:textAlignment w:val="auto"/>
        <w:rPr>
          <w:b/>
        </w:rPr>
      </w:pPr>
      <w:r w:rsidRPr="00DF2956">
        <w:br w:type="page"/>
      </w:r>
    </w:p>
    <w:bookmarkEnd w:id="5"/>
    <w:bookmarkEnd w:id="11"/>
    <w:p w14:paraId="45E5664A" w14:textId="17716482" w:rsidR="006A6BF5" w:rsidRPr="00DF2956" w:rsidRDefault="000A2368" w:rsidP="00B66ED6">
      <w:pPr>
        <w:pStyle w:val="Heading1"/>
      </w:pPr>
      <w:r w:rsidRPr="00DF2956">
        <w:lastRenderedPageBreak/>
        <w:t>1</w:t>
      </w:r>
      <w:r w:rsidRPr="00DF2956">
        <w:tab/>
      </w:r>
      <w:r w:rsidR="006A6BF5" w:rsidRPr="00DF2956">
        <w:t>Global Standards Symposium (GSS-2</w:t>
      </w:r>
      <w:r w:rsidRPr="00DF2956">
        <w:t>4</w:t>
      </w:r>
      <w:r w:rsidR="006A6BF5" w:rsidRPr="00DF2956">
        <w:t>)</w:t>
      </w:r>
    </w:p>
    <w:p w14:paraId="485DE459" w14:textId="71B3DA74" w:rsidR="000A2368" w:rsidRPr="00DF2956" w:rsidRDefault="199336F2" w:rsidP="00DC73BE">
      <w:pPr>
        <w:jc w:val="both"/>
      </w:pPr>
      <w:r w:rsidRPr="00DF2956">
        <w:t>1.1</w:t>
      </w:r>
      <w:r w:rsidR="000A2368" w:rsidRPr="00DF2956">
        <w:tab/>
      </w:r>
      <w:r w:rsidRPr="00DF2956">
        <w:t xml:space="preserve">The </w:t>
      </w:r>
      <w:hyperlink r:id="rId15" w:history="1">
        <w:r w:rsidRPr="00B3647C">
          <w:rPr>
            <w:rStyle w:val="Hyperlink"/>
          </w:rPr>
          <w:t>Fifth Global Stan</w:t>
        </w:r>
        <w:r w:rsidRPr="00B3647C">
          <w:rPr>
            <w:rStyle w:val="Hyperlink"/>
          </w:rPr>
          <w:t>d</w:t>
        </w:r>
        <w:r w:rsidRPr="00B3647C">
          <w:rPr>
            <w:rStyle w:val="Hyperlink"/>
          </w:rPr>
          <w:t>ards Symposium (</w:t>
        </w:r>
        <w:proofErr w:type="spellStart"/>
        <w:r w:rsidRPr="00B3647C">
          <w:rPr>
            <w:rStyle w:val="Hyperlink"/>
          </w:rPr>
          <w:t>GSS</w:t>
        </w:r>
        <w:proofErr w:type="spellEnd"/>
        <w:r w:rsidRPr="00B3647C">
          <w:rPr>
            <w:rStyle w:val="Hyperlink"/>
          </w:rPr>
          <w:t>-24)</w:t>
        </w:r>
      </w:hyperlink>
      <w:r w:rsidR="001E4662">
        <w:t xml:space="preserve">, </w:t>
      </w:r>
      <w:r w:rsidRPr="00DF2956">
        <w:t>held on 14 October 2024, in New</w:t>
      </w:r>
      <w:r w:rsidR="00571799">
        <w:t> </w:t>
      </w:r>
      <w:r w:rsidRPr="00DF2956">
        <w:t>Delhi</w:t>
      </w:r>
      <w:r w:rsidR="00571799">
        <w:t>,</w:t>
      </w:r>
      <w:r w:rsidRPr="00DF2956">
        <w:t xml:space="preserve"> India, served as a pivotal forum for global leaders in standardization, policy-making, and industry. The symposium centred on </w:t>
      </w:r>
      <w:r w:rsidR="00751800">
        <w:t>“</w:t>
      </w:r>
      <w:r w:rsidRPr="00DF2956">
        <w:t>Charting the Next Digital Wave: Emerging Technologies, Innovation, and International Standards,</w:t>
      </w:r>
      <w:r w:rsidR="00751800">
        <w:t>”</w:t>
      </w:r>
      <w:r w:rsidRPr="00DF2956">
        <w:t xml:space="preserve"> emphasizing the critical role of technical standards in fostering innovations across domains such as artificial intelligence (AI), smart cities, virtual worlds, and digital infrastructure. </w:t>
      </w:r>
    </w:p>
    <w:p w14:paraId="0CE3E81B" w14:textId="6AF11761" w:rsidR="199336F2" w:rsidRPr="00DF2956" w:rsidRDefault="199336F2" w:rsidP="00020FBF">
      <w:pPr>
        <w:tabs>
          <w:tab w:val="left" w:pos="851"/>
        </w:tabs>
        <w:jc w:val="both"/>
        <w:rPr>
          <w:rFonts w:eastAsia="Calibri" w:cs="Calibri"/>
          <w:szCs w:val="24"/>
        </w:rPr>
      </w:pPr>
      <w:r w:rsidRPr="00DF2956">
        <w:rPr>
          <w:rFonts w:eastAsia="Calibri" w:cs="Calibri"/>
          <w:szCs w:val="24"/>
        </w:rPr>
        <w:t>1.2</w:t>
      </w:r>
      <w:r w:rsidRPr="00DF2956">
        <w:tab/>
      </w:r>
      <w:r w:rsidRPr="00DF2956">
        <w:rPr>
          <w:rFonts w:eastAsia="Calibri" w:cs="Calibri"/>
          <w:szCs w:val="24"/>
        </w:rPr>
        <w:t xml:space="preserve">GSS-24 concluded with an </w:t>
      </w:r>
      <w:hyperlink r:id="rId16" w:history="1">
        <w:r w:rsidRPr="00B3647C">
          <w:rPr>
            <w:rStyle w:val="Hyperlink"/>
          </w:rPr>
          <w:t>outcome docu</w:t>
        </w:r>
        <w:r w:rsidRPr="00B3647C">
          <w:rPr>
            <w:rStyle w:val="Hyperlink"/>
          </w:rPr>
          <w:t>m</w:t>
        </w:r>
        <w:r w:rsidRPr="00B3647C">
          <w:rPr>
            <w:rStyle w:val="Hyperlink"/>
          </w:rPr>
          <w:t>ent</w:t>
        </w:r>
      </w:hyperlink>
      <w:r w:rsidRPr="00DF2956">
        <w:rPr>
          <w:rFonts w:eastAsia="Calibri" w:cs="Calibri"/>
          <w:szCs w:val="24"/>
        </w:rPr>
        <w:t>, which was adopted by WTSA-24, and which has shown the importance of standards to drive technological innovation, promote sustainability, and accelerate global digital transformation.</w:t>
      </w:r>
    </w:p>
    <w:p w14:paraId="403525F0" w14:textId="0EB80798" w:rsidR="199336F2" w:rsidRPr="00B66ED6" w:rsidRDefault="199336F2" w:rsidP="00020FBF">
      <w:pPr>
        <w:tabs>
          <w:tab w:val="left" w:pos="851"/>
        </w:tabs>
        <w:jc w:val="both"/>
        <w:rPr>
          <w:rFonts w:eastAsia="Calibri" w:cs="Calibri"/>
          <w:spacing w:val="-2"/>
          <w:szCs w:val="24"/>
        </w:rPr>
      </w:pPr>
      <w:r w:rsidRPr="00B66ED6">
        <w:rPr>
          <w:rFonts w:eastAsia="Calibri" w:cs="Calibri"/>
          <w:spacing w:val="-2"/>
          <w:szCs w:val="24"/>
        </w:rPr>
        <w:t>1.3</w:t>
      </w:r>
      <w:r w:rsidRPr="00B66ED6">
        <w:rPr>
          <w:spacing w:val="-2"/>
        </w:rPr>
        <w:tab/>
      </w:r>
      <w:r w:rsidRPr="00B66ED6">
        <w:rPr>
          <w:rFonts w:eastAsia="Calibri" w:cs="Calibri"/>
          <w:spacing w:val="-2"/>
          <w:szCs w:val="24"/>
        </w:rPr>
        <w:t>GSS-24 witnessed unprecedented engagement, with over 2</w:t>
      </w:r>
      <w:r w:rsidR="00DC73BE" w:rsidRPr="00B66ED6">
        <w:rPr>
          <w:rFonts w:eastAsia="Calibri" w:cs="Calibri"/>
          <w:spacing w:val="-2"/>
          <w:szCs w:val="24"/>
        </w:rPr>
        <w:t> </w:t>
      </w:r>
      <w:r w:rsidRPr="00B66ED6">
        <w:rPr>
          <w:rFonts w:eastAsia="Calibri" w:cs="Calibri"/>
          <w:spacing w:val="-2"/>
          <w:szCs w:val="24"/>
        </w:rPr>
        <w:t>600 participants from various sectors. The event brought together more than 1</w:t>
      </w:r>
      <w:r w:rsidR="00DC73BE" w:rsidRPr="00B66ED6">
        <w:rPr>
          <w:rFonts w:eastAsia="Calibri" w:cs="Calibri"/>
          <w:spacing w:val="-2"/>
          <w:szCs w:val="24"/>
        </w:rPr>
        <w:t> </w:t>
      </w:r>
      <w:r w:rsidRPr="00B66ED6">
        <w:rPr>
          <w:rFonts w:eastAsia="Calibri" w:cs="Calibri"/>
          <w:spacing w:val="-2"/>
          <w:szCs w:val="24"/>
        </w:rPr>
        <w:t>800 in-person attendees and 800</w:t>
      </w:r>
      <w:r w:rsidR="00DC73BE" w:rsidRPr="00B66ED6">
        <w:rPr>
          <w:rFonts w:eastAsia="Calibri" w:cs="Calibri"/>
          <w:spacing w:val="-2"/>
          <w:szCs w:val="24"/>
        </w:rPr>
        <w:t> </w:t>
      </w:r>
      <w:r w:rsidRPr="00B66ED6">
        <w:rPr>
          <w:rFonts w:eastAsia="Calibri" w:cs="Calibri"/>
          <w:spacing w:val="-2"/>
          <w:szCs w:val="24"/>
        </w:rPr>
        <w:t>remote participants, facilitating a dynamic exchange of ideas. Among the distinguished attendees were over 70 industry leaders serving as speakers, alongside more than 20 heads of regulatory authorities and an equal number of ministers and deputy ministers. Additionally, the symposium welcomed over 10 representatives from research and standardization organizations, reflecting a broad and inclusive dialogue on international standards and emerging technologies.</w:t>
      </w:r>
    </w:p>
    <w:p w14:paraId="55AFE5F8" w14:textId="1BD09039" w:rsidR="199336F2" w:rsidRPr="00DF2956" w:rsidRDefault="199336F2" w:rsidP="00020FBF">
      <w:pPr>
        <w:tabs>
          <w:tab w:val="left" w:pos="851"/>
        </w:tabs>
        <w:jc w:val="both"/>
        <w:rPr>
          <w:rFonts w:eastAsia="Calibri" w:cs="Calibri"/>
          <w:szCs w:val="24"/>
        </w:rPr>
      </w:pPr>
      <w:r w:rsidRPr="00DF2956">
        <w:rPr>
          <w:rFonts w:eastAsia="Calibri" w:cs="Calibri"/>
          <w:szCs w:val="24"/>
        </w:rPr>
        <w:t>1.4</w:t>
      </w:r>
      <w:r w:rsidRPr="00DF2956">
        <w:tab/>
      </w:r>
      <w:r w:rsidRPr="00DF2956">
        <w:rPr>
          <w:rFonts w:eastAsia="Calibri" w:cs="Calibri"/>
          <w:szCs w:val="24"/>
        </w:rPr>
        <w:t>The High-</w:t>
      </w:r>
      <w:r w:rsidR="00CC7EC3">
        <w:rPr>
          <w:rFonts w:eastAsia="Calibri" w:cs="Calibri"/>
          <w:szCs w:val="24"/>
        </w:rPr>
        <w:t>L</w:t>
      </w:r>
      <w:r w:rsidRPr="00DF2956">
        <w:rPr>
          <w:rFonts w:eastAsia="Calibri" w:cs="Calibri"/>
          <w:szCs w:val="24"/>
        </w:rPr>
        <w:t xml:space="preserve">evel Segment on Catalysing Change: Industry and Ministerial Leaders Crafting the Future of Innovation featured communications ministers, industry leaders, and technology experts. This High-Level Segment explored the role of international standards in driving innovation and the adoption of emerging digital technologies such as </w:t>
      </w:r>
      <w:r w:rsidR="0B4D9354" w:rsidRPr="00DF2956">
        <w:rPr>
          <w:rFonts w:eastAsia="Calibri" w:cs="Calibri"/>
          <w:szCs w:val="24"/>
        </w:rPr>
        <w:t>a</w:t>
      </w:r>
      <w:r w:rsidRPr="00DF2956">
        <w:rPr>
          <w:rFonts w:eastAsia="Calibri" w:cs="Calibri"/>
          <w:szCs w:val="24"/>
        </w:rPr>
        <w:t xml:space="preserve">rtificial </w:t>
      </w:r>
      <w:r w:rsidR="10E9B8AF" w:rsidRPr="00DF2956">
        <w:rPr>
          <w:rFonts w:eastAsia="Calibri" w:cs="Calibri"/>
          <w:szCs w:val="24"/>
        </w:rPr>
        <w:t>i</w:t>
      </w:r>
      <w:r w:rsidRPr="00DF2956">
        <w:rPr>
          <w:rFonts w:eastAsia="Calibri" w:cs="Calibri"/>
          <w:szCs w:val="24"/>
        </w:rPr>
        <w:t xml:space="preserve">ntelligence (AI) and the </w:t>
      </w:r>
      <w:r w:rsidR="468C2891" w:rsidRPr="00DF2956">
        <w:rPr>
          <w:rFonts w:eastAsia="Calibri" w:cs="Calibri"/>
          <w:szCs w:val="24"/>
        </w:rPr>
        <w:t>m</w:t>
      </w:r>
      <w:r w:rsidRPr="00DF2956">
        <w:rPr>
          <w:rFonts w:eastAsia="Calibri" w:cs="Calibri"/>
          <w:szCs w:val="24"/>
        </w:rPr>
        <w:t>etaverse. It focused on fostering a unique dialogue on innovative ecosystems and the importance of international cooperation to harness these technologies for digital transformation</w:t>
      </w:r>
      <w:r w:rsidR="634C396A" w:rsidRPr="00DF2956">
        <w:rPr>
          <w:rFonts w:eastAsia="Calibri" w:cs="Calibri"/>
          <w:szCs w:val="24"/>
        </w:rPr>
        <w:t xml:space="preserve"> and to implement the </w:t>
      </w:r>
      <w:r w:rsidRPr="00DF2956">
        <w:rPr>
          <w:rFonts w:eastAsia="Calibri" w:cs="Calibri"/>
          <w:szCs w:val="24"/>
        </w:rPr>
        <w:t>Global Digital Compacts.</w:t>
      </w:r>
    </w:p>
    <w:p w14:paraId="20DC306E" w14:textId="72D4D99A" w:rsidR="199336F2" w:rsidRPr="00DF2956" w:rsidRDefault="199336F2" w:rsidP="00020FBF">
      <w:pPr>
        <w:tabs>
          <w:tab w:val="left" w:pos="851"/>
        </w:tabs>
        <w:jc w:val="both"/>
        <w:rPr>
          <w:rFonts w:eastAsia="Calibri" w:cs="Calibri"/>
          <w:szCs w:val="24"/>
        </w:rPr>
      </w:pPr>
      <w:r w:rsidRPr="00DF2956">
        <w:rPr>
          <w:rFonts w:eastAsia="Calibri" w:cs="Calibri"/>
          <w:szCs w:val="24"/>
        </w:rPr>
        <w:t>1.5</w:t>
      </w:r>
      <w:r w:rsidRPr="00DF2956">
        <w:tab/>
      </w:r>
      <w:r w:rsidRPr="00DF2956">
        <w:rPr>
          <w:rFonts w:eastAsia="Calibri" w:cs="Calibri"/>
          <w:szCs w:val="24"/>
        </w:rPr>
        <w:t xml:space="preserve">On the occasion of World Standards Day under the theme </w:t>
      </w:r>
      <w:r w:rsidR="00751800">
        <w:rPr>
          <w:rFonts w:eastAsia="Calibri" w:cs="Calibri"/>
          <w:szCs w:val="24"/>
        </w:rPr>
        <w:t>“</w:t>
      </w:r>
      <w:r w:rsidRPr="00DF2956">
        <w:rPr>
          <w:rFonts w:eastAsia="Calibri" w:cs="Calibri"/>
          <w:szCs w:val="24"/>
        </w:rPr>
        <w:t>Achieving industry, innovation and infrastructure through AI</w:t>
      </w:r>
      <w:r w:rsidR="00751800">
        <w:rPr>
          <w:rFonts w:eastAsia="Calibri" w:cs="Calibri"/>
          <w:szCs w:val="24"/>
        </w:rPr>
        <w:t>”</w:t>
      </w:r>
      <w:r w:rsidRPr="00DF2956">
        <w:rPr>
          <w:rFonts w:eastAsia="Calibri" w:cs="Calibri"/>
          <w:szCs w:val="24"/>
        </w:rPr>
        <w:t>, leaders from ITU, the International Electrotechnical Commission (IEC), and the International Organization for Standardization (ISO) underscored the vital role of international standards in shaping emerging technologies, driving innovation, and guiding the next wave of digital transformation.</w:t>
      </w:r>
    </w:p>
    <w:p w14:paraId="6424517B" w14:textId="0CFB26EC" w:rsidR="199336F2" w:rsidRPr="00DF2956" w:rsidRDefault="199336F2" w:rsidP="00020FBF">
      <w:pPr>
        <w:tabs>
          <w:tab w:val="left" w:pos="851"/>
        </w:tabs>
        <w:jc w:val="both"/>
        <w:rPr>
          <w:rFonts w:eastAsia="Calibri" w:cs="Calibri"/>
          <w:szCs w:val="24"/>
        </w:rPr>
      </w:pPr>
      <w:r w:rsidRPr="00DF2956">
        <w:rPr>
          <w:rFonts w:eastAsia="Calibri" w:cs="Calibri"/>
          <w:szCs w:val="24"/>
        </w:rPr>
        <w:t>1.6</w:t>
      </w:r>
      <w:r w:rsidRPr="00DF2956">
        <w:tab/>
      </w:r>
      <w:r w:rsidRPr="00DF2956">
        <w:rPr>
          <w:rFonts w:eastAsia="Calibri" w:cs="Calibri"/>
          <w:szCs w:val="24"/>
        </w:rPr>
        <w:t>Launched during GSS-24, the International AI Standards Summit convened leading standardization organizations and global digital leaders to discuss the frameworks necessary for responsible AI development</w:t>
      </w:r>
      <w:r w:rsidR="4320F124" w:rsidRPr="00DF2956">
        <w:rPr>
          <w:rFonts w:eastAsia="Calibri" w:cs="Calibri"/>
          <w:szCs w:val="24"/>
        </w:rPr>
        <w:t xml:space="preserve"> and</w:t>
      </w:r>
      <w:r w:rsidRPr="00DF2956">
        <w:rPr>
          <w:rFonts w:eastAsia="Calibri" w:cs="Calibri"/>
          <w:szCs w:val="24"/>
        </w:rPr>
        <w:t xml:space="preserve"> featured</w:t>
      </w:r>
      <w:r w:rsidR="523C122A" w:rsidRPr="00DF2956">
        <w:rPr>
          <w:rFonts w:eastAsia="Calibri" w:cs="Calibri"/>
          <w:szCs w:val="24"/>
        </w:rPr>
        <w:t xml:space="preserve"> a keynote speech from Amandeep Singh Gill, Under-Secretary-General and the United Nations Secretary-General</w:t>
      </w:r>
      <w:r w:rsidR="00751800">
        <w:rPr>
          <w:rFonts w:eastAsia="Calibri" w:cs="Calibri"/>
          <w:szCs w:val="24"/>
        </w:rPr>
        <w:t>’</w:t>
      </w:r>
      <w:r w:rsidR="523C122A" w:rsidRPr="00DF2956">
        <w:rPr>
          <w:rFonts w:eastAsia="Calibri" w:cs="Calibri"/>
          <w:szCs w:val="24"/>
        </w:rPr>
        <w:t>s Envoy on Technology, United Nations</w:t>
      </w:r>
      <w:r w:rsidRPr="00DF2956">
        <w:rPr>
          <w:rFonts w:eastAsia="Calibri" w:cs="Calibri"/>
          <w:szCs w:val="24"/>
        </w:rPr>
        <w:t>.</w:t>
      </w:r>
    </w:p>
    <w:p w14:paraId="096E4C18" w14:textId="07F2A40C" w:rsidR="199336F2" w:rsidRPr="00DF2956" w:rsidRDefault="199336F2" w:rsidP="00020FBF">
      <w:pPr>
        <w:tabs>
          <w:tab w:val="left" w:pos="851"/>
        </w:tabs>
        <w:jc w:val="both"/>
        <w:rPr>
          <w:rFonts w:eastAsia="Calibri" w:cs="Calibri"/>
          <w:szCs w:val="24"/>
        </w:rPr>
      </w:pPr>
      <w:r w:rsidRPr="00DF2956">
        <w:rPr>
          <w:rFonts w:eastAsia="Calibri" w:cs="Calibri"/>
          <w:szCs w:val="24"/>
        </w:rPr>
        <w:t>1.7</w:t>
      </w:r>
      <w:r w:rsidR="00C829DD">
        <w:rPr>
          <w:rFonts w:eastAsia="Calibri" w:cs="Calibri"/>
          <w:szCs w:val="24"/>
        </w:rPr>
        <w:tab/>
      </w:r>
      <w:r w:rsidRPr="00DF2956">
        <w:rPr>
          <w:rFonts w:eastAsia="Calibri" w:cs="Calibri"/>
          <w:szCs w:val="24"/>
        </w:rPr>
        <w:t>The symposium addressed a variety of critical topics, including AI, metaverse</w:t>
      </w:r>
      <w:r w:rsidR="00A428A2">
        <w:rPr>
          <w:rFonts w:eastAsia="Calibri" w:cs="Calibri"/>
          <w:szCs w:val="24"/>
        </w:rPr>
        <w:t>,</w:t>
      </w:r>
      <w:r w:rsidRPr="00DF2956">
        <w:rPr>
          <w:rFonts w:eastAsia="Calibri" w:cs="Calibri"/>
          <w:szCs w:val="24"/>
        </w:rPr>
        <w:t xml:space="preserve"> and emerging technologies, where discussions focused on establishing guidelines for AI governance, ethics, and safety. It also explored smart cities and sustainability, recognizing the cities that implemented the United for Smart Sustainable Cities (U4SSC) Key Performance Indicators (KPIs) based on Recommendation ITU-T Y.4903. Additionally, the symposium also focused on </w:t>
      </w:r>
      <w:r w:rsidR="1B6B351A" w:rsidRPr="00DF2956">
        <w:rPr>
          <w:rFonts w:eastAsia="Calibri" w:cs="Calibri"/>
          <w:szCs w:val="24"/>
        </w:rPr>
        <w:t xml:space="preserve">financial and digital inclusion, </w:t>
      </w:r>
      <w:r w:rsidRPr="00DF2956">
        <w:rPr>
          <w:rFonts w:eastAsia="Calibri" w:cs="Calibri"/>
          <w:szCs w:val="24"/>
        </w:rPr>
        <w:t>open source and standards, delving into how open-source fosters collaboration, transparency, and wider access to technology and standards.</w:t>
      </w:r>
    </w:p>
    <w:p w14:paraId="5EDAA4EA" w14:textId="5BE0DF4F" w:rsidR="199336F2" w:rsidRPr="00B66ED6" w:rsidRDefault="199336F2">
      <w:pPr>
        <w:tabs>
          <w:tab w:val="left" w:pos="851"/>
        </w:tabs>
        <w:jc w:val="both"/>
        <w:rPr>
          <w:rFonts w:eastAsia="Calibri" w:cs="Calibri"/>
          <w:spacing w:val="-2"/>
          <w:szCs w:val="24"/>
        </w:rPr>
      </w:pPr>
      <w:r w:rsidRPr="00B66ED6">
        <w:rPr>
          <w:rFonts w:eastAsia="Calibri" w:cs="Calibri"/>
          <w:spacing w:val="-2"/>
          <w:szCs w:val="24"/>
        </w:rPr>
        <w:t>1.8</w:t>
      </w:r>
      <w:r w:rsidRPr="00B66ED6">
        <w:rPr>
          <w:spacing w:val="-2"/>
        </w:rPr>
        <w:tab/>
      </w:r>
      <w:r w:rsidRPr="00B66ED6">
        <w:rPr>
          <w:rFonts w:eastAsia="Calibri" w:cs="Calibri"/>
          <w:spacing w:val="-2"/>
          <w:szCs w:val="24"/>
        </w:rPr>
        <w:t xml:space="preserve">GSS-24, recognizing the crucial role played by international standards in supporting countries, cities and industries in driving innovation and the adoption of emerging digital technologies, invited ITU to: continue to shape the landscape of emerging digital technologies; </w:t>
      </w:r>
      <w:r w:rsidRPr="00B66ED6">
        <w:rPr>
          <w:rFonts w:eastAsia="Calibri" w:cs="Calibri"/>
          <w:spacing w:val="-2"/>
          <w:szCs w:val="24"/>
        </w:rPr>
        <w:lastRenderedPageBreak/>
        <w:t xml:space="preserve">continue efforts towards bridging the standardization gap between developed and developing countries, through initiatives like the ITU Bridging the Standardization Gap (BSG) programme; support the activities of the United for Smart Sustainable Cities (U4SSC), particularly in facilitating the implementation of the U4SSC Key Performance Indicators (KPIs) (Recommendation ITU-T Y.4903); to continue to support AI for Good; collaborate closely with open source software (OSS) developers in fostering the creation of global open-source projects and nurturing the growth of open-source ecosystems worldwide; recognize the importance of the Global Initiative on Virtual Worlds and AI </w:t>
      </w:r>
      <w:r w:rsidR="005855EE">
        <w:rPr>
          <w:rFonts w:eastAsia="Calibri" w:cs="Calibri"/>
          <w:spacing w:val="-2"/>
          <w:szCs w:val="24"/>
        </w:rPr>
        <w:t>–</w:t>
      </w:r>
      <w:r w:rsidRPr="00B66ED6">
        <w:rPr>
          <w:rFonts w:eastAsia="Calibri" w:cs="Calibri"/>
          <w:spacing w:val="-2"/>
          <w:szCs w:val="24"/>
        </w:rPr>
        <w:t xml:space="preserve"> Discovering the </w:t>
      </w:r>
      <w:proofErr w:type="spellStart"/>
      <w:r w:rsidR="1E34FC49" w:rsidRPr="00B66ED6">
        <w:rPr>
          <w:rFonts w:eastAsia="Calibri" w:cs="Calibri"/>
          <w:spacing w:val="-2"/>
          <w:szCs w:val="24"/>
        </w:rPr>
        <w:t>C</w:t>
      </w:r>
      <w:r w:rsidRPr="00B66ED6">
        <w:rPr>
          <w:rFonts w:eastAsia="Calibri" w:cs="Calibri"/>
          <w:spacing w:val="-2"/>
          <w:szCs w:val="24"/>
        </w:rPr>
        <w:t>itiverse</w:t>
      </w:r>
      <w:proofErr w:type="spellEnd"/>
      <w:r w:rsidRPr="00B66ED6">
        <w:rPr>
          <w:rFonts w:eastAsia="Calibri" w:cs="Calibri"/>
          <w:spacing w:val="-2"/>
          <w:szCs w:val="24"/>
        </w:rPr>
        <w:t xml:space="preserve"> in leveraging the convergence of AI and the metaverse; and continue the Blockchain Secure Authentication (BSA) application challenge.</w:t>
      </w:r>
    </w:p>
    <w:p w14:paraId="0CE1D648" w14:textId="7BFD31B7" w:rsidR="006A6BF5" w:rsidRPr="00DF2956" w:rsidRDefault="006A6BF5" w:rsidP="00B66ED6">
      <w:pPr>
        <w:pStyle w:val="Heading1"/>
      </w:pPr>
      <w:r w:rsidRPr="00DF2956">
        <w:t>2</w:t>
      </w:r>
      <w:r w:rsidRPr="00DF2956">
        <w:tab/>
      </w:r>
      <w:r w:rsidRPr="00B66ED6">
        <w:t>WTSA</w:t>
      </w:r>
      <w:r w:rsidRPr="00DF2956">
        <w:t>-2</w:t>
      </w:r>
      <w:r w:rsidR="000A2368" w:rsidRPr="00DF2956">
        <w:t>4</w:t>
      </w:r>
    </w:p>
    <w:p w14:paraId="4EE634AA" w14:textId="0FF701FC" w:rsidR="006A6BF5" w:rsidRPr="00DF2956" w:rsidRDefault="006A6BF5" w:rsidP="00B66ED6">
      <w:pPr>
        <w:pStyle w:val="Heading2"/>
      </w:pPr>
      <w:r w:rsidRPr="00DF2956">
        <w:t>2.1</w:t>
      </w:r>
      <w:r w:rsidRPr="00DF2956">
        <w:tab/>
      </w:r>
      <w:r w:rsidR="001219FA" w:rsidRPr="00DF2956">
        <w:t>Overview</w:t>
      </w:r>
    </w:p>
    <w:p w14:paraId="44E7DDBC" w14:textId="7DFF3AD0" w:rsidR="00DE0B32" w:rsidRPr="00DF2956" w:rsidRDefault="00DE0B32" w:rsidP="00DC73BE">
      <w:pPr>
        <w:jc w:val="both"/>
      </w:pPr>
      <w:r>
        <w:t xml:space="preserve">WTSA-24 was held from 15 to 24 October 2024 in New Delhi, India. It was preceded by GSS-24 (14 October 2024) and followed by the Leadership training, which was offered to newly appointed chairs and vice-chairs. The </w:t>
      </w:r>
      <w:r w:rsidR="00860734">
        <w:t>A</w:t>
      </w:r>
      <w:r>
        <w:t>ssembly welcomed His Excellency, Prime Minister of India, Shri Narendra Modi to its opening ceremony.</w:t>
      </w:r>
      <w:r w:rsidRPr="1A99AD1A">
        <w:rPr>
          <w:lang w:eastAsia="ja-JP"/>
        </w:rPr>
        <w:t xml:space="preserve"> The </w:t>
      </w:r>
      <w:r w:rsidR="00707BF4" w:rsidRPr="1A99AD1A">
        <w:rPr>
          <w:lang w:eastAsia="ja-JP"/>
        </w:rPr>
        <w:t>A</w:t>
      </w:r>
      <w:r w:rsidRPr="1A99AD1A">
        <w:rPr>
          <w:lang w:eastAsia="ja-JP"/>
        </w:rPr>
        <w:t xml:space="preserve">ssembly was chaired by Mr Ritu Ranjan </w:t>
      </w:r>
      <w:proofErr w:type="spellStart"/>
      <w:r w:rsidRPr="1A99AD1A">
        <w:rPr>
          <w:lang w:eastAsia="ja-JP"/>
        </w:rPr>
        <w:t>Mittar</w:t>
      </w:r>
      <w:proofErr w:type="spellEnd"/>
      <w:r w:rsidRPr="1A99AD1A">
        <w:rPr>
          <w:lang w:eastAsia="ja-JP"/>
        </w:rPr>
        <w:t xml:space="preserve"> (India).</w:t>
      </w:r>
      <w:r>
        <w:t xml:space="preserve"> It was attended by 3700 delegates from 164 countries. It showed </w:t>
      </w:r>
      <w:r w:rsidR="331119A6">
        <w:t xml:space="preserve">good </w:t>
      </w:r>
      <w:r>
        <w:t xml:space="preserve">female participation (27%). It also showed the highest number of </w:t>
      </w:r>
      <w:r w:rsidR="00B51332">
        <w:t>M</w:t>
      </w:r>
      <w:r>
        <w:t xml:space="preserve">ember </w:t>
      </w:r>
      <w:r w:rsidR="00B51332">
        <w:t>S</w:t>
      </w:r>
      <w:r>
        <w:t>tates represented with 37 ministers. More than 20 side events were held during WTSA-24.</w:t>
      </w:r>
    </w:p>
    <w:p w14:paraId="0E324FD1" w14:textId="4E24506D" w:rsidR="00DE0B32" w:rsidRPr="00DF2956" w:rsidRDefault="00DE0B32" w:rsidP="00DE0B32">
      <w:r w:rsidRPr="00DF2956">
        <w:rPr>
          <w:rFonts w:hint="eastAsia"/>
        </w:rPr>
        <w:t>The outcome</w:t>
      </w:r>
      <w:r w:rsidR="00D32232" w:rsidRPr="00DF2956">
        <w:t>s</w:t>
      </w:r>
      <w:r w:rsidRPr="00DF2956">
        <w:rPr>
          <w:rFonts w:hint="eastAsia"/>
        </w:rPr>
        <w:t xml:space="preserve"> of WTSA-24 include:</w:t>
      </w:r>
    </w:p>
    <w:p w14:paraId="3C100B95" w14:textId="7BA5F360" w:rsidR="00DE0B32" w:rsidRPr="00431FFF" w:rsidRDefault="00910700" w:rsidP="00910700">
      <w:pPr>
        <w:pStyle w:val="enumlev1"/>
        <w:jc w:val="both"/>
      </w:pPr>
      <w:r>
        <w:t>–</w:t>
      </w:r>
      <w:r>
        <w:tab/>
      </w:r>
      <w:r w:rsidR="00BA1698">
        <w:t>c</w:t>
      </w:r>
      <w:r w:rsidR="00DE0B32" w:rsidRPr="00431FFF">
        <w:t>onsolidat</w:t>
      </w:r>
      <w:r w:rsidR="00431FFF" w:rsidRPr="00431FFF">
        <w:t>ed</w:t>
      </w:r>
      <w:r w:rsidR="00DE0B32" w:rsidRPr="00431FFF">
        <w:t xml:space="preserve"> ITU-T SG9 and SG16</w:t>
      </w:r>
      <w:r w:rsidR="00431FFF" w:rsidRPr="00431FFF">
        <w:t xml:space="preserve"> as </w:t>
      </w:r>
      <w:r w:rsidR="00DE0B32" w:rsidRPr="00431FFF">
        <w:t xml:space="preserve">New Study Group 21 </w:t>
      </w:r>
      <w:r w:rsidR="00751800">
        <w:t>“</w:t>
      </w:r>
      <w:r w:rsidR="00DE0B32" w:rsidRPr="00431FFF">
        <w:t>Technologies for multimedia, content delivery and cable television</w:t>
      </w:r>
      <w:r w:rsidR="00751800">
        <w:rPr>
          <w:lang w:val="en-US"/>
        </w:rPr>
        <w:t>”</w:t>
      </w:r>
      <w:r w:rsidR="00BA1698">
        <w:rPr>
          <w:lang w:val="en-US"/>
        </w:rPr>
        <w:t>;</w:t>
      </w:r>
    </w:p>
    <w:p w14:paraId="4E993A61" w14:textId="2876B578" w:rsidR="00DE0B32" w:rsidRPr="00DF2956" w:rsidRDefault="00910700" w:rsidP="00910700">
      <w:pPr>
        <w:pStyle w:val="enumlev1"/>
        <w:jc w:val="both"/>
      </w:pPr>
      <w:r>
        <w:t>–</w:t>
      </w:r>
      <w:r>
        <w:tab/>
      </w:r>
      <w:r w:rsidR="00BA1698">
        <w:t>a</w:t>
      </w:r>
      <w:r w:rsidR="00DE0B32" w:rsidRPr="00DF2956">
        <w:t xml:space="preserve">ppointed chairs and vice-chairs for </w:t>
      </w:r>
      <w:r w:rsidR="00DF2956" w:rsidRPr="00DF2956">
        <w:t xml:space="preserve">the </w:t>
      </w:r>
      <w:r w:rsidR="00DE0B32" w:rsidRPr="00DF2956">
        <w:t>ten ITU-T study groups, TSAG</w:t>
      </w:r>
      <w:r w:rsidR="00BA1698">
        <w:t>,</w:t>
      </w:r>
      <w:r w:rsidR="00DE0B32" w:rsidRPr="00DF2956">
        <w:t xml:space="preserve"> and SCV</w:t>
      </w:r>
      <w:r w:rsidR="00BA1698">
        <w:t>;</w:t>
      </w:r>
    </w:p>
    <w:p w14:paraId="6761809D" w14:textId="6D1C7F5A" w:rsidR="00DE0B32" w:rsidRPr="00DF2956" w:rsidRDefault="00910700" w:rsidP="00910700">
      <w:pPr>
        <w:pStyle w:val="enumlev1"/>
        <w:jc w:val="both"/>
      </w:pPr>
      <w:r>
        <w:t>–</w:t>
      </w:r>
      <w:r>
        <w:tab/>
      </w:r>
      <w:r w:rsidR="00BA1698">
        <w:t>u</w:t>
      </w:r>
      <w:r w:rsidR="00DE0B32" w:rsidRPr="00DF2956">
        <w:t xml:space="preserve">pdated </w:t>
      </w:r>
      <w:r w:rsidR="00431FFF">
        <w:t xml:space="preserve">the </w:t>
      </w:r>
      <w:r w:rsidR="00DE0B32" w:rsidRPr="00DF2956">
        <w:t xml:space="preserve">mandate (Resolution 2) and Questions of </w:t>
      </w:r>
      <w:r w:rsidR="00DF2956" w:rsidRPr="00DF2956">
        <w:t xml:space="preserve">the </w:t>
      </w:r>
      <w:r w:rsidR="00DE0B32" w:rsidRPr="00DF2956">
        <w:t>ten ITU-T study groups</w:t>
      </w:r>
      <w:r w:rsidR="00BA1698">
        <w:t>; and</w:t>
      </w:r>
    </w:p>
    <w:p w14:paraId="46417EDA" w14:textId="509764CC" w:rsidR="00DE0B32" w:rsidRPr="00431FFF" w:rsidRDefault="00910700" w:rsidP="00910700">
      <w:pPr>
        <w:pStyle w:val="enumlev1"/>
        <w:jc w:val="both"/>
      </w:pPr>
      <w:r>
        <w:t>–</w:t>
      </w:r>
      <w:r>
        <w:tab/>
      </w:r>
      <w:r w:rsidR="00BA1698">
        <w:t>A</w:t>
      </w:r>
      <w:r w:rsidR="0032241F">
        <w:t>dopted</w:t>
      </w:r>
      <w:r w:rsidR="00BA1698">
        <w:t xml:space="preserve"> e</w:t>
      </w:r>
      <w:r w:rsidR="00DF2956" w:rsidRPr="00431FFF">
        <w:t>ight</w:t>
      </w:r>
      <w:r w:rsidR="00DE0B32" w:rsidRPr="00431FFF">
        <w:t xml:space="preserve"> new </w:t>
      </w:r>
      <w:r w:rsidR="005B2038">
        <w:t>r</w:t>
      </w:r>
      <w:r w:rsidR="00DE0B32" w:rsidRPr="00431FFF">
        <w:t>esolutions</w:t>
      </w:r>
      <w:r w:rsidR="00431FFF" w:rsidRPr="00431FFF">
        <w:t xml:space="preserve">, </w:t>
      </w:r>
      <w:r w:rsidR="007B2C8E">
        <w:t xml:space="preserve">revised </w:t>
      </w:r>
      <w:r w:rsidR="00DE0B32" w:rsidRPr="00431FFF">
        <w:t xml:space="preserve">44 </w:t>
      </w:r>
      <w:r w:rsidR="005B2038">
        <w:t>r</w:t>
      </w:r>
      <w:r w:rsidR="00DE0B32" w:rsidRPr="00431FFF">
        <w:t>esolutions</w:t>
      </w:r>
      <w:r w:rsidR="00431FFF" w:rsidRPr="00431FFF">
        <w:t xml:space="preserve">, </w:t>
      </w:r>
      <w:r w:rsidR="007B2C8E">
        <w:t xml:space="preserve">suppressed </w:t>
      </w:r>
      <w:r w:rsidR="00BA1698">
        <w:t>o</w:t>
      </w:r>
      <w:r w:rsidR="00DF2956" w:rsidRPr="00431FFF">
        <w:t>ne</w:t>
      </w:r>
      <w:r w:rsidR="00E2213C" w:rsidRPr="00431FFF">
        <w:t xml:space="preserve"> </w:t>
      </w:r>
      <w:r w:rsidR="005B2038">
        <w:t>r</w:t>
      </w:r>
      <w:r w:rsidR="00E2213C" w:rsidRPr="00431FFF">
        <w:t>esolution</w:t>
      </w:r>
      <w:r w:rsidR="007B2C8E">
        <w:t>,</w:t>
      </w:r>
      <w:r w:rsidR="00E2213C" w:rsidRPr="00431FFF">
        <w:t xml:space="preserve"> </w:t>
      </w:r>
      <w:r w:rsidR="00431FFF" w:rsidRPr="00431FFF">
        <w:t xml:space="preserve">and </w:t>
      </w:r>
      <w:r w:rsidR="00DE0B32" w:rsidRPr="005B2038">
        <w:rPr>
          <w:spacing w:val="2"/>
        </w:rPr>
        <w:t xml:space="preserve">revised ITU-T </w:t>
      </w:r>
      <w:r w:rsidR="005B2038">
        <w:rPr>
          <w:spacing w:val="2"/>
        </w:rPr>
        <w:t>R</w:t>
      </w:r>
      <w:r w:rsidR="00DE0B32" w:rsidRPr="005B2038">
        <w:rPr>
          <w:spacing w:val="2"/>
        </w:rPr>
        <w:t>ecommendation (A.25)</w:t>
      </w:r>
      <w:r w:rsidR="00431FFF" w:rsidRPr="005B2038">
        <w:rPr>
          <w:spacing w:val="2"/>
        </w:rPr>
        <w:t xml:space="preserve">, complemented by </w:t>
      </w:r>
      <w:r w:rsidR="00DE0B32" w:rsidRPr="005B2038">
        <w:rPr>
          <w:spacing w:val="2"/>
        </w:rPr>
        <w:t xml:space="preserve">15 </w:t>
      </w:r>
      <w:r w:rsidR="005B2038" w:rsidRPr="005B2038">
        <w:rPr>
          <w:spacing w:val="2"/>
        </w:rPr>
        <w:t>a</w:t>
      </w:r>
      <w:r w:rsidR="00DE0B32" w:rsidRPr="005B2038">
        <w:rPr>
          <w:spacing w:val="2"/>
        </w:rPr>
        <w:t>ctions</w:t>
      </w:r>
      <w:r w:rsidR="00050DCF" w:rsidRPr="005B2038">
        <w:rPr>
          <w:spacing w:val="2"/>
        </w:rPr>
        <w:t xml:space="preserve"> (see</w:t>
      </w:r>
      <w:r w:rsidR="007D18AB" w:rsidRPr="005B2038">
        <w:rPr>
          <w:rFonts w:hint="eastAsia"/>
          <w:spacing w:val="2"/>
          <w:lang w:eastAsia="ja-JP"/>
        </w:rPr>
        <w:t xml:space="preserve"> </w:t>
      </w:r>
      <w:hyperlink r:id="rId17" w:history="1">
        <w:r w:rsidR="007D18AB" w:rsidRPr="005B2038">
          <w:rPr>
            <w:rStyle w:val="Hyperlink"/>
            <w:spacing w:val="2"/>
            <w:lang w:eastAsia="ja-JP"/>
          </w:rPr>
          <w:t>WTSA-24 Proceedi</w:t>
        </w:r>
        <w:r w:rsidR="007D18AB" w:rsidRPr="005B2038">
          <w:rPr>
            <w:rStyle w:val="Hyperlink"/>
            <w:spacing w:val="2"/>
            <w:lang w:eastAsia="ja-JP"/>
          </w:rPr>
          <w:t>n</w:t>
        </w:r>
        <w:r w:rsidR="007D18AB" w:rsidRPr="005B2038">
          <w:rPr>
            <w:rStyle w:val="Hyperlink"/>
            <w:spacing w:val="2"/>
            <w:lang w:eastAsia="ja-JP"/>
          </w:rPr>
          <w:t>gs</w:t>
        </w:r>
      </w:hyperlink>
      <w:r w:rsidR="007D18AB">
        <w:rPr>
          <w:rFonts w:hint="eastAsia"/>
          <w:lang w:eastAsia="ja-JP"/>
        </w:rPr>
        <w:t xml:space="preserve"> for more information</w:t>
      </w:r>
      <w:r w:rsidR="00050DCF" w:rsidRPr="00431FFF">
        <w:t>)</w:t>
      </w:r>
      <w:r>
        <w:t>.</w:t>
      </w:r>
    </w:p>
    <w:p w14:paraId="59AC481C" w14:textId="77777777" w:rsidR="00DE0B32" w:rsidRPr="00DF2956" w:rsidRDefault="00DE0B32" w:rsidP="00910700">
      <w:r w:rsidRPr="00DF2956">
        <w:rPr>
          <w:rFonts w:hint="eastAsia"/>
        </w:rPr>
        <w:t>Related information:</w:t>
      </w:r>
    </w:p>
    <w:p w14:paraId="41574EFC" w14:textId="1258B3B3" w:rsidR="00DE0B32" w:rsidRPr="00571799" w:rsidRDefault="00910700" w:rsidP="005855EE">
      <w:pPr>
        <w:pStyle w:val="enumlev1"/>
        <w:jc w:val="both"/>
        <w:rPr>
          <w:szCs w:val="24"/>
        </w:rPr>
      </w:pPr>
      <w:r>
        <w:t>–</w:t>
      </w:r>
      <w:r>
        <w:tab/>
      </w:r>
      <w:r w:rsidR="00DE0B32" w:rsidRPr="00571799">
        <w:rPr>
          <w:szCs w:val="24"/>
        </w:rPr>
        <w:t xml:space="preserve">WTSA-24 website: </w:t>
      </w:r>
      <w:hyperlink r:id="rId18" w:history="1">
        <w:r w:rsidR="00DE0B32" w:rsidRPr="00DF2956">
          <w:rPr>
            <w:rStyle w:val="Hyperlink"/>
          </w:rPr>
          <w:t>https:/</w:t>
        </w:r>
        <w:r w:rsidR="00DE0B32" w:rsidRPr="00DF2956">
          <w:rPr>
            <w:rStyle w:val="Hyperlink"/>
          </w:rPr>
          <w:t>/</w:t>
        </w:r>
        <w:r w:rsidR="00DE0B32" w:rsidRPr="00DF2956">
          <w:rPr>
            <w:rStyle w:val="Hyperlink"/>
          </w:rPr>
          <w:t>www.itu.int/wtsa/2024/</w:t>
        </w:r>
      </w:hyperlink>
      <w:r w:rsidR="005652B7">
        <w:t>;</w:t>
      </w:r>
    </w:p>
    <w:p w14:paraId="4D7DFA34" w14:textId="44A9C65B" w:rsidR="00DE0B32" w:rsidRPr="00571799" w:rsidRDefault="00910700" w:rsidP="005855EE">
      <w:pPr>
        <w:pStyle w:val="enumlev1"/>
        <w:jc w:val="both"/>
        <w:rPr>
          <w:szCs w:val="24"/>
        </w:rPr>
      </w:pPr>
      <w:r>
        <w:t>–</w:t>
      </w:r>
      <w:r>
        <w:tab/>
      </w:r>
      <w:hyperlink r:id="rId19" w:history="1">
        <w:proofErr w:type="spellStart"/>
        <w:r w:rsidR="00DE0B32" w:rsidRPr="00DF2956">
          <w:rPr>
            <w:rStyle w:val="Hyperlink"/>
          </w:rPr>
          <w:t>WTSA</w:t>
        </w:r>
        <w:proofErr w:type="spellEnd"/>
        <w:r w:rsidR="00DE0B32" w:rsidRPr="00DF2956">
          <w:rPr>
            <w:rStyle w:val="Hyperlink"/>
          </w:rPr>
          <w:t>-24 Proceedi</w:t>
        </w:r>
        <w:r w:rsidR="00DE0B32" w:rsidRPr="00DF2956">
          <w:rPr>
            <w:rStyle w:val="Hyperlink"/>
          </w:rPr>
          <w:t>n</w:t>
        </w:r>
        <w:r w:rsidR="00DE0B32" w:rsidRPr="00DF2956">
          <w:rPr>
            <w:rStyle w:val="Hyperlink"/>
          </w:rPr>
          <w:t>gs</w:t>
        </w:r>
      </w:hyperlink>
      <w:r w:rsidR="002545E5">
        <w:t xml:space="preserve"> (</w:t>
      </w:r>
      <w:r w:rsidR="006C3EE4">
        <w:t>f</w:t>
      </w:r>
      <w:r w:rsidR="002545E5">
        <w:t>inal version now published in six languages)</w:t>
      </w:r>
      <w:r w:rsidR="005652B7">
        <w:t>;</w:t>
      </w:r>
    </w:p>
    <w:p w14:paraId="707F338C" w14:textId="472B5F89" w:rsidR="006A6BF5" w:rsidRPr="00571799" w:rsidRDefault="00910700" w:rsidP="005855EE">
      <w:pPr>
        <w:pStyle w:val="enumlev1"/>
        <w:jc w:val="both"/>
        <w:rPr>
          <w:szCs w:val="24"/>
        </w:rPr>
      </w:pPr>
      <w:r>
        <w:t>–</w:t>
      </w:r>
      <w:r>
        <w:tab/>
      </w:r>
      <w:r w:rsidR="00DE0B32" w:rsidRPr="00571799">
        <w:rPr>
          <w:szCs w:val="24"/>
        </w:rPr>
        <w:t xml:space="preserve">WTSA-24 related events: </w:t>
      </w:r>
      <w:hyperlink r:id="rId20" w:history="1">
        <w:r w:rsidR="00DE0B32" w:rsidRPr="00571799">
          <w:rPr>
            <w:color w:val="4F81BD" w:themeColor="accent1"/>
            <w:szCs w:val="24"/>
            <w:u w:val="single"/>
          </w:rPr>
          <w:t>https://www.itu.int/w</w:t>
        </w:r>
        <w:r w:rsidR="00DE0B32" w:rsidRPr="00571799">
          <w:rPr>
            <w:color w:val="4F81BD" w:themeColor="accent1"/>
            <w:szCs w:val="24"/>
            <w:u w:val="single"/>
          </w:rPr>
          <w:t>t</w:t>
        </w:r>
        <w:r w:rsidR="00DE0B32" w:rsidRPr="00571799">
          <w:rPr>
            <w:color w:val="4F81BD" w:themeColor="accent1"/>
            <w:szCs w:val="24"/>
            <w:u w:val="single"/>
          </w:rPr>
          <w:t>sa/2024/related-events/</w:t>
        </w:r>
      </w:hyperlink>
      <w:r w:rsidR="005652B7">
        <w:t>.</w:t>
      </w:r>
    </w:p>
    <w:p w14:paraId="3C3530B6" w14:textId="77777777" w:rsidR="006A6BF5" w:rsidRPr="00B66ED6" w:rsidRDefault="006A6BF5" w:rsidP="00B66ED6">
      <w:pPr>
        <w:pStyle w:val="Heading2"/>
      </w:pPr>
      <w:r w:rsidRPr="00DF2956">
        <w:t>2.2</w:t>
      </w:r>
      <w:r w:rsidRPr="00DF2956">
        <w:tab/>
        <w:t>Budget impact</w:t>
      </w:r>
    </w:p>
    <w:p w14:paraId="5F9A8D42" w14:textId="05E9946F" w:rsidR="006A6BF5" w:rsidRPr="00DF2956" w:rsidRDefault="00213B7A" w:rsidP="00431FFF">
      <w:pPr>
        <w:tabs>
          <w:tab w:val="left" w:pos="851"/>
        </w:tabs>
        <w:jc w:val="both"/>
      </w:pPr>
      <w:proofErr w:type="spellStart"/>
      <w:r>
        <w:t>WTSA</w:t>
      </w:r>
      <w:proofErr w:type="spellEnd"/>
      <w:r>
        <w:t>-</w:t>
      </w:r>
      <w:r w:rsidR="00050DCF" w:rsidRPr="00DF2956">
        <w:t>24 adopted some decisions on new activities, studies, and workshops to enable the Telecommunication Standardization Bureau</w:t>
      </w:r>
      <w:r w:rsidR="00A66E77">
        <w:t xml:space="preserve"> (TSB)</w:t>
      </w:r>
      <w:r w:rsidR="00050DCF" w:rsidRPr="00DF2956">
        <w:t xml:space="preserve"> to respond in a timely manner to membership demands and address strategic issues that will require the attention of </w:t>
      </w:r>
      <w:r w:rsidR="00AE5014" w:rsidRPr="00DF2956">
        <w:t xml:space="preserve">the </w:t>
      </w:r>
      <w:r w:rsidR="13603DE5" w:rsidRPr="005652B7">
        <w:rPr>
          <w:spacing w:val="2"/>
        </w:rPr>
        <w:t xml:space="preserve">next </w:t>
      </w:r>
      <w:r w:rsidR="00AE5014" w:rsidRPr="005652B7">
        <w:rPr>
          <w:spacing w:val="2"/>
        </w:rPr>
        <w:t>Assembly (</w:t>
      </w:r>
      <w:proofErr w:type="spellStart"/>
      <w:r w:rsidR="00050DCF" w:rsidRPr="005652B7">
        <w:rPr>
          <w:spacing w:val="2"/>
        </w:rPr>
        <w:t>WTSA</w:t>
      </w:r>
      <w:proofErr w:type="spellEnd"/>
      <w:r w:rsidR="47826C63" w:rsidRPr="005652B7">
        <w:rPr>
          <w:spacing w:val="2"/>
        </w:rPr>
        <w:t>-</w:t>
      </w:r>
      <w:r w:rsidR="00050DCF" w:rsidRPr="005652B7">
        <w:rPr>
          <w:spacing w:val="2"/>
        </w:rPr>
        <w:t>28</w:t>
      </w:r>
      <w:r w:rsidR="00AE5014" w:rsidRPr="005652B7">
        <w:rPr>
          <w:spacing w:val="2"/>
        </w:rPr>
        <w:t>)</w:t>
      </w:r>
      <w:r w:rsidR="00050DCF" w:rsidRPr="005652B7">
        <w:rPr>
          <w:spacing w:val="2"/>
        </w:rPr>
        <w:t>.</w:t>
      </w:r>
      <w:r w:rsidR="00431FFF" w:rsidRPr="005652B7">
        <w:rPr>
          <w:spacing w:val="2"/>
        </w:rPr>
        <w:t xml:space="preserve"> </w:t>
      </w:r>
      <w:r w:rsidR="00050DCF" w:rsidRPr="005652B7">
        <w:rPr>
          <w:spacing w:val="2"/>
        </w:rPr>
        <w:t>WTSA-24 identified activities (described in the new</w:t>
      </w:r>
      <w:r w:rsidR="00050DCF" w:rsidRPr="00DF2956">
        <w:t xml:space="preserve"> WTSA-24 </w:t>
      </w:r>
      <w:r w:rsidR="005652B7">
        <w:t>r</w:t>
      </w:r>
      <w:r w:rsidR="00050DCF" w:rsidRPr="00DF2956">
        <w:t xml:space="preserve">esolutions and actions, such as </w:t>
      </w:r>
      <w:r w:rsidR="005652B7">
        <w:t>a</w:t>
      </w:r>
      <w:r w:rsidR="00050DCF" w:rsidRPr="00DF2956">
        <w:t xml:space="preserve">rtificial </w:t>
      </w:r>
      <w:r w:rsidR="005652B7">
        <w:t>i</w:t>
      </w:r>
      <w:r w:rsidR="00050DCF" w:rsidRPr="00DF2956">
        <w:t xml:space="preserve">ntelligence (AI), Digital Public </w:t>
      </w:r>
      <w:r w:rsidR="00050DCF" w:rsidRPr="005652B7">
        <w:rPr>
          <w:spacing w:val="-2"/>
        </w:rPr>
        <w:t>Infrastructure (DPI), and Sustainable Digital Transformation (SDT)) as priority areas for the</w:t>
      </w:r>
      <w:r w:rsidR="00050DCF" w:rsidRPr="00DF2956">
        <w:t xml:space="preserve"> ITU-T. TSB is mandated to implement these activities and report to WTSA-28.</w:t>
      </w:r>
      <w:r w:rsidR="00B5698F">
        <w:t xml:space="preserve"> The</w:t>
      </w:r>
      <w:r w:rsidR="00A52DF5">
        <w:t>se decisions and their financial impac</w:t>
      </w:r>
      <w:r w:rsidR="007857A2">
        <w:t>t</w:t>
      </w:r>
      <w:r w:rsidR="00A52DF5">
        <w:t xml:space="preserve">s are addressed in </w:t>
      </w:r>
      <w:r w:rsidR="005855EE">
        <w:t xml:space="preserve">Documents </w:t>
      </w:r>
      <w:hyperlink r:id="rId21" w:history="1">
        <w:proofErr w:type="spellStart"/>
        <w:r w:rsidR="00A52DF5" w:rsidRPr="007857A2">
          <w:rPr>
            <w:rStyle w:val="Hyperlink"/>
          </w:rPr>
          <w:t>C25</w:t>
        </w:r>
        <w:proofErr w:type="spellEnd"/>
        <w:r w:rsidR="00A52DF5" w:rsidRPr="007857A2">
          <w:rPr>
            <w:rStyle w:val="Hyperlink"/>
          </w:rPr>
          <w:t>/</w:t>
        </w:r>
        <w:r w:rsidR="00A52DF5" w:rsidRPr="007857A2">
          <w:rPr>
            <w:rStyle w:val="Hyperlink"/>
          </w:rPr>
          <w:t>1</w:t>
        </w:r>
        <w:r w:rsidR="00A52DF5" w:rsidRPr="007857A2">
          <w:rPr>
            <w:rStyle w:val="Hyperlink"/>
          </w:rPr>
          <w:t>3</w:t>
        </w:r>
      </w:hyperlink>
      <w:r w:rsidR="00A52DF5">
        <w:t xml:space="preserve"> and </w:t>
      </w:r>
      <w:hyperlink r:id="rId22" w:history="1">
        <w:proofErr w:type="spellStart"/>
        <w:r w:rsidR="00A52DF5" w:rsidRPr="007857A2">
          <w:rPr>
            <w:rStyle w:val="Hyperlink"/>
          </w:rPr>
          <w:t>C25</w:t>
        </w:r>
        <w:proofErr w:type="spellEnd"/>
        <w:r w:rsidR="00A52DF5" w:rsidRPr="007857A2">
          <w:rPr>
            <w:rStyle w:val="Hyperlink"/>
          </w:rPr>
          <w:t>/4</w:t>
        </w:r>
        <w:r w:rsidR="00A52DF5" w:rsidRPr="007857A2">
          <w:rPr>
            <w:rStyle w:val="Hyperlink"/>
          </w:rPr>
          <w:t>3</w:t>
        </w:r>
      </w:hyperlink>
      <w:r w:rsidR="00A52DF5">
        <w:t xml:space="preserve">. </w:t>
      </w:r>
    </w:p>
    <w:p w14:paraId="79220C0E" w14:textId="06B1AD17" w:rsidR="006A6BF5" w:rsidRPr="00832111" w:rsidRDefault="006A6BF5" w:rsidP="00B66ED6">
      <w:pPr>
        <w:pStyle w:val="Heading1"/>
      </w:pPr>
      <w:r w:rsidRPr="00832111">
        <w:lastRenderedPageBreak/>
        <w:t>3</w:t>
      </w:r>
      <w:r w:rsidRPr="00832111">
        <w:tab/>
      </w:r>
      <w:r w:rsidR="008B60AB" w:rsidRPr="00832111">
        <w:t>Network of Women (</w:t>
      </w:r>
      <w:proofErr w:type="spellStart"/>
      <w:r w:rsidR="00DE0B32" w:rsidRPr="00832111">
        <w:t>NoW</w:t>
      </w:r>
      <w:proofErr w:type="spellEnd"/>
      <w:r w:rsidR="008B60AB" w:rsidRPr="00832111">
        <w:t>)</w:t>
      </w:r>
      <w:r w:rsidR="00DE0B32" w:rsidRPr="00832111">
        <w:t xml:space="preserve"> </w:t>
      </w:r>
      <w:r w:rsidR="008B60AB" w:rsidRPr="00832111">
        <w:t>for</w:t>
      </w:r>
      <w:r w:rsidR="00DE0B32" w:rsidRPr="00832111">
        <w:t xml:space="preserve"> </w:t>
      </w:r>
      <w:proofErr w:type="spellStart"/>
      <w:r w:rsidR="00DE0B32" w:rsidRPr="00832111">
        <w:t>WTSA</w:t>
      </w:r>
      <w:proofErr w:type="spellEnd"/>
      <w:r w:rsidR="00DE0B32" w:rsidRPr="00832111">
        <w:t>-24</w:t>
      </w:r>
    </w:p>
    <w:p w14:paraId="22879679" w14:textId="79D42F7D" w:rsidR="009E323C" w:rsidRPr="00DF2956" w:rsidRDefault="009E323C" w:rsidP="00832111">
      <w:pPr>
        <w:jc w:val="both"/>
      </w:pPr>
      <w:r w:rsidRPr="00DF2956">
        <w:t>The Network of Women in ITU-T (</w:t>
      </w:r>
      <w:proofErr w:type="spellStart"/>
      <w:r w:rsidRPr="00DF2956">
        <w:t>NoW</w:t>
      </w:r>
      <w:proofErr w:type="spellEnd"/>
      <w:r w:rsidRPr="00DF2956">
        <w:t xml:space="preserve"> in ITU-T) aims to advance </w:t>
      </w:r>
      <w:r w:rsidR="0006550E">
        <w:t>the participation of women</w:t>
      </w:r>
      <w:r w:rsidRPr="00DF2956">
        <w:t xml:space="preserve"> in the standardization sector. </w:t>
      </w:r>
      <w:r w:rsidR="00D11561">
        <w:t xml:space="preserve">The </w:t>
      </w:r>
      <w:r w:rsidRPr="00DF2956">
        <w:t>Network of Women (</w:t>
      </w:r>
      <w:proofErr w:type="spellStart"/>
      <w:r w:rsidRPr="00DF2956">
        <w:t>NoW</w:t>
      </w:r>
      <w:proofErr w:type="spellEnd"/>
      <w:r w:rsidRPr="00DF2956">
        <w:t xml:space="preserve">) for </w:t>
      </w:r>
      <w:proofErr w:type="spellStart"/>
      <w:r w:rsidRPr="00DF2956">
        <w:t>WTSA</w:t>
      </w:r>
      <w:proofErr w:type="spellEnd"/>
      <w:r w:rsidRPr="00DF2956">
        <w:t>-24 (</w:t>
      </w:r>
      <w:proofErr w:type="spellStart"/>
      <w:r>
        <w:fldChar w:fldCharType="begin"/>
      </w:r>
      <w:r>
        <w:instrText>HYPERLINK "https://www.itu.int/wtsa/2024/now/"</w:instrText>
      </w:r>
      <w:r>
        <w:fldChar w:fldCharType="separate"/>
      </w:r>
      <w:r w:rsidRPr="00DF2956">
        <w:rPr>
          <w:rStyle w:val="Hyperlink"/>
          <w:rFonts w:asciiTheme="minorHAnsi" w:hAnsiTheme="minorHAnsi" w:cstheme="minorHAnsi"/>
        </w:rPr>
        <w:t>NOW4W</w:t>
      </w:r>
      <w:r w:rsidRPr="00DF2956">
        <w:rPr>
          <w:rStyle w:val="Hyperlink"/>
          <w:rFonts w:asciiTheme="minorHAnsi" w:hAnsiTheme="minorHAnsi" w:cstheme="minorHAnsi"/>
        </w:rPr>
        <w:t>T</w:t>
      </w:r>
      <w:r w:rsidRPr="00DF2956">
        <w:rPr>
          <w:rStyle w:val="Hyperlink"/>
          <w:rFonts w:asciiTheme="minorHAnsi" w:hAnsiTheme="minorHAnsi" w:cstheme="minorHAnsi"/>
        </w:rPr>
        <w:t>SA24</w:t>
      </w:r>
      <w:proofErr w:type="spellEnd"/>
      <w:r>
        <w:fldChar w:fldCharType="end"/>
      </w:r>
      <w:r w:rsidRPr="00DF2956">
        <w:t>) encouraged ITU Member States to embrace gender inclusivity at WTSA-24. The call to action was to:</w:t>
      </w:r>
    </w:p>
    <w:p w14:paraId="2A131022" w14:textId="0AB044D4" w:rsidR="009E323C" w:rsidRPr="00571799" w:rsidRDefault="00571799" w:rsidP="00832111">
      <w:pPr>
        <w:pStyle w:val="enumlev1"/>
        <w:jc w:val="both"/>
      </w:pPr>
      <w:r w:rsidRPr="00DF2956">
        <w:rPr>
          <w:rFonts w:eastAsia="SimSun"/>
        </w:rPr>
        <w:t>1</w:t>
      </w:r>
      <w:r w:rsidRPr="00DF2956">
        <w:rPr>
          <w:rFonts w:eastAsia="SimSun"/>
        </w:rPr>
        <w:tab/>
      </w:r>
      <w:r w:rsidR="009E323C" w:rsidRPr="00571799">
        <w:t>Nominate women for key ITU-T leadership positions: (Chairs, Vice</w:t>
      </w:r>
      <w:r w:rsidR="00D11561" w:rsidRPr="00571799">
        <w:t>-c</w:t>
      </w:r>
      <w:r w:rsidR="009E323C" w:rsidRPr="00571799">
        <w:t xml:space="preserve">hairs of TSAG, </w:t>
      </w:r>
      <w:r w:rsidR="00F07189" w:rsidRPr="00571799">
        <w:t>s</w:t>
      </w:r>
      <w:r w:rsidR="009E323C" w:rsidRPr="00571799">
        <w:t xml:space="preserve">tudy </w:t>
      </w:r>
      <w:r w:rsidR="00F07189" w:rsidRPr="00571799">
        <w:t>g</w:t>
      </w:r>
      <w:r w:rsidR="009E323C" w:rsidRPr="00571799">
        <w:t xml:space="preserve">roups, and </w:t>
      </w:r>
      <w:r w:rsidR="00F07189" w:rsidRPr="00571799">
        <w:t xml:space="preserve">the </w:t>
      </w:r>
      <w:r w:rsidR="009E323C" w:rsidRPr="00571799">
        <w:t>Standardization Committee for Vocabulary)</w:t>
      </w:r>
    </w:p>
    <w:p w14:paraId="385EC0D8" w14:textId="40D01B33" w:rsidR="009E323C" w:rsidRPr="00571799" w:rsidRDefault="00571799" w:rsidP="00832111">
      <w:pPr>
        <w:pStyle w:val="enumlev1"/>
        <w:jc w:val="both"/>
      </w:pPr>
      <w:r w:rsidRPr="00DF2956">
        <w:rPr>
          <w:rFonts w:eastAsia="SimSun"/>
        </w:rPr>
        <w:t>2</w:t>
      </w:r>
      <w:r w:rsidRPr="00DF2956">
        <w:rPr>
          <w:rFonts w:eastAsia="SimSun"/>
        </w:rPr>
        <w:tab/>
      </w:r>
      <w:r w:rsidR="009E323C" w:rsidRPr="00571799">
        <w:t xml:space="preserve">Encourage the appointment of women as </w:t>
      </w:r>
      <w:r w:rsidR="00F07189" w:rsidRPr="00571799">
        <w:t>h</w:t>
      </w:r>
      <w:r w:rsidR="009E323C" w:rsidRPr="00571799">
        <w:t xml:space="preserve">eads of </w:t>
      </w:r>
      <w:r w:rsidR="00F07189" w:rsidRPr="00571799">
        <w:t>d</w:t>
      </w:r>
      <w:r w:rsidR="009E323C" w:rsidRPr="00571799">
        <w:t>elegation</w:t>
      </w:r>
    </w:p>
    <w:p w14:paraId="2618E5CD" w14:textId="7ADE64DB" w:rsidR="009E323C" w:rsidRPr="00571799" w:rsidRDefault="00571799" w:rsidP="00832111">
      <w:pPr>
        <w:pStyle w:val="enumlev1"/>
        <w:jc w:val="both"/>
      </w:pPr>
      <w:r w:rsidRPr="00DF2956">
        <w:rPr>
          <w:rFonts w:eastAsia="SimSun"/>
        </w:rPr>
        <w:t>3</w:t>
      </w:r>
      <w:r w:rsidRPr="00DF2956">
        <w:rPr>
          <w:rFonts w:eastAsia="SimSun"/>
        </w:rPr>
        <w:tab/>
      </w:r>
      <w:r w:rsidR="009E323C" w:rsidRPr="00571799">
        <w:t>Promote the active participation of women in country delegations</w:t>
      </w:r>
    </w:p>
    <w:p w14:paraId="2A06DC96" w14:textId="63E754C1" w:rsidR="000A2368" w:rsidRPr="00571799" w:rsidRDefault="00571799" w:rsidP="00832111">
      <w:pPr>
        <w:pStyle w:val="enumlev1"/>
        <w:jc w:val="both"/>
      </w:pPr>
      <w:r w:rsidRPr="00DF2956">
        <w:rPr>
          <w:rFonts w:eastAsia="SimSun"/>
        </w:rPr>
        <w:t>4</w:t>
      </w:r>
      <w:r w:rsidRPr="00DF2956">
        <w:rPr>
          <w:rFonts w:eastAsia="SimSun"/>
        </w:rPr>
        <w:tab/>
      </w:r>
      <w:r w:rsidR="009E323C" w:rsidRPr="00571799">
        <w:t>Support achieving 35</w:t>
      </w:r>
      <w:r w:rsidR="00BE5069">
        <w:rPr>
          <w:rFonts w:asciiTheme="minorHAnsi" w:hAnsiTheme="minorHAnsi" w:cstheme="minorHAnsi"/>
        </w:rPr>
        <w:t xml:space="preserve"> per cent</w:t>
      </w:r>
      <w:r w:rsidR="00BE5069" w:rsidRPr="00571799">
        <w:t xml:space="preserve"> </w:t>
      </w:r>
      <w:r w:rsidR="009E323C" w:rsidRPr="00571799">
        <w:t>overall female participation at WTSA-24.</w:t>
      </w:r>
    </w:p>
    <w:p w14:paraId="584C3784" w14:textId="7131F51C" w:rsidR="001E33C6" w:rsidRPr="00020FBF" w:rsidRDefault="001E33C6" w:rsidP="00832111">
      <w:pPr>
        <w:jc w:val="both"/>
      </w:pPr>
      <w:r w:rsidRPr="00020FBF">
        <w:t>Concerted efforts to achieve the campaign goals resulted in 26</w:t>
      </w:r>
      <w:r w:rsidR="00832111">
        <w:t xml:space="preserve"> per cent</w:t>
      </w:r>
      <w:r w:rsidRPr="00020FBF">
        <w:t xml:space="preserve"> female representation at the Assembly</w:t>
      </w:r>
      <w:r w:rsidRPr="00DF2956">
        <w:t xml:space="preserve">, </w:t>
      </w:r>
      <w:r w:rsidRPr="00020FBF">
        <w:t>the highest recorded for a WTSA outside Geneva. The number of women in leadership roles increased by 24</w:t>
      </w:r>
      <w:r w:rsidR="00832111">
        <w:t xml:space="preserve"> per cent</w:t>
      </w:r>
      <w:r w:rsidR="00832111" w:rsidRPr="00020FBF">
        <w:t xml:space="preserve"> </w:t>
      </w:r>
      <w:r w:rsidRPr="00020FBF">
        <w:t>compared to the past study period. Women now hold about one-quarter of all key ITU-T leadership positions. Significant progress was also made in female leadership at the Assembly itself, where twice as many women held leadership positions</w:t>
      </w:r>
      <w:r w:rsidRPr="00DF2956">
        <w:t xml:space="preserve">, </w:t>
      </w:r>
      <w:r w:rsidRPr="00020FBF">
        <w:t>doubling the number from WTSA-20.</w:t>
      </w:r>
    </w:p>
    <w:p w14:paraId="21A483B5" w14:textId="14A6286A" w:rsidR="00BB6E47" w:rsidRPr="00DF2956" w:rsidRDefault="00BB6E47" w:rsidP="00BE5069">
      <w:pPr>
        <w:overflowPunct/>
        <w:autoSpaceDE/>
        <w:autoSpaceDN/>
        <w:adjustRightInd/>
        <w:jc w:val="both"/>
        <w:textAlignment w:val="auto"/>
        <w:rPr>
          <w:rFonts w:asciiTheme="minorHAnsi" w:hAnsiTheme="minorHAnsi" w:cstheme="minorHAnsi"/>
          <w:szCs w:val="24"/>
        </w:rPr>
      </w:pPr>
      <w:r w:rsidRPr="00DF2956">
        <w:rPr>
          <w:rFonts w:asciiTheme="minorHAnsi" w:hAnsiTheme="minorHAnsi" w:cstheme="minorHAnsi"/>
          <w:szCs w:val="24"/>
        </w:rPr>
        <w:t xml:space="preserve">The campaign culminated in a </w:t>
      </w:r>
      <w:hyperlink r:id="rId23" w:history="1">
        <w:r w:rsidRPr="00DF2956">
          <w:rPr>
            <w:rStyle w:val="Hyperlink"/>
            <w:rFonts w:asciiTheme="minorHAnsi" w:hAnsiTheme="minorHAnsi" w:cstheme="minorHAnsi"/>
            <w:szCs w:val="24"/>
          </w:rPr>
          <w:t>special event at W</w:t>
        </w:r>
        <w:r w:rsidRPr="00DF2956">
          <w:rPr>
            <w:rStyle w:val="Hyperlink"/>
            <w:rFonts w:asciiTheme="minorHAnsi" w:hAnsiTheme="minorHAnsi" w:cstheme="minorHAnsi"/>
            <w:szCs w:val="24"/>
          </w:rPr>
          <w:t>T</w:t>
        </w:r>
        <w:r w:rsidRPr="00DF2956">
          <w:rPr>
            <w:rStyle w:val="Hyperlink"/>
            <w:rFonts w:asciiTheme="minorHAnsi" w:hAnsiTheme="minorHAnsi" w:cstheme="minorHAnsi"/>
            <w:szCs w:val="24"/>
          </w:rPr>
          <w:t>SA-24</w:t>
        </w:r>
      </w:hyperlink>
      <w:r w:rsidRPr="00DF2956">
        <w:rPr>
          <w:rFonts w:asciiTheme="minorHAnsi" w:hAnsiTheme="minorHAnsi" w:cstheme="minorHAnsi"/>
          <w:szCs w:val="24"/>
        </w:rPr>
        <w:t xml:space="preserve"> on 17 October 2024, which included panel discussions on bridging the gender gap in standardization and standards for inclusive AI. The event</w:t>
      </w:r>
      <w:r w:rsidRPr="00DF2956">
        <w:rPr>
          <w:rFonts w:asciiTheme="minorHAnsi" w:hAnsiTheme="minorHAnsi" w:cstheme="minorHAnsi"/>
          <w:b/>
          <w:bCs/>
          <w:szCs w:val="24"/>
        </w:rPr>
        <w:t xml:space="preserve"> </w:t>
      </w:r>
      <w:r w:rsidR="00CC5208" w:rsidRPr="00DF2956">
        <w:rPr>
          <w:rFonts w:asciiTheme="minorHAnsi" w:hAnsiTheme="minorHAnsi" w:cstheme="minorHAnsi"/>
          <w:szCs w:val="24"/>
        </w:rPr>
        <w:t xml:space="preserve">concluded </w:t>
      </w:r>
      <w:r w:rsidR="00BE5069">
        <w:rPr>
          <w:rFonts w:asciiTheme="minorHAnsi" w:hAnsiTheme="minorHAnsi" w:cstheme="minorHAnsi"/>
          <w:szCs w:val="24"/>
        </w:rPr>
        <w:t>with</w:t>
      </w:r>
      <w:r w:rsidR="00CC5208" w:rsidRPr="00DF2956">
        <w:rPr>
          <w:rFonts w:asciiTheme="minorHAnsi" w:hAnsiTheme="minorHAnsi" w:cstheme="minorHAnsi"/>
          <w:szCs w:val="24"/>
        </w:rPr>
        <w:t xml:space="preserve"> a</w:t>
      </w:r>
      <w:r w:rsidRPr="00DF2956">
        <w:rPr>
          <w:rFonts w:asciiTheme="minorHAnsi" w:hAnsiTheme="minorHAnsi" w:cstheme="minorHAnsi"/>
          <w:szCs w:val="24"/>
        </w:rPr>
        <w:t xml:space="preserve"> recognition ceremony honouring achievements related to the campaign</w:t>
      </w:r>
      <w:r w:rsidR="00751800">
        <w:rPr>
          <w:rFonts w:asciiTheme="minorHAnsi" w:hAnsiTheme="minorHAnsi" w:cstheme="minorHAnsi"/>
          <w:szCs w:val="24"/>
        </w:rPr>
        <w:t>’</w:t>
      </w:r>
      <w:r w:rsidRPr="00DF2956">
        <w:rPr>
          <w:rFonts w:asciiTheme="minorHAnsi" w:hAnsiTheme="minorHAnsi" w:cstheme="minorHAnsi"/>
          <w:szCs w:val="24"/>
        </w:rPr>
        <w:t>s objectives and contributions to gender equality.</w:t>
      </w:r>
    </w:p>
    <w:p w14:paraId="15B03A08" w14:textId="34793BA2" w:rsidR="001251CD" w:rsidRPr="00BE5069" w:rsidRDefault="001251CD" w:rsidP="00B66ED6">
      <w:pPr>
        <w:pStyle w:val="Heading1"/>
      </w:pPr>
      <w:r w:rsidRPr="00BE5069">
        <w:t>4</w:t>
      </w:r>
      <w:r w:rsidRPr="00BE5069">
        <w:tab/>
        <w:t>Side events</w:t>
      </w:r>
      <w:r w:rsidR="002831F7" w:rsidRPr="00BE5069">
        <w:t xml:space="preserve"> and exhibitions</w:t>
      </w:r>
    </w:p>
    <w:p w14:paraId="405FDFBE" w14:textId="4B961944" w:rsidR="002831F7" w:rsidRPr="00DF2956" w:rsidRDefault="002831F7" w:rsidP="00BE5069">
      <w:pPr>
        <w:jc w:val="both"/>
      </w:pPr>
      <w:r w:rsidRPr="00DF2956">
        <w:t>In parallel with WTSA-24, more than 20 events were held representing over 80 hours of content, providing the importance and impact of ITU</w:t>
      </w:r>
      <w:r w:rsidR="00751800">
        <w:t>’</w:t>
      </w:r>
      <w:r w:rsidRPr="00DF2956">
        <w:t>s work and engaging India</w:t>
      </w:r>
      <w:r w:rsidR="00751800">
        <w:t>’</w:t>
      </w:r>
      <w:r w:rsidRPr="00DF2956">
        <w:t>s thriving tech ecosystem.</w:t>
      </w:r>
      <w:r w:rsidR="005E3D6C" w:rsidRPr="00DF2956">
        <w:t xml:space="preserve"> The </w:t>
      </w:r>
      <w:r w:rsidR="00A40FE5">
        <w:t>A</w:t>
      </w:r>
      <w:r w:rsidR="005E3D6C" w:rsidRPr="00DF2956">
        <w:t xml:space="preserve">ssembly was </w:t>
      </w:r>
      <w:r w:rsidR="00226CB8" w:rsidRPr="00DF2956">
        <w:t xml:space="preserve">also </w:t>
      </w:r>
      <w:r w:rsidR="00226CB8">
        <w:t>enriched</w:t>
      </w:r>
      <w:r w:rsidR="00226CB8" w:rsidRPr="00DF2956">
        <w:t xml:space="preserve"> </w:t>
      </w:r>
      <w:r w:rsidR="005E3D6C" w:rsidRPr="00DF2956">
        <w:t>by more than 85 exhibitors and demos.</w:t>
      </w:r>
    </w:p>
    <w:p w14:paraId="4FB3A055" w14:textId="29F19756" w:rsidR="002831F7" w:rsidRPr="00BE5069" w:rsidRDefault="002831F7" w:rsidP="00B66ED6">
      <w:pPr>
        <w:pStyle w:val="Heading1"/>
      </w:pPr>
      <w:r w:rsidRPr="00BE5069">
        <w:t>5</w:t>
      </w:r>
      <w:r w:rsidRPr="00BE5069">
        <w:tab/>
        <w:t>Media coverage</w:t>
      </w:r>
    </w:p>
    <w:p w14:paraId="6DB16507" w14:textId="7B730E25" w:rsidR="002831F7" w:rsidRPr="00DF2956" w:rsidRDefault="002831F7" w:rsidP="00BE5069">
      <w:pPr>
        <w:jc w:val="both"/>
      </w:pPr>
      <w:r w:rsidRPr="00DF2956">
        <w:t>WTSA-24 held the biggest opening ceremony ever, with over 300</w:t>
      </w:r>
      <w:r w:rsidR="00BE5069">
        <w:t> </w:t>
      </w:r>
      <w:r w:rsidRPr="00DF2956">
        <w:t>000 views online, and stimulated global technical conversations like never before with key figures such as the hono</w:t>
      </w:r>
      <w:r w:rsidR="00776AD6">
        <w:t>u</w:t>
      </w:r>
      <w:r w:rsidRPr="00DF2956">
        <w:t xml:space="preserve">rable </w:t>
      </w:r>
      <w:r w:rsidR="00020FBF" w:rsidRPr="00DF2956">
        <w:t xml:space="preserve">His Excellency, </w:t>
      </w:r>
      <w:r w:rsidR="007B6269" w:rsidRPr="00DF2956">
        <w:t xml:space="preserve">Prime Minister of India, Shri Narendra Modi </w:t>
      </w:r>
      <w:r w:rsidRPr="00DF2956">
        <w:t>and other influential tech</w:t>
      </w:r>
      <w:r w:rsidR="007B6269" w:rsidRPr="00DF2956">
        <w:t>nology</w:t>
      </w:r>
      <w:r w:rsidRPr="00DF2956">
        <w:t xml:space="preserve"> leaders adding their voices to </w:t>
      </w:r>
      <w:r w:rsidR="003E6D7A">
        <w:t>ITU’s</w:t>
      </w:r>
      <w:r w:rsidR="003E6D7A" w:rsidRPr="00DF2956">
        <w:t xml:space="preserve"> </w:t>
      </w:r>
      <w:r w:rsidRPr="00DF2956">
        <w:t>on social media.</w:t>
      </w:r>
    </w:p>
    <w:p w14:paraId="6A0D2B85" w14:textId="1B4EA24C" w:rsidR="002831F7" w:rsidRPr="00DF2956" w:rsidRDefault="002831F7" w:rsidP="00BE5069">
      <w:pPr>
        <w:jc w:val="both"/>
      </w:pPr>
      <w:r w:rsidRPr="00DF2956">
        <w:t>Additionally</w:t>
      </w:r>
      <w:r w:rsidR="00D853A8">
        <w:t>,</w:t>
      </w:r>
      <w:r w:rsidRPr="00DF2956">
        <w:t xml:space="preserve"> </w:t>
      </w:r>
      <w:r w:rsidR="007B6269" w:rsidRPr="00DF2956">
        <w:t xml:space="preserve">the </w:t>
      </w:r>
      <w:r w:rsidR="00D853A8">
        <w:t>A</w:t>
      </w:r>
      <w:r w:rsidR="007B6269" w:rsidRPr="00DF2956">
        <w:t xml:space="preserve">ssembly </w:t>
      </w:r>
      <w:r w:rsidRPr="00DF2956">
        <w:t xml:space="preserve">had the highest number of media registered, capturing global attention and covering </w:t>
      </w:r>
      <w:r w:rsidR="007B6269" w:rsidRPr="00DF2956">
        <w:t>the a</w:t>
      </w:r>
      <w:r w:rsidRPr="00DF2956">
        <w:t xml:space="preserve">ssembly across new and </w:t>
      </w:r>
      <w:r w:rsidR="00BE5069">
        <w:t>traditional</w:t>
      </w:r>
      <w:r w:rsidRPr="00DF2956">
        <w:t xml:space="preserve"> media.</w:t>
      </w:r>
      <w:r w:rsidR="008B60AB" w:rsidRPr="00DF2956">
        <w:t xml:space="preserve"> Statistics related to media coverage </w:t>
      </w:r>
      <w:r w:rsidR="00BE5069">
        <w:t>include</w:t>
      </w:r>
      <w:r w:rsidR="008B60AB" w:rsidRPr="00DF2956">
        <w:t>:</w:t>
      </w:r>
    </w:p>
    <w:p w14:paraId="4C20D134" w14:textId="1767356B" w:rsidR="008B60AB" w:rsidRPr="00DF2956" w:rsidRDefault="00BE5069" w:rsidP="00BE5069">
      <w:pPr>
        <w:pStyle w:val="enumlev1"/>
      </w:pPr>
      <w:r>
        <w:t>–</w:t>
      </w:r>
      <w:r>
        <w:tab/>
      </w:r>
      <w:r w:rsidR="008B60AB" w:rsidRPr="00DF2956">
        <w:t>100M+ social media reach</w:t>
      </w:r>
    </w:p>
    <w:p w14:paraId="6A883A6C" w14:textId="4C7A14A9" w:rsidR="008B60AB" w:rsidRPr="00DF2956" w:rsidRDefault="00BE5069" w:rsidP="00BE5069">
      <w:pPr>
        <w:pStyle w:val="enumlev1"/>
      </w:pPr>
      <w:r>
        <w:t>–</w:t>
      </w:r>
      <w:r>
        <w:tab/>
      </w:r>
      <w:r w:rsidR="008B60AB" w:rsidRPr="00DF2956">
        <w:t>300k+ opening ceremony views</w:t>
      </w:r>
    </w:p>
    <w:p w14:paraId="7EBE69F4" w14:textId="1E3DFC5F" w:rsidR="008B60AB" w:rsidRPr="00BE5069" w:rsidRDefault="00BE5069" w:rsidP="00BE5069">
      <w:pPr>
        <w:pStyle w:val="enumlev1"/>
        <w:rPr>
          <w:lang w:val="es-ES"/>
        </w:rPr>
      </w:pPr>
      <w:r w:rsidRPr="00BE5069">
        <w:rPr>
          <w:lang w:val="es-ES"/>
        </w:rPr>
        <w:t>–</w:t>
      </w:r>
      <w:r w:rsidRPr="00BE5069">
        <w:rPr>
          <w:lang w:val="es-ES"/>
        </w:rPr>
        <w:tab/>
      </w:r>
      <w:r w:rsidR="008B60AB" w:rsidRPr="00BE5069">
        <w:rPr>
          <w:lang w:val="es-ES"/>
        </w:rPr>
        <w:t xml:space="preserve">182 media </w:t>
      </w:r>
      <w:proofErr w:type="spellStart"/>
      <w:r w:rsidR="008B60AB" w:rsidRPr="00BE5069">
        <w:rPr>
          <w:lang w:val="es-ES"/>
        </w:rPr>
        <w:t>registered</w:t>
      </w:r>
      <w:proofErr w:type="spellEnd"/>
    </w:p>
    <w:p w14:paraId="0B845A87" w14:textId="56CD47DC" w:rsidR="008B60AB" w:rsidRPr="00BE5069" w:rsidRDefault="00BE5069" w:rsidP="00BE5069">
      <w:pPr>
        <w:pStyle w:val="enumlev1"/>
        <w:rPr>
          <w:lang w:val="es-ES"/>
        </w:rPr>
      </w:pPr>
      <w:r w:rsidRPr="00BE5069">
        <w:rPr>
          <w:lang w:val="es-ES"/>
        </w:rPr>
        <w:t>–</w:t>
      </w:r>
      <w:r w:rsidRPr="00BE5069">
        <w:rPr>
          <w:lang w:val="es-ES"/>
        </w:rPr>
        <w:tab/>
      </w:r>
      <w:proofErr w:type="spellStart"/>
      <w:r w:rsidR="008B60AB" w:rsidRPr="00BE5069">
        <w:rPr>
          <w:lang w:val="es-ES"/>
        </w:rPr>
        <w:t>3.6B</w:t>
      </w:r>
      <w:proofErr w:type="spellEnd"/>
      <w:r w:rsidR="008B60AB" w:rsidRPr="00BE5069">
        <w:rPr>
          <w:lang w:val="es-ES"/>
        </w:rPr>
        <w:t xml:space="preserve"> </w:t>
      </w:r>
      <w:r w:rsidR="00126DBC" w:rsidRPr="00BE5069">
        <w:rPr>
          <w:lang w:val="es-ES"/>
        </w:rPr>
        <w:t>g</w:t>
      </w:r>
      <w:r w:rsidR="008B60AB" w:rsidRPr="00BE5069">
        <w:rPr>
          <w:lang w:val="es-ES"/>
        </w:rPr>
        <w:t xml:space="preserve">lobal media </w:t>
      </w:r>
      <w:proofErr w:type="spellStart"/>
      <w:r w:rsidR="008B60AB" w:rsidRPr="00BE5069">
        <w:rPr>
          <w:lang w:val="es-ES"/>
        </w:rPr>
        <w:t>reach</w:t>
      </w:r>
      <w:proofErr w:type="spellEnd"/>
    </w:p>
    <w:p w14:paraId="5D1A43A2" w14:textId="06A5A6DB" w:rsidR="008B60AB" w:rsidRPr="00DF2956" w:rsidRDefault="00BE5069" w:rsidP="00BE5069">
      <w:pPr>
        <w:pStyle w:val="enumlev1"/>
      </w:pPr>
      <w:r>
        <w:t>–</w:t>
      </w:r>
      <w:r>
        <w:tab/>
      </w:r>
      <w:r w:rsidR="008B60AB" w:rsidRPr="00DF2956">
        <w:t>1</w:t>
      </w:r>
      <w:r>
        <w:t> </w:t>
      </w:r>
      <w:r w:rsidR="008B60AB" w:rsidRPr="00DF2956">
        <w:t>290 ITU mentions in media</w:t>
      </w:r>
    </w:p>
    <w:p w14:paraId="3680A7F8" w14:textId="22894195" w:rsidR="008B60AB" w:rsidRPr="00DF2956" w:rsidRDefault="00BE5069" w:rsidP="00BE5069">
      <w:pPr>
        <w:pStyle w:val="enumlev1"/>
      </w:pPr>
      <w:r>
        <w:t>–</w:t>
      </w:r>
      <w:r>
        <w:tab/>
      </w:r>
      <w:r w:rsidR="008B60AB" w:rsidRPr="00DF2956">
        <w:t>99% of positive or neutral coverage</w:t>
      </w:r>
      <w:r>
        <w:t>.</w:t>
      </w:r>
    </w:p>
    <w:p w14:paraId="35C6D0A5" w14:textId="77777777" w:rsidR="007A3FCD" w:rsidRPr="00DF2956" w:rsidRDefault="007A3FCD" w:rsidP="007A3FCD">
      <w:pPr>
        <w:jc w:val="center"/>
      </w:pPr>
      <w:r w:rsidRPr="00DF2956">
        <w:t>______________</w:t>
      </w:r>
    </w:p>
    <w:sectPr w:rsidR="007A3FCD" w:rsidRPr="00DF2956" w:rsidSect="00AD3606">
      <w:headerReference w:type="even" r:id="rId24"/>
      <w:headerReference w:type="default" r:id="rId25"/>
      <w:footerReference w:type="even" r:id="rId26"/>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31819" w14:textId="77777777" w:rsidR="00FB21FA" w:rsidRDefault="00FB21FA">
      <w:r>
        <w:separator/>
      </w:r>
    </w:p>
  </w:endnote>
  <w:endnote w:type="continuationSeparator" w:id="0">
    <w:p w14:paraId="61A3F3A7" w14:textId="77777777" w:rsidR="00FB21FA" w:rsidRDefault="00FB21FA">
      <w:r>
        <w:continuationSeparator/>
      </w:r>
    </w:p>
  </w:endnote>
  <w:endnote w:type="continuationNotice" w:id="1">
    <w:p w14:paraId="1A7C9E4B" w14:textId="77777777" w:rsidR="00FB21FA" w:rsidRDefault="00FB21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6D07" w14:textId="77777777" w:rsidR="008B74DB" w:rsidRDefault="008B7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rsidTr="00E93FC8">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2FF02682" w:rsidR="00EE49E8" w:rsidRPr="00E06FD5" w:rsidRDefault="00EE49E8" w:rsidP="00BE5069">
          <w:pPr>
            <w:pStyle w:val="Header"/>
            <w:tabs>
              <w:tab w:val="left" w:pos="6164"/>
              <w:tab w:val="right" w:pos="8505"/>
              <w:tab w:val="right" w:pos="9639"/>
            </w:tabs>
            <w:jc w:val="right"/>
            <w:rPr>
              <w:rFonts w:ascii="Arial" w:hAnsi="Arial" w:cs="Arial"/>
              <w:b/>
              <w:bCs/>
              <w:szCs w:val="18"/>
            </w:rPr>
          </w:pPr>
          <w:r>
            <w:rPr>
              <w:bCs/>
            </w:rPr>
            <w:tab/>
          </w:r>
          <w:r w:rsidRPr="00623AE3">
            <w:rPr>
              <w:bCs/>
            </w:rPr>
            <w:t>C</w:t>
          </w:r>
          <w:r>
            <w:rPr>
              <w:bCs/>
            </w:rPr>
            <w:t>2</w:t>
          </w:r>
          <w:r w:rsidR="00C6520B">
            <w:rPr>
              <w:bCs/>
            </w:rPr>
            <w:t>5</w:t>
          </w:r>
          <w:r w:rsidRPr="00623AE3">
            <w:rPr>
              <w:bCs/>
            </w:rPr>
            <w:t>/</w:t>
          </w:r>
          <w:r w:rsidR="009E331D">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6EF58320" w:rsidR="00EE49E8" w:rsidRPr="00E06FD5" w:rsidRDefault="00EE49E8" w:rsidP="008B74DB">
          <w:pPr>
            <w:pStyle w:val="Header"/>
            <w:tabs>
              <w:tab w:val="left" w:pos="6448"/>
              <w:tab w:val="right" w:pos="8505"/>
              <w:tab w:val="right" w:pos="9639"/>
            </w:tabs>
            <w:jc w:val="right"/>
            <w:rPr>
              <w:rFonts w:ascii="Arial" w:hAnsi="Arial" w:cs="Arial"/>
              <w:b/>
              <w:bCs/>
              <w:szCs w:val="18"/>
            </w:rPr>
          </w:pPr>
          <w:r w:rsidRPr="00623AE3">
            <w:rPr>
              <w:bCs/>
            </w:rPr>
            <w:t>C</w:t>
          </w:r>
          <w:r>
            <w:rPr>
              <w:bCs/>
            </w:rPr>
            <w:t>2</w:t>
          </w:r>
          <w:r w:rsidR="00BF1FDE">
            <w:rPr>
              <w:bCs/>
            </w:rPr>
            <w:t>5</w:t>
          </w:r>
          <w:r w:rsidRPr="00623AE3">
            <w:rPr>
              <w:bCs/>
            </w:rPr>
            <w:t>/</w:t>
          </w:r>
          <w:r w:rsidR="009E331D">
            <w:rPr>
              <w:bCs/>
            </w:rPr>
            <w:t>24</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DCC2" w14:textId="77777777" w:rsidR="00FB21FA" w:rsidRDefault="00FB21FA">
      <w:r>
        <w:t>____________________</w:t>
      </w:r>
    </w:p>
  </w:footnote>
  <w:footnote w:type="continuationSeparator" w:id="0">
    <w:p w14:paraId="44B0E74B" w14:textId="77777777" w:rsidR="00FB21FA" w:rsidRDefault="00FB21FA">
      <w:r>
        <w:continuationSeparator/>
      </w:r>
    </w:p>
  </w:footnote>
  <w:footnote w:type="continuationNotice" w:id="1">
    <w:p w14:paraId="6A8DC1EF" w14:textId="77777777" w:rsidR="00FB21FA" w:rsidRDefault="00FB21F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DA61" w14:textId="77777777" w:rsidR="008B74DB" w:rsidRDefault="008B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2E1D" w14:textId="77777777" w:rsidR="008B74DB" w:rsidRDefault="008B7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rsidTr="00E93FC8">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498581B">
            <v:rect id="Rectangle 5"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244EE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1162BE"/>
    <w:multiLevelType w:val="hybridMultilevel"/>
    <w:tmpl w:val="A5D8B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E3311"/>
    <w:multiLevelType w:val="hybridMultilevel"/>
    <w:tmpl w:val="200E36A6"/>
    <w:lvl w:ilvl="0" w:tplc="F7204C5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117E6"/>
    <w:multiLevelType w:val="hybridMultilevel"/>
    <w:tmpl w:val="19C0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226EA"/>
    <w:multiLevelType w:val="hybridMultilevel"/>
    <w:tmpl w:val="42529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A6281"/>
    <w:multiLevelType w:val="hybridMultilevel"/>
    <w:tmpl w:val="8F4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141310103">
    <w:abstractNumId w:val="2"/>
  </w:num>
  <w:num w:numId="3" w16cid:durableId="1270047341">
    <w:abstractNumId w:val="1"/>
  </w:num>
  <w:num w:numId="4" w16cid:durableId="336083736">
    <w:abstractNumId w:val="3"/>
  </w:num>
  <w:num w:numId="5" w16cid:durableId="2092968157">
    <w:abstractNumId w:val="4"/>
  </w:num>
  <w:num w:numId="6" w16cid:durableId="857815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1112B"/>
    <w:rsid w:val="000171FC"/>
    <w:rsid w:val="00020FBF"/>
    <w:rsid w:val="000210D4"/>
    <w:rsid w:val="00032655"/>
    <w:rsid w:val="00035321"/>
    <w:rsid w:val="00050DCF"/>
    <w:rsid w:val="0006007D"/>
    <w:rsid w:val="00063016"/>
    <w:rsid w:val="0006550E"/>
    <w:rsid w:val="00066795"/>
    <w:rsid w:val="00071949"/>
    <w:rsid w:val="000745AB"/>
    <w:rsid w:val="00075F59"/>
    <w:rsid w:val="00076AF6"/>
    <w:rsid w:val="000779B6"/>
    <w:rsid w:val="0008010A"/>
    <w:rsid w:val="00083954"/>
    <w:rsid w:val="000855E3"/>
    <w:rsid w:val="00085CF2"/>
    <w:rsid w:val="00090048"/>
    <w:rsid w:val="000A2368"/>
    <w:rsid w:val="000B0A49"/>
    <w:rsid w:val="000B1705"/>
    <w:rsid w:val="000B3E52"/>
    <w:rsid w:val="000D264B"/>
    <w:rsid w:val="000D5477"/>
    <w:rsid w:val="000D75B2"/>
    <w:rsid w:val="000E6488"/>
    <w:rsid w:val="000F1003"/>
    <w:rsid w:val="000F5DDB"/>
    <w:rsid w:val="000F5F0A"/>
    <w:rsid w:val="000F65A2"/>
    <w:rsid w:val="000F7289"/>
    <w:rsid w:val="001121F5"/>
    <w:rsid w:val="001176AA"/>
    <w:rsid w:val="001219FA"/>
    <w:rsid w:val="001251CD"/>
    <w:rsid w:val="00126DBC"/>
    <w:rsid w:val="001400DC"/>
    <w:rsid w:val="00140CE1"/>
    <w:rsid w:val="001509E4"/>
    <w:rsid w:val="00155C89"/>
    <w:rsid w:val="001562EA"/>
    <w:rsid w:val="00162A66"/>
    <w:rsid w:val="0017539C"/>
    <w:rsid w:val="00175AC2"/>
    <w:rsid w:val="0017609F"/>
    <w:rsid w:val="00177BEE"/>
    <w:rsid w:val="00182A30"/>
    <w:rsid w:val="00196E08"/>
    <w:rsid w:val="001A0305"/>
    <w:rsid w:val="001A3154"/>
    <w:rsid w:val="001A7D1D"/>
    <w:rsid w:val="001B3B9E"/>
    <w:rsid w:val="001B51DD"/>
    <w:rsid w:val="001C628E"/>
    <w:rsid w:val="001D5781"/>
    <w:rsid w:val="001E0F7B"/>
    <w:rsid w:val="001E33C6"/>
    <w:rsid w:val="001E4662"/>
    <w:rsid w:val="001F5569"/>
    <w:rsid w:val="002119FD"/>
    <w:rsid w:val="002130E0"/>
    <w:rsid w:val="00213B7A"/>
    <w:rsid w:val="00221F46"/>
    <w:rsid w:val="00226CB8"/>
    <w:rsid w:val="002545E5"/>
    <w:rsid w:val="00264425"/>
    <w:rsid w:val="00265875"/>
    <w:rsid w:val="0027303B"/>
    <w:rsid w:val="00273F4A"/>
    <w:rsid w:val="0028109B"/>
    <w:rsid w:val="002831F7"/>
    <w:rsid w:val="00292AA4"/>
    <w:rsid w:val="002A2188"/>
    <w:rsid w:val="002B1F58"/>
    <w:rsid w:val="002C037A"/>
    <w:rsid w:val="002C1C7A"/>
    <w:rsid w:val="002C54E2"/>
    <w:rsid w:val="002C6A33"/>
    <w:rsid w:val="002D5D6C"/>
    <w:rsid w:val="002D6F18"/>
    <w:rsid w:val="0030160F"/>
    <w:rsid w:val="00320223"/>
    <w:rsid w:val="0032241F"/>
    <w:rsid w:val="00322D0D"/>
    <w:rsid w:val="00336A5A"/>
    <w:rsid w:val="00361465"/>
    <w:rsid w:val="003877F5"/>
    <w:rsid w:val="003936D3"/>
    <w:rsid w:val="003942D4"/>
    <w:rsid w:val="003958A8"/>
    <w:rsid w:val="003B29C2"/>
    <w:rsid w:val="003C2533"/>
    <w:rsid w:val="003D1D21"/>
    <w:rsid w:val="003D5A7F"/>
    <w:rsid w:val="003E6D7A"/>
    <w:rsid w:val="003F32A2"/>
    <w:rsid w:val="003F5843"/>
    <w:rsid w:val="0040435A"/>
    <w:rsid w:val="00416A24"/>
    <w:rsid w:val="00427BFF"/>
    <w:rsid w:val="00431D9E"/>
    <w:rsid w:val="00431FFF"/>
    <w:rsid w:val="00433CE8"/>
    <w:rsid w:val="00434A5C"/>
    <w:rsid w:val="0043798F"/>
    <w:rsid w:val="00442903"/>
    <w:rsid w:val="00447031"/>
    <w:rsid w:val="00452548"/>
    <w:rsid w:val="00453079"/>
    <w:rsid w:val="004544D9"/>
    <w:rsid w:val="0046365A"/>
    <w:rsid w:val="00472BAD"/>
    <w:rsid w:val="004811F8"/>
    <w:rsid w:val="00484009"/>
    <w:rsid w:val="00490E72"/>
    <w:rsid w:val="00491157"/>
    <w:rsid w:val="00491BA9"/>
    <w:rsid w:val="004921C8"/>
    <w:rsid w:val="00495B0B"/>
    <w:rsid w:val="004969D7"/>
    <w:rsid w:val="004A1B8B"/>
    <w:rsid w:val="004A27D4"/>
    <w:rsid w:val="004B25A1"/>
    <w:rsid w:val="004D1851"/>
    <w:rsid w:val="004D599D"/>
    <w:rsid w:val="004E2EA5"/>
    <w:rsid w:val="004E3AEB"/>
    <w:rsid w:val="004F2603"/>
    <w:rsid w:val="0050223C"/>
    <w:rsid w:val="0051622A"/>
    <w:rsid w:val="005243FF"/>
    <w:rsid w:val="00536187"/>
    <w:rsid w:val="005375AF"/>
    <w:rsid w:val="005419D0"/>
    <w:rsid w:val="00564CB7"/>
    <w:rsid w:val="00564FBC"/>
    <w:rsid w:val="005652B7"/>
    <w:rsid w:val="0057143D"/>
    <w:rsid w:val="00571799"/>
    <w:rsid w:val="00577BCF"/>
    <w:rsid w:val="005800BC"/>
    <w:rsid w:val="00582442"/>
    <w:rsid w:val="00584943"/>
    <w:rsid w:val="005855EE"/>
    <w:rsid w:val="005A37E5"/>
    <w:rsid w:val="005A5AC9"/>
    <w:rsid w:val="005B2038"/>
    <w:rsid w:val="005C3AAA"/>
    <w:rsid w:val="005C49B7"/>
    <w:rsid w:val="005E3D6C"/>
    <w:rsid w:val="005F3269"/>
    <w:rsid w:val="00603668"/>
    <w:rsid w:val="006079FA"/>
    <w:rsid w:val="00623AE3"/>
    <w:rsid w:val="00626018"/>
    <w:rsid w:val="00630C4D"/>
    <w:rsid w:val="006349A0"/>
    <w:rsid w:val="00644EC6"/>
    <w:rsid w:val="0064737F"/>
    <w:rsid w:val="00651DAD"/>
    <w:rsid w:val="006535F1"/>
    <w:rsid w:val="0065557D"/>
    <w:rsid w:val="00660D50"/>
    <w:rsid w:val="00662984"/>
    <w:rsid w:val="006716BB"/>
    <w:rsid w:val="006755CF"/>
    <w:rsid w:val="00693138"/>
    <w:rsid w:val="006A1F11"/>
    <w:rsid w:val="006A6BF5"/>
    <w:rsid w:val="006A6E38"/>
    <w:rsid w:val="006B1859"/>
    <w:rsid w:val="006B6680"/>
    <w:rsid w:val="006B6DCC"/>
    <w:rsid w:val="006B77F1"/>
    <w:rsid w:val="006C3EE4"/>
    <w:rsid w:val="006C5ECF"/>
    <w:rsid w:val="006D3027"/>
    <w:rsid w:val="006E6128"/>
    <w:rsid w:val="00702DEF"/>
    <w:rsid w:val="00706861"/>
    <w:rsid w:val="00707BF4"/>
    <w:rsid w:val="00712AFA"/>
    <w:rsid w:val="007152B6"/>
    <w:rsid w:val="00716D7D"/>
    <w:rsid w:val="00722551"/>
    <w:rsid w:val="00731CA8"/>
    <w:rsid w:val="00731EC3"/>
    <w:rsid w:val="00732DF5"/>
    <w:rsid w:val="00733017"/>
    <w:rsid w:val="0073629D"/>
    <w:rsid w:val="0075051B"/>
    <w:rsid w:val="00751800"/>
    <w:rsid w:val="0077110E"/>
    <w:rsid w:val="00776AD6"/>
    <w:rsid w:val="007857A2"/>
    <w:rsid w:val="00793188"/>
    <w:rsid w:val="00794D34"/>
    <w:rsid w:val="0079689B"/>
    <w:rsid w:val="007A3FCD"/>
    <w:rsid w:val="007B0F1D"/>
    <w:rsid w:val="007B19CF"/>
    <w:rsid w:val="007B2C8E"/>
    <w:rsid w:val="007B6269"/>
    <w:rsid w:val="007D01AF"/>
    <w:rsid w:val="007D18AB"/>
    <w:rsid w:val="007E2BB6"/>
    <w:rsid w:val="007F2627"/>
    <w:rsid w:val="00802E11"/>
    <w:rsid w:val="00813E5E"/>
    <w:rsid w:val="008162C3"/>
    <w:rsid w:val="00824B11"/>
    <w:rsid w:val="00832111"/>
    <w:rsid w:val="0083581B"/>
    <w:rsid w:val="00842E00"/>
    <w:rsid w:val="008466A1"/>
    <w:rsid w:val="00851E33"/>
    <w:rsid w:val="00860734"/>
    <w:rsid w:val="0086182A"/>
    <w:rsid w:val="00863874"/>
    <w:rsid w:val="00864AFF"/>
    <w:rsid w:val="00865925"/>
    <w:rsid w:val="00871FDF"/>
    <w:rsid w:val="00886CA2"/>
    <w:rsid w:val="008B4A6A"/>
    <w:rsid w:val="008B5557"/>
    <w:rsid w:val="008B5FB3"/>
    <w:rsid w:val="008B60AB"/>
    <w:rsid w:val="008B74DB"/>
    <w:rsid w:val="008C7E27"/>
    <w:rsid w:val="008E7387"/>
    <w:rsid w:val="008F198D"/>
    <w:rsid w:val="008F6291"/>
    <w:rsid w:val="008F7448"/>
    <w:rsid w:val="0090147A"/>
    <w:rsid w:val="00910700"/>
    <w:rsid w:val="009173EF"/>
    <w:rsid w:val="00932906"/>
    <w:rsid w:val="00946915"/>
    <w:rsid w:val="00955F62"/>
    <w:rsid w:val="00961B0B"/>
    <w:rsid w:val="00962D33"/>
    <w:rsid w:val="0097209E"/>
    <w:rsid w:val="00990FF7"/>
    <w:rsid w:val="009B38C3"/>
    <w:rsid w:val="009C231C"/>
    <w:rsid w:val="009E1394"/>
    <w:rsid w:val="009E17BD"/>
    <w:rsid w:val="009E323C"/>
    <w:rsid w:val="009E331D"/>
    <w:rsid w:val="009E485A"/>
    <w:rsid w:val="00A037F0"/>
    <w:rsid w:val="00A04CEC"/>
    <w:rsid w:val="00A16D75"/>
    <w:rsid w:val="00A23C23"/>
    <w:rsid w:val="00A27471"/>
    <w:rsid w:val="00A27F92"/>
    <w:rsid w:val="00A32257"/>
    <w:rsid w:val="00A36D20"/>
    <w:rsid w:val="00A40FE5"/>
    <w:rsid w:val="00A428A2"/>
    <w:rsid w:val="00A43FF5"/>
    <w:rsid w:val="00A51077"/>
    <w:rsid w:val="00A514A4"/>
    <w:rsid w:val="00A52DF5"/>
    <w:rsid w:val="00A55622"/>
    <w:rsid w:val="00A570A5"/>
    <w:rsid w:val="00A57CE9"/>
    <w:rsid w:val="00A66E77"/>
    <w:rsid w:val="00A83502"/>
    <w:rsid w:val="00A877CA"/>
    <w:rsid w:val="00A9409A"/>
    <w:rsid w:val="00A94BAB"/>
    <w:rsid w:val="00AC55DC"/>
    <w:rsid w:val="00AD15B3"/>
    <w:rsid w:val="00AD3606"/>
    <w:rsid w:val="00AD4A3D"/>
    <w:rsid w:val="00AD677D"/>
    <w:rsid w:val="00AE5014"/>
    <w:rsid w:val="00AF6E49"/>
    <w:rsid w:val="00B04A67"/>
    <w:rsid w:val="00B0583C"/>
    <w:rsid w:val="00B21A9D"/>
    <w:rsid w:val="00B32083"/>
    <w:rsid w:val="00B3647C"/>
    <w:rsid w:val="00B40A81"/>
    <w:rsid w:val="00B4366B"/>
    <w:rsid w:val="00B44910"/>
    <w:rsid w:val="00B51332"/>
    <w:rsid w:val="00B5698F"/>
    <w:rsid w:val="00B66ED6"/>
    <w:rsid w:val="00B72267"/>
    <w:rsid w:val="00B76B7D"/>
    <w:rsid w:val="00B76EB6"/>
    <w:rsid w:val="00B7737B"/>
    <w:rsid w:val="00B824C8"/>
    <w:rsid w:val="00B84B9D"/>
    <w:rsid w:val="00B85491"/>
    <w:rsid w:val="00B9131F"/>
    <w:rsid w:val="00BA1698"/>
    <w:rsid w:val="00BB0646"/>
    <w:rsid w:val="00BB1C67"/>
    <w:rsid w:val="00BB6E47"/>
    <w:rsid w:val="00BC251A"/>
    <w:rsid w:val="00BD032B"/>
    <w:rsid w:val="00BD7B7F"/>
    <w:rsid w:val="00BE01C6"/>
    <w:rsid w:val="00BE2640"/>
    <w:rsid w:val="00BE5069"/>
    <w:rsid w:val="00BF06A8"/>
    <w:rsid w:val="00BF1FDE"/>
    <w:rsid w:val="00BF28F6"/>
    <w:rsid w:val="00BF2F09"/>
    <w:rsid w:val="00BF45D5"/>
    <w:rsid w:val="00BF65C3"/>
    <w:rsid w:val="00C01189"/>
    <w:rsid w:val="00C0458D"/>
    <w:rsid w:val="00C04D63"/>
    <w:rsid w:val="00C11B6D"/>
    <w:rsid w:val="00C12AFA"/>
    <w:rsid w:val="00C36557"/>
    <w:rsid w:val="00C374DE"/>
    <w:rsid w:val="00C47AD4"/>
    <w:rsid w:val="00C52D81"/>
    <w:rsid w:val="00C54A74"/>
    <w:rsid w:val="00C55198"/>
    <w:rsid w:val="00C6520B"/>
    <w:rsid w:val="00C829DD"/>
    <w:rsid w:val="00C834C6"/>
    <w:rsid w:val="00C910F7"/>
    <w:rsid w:val="00CA6393"/>
    <w:rsid w:val="00CA7995"/>
    <w:rsid w:val="00CB18FF"/>
    <w:rsid w:val="00CC33CB"/>
    <w:rsid w:val="00CC5208"/>
    <w:rsid w:val="00CC7EC3"/>
    <w:rsid w:val="00CD0C08"/>
    <w:rsid w:val="00CD6455"/>
    <w:rsid w:val="00CE03FB"/>
    <w:rsid w:val="00CE433C"/>
    <w:rsid w:val="00CF0161"/>
    <w:rsid w:val="00CF33F3"/>
    <w:rsid w:val="00CF4A2B"/>
    <w:rsid w:val="00D024CA"/>
    <w:rsid w:val="00D06183"/>
    <w:rsid w:val="00D11561"/>
    <w:rsid w:val="00D22C42"/>
    <w:rsid w:val="00D32232"/>
    <w:rsid w:val="00D502A7"/>
    <w:rsid w:val="00D618F6"/>
    <w:rsid w:val="00D65041"/>
    <w:rsid w:val="00D853A8"/>
    <w:rsid w:val="00DA0B5B"/>
    <w:rsid w:val="00DB1936"/>
    <w:rsid w:val="00DB384B"/>
    <w:rsid w:val="00DC73BE"/>
    <w:rsid w:val="00DD11ED"/>
    <w:rsid w:val="00DD6E28"/>
    <w:rsid w:val="00DE0B32"/>
    <w:rsid w:val="00DF0189"/>
    <w:rsid w:val="00DF0C34"/>
    <w:rsid w:val="00DF26C9"/>
    <w:rsid w:val="00DF2956"/>
    <w:rsid w:val="00E01B7A"/>
    <w:rsid w:val="00E06FD5"/>
    <w:rsid w:val="00E078EE"/>
    <w:rsid w:val="00E10E80"/>
    <w:rsid w:val="00E11D04"/>
    <w:rsid w:val="00E124F0"/>
    <w:rsid w:val="00E2213C"/>
    <w:rsid w:val="00E227F3"/>
    <w:rsid w:val="00E2665B"/>
    <w:rsid w:val="00E27457"/>
    <w:rsid w:val="00E545C6"/>
    <w:rsid w:val="00E60F04"/>
    <w:rsid w:val="00E65B24"/>
    <w:rsid w:val="00E854E4"/>
    <w:rsid w:val="00E86DBF"/>
    <w:rsid w:val="00E93FC8"/>
    <w:rsid w:val="00E969AF"/>
    <w:rsid w:val="00EB0D6F"/>
    <w:rsid w:val="00EB2232"/>
    <w:rsid w:val="00EB2B35"/>
    <w:rsid w:val="00EC5337"/>
    <w:rsid w:val="00ED6330"/>
    <w:rsid w:val="00EE09DA"/>
    <w:rsid w:val="00EE49E8"/>
    <w:rsid w:val="00EF1A29"/>
    <w:rsid w:val="00F07189"/>
    <w:rsid w:val="00F1085B"/>
    <w:rsid w:val="00F16BAB"/>
    <w:rsid w:val="00F2150A"/>
    <w:rsid w:val="00F21CFE"/>
    <w:rsid w:val="00F231D8"/>
    <w:rsid w:val="00F331B4"/>
    <w:rsid w:val="00F41209"/>
    <w:rsid w:val="00F42C33"/>
    <w:rsid w:val="00F44C00"/>
    <w:rsid w:val="00F45D2C"/>
    <w:rsid w:val="00F46C5F"/>
    <w:rsid w:val="00F61C9D"/>
    <w:rsid w:val="00F632C0"/>
    <w:rsid w:val="00F641E1"/>
    <w:rsid w:val="00F659DE"/>
    <w:rsid w:val="00F66445"/>
    <w:rsid w:val="00F94A63"/>
    <w:rsid w:val="00FA1C28"/>
    <w:rsid w:val="00FB1279"/>
    <w:rsid w:val="00FB21FA"/>
    <w:rsid w:val="00FB3CCC"/>
    <w:rsid w:val="00FB6B76"/>
    <w:rsid w:val="00FB7596"/>
    <w:rsid w:val="00FC3C53"/>
    <w:rsid w:val="00FC5C64"/>
    <w:rsid w:val="00FD0A76"/>
    <w:rsid w:val="00FD415D"/>
    <w:rsid w:val="00FE4077"/>
    <w:rsid w:val="00FE500D"/>
    <w:rsid w:val="00FE77D2"/>
    <w:rsid w:val="00FF3771"/>
    <w:rsid w:val="00FF39B1"/>
    <w:rsid w:val="0B4D9354"/>
    <w:rsid w:val="0E399916"/>
    <w:rsid w:val="0EE369DA"/>
    <w:rsid w:val="10E9B8AF"/>
    <w:rsid w:val="13603DE5"/>
    <w:rsid w:val="154C08F7"/>
    <w:rsid w:val="16EA9D77"/>
    <w:rsid w:val="17842B44"/>
    <w:rsid w:val="199336F2"/>
    <w:rsid w:val="1A99AD1A"/>
    <w:rsid w:val="1B6B351A"/>
    <w:rsid w:val="1E34FC49"/>
    <w:rsid w:val="3146925F"/>
    <w:rsid w:val="331119A6"/>
    <w:rsid w:val="4320F124"/>
    <w:rsid w:val="468C2891"/>
    <w:rsid w:val="47826C63"/>
    <w:rsid w:val="4A898235"/>
    <w:rsid w:val="4BF9315F"/>
    <w:rsid w:val="4CB7EBD1"/>
    <w:rsid w:val="5096EB00"/>
    <w:rsid w:val="523C122A"/>
    <w:rsid w:val="5B611CB2"/>
    <w:rsid w:val="5DFB4653"/>
    <w:rsid w:val="634C396A"/>
    <w:rsid w:val="649401B8"/>
    <w:rsid w:val="663621B5"/>
    <w:rsid w:val="68C1A647"/>
    <w:rsid w:val="69A44274"/>
    <w:rsid w:val="6F5A7ACC"/>
    <w:rsid w:val="6F71EE53"/>
    <w:rsid w:val="71DE3800"/>
    <w:rsid w:val="76A39CFA"/>
    <w:rsid w:val="789901E9"/>
    <w:rsid w:val="7FD99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AF32503A-A1D4-4A87-BE10-3CC69CF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BE"/>
    <w:pPr>
      <w:tabs>
        <w:tab w:val="left" w:pos="567"/>
        <w:tab w:val="left" w:pos="1134"/>
        <w:tab w:val="left" w:pos="1701"/>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66ED6"/>
    <w:pPr>
      <w:keepNext/>
      <w:keepLines/>
      <w:spacing w:before="240"/>
      <w:ind w:left="567" w:hanging="567"/>
      <w:outlineLvl w:val="0"/>
    </w:pPr>
    <w:rPr>
      <w:b/>
      <w:bCs/>
      <w:sz w:val="28"/>
    </w:rPr>
  </w:style>
  <w:style w:type="paragraph" w:styleId="Heading2">
    <w:name w:val="heading 2"/>
    <w:basedOn w:val="Heading1"/>
    <w:next w:val="Normal"/>
    <w:qFormat/>
    <w:rsid w:val="00B66ED6"/>
    <w:pPr>
      <w:spacing w:before="200"/>
      <w:outlineLvl w:val="1"/>
    </w:pPr>
    <w:rPr>
      <w:bCs w:val="0"/>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spacing w:before="0"/>
    </w:pPr>
    <w:rPr>
      <w:caps/>
      <w:noProof/>
      <w:sz w:val="16"/>
    </w:rPr>
  </w:style>
  <w:style w:type="paragraph" w:styleId="Header">
    <w:name w:val="header"/>
    <w:basedOn w:val="Normal"/>
    <w:link w:val="HeaderChar"/>
    <w:uiPriority w:val="99"/>
    <w:rsid w:val="005800BC"/>
    <w:pPr>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F6291"/>
    <w:pPr>
      <w:keepNext/>
      <w:spacing w:before="480" w:after="120"/>
      <w:jc w:val="center"/>
    </w:pPr>
    <w:rPr>
      <w:caps/>
    </w:rPr>
  </w:style>
  <w:style w:type="paragraph" w:customStyle="1" w:styleId="Tabletext">
    <w:name w:val="Table_text"/>
    <w:basedOn w:val="Normal"/>
    <w:rsid w:val="00813E5E"/>
    <w:pPr>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B66ED6"/>
    <w:pPr>
      <w:spacing w:before="80" w:after="80"/>
      <w:jc w:val="center"/>
    </w:pPr>
    <w:rPr>
      <w:rFonts w:eastAsiaTheme="minorHAnsi" w:cstheme="minorBidi"/>
      <w:b/>
      <w:szCs w:val="22"/>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spacing w:before="360"/>
      <w:jc w:val="center"/>
    </w:pPr>
    <w:rPr>
      <w:b/>
    </w:rPr>
  </w:style>
  <w:style w:type="paragraph" w:customStyle="1" w:styleId="ArtNo">
    <w:name w:val="Art_No"/>
    <w:basedOn w:val="Normal"/>
    <w:next w:val="Arttitle"/>
    <w:qFormat/>
    <w:rsid w:val="00F641E1"/>
    <w:pPr>
      <w:keepNext/>
      <w:keepLines/>
      <w:spacing w:before="480"/>
      <w:jc w:val="center"/>
    </w:pPr>
    <w:rPr>
      <w:caps/>
      <w:sz w:val="28"/>
    </w:rPr>
  </w:style>
  <w:style w:type="paragraph" w:customStyle="1" w:styleId="Arttitle">
    <w:name w:val="Art_title"/>
    <w:basedOn w:val="Normal"/>
    <w:next w:val="Normal"/>
    <w:qFormat/>
    <w:rsid w:val="00F641E1"/>
    <w:pPr>
      <w:keepNext/>
      <w:keepLine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overflowPunct/>
      <w:autoSpaceDE/>
      <w:autoSpaceDN/>
      <w:adjustRightInd/>
      <w:spacing w:before="0"/>
      <w:textAlignment w:val="auto"/>
    </w:pPr>
    <w:rPr>
      <w:rFonts w:ascii="Times New Roman" w:hAnsi="Times New Roman"/>
      <w:lang w:val="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6A6BF5"/>
    <w:pPr>
      <w:ind w:left="720"/>
      <w:contextualSpacing/>
    </w:pPr>
    <w:rPr>
      <w:rFonts w:eastAsia="SimSu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6A6BF5"/>
    <w:rPr>
      <w:rFonts w:ascii="Calibri" w:eastAsia="SimSun" w:hAnsi="Calibri"/>
      <w:sz w:val="24"/>
      <w:lang w:val="en-GB" w:eastAsia="en-US"/>
    </w:rPr>
  </w:style>
  <w:style w:type="character" w:customStyle="1" w:styleId="Heading1Char">
    <w:name w:val="Heading 1 Char"/>
    <w:basedOn w:val="DefaultParagraphFont"/>
    <w:link w:val="Heading1"/>
    <w:rsid w:val="00B66ED6"/>
    <w:rPr>
      <w:rFonts w:ascii="Calibri" w:hAnsi="Calibri"/>
      <w:b/>
      <w:bCs/>
      <w:sz w:val="28"/>
      <w:lang w:val="en-GB" w:eastAsia="en-US"/>
    </w:rPr>
  </w:style>
  <w:style w:type="paragraph" w:styleId="Revision">
    <w:name w:val="Revision"/>
    <w:hidden/>
    <w:uiPriority w:val="99"/>
    <w:semiHidden/>
    <w:rsid w:val="00BB1C67"/>
    <w:rPr>
      <w:rFonts w:ascii="Calibri" w:hAnsi="Calibri"/>
      <w:sz w:val="24"/>
      <w:lang w:val="en-GB" w:eastAsia="en-US"/>
    </w:rPr>
  </w:style>
  <w:style w:type="character" w:styleId="CommentReference">
    <w:name w:val="annotation reference"/>
    <w:basedOn w:val="DefaultParagraphFont"/>
    <w:uiPriority w:val="99"/>
    <w:semiHidden/>
    <w:unhideWhenUsed/>
    <w:rsid w:val="0046365A"/>
    <w:rPr>
      <w:sz w:val="16"/>
      <w:szCs w:val="16"/>
    </w:rPr>
  </w:style>
  <w:style w:type="paragraph" w:styleId="CommentText">
    <w:name w:val="annotation text"/>
    <w:basedOn w:val="Normal"/>
    <w:link w:val="CommentTextChar"/>
    <w:uiPriority w:val="99"/>
    <w:unhideWhenUsed/>
    <w:rsid w:val="0046365A"/>
    <w:pPr>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46365A"/>
    <w:rPr>
      <w:rFonts w:asciiTheme="minorHAnsi" w:eastAsiaTheme="minorHAnsi" w:hAnsiTheme="minorHAnsi" w:cstheme="minorBidi"/>
      <w:kern w:val="2"/>
      <w:lang w:val="en-GB" w:eastAsia="en-US"/>
      <w14:ligatures w14:val="standardContextual"/>
    </w:rPr>
  </w:style>
  <w:style w:type="paragraph" w:customStyle="1" w:styleId="Tablefin">
    <w:name w:val="Table_fin"/>
    <w:basedOn w:val="Tabletext"/>
    <w:rsid w:val="00832111"/>
    <w:pPr>
      <w:tabs>
        <w:tab w:val="clear" w:pos="567"/>
        <w:tab w:val="clear" w:pos="1134"/>
        <w:tab w:val="clear" w:pos="1701"/>
      </w:tabs>
      <w:spacing w:before="0" w:after="0"/>
    </w:pPr>
  </w:style>
  <w:style w:type="paragraph" w:styleId="CommentSubject">
    <w:name w:val="annotation subject"/>
    <w:basedOn w:val="CommentText"/>
    <w:next w:val="CommentText"/>
    <w:link w:val="CommentSubjectChar"/>
    <w:semiHidden/>
    <w:unhideWhenUsed/>
    <w:rsid w:val="009E1394"/>
    <w:pPr>
      <w:overflowPunct w:val="0"/>
      <w:autoSpaceDE w:val="0"/>
      <w:autoSpaceDN w:val="0"/>
      <w:adjustRightInd w:val="0"/>
      <w:spacing w:before="120" w:after="0"/>
      <w:textAlignment w:val="baseline"/>
    </w:pPr>
    <w:rPr>
      <w:rFonts w:ascii="Calibri" w:eastAsia="MS Mincho" w:hAnsi="Calibri" w:cs="Times New Roman"/>
      <w:b/>
      <w:bCs/>
      <w:kern w:val="0"/>
      <w14:ligatures w14:val="none"/>
    </w:rPr>
  </w:style>
  <w:style w:type="character" w:customStyle="1" w:styleId="CommentSubjectChar">
    <w:name w:val="Comment Subject Char"/>
    <w:basedOn w:val="CommentTextChar"/>
    <w:link w:val="CommentSubject"/>
    <w:semiHidden/>
    <w:rsid w:val="009E1394"/>
    <w:rPr>
      <w:rFonts w:ascii="Calibri" w:eastAsiaTheme="minorHAnsi" w:hAnsi="Calibri" w:cstheme="minorBidi"/>
      <w:b/>
      <w:bCs/>
      <w:kern w:val="2"/>
      <w:lang w:val="en-GB" w:eastAsia="en-US"/>
      <w14:ligatures w14:val="standardContextual"/>
    </w:rPr>
  </w:style>
  <w:style w:type="character" w:styleId="Mention">
    <w:name w:val="Mention"/>
    <w:basedOn w:val="DefaultParagraphFont"/>
    <w:uiPriority w:val="99"/>
    <w:unhideWhenUsed/>
    <w:rsid w:val="009C23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621784">
      <w:bodyDiv w:val="1"/>
      <w:marLeft w:val="0"/>
      <w:marRight w:val="0"/>
      <w:marTop w:val="0"/>
      <w:marBottom w:val="0"/>
      <w:divBdr>
        <w:top w:val="none" w:sz="0" w:space="0" w:color="auto"/>
        <w:left w:val="none" w:sz="0" w:space="0" w:color="auto"/>
        <w:bottom w:val="none" w:sz="0" w:space="0" w:color="auto"/>
        <w:right w:val="none" w:sz="0" w:space="0" w:color="auto"/>
      </w:divBdr>
    </w:div>
    <w:div w:id="14557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wtsa/202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S25-CL-C-0013/en" TargetMode="External"/><Relationship Id="rId7" Type="http://schemas.openxmlformats.org/officeDocument/2006/relationships/settings" Target="settings.xml"/><Relationship Id="rId12" Type="http://schemas.openxmlformats.org/officeDocument/2006/relationships/hyperlink" Target="https://www.itu.int/md/S25-CL-C-0043/en" TargetMode="External"/><Relationship Id="rId17" Type="http://schemas.openxmlformats.org/officeDocument/2006/relationships/hyperlink" Target="https://www.itu.int/pub/T-REG-LIV.1-202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T22-WTSA.24-C-0043/en" TargetMode="External"/><Relationship Id="rId20" Type="http://schemas.openxmlformats.org/officeDocument/2006/relationships/hyperlink" Target="https://www.itu.int/wtsa/2024/related-even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13/en" TargetMode="Externa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gss.itu.int/" TargetMode="External"/><Relationship Id="rId23" Type="http://schemas.openxmlformats.org/officeDocument/2006/relationships/hyperlink" Target="https://www.itu.int/en/ITU-T/NoW/events/20241017/Pages/default.aspx"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tu.int/pub/T-REG-LIV.1-202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s.itu.int/" TargetMode="External"/><Relationship Id="rId22" Type="http://schemas.openxmlformats.org/officeDocument/2006/relationships/hyperlink" Target="https://www.itu.int/md/S25-CL-C-0043/e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8F93328-8A9E-41C1-8036-323FE9D12529}">
    <t:Anchor>
      <t:Comment id="1363181087"/>
    </t:Anchor>
    <t:History>
      <t:Event id="{FBD8BD92-B144-4C34-BCF6-751831AEF290}" time="2025-05-01T13:00:38.348Z">
        <t:Attribution userId="S::elizabeth.locatelli@itu.int::4e632b38-a133-4903-bdc0-7453d16dbb7b" userProvider="AD" userName="Locatelli, Elizabeth"/>
        <t:Anchor>
          <t:Comment id="1140619429"/>
        </t:Anchor>
        <t:Create/>
      </t:Event>
      <t:Event id="{52BC39EF-C1B5-4E56-BAF3-7D78533B2D7E}" time="2025-05-01T13:00:38.348Z">
        <t:Attribution userId="S::elizabeth.locatelli@itu.int::4e632b38-a133-4903-bdc0-7453d16dbb7b" userProvider="AD" userName="Locatelli, Elizabeth"/>
        <t:Anchor>
          <t:Comment id="1140619429"/>
        </t:Anchor>
        <t:Assign userId="S::Bilel.Jamoussi@itu.int::9f2bf86a-92b6-4d6f-9f64-39297f70c089" userProvider="AD" userName="Jamoussi, Bilel"/>
      </t:Event>
      <t:Event id="{02C9BDF1-FBBE-4B8B-9547-325A874F6FB0}" time="2025-05-01T13:00:38.348Z">
        <t:Attribution userId="S::elizabeth.locatelli@itu.int::4e632b38-a133-4903-bdc0-7453d16dbb7b" userProvider="AD" userName="Locatelli, Elizabeth"/>
        <t:Anchor>
          <t:Comment id="1140619429"/>
        </t:Anchor>
        <t:SetTitle title="@Jamoussi, Bilel could you kindly review this document and let us know if you agree with these changes?"/>
      </t:Event>
      <t:Event id="{AF22D548-9ADB-49BD-8E72-7F9E810CB52C}" time="2025-05-12T11:57:49.474Z">
        <t:Attribution userId="S::mariadolores.delarosatrivino@itu.int::02289291-ff58-4a30-8539-3487f892a766" userProvider="AD" userName="De La Rosa Trivino, Maria Dolor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2.xml><?xml version="1.0" encoding="utf-8"?>
<ds:datastoreItem xmlns:ds="http://schemas.openxmlformats.org/officeDocument/2006/customXml" ds:itemID="{11E2F2AC-2255-4DBF-9278-6619577B4509}">
  <ds:schemaRefs>
    <ds:schemaRef ds:uri="http://purl.org/dc/elements/1.1/"/>
    <ds:schemaRef ds:uri="http://www.w3.org/XML/1998/namespace"/>
    <ds:schemaRef ds:uri="http://schemas.microsoft.com/office/infopath/2007/PartnerControls"/>
    <ds:schemaRef ds:uri="a1cf676c-2816-4389-ad5d-0f2e7c7e67c4"/>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4FC5BF6-3D9A-484E-9CC6-0CE897ACD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1390</Words>
  <Characters>9401</Characters>
  <Application>Microsoft Office Word</Application>
  <DocSecurity>0</DocSecurity>
  <Lines>167</Lines>
  <Paragraphs>75</Paragraphs>
  <ScaleCrop>false</ScaleCrop>
  <HeadingPairs>
    <vt:vector size="2" baseType="variant">
      <vt:variant>
        <vt:lpstr>Title</vt:lpstr>
      </vt:variant>
      <vt:variant>
        <vt:i4>1</vt:i4>
      </vt:variant>
    </vt:vector>
  </HeadingPairs>
  <TitlesOfParts>
    <vt:vector size="1" baseType="lpstr">
      <vt:lpstr>Report on the Global Standards Symposium (GSS-24) and the World Telecommunication Standardization Assembly (WTSA-24)</vt:lpstr>
    </vt:vector>
  </TitlesOfParts>
  <Manager>General Secretariat</Manager>
  <Company>International Telecommunication Union (ITU)</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Global Standards Symposium (GSS-24) and the World Telecommunication Standardization Assembly (WTSA-24)</dc:title>
  <dc:subject>Council 2025</dc:subject>
  <cp:keywords>C25; C2025; Council 2025; ITU160</cp:keywords>
  <dc:description/>
  <cp:lastPrinted>2000-07-18T22:30:00Z</cp:lastPrinted>
  <dcterms:created xsi:type="dcterms:W3CDTF">2025-05-12T12:00:00Z</dcterms:created>
  <dcterms:modified xsi:type="dcterms:W3CDTF">2025-05-12T12:32:00Z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MediaServiceImageTags">
    <vt:lpwstr/>
  </property>
</Properties>
</file>