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4EA11620" w14:textId="77777777" w:rsidTr="00C538FC">
        <w:trPr>
          <w:cantSplit/>
          <w:trHeight w:val="23"/>
        </w:trPr>
        <w:tc>
          <w:tcPr>
            <w:tcW w:w="3969" w:type="dxa"/>
            <w:vMerge w:val="restart"/>
            <w:tcMar>
              <w:left w:w="0" w:type="dxa"/>
            </w:tcMar>
          </w:tcPr>
          <w:p w14:paraId="4BC20091" w14:textId="33288AD3" w:rsidR="00FE57F6" w:rsidRPr="00BB6FD8" w:rsidRDefault="00783562" w:rsidP="00C538FC">
            <w:pPr>
              <w:tabs>
                <w:tab w:val="left" w:pos="851"/>
              </w:tabs>
              <w:spacing w:before="0" w:line="240" w:lineRule="atLeast"/>
              <w:rPr>
                <w:b/>
              </w:rPr>
            </w:pPr>
            <w:bookmarkStart w:id="0" w:name="_Hlk133421839"/>
            <w:r w:rsidRPr="00F61D6A">
              <w:rPr>
                <w:b/>
              </w:rPr>
              <w:t>Punto del orden del día: ADM 3</w:t>
            </w:r>
            <w:r>
              <w:rPr>
                <w:b/>
              </w:rPr>
              <w:t>:</w:t>
            </w:r>
          </w:p>
        </w:tc>
        <w:tc>
          <w:tcPr>
            <w:tcW w:w="5245" w:type="dxa"/>
          </w:tcPr>
          <w:p w14:paraId="6C9C98DC" w14:textId="65A00AF4" w:rsidR="00FE57F6" w:rsidRPr="00BB6FD8" w:rsidRDefault="003A40D1" w:rsidP="00C538FC">
            <w:pPr>
              <w:tabs>
                <w:tab w:val="left" w:pos="851"/>
              </w:tabs>
              <w:spacing w:before="0" w:line="240" w:lineRule="atLeast"/>
              <w:jc w:val="right"/>
              <w:rPr>
                <w:b/>
              </w:rPr>
            </w:pPr>
            <w:r w:rsidRPr="00F61D6A">
              <w:rPr>
                <w:b/>
              </w:rPr>
              <w:t>Documento C</w:t>
            </w:r>
            <w:r>
              <w:rPr>
                <w:b/>
              </w:rPr>
              <w:t>25</w:t>
            </w:r>
            <w:r w:rsidRPr="00F61D6A">
              <w:rPr>
                <w:b/>
              </w:rPr>
              <w:t>/23-S</w:t>
            </w:r>
          </w:p>
        </w:tc>
      </w:tr>
      <w:tr w:rsidR="00FE57F6" w:rsidRPr="00666D09" w14:paraId="7EDB75DD" w14:textId="77777777" w:rsidTr="00C538FC">
        <w:trPr>
          <w:cantSplit/>
        </w:trPr>
        <w:tc>
          <w:tcPr>
            <w:tcW w:w="3969" w:type="dxa"/>
            <w:vMerge/>
          </w:tcPr>
          <w:p w14:paraId="14DA9A2D" w14:textId="77777777" w:rsidR="00FE57F6" w:rsidRPr="00BB6FD8" w:rsidRDefault="00FE57F6" w:rsidP="00C538FC">
            <w:pPr>
              <w:tabs>
                <w:tab w:val="left" w:pos="851"/>
              </w:tabs>
              <w:spacing w:line="240" w:lineRule="atLeast"/>
              <w:rPr>
                <w:b/>
              </w:rPr>
            </w:pPr>
          </w:p>
        </w:tc>
        <w:tc>
          <w:tcPr>
            <w:tcW w:w="5245" w:type="dxa"/>
          </w:tcPr>
          <w:p w14:paraId="21596DF1" w14:textId="67845922" w:rsidR="00FE57F6" w:rsidRPr="00666D09" w:rsidRDefault="00840FFD" w:rsidP="00C538FC">
            <w:pPr>
              <w:tabs>
                <w:tab w:val="left" w:pos="851"/>
              </w:tabs>
              <w:spacing w:before="0"/>
              <w:jc w:val="right"/>
              <w:rPr>
                <w:b/>
                <w:lang w:val="en-GB"/>
              </w:rPr>
            </w:pPr>
            <w:r>
              <w:rPr>
                <w:b/>
              </w:rPr>
              <w:t>1 de mayo</w:t>
            </w:r>
            <w:r w:rsidR="003A40D1" w:rsidRPr="005F1E8C">
              <w:rPr>
                <w:b/>
              </w:rPr>
              <w:t xml:space="preserve"> de 2025</w:t>
            </w:r>
          </w:p>
        </w:tc>
      </w:tr>
      <w:tr w:rsidR="00FE57F6" w:rsidRPr="00BB6FD8" w14:paraId="7C2A45C5" w14:textId="77777777" w:rsidTr="00C538FC">
        <w:trPr>
          <w:cantSplit/>
          <w:trHeight w:val="23"/>
        </w:trPr>
        <w:tc>
          <w:tcPr>
            <w:tcW w:w="3969" w:type="dxa"/>
            <w:vMerge/>
          </w:tcPr>
          <w:p w14:paraId="44458BC8" w14:textId="77777777" w:rsidR="00FE57F6" w:rsidRPr="00666D09" w:rsidRDefault="00FE57F6" w:rsidP="00C538FC">
            <w:pPr>
              <w:tabs>
                <w:tab w:val="left" w:pos="851"/>
              </w:tabs>
              <w:spacing w:line="240" w:lineRule="atLeast"/>
              <w:rPr>
                <w:b/>
                <w:lang w:val="en-GB"/>
              </w:rPr>
            </w:pPr>
          </w:p>
        </w:tc>
        <w:tc>
          <w:tcPr>
            <w:tcW w:w="5245" w:type="dxa"/>
          </w:tcPr>
          <w:p w14:paraId="3B105218"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75DA8B47" w14:textId="77777777" w:rsidTr="00C538FC">
        <w:trPr>
          <w:cantSplit/>
          <w:trHeight w:val="23"/>
        </w:trPr>
        <w:tc>
          <w:tcPr>
            <w:tcW w:w="3969" w:type="dxa"/>
          </w:tcPr>
          <w:p w14:paraId="7CC39BB6" w14:textId="77777777" w:rsidR="00FE57F6" w:rsidRPr="00BB6FD8" w:rsidRDefault="00FE57F6" w:rsidP="00C538FC">
            <w:pPr>
              <w:tabs>
                <w:tab w:val="left" w:pos="851"/>
              </w:tabs>
              <w:spacing w:line="240" w:lineRule="atLeast"/>
              <w:rPr>
                <w:b/>
              </w:rPr>
            </w:pPr>
          </w:p>
        </w:tc>
        <w:tc>
          <w:tcPr>
            <w:tcW w:w="5245" w:type="dxa"/>
          </w:tcPr>
          <w:p w14:paraId="77398CC6" w14:textId="77777777" w:rsidR="00FE57F6" w:rsidRPr="00BB6FD8" w:rsidRDefault="00FE57F6" w:rsidP="00C538FC">
            <w:pPr>
              <w:tabs>
                <w:tab w:val="left" w:pos="851"/>
              </w:tabs>
              <w:spacing w:before="0" w:line="240" w:lineRule="atLeast"/>
              <w:jc w:val="right"/>
              <w:rPr>
                <w:b/>
              </w:rPr>
            </w:pPr>
          </w:p>
        </w:tc>
      </w:tr>
      <w:tr w:rsidR="00FE57F6" w:rsidRPr="00BB6FD8" w14:paraId="07D8C8ED" w14:textId="77777777" w:rsidTr="00C538FC">
        <w:trPr>
          <w:cantSplit/>
        </w:trPr>
        <w:tc>
          <w:tcPr>
            <w:tcW w:w="9214" w:type="dxa"/>
            <w:gridSpan w:val="2"/>
            <w:tcMar>
              <w:left w:w="0" w:type="dxa"/>
            </w:tcMar>
          </w:tcPr>
          <w:p w14:paraId="5C1E0CAA"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11B9300D" w14:textId="77777777" w:rsidTr="00C538FC">
        <w:trPr>
          <w:cantSplit/>
        </w:trPr>
        <w:tc>
          <w:tcPr>
            <w:tcW w:w="9214" w:type="dxa"/>
            <w:gridSpan w:val="2"/>
            <w:tcMar>
              <w:left w:w="0" w:type="dxa"/>
            </w:tcMar>
          </w:tcPr>
          <w:p w14:paraId="22A0E68B" w14:textId="390AACCC" w:rsidR="00FE57F6" w:rsidRPr="00F92BED" w:rsidRDefault="00281EF7" w:rsidP="00F92BED">
            <w:pPr>
              <w:pStyle w:val="Subtitle"/>
              <w:framePr w:hSpace="0" w:wrap="auto" w:vAnchor="margin" w:hAnchor="text" w:xAlign="left" w:yAlign="inline"/>
            </w:pPr>
            <w:r w:rsidRPr="00F61D6A">
              <w:t>MODIFICACIÓN DE LAS CONDICIONES DE SERVICIO EN EL RÉGIMEN COMÚN DE LAS NACIONES UNIDAS</w:t>
            </w:r>
          </w:p>
        </w:tc>
      </w:tr>
      <w:tr w:rsidR="00FE57F6" w:rsidRPr="00BB6FD8" w14:paraId="7C421067" w14:textId="77777777" w:rsidTr="00C538FC">
        <w:trPr>
          <w:cantSplit/>
        </w:trPr>
        <w:tc>
          <w:tcPr>
            <w:tcW w:w="9214" w:type="dxa"/>
            <w:gridSpan w:val="2"/>
            <w:tcBorders>
              <w:top w:val="single" w:sz="4" w:space="0" w:color="auto"/>
              <w:bottom w:val="single" w:sz="4" w:space="0" w:color="auto"/>
            </w:tcBorders>
            <w:tcMar>
              <w:left w:w="0" w:type="dxa"/>
            </w:tcMar>
          </w:tcPr>
          <w:p w14:paraId="08751621" w14:textId="77777777" w:rsidR="00FE57F6" w:rsidRPr="00BB6FD8" w:rsidRDefault="00F24B71" w:rsidP="00783562">
            <w:pPr>
              <w:rPr>
                <w:b/>
                <w:bCs/>
                <w:sz w:val="26"/>
                <w:szCs w:val="26"/>
              </w:rPr>
            </w:pPr>
            <w:r w:rsidRPr="00BB6FD8">
              <w:rPr>
                <w:b/>
                <w:bCs/>
                <w:sz w:val="26"/>
                <w:szCs w:val="26"/>
              </w:rPr>
              <w:t>Finalidad</w:t>
            </w:r>
          </w:p>
          <w:p w14:paraId="5DAA0491" w14:textId="3ED7C2CE" w:rsidR="003A40D1" w:rsidRPr="00F61D6A" w:rsidRDefault="003A40D1" w:rsidP="00281EF7">
            <w:pPr>
              <w:jc w:val="both"/>
            </w:pPr>
            <w:r w:rsidRPr="00F61D6A">
              <w:t xml:space="preserve">El presente documento </w:t>
            </w:r>
            <w:r>
              <w:t xml:space="preserve">contiene </w:t>
            </w:r>
            <w:r w:rsidRPr="00F61D6A">
              <w:t>un informe sobre</w:t>
            </w:r>
            <w:r w:rsidRPr="00797B14">
              <w:rPr>
                <w:rFonts w:ascii="Times New Roman" w:hAnsi="Times New Roman"/>
                <w:szCs w:val="24"/>
                <w:lang w:val="es-ES" w:eastAsia="en-GB"/>
              </w:rPr>
              <w:t xml:space="preserve"> </w:t>
            </w:r>
            <w:r w:rsidRPr="00797B14">
              <w:rPr>
                <w:lang w:val="es-ES"/>
              </w:rPr>
              <w:t>las decisiones adoptadas por la Asamblea General de las Naciones Unidas</w:t>
            </w:r>
            <w:r>
              <w:rPr>
                <w:lang w:val="es-ES"/>
              </w:rPr>
              <w:t xml:space="preserve"> (AGNU),</w:t>
            </w:r>
            <w:r w:rsidRPr="00797B14">
              <w:rPr>
                <w:lang w:val="es-ES"/>
              </w:rPr>
              <w:t xml:space="preserve"> en su 79</w:t>
            </w:r>
            <w:r>
              <w:rPr>
                <w:lang w:val="es-ES"/>
              </w:rPr>
              <w:t xml:space="preserve">º período de </w:t>
            </w:r>
            <w:r w:rsidRPr="00797B14">
              <w:rPr>
                <w:lang w:val="es-ES"/>
              </w:rPr>
              <w:t>sesi</w:t>
            </w:r>
            <w:r>
              <w:rPr>
                <w:lang w:val="es-ES"/>
              </w:rPr>
              <w:t>ones</w:t>
            </w:r>
            <w:r w:rsidRPr="00797B14">
              <w:rPr>
                <w:lang w:val="es-ES"/>
              </w:rPr>
              <w:t xml:space="preserve"> (2024)</w:t>
            </w:r>
            <w:r>
              <w:rPr>
                <w:lang w:val="es-ES"/>
              </w:rPr>
              <w:t>,</w:t>
            </w:r>
            <w:r w:rsidRPr="00797B14">
              <w:rPr>
                <w:lang w:val="es-ES"/>
              </w:rPr>
              <w:t xml:space="preserve"> </w:t>
            </w:r>
            <w:r>
              <w:rPr>
                <w:lang w:val="es-ES"/>
              </w:rPr>
              <w:t>a efectos de</w:t>
            </w:r>
            <w:r w:rsidRPr="00F61D6A">
              <w:t xml:space="preserve"> la modificación de las condiciones de servicio, con arreglo a las obligaciones de la UIT en el marco del régimen común de las Naciones Unidas.</w:t>
            </w:r>
          </w:p>
          <w:p w14:paraId="0BED3808" w14:textId="77777777" w:rsidR="00FE57F6" w:rsidRPr="00BB6FD8" w:rsidRDefault="00F24B71" w:rsidP="00783562">
            <w:pPr>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9B8DE7" w14:textId="32E29117" w:rsidR="003A40D1" w:rsidRPr="00F61D6A" w:rsidRDefault="003A40D1" w:rsidP="00281EF7">
            <w:pPr>
              <w:jc w:val="both"/>
            </w:pPr>
            <w:r w:rsidRPr="00F61D6A">
              <w:t xml:space="preserve">Se invita al Consejo de la UIT a </w:t>
            </w:r>
            <w:r w:rsidRPr="00F61D6A">
              <w:rPr>
                <w:b/>
                <w:bCs/>
              </w:rPr>
              <w:t>tom</w:t>
            </w:r>
            <w:r>
              <w:rPr>
                <w:b/>
                <w:bCs/>
              </w:rPr>
              <w:t>ar</w:t>
            </w:r>
            <w:r w:rsidRPr="00F61D6A">
              <w:rPr>
                <w:b/>
                <w:bCs/>
              </w:rPr>
              <w:t xml:space="preserve"> nota</w:t>
            </w:r>
            <w:r w:rsidRPr="00F61D6A">
              <w:t xml:space="preserve"> de la aplicación por l</w:t>
            </w:r>
            <w:r>
              <w:t>a</w:t>
            </w:r>
            <w:r w:rsidRPr="00F61D6A">
              <w:t xml:space="preserve"> Secretari</w:t>
            </w:r>
            <w:r>
              <w:t>a</w:t>
            </w:r>
            <w:r w:rsidRPr="00F61D6A">
              <w:t xml:space="preserve"> General de</w:t>
            </w:r>
            <w:r w:rsidRPr="00797B14">
              <w:rPr>
                <w:lang w:val="es-ES"/>
              </w:rPr>
              <w:t xml:space="preserve"> las decisiones </w:t>
            </w:r>
            <w:r>
              <w:rPr>
                <w:lang w:val="es-ES"/>
              </w:rPr>
              <w:t>de</w:t>
            </w:r>
            <w:r w:rsidRPr="00797B14">
              <w:rPr>
                <w:lang w:val="es-ES"/>
              </w:rPr>
              <w:t xml:space="preserve"> la </w:t>
            </w:r>
            <w:r>
              <w:rPr>
                <w:lang w:val="es-ES"/>
              </w:rPr>
              <w:t>AGNU por las que se modifican</w:t>
            </w:r>
            <w:r w:rsidRPr="00F61D6A">
              <w:t xml:space="preserve"> las condiciones de servicio del personal</w:t>
            </w:r>
            <w:r>
              <w:t xml:space="preserve"> de nombramiento,</w:t>
            </w:r>
            <w:r w:rsidRPr="00F61D6A">
              <w:t xml:space="preserve"> </w:t>
            </w:r>
            <w:r>
              <w:t>de conformidad con</w:t>
            </w:r>
            <w:r w:rsidRPr="00F61D6A">
              <w:t xml:space="preserve"> el Estatuto y el Reglamento del Personal de la UIT. Esta modificación se realiza con arreglo a los procedimientos establecidos </w:t>
            </w:r>
            <w:r>
              <w:t>por</w:t>
            </w:r>
            <w:r w:rsidRPr="00F61D6A">
              <w:t xml:space="preserve"> la Comisión de Administración Pública Internacional (CAPI) </w:t>
            </w:r>
            <w:r>
              <w:t xml:space="preserve">y </w:t>
            </w:r>
            <w:r w:rsidRPr="00F61D6A">
              <w:t>aprobados por la Asamblea General de las Naciones Unidas, y de conformidad con la Resolución 647 (C-1969, modificada por última vez C-2003) del Consejo.</w:t>
            </w:r>
          </w:p>
          <w:p w14:paraId="012838E6" w14:textId="4233309B" w:rsidR="003A40D1" w:rsidRPr="00F61D6A" w:rsidRDefault="003A40D1" w:rsidP="00281EF7">
            <w:pPr>
              <w:jc w:val="both"/>
            </w:pPr>
            <w:r w:rsidRPr="00F61D6A">
              <w:t xml:space="preserve">En virtud de la Resolución 46 (Kyoto, 1994) de la Conferencia de Plenipotenciarios, se invita al Consejo a </w:t>
            </w:r>
            <w:r w:rsidRPr="00F61D6A">
              <w:rPr>
                <w:b/>
                <w:bCs/>
              </w:rPr>
              <w:t>apr</w:t>
            </w:r>
            <w:r>
              <w:rPr>
                <w:b/>
                <w:bCs/>
              </w:rPr>
              <w:t>obar</w:t>
            </w:r>
            <w:r w:rsidRPr="00F61D6A">
              <w:t xml:space="preserve"> </w:t>
            </w:r>
            <w:r>
              <w:t xml:space="preserve">la escala de sueldos y </w:t>
            </w:r>
            <w:r w:rsidRPr="00F61D6A">
              <w:t>la remuneración pensionable aplicable a los funcionarios de elección, tal como se recoge en el proyecto de Resolución que figura en el Anexo al presente documento.</w:t>
            </w:r>
          </w:p>
          <w:p w14:paraId="45191BF7" w14:textId="77777777" w:rsidR="00F92BED" w:rsidRPr="00F24B71" w:rsidRDefault="00F92BED" w:rsidP="00783562">
            <w:pPr>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6F52B34F" w14:textId="07B133D8" w:rsidR="00F92BED" w:rsidRPr="00F24B71" w:rsidRDefault="003A40D1" w:rsidP="00783562">
            <w:pPr>
              <w:rPr>
                <w:lang w:val="es-ES"/>
              </w:rPr>
            </w:pPr>
            <w:r w:rsidRPr="00F61D6A">
              <w:t>Excelencia en materia de recursos humanos e innovación institucional.</w:t>
            </w:r>
          </w:p>
          <w:p w14:paraId="52B5E312" w14:textId="77777777" w:rsidR="00F92BED" w:rsidRDefault="00F92BED" w:rsidP="00783562">
            <w:pPr>
              <w:rPr>
                <w:b/>
                <w:bCs/>
                <w:sz w:val="26"/>
                <w:szCs w:val="26"/>
              </w:rPr>
            </w:pPr>
            <w:r w:rsidRPr="00F24B71">
              <w:rPr>
                <w:b/>
                <w:bCs/>
                <w:sz w:val="26"/>
                <w:szCs w:val="26"/>
              </w:rPr>
              <w:t>Repercusiones financieras</w:t>
            </w:r>
          </w:p>
          <w:p w14:paraId="1F2FED66" w14:textId="4CF002F9" w:rsidR="003A40D1" w:rsidRPr="00F61D6A" w:rsidRDefault="003A40D1" w:rsidP="00281EF7">
            <w:pPr>
              <w:jc w:val="both"/>
            </w:pPr>
            <w:r w:rsidRPr="00F61D6A">
              <w:t>El coste total de la aplicación de</w:t>
            </w:r>
            <w:r>
              <w:t xml:space="preserve"> las decisiones de la AGNU</w:t>
            </w:r>
            <w:r w:rsidRPr="00F61D6A">
              <w:t xml:space="preserve"> asciende a </w:t>
            </w:r>
            <w:r w:rsidR="00840FFD" w:rsidRPr="009E49D0">
              <w:rPr>
                <w:b/>
                <w:bCs/>
              </w:rPr>
              <w:t>499 000 CHF</w:t>
            </w:r>
            <w:r w:rsidR="00840FFD">
              <w:t xml:space="preserve"> </w:t>
            </w:r>
            <w:r w:rsidRPr="00F61D6A">
              <w:t>para el año 202</w:t>
            </w:r>
            <w:r>
              <w:t>5</w:t>
            </w:r>
            <w:r w:rsidRPr="00F61D6A">
              <w:t>.</w:t>
            </w:r>
          </w:p>
          <w:p w14:paraId="56C6DCB3" w14:textId="77777777" w:rsidR="00FE57F6" w:rsidRPr="00BB6FD8" w:rsidRDefault="00FE57F6" w:rsidP="00783562">
            <w:pPr>
              <w:rPr>
                <w:caps/>
                <w:sz w:val="22"/>
              </w:rPr>
            </w:pPr>
            <w:r w:rsidRPr="00BB6FD8">
              <w:rPr>
                <w:sz w:val="22"/>
              </w:rPr>
              <w:t>__________________</w:t>
            </w:r>
          </w:p>
          <w:p w14:paraId="260DA71B"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74D075BF" w14:textId="70D3CE14" w:rsidR="00FE57F6" w:rsidRPr="00281EF7" w:rsidRDefault="003A40D1" w:rsidP="00C538FC">
            <w:pPr>
              <w:spacing w:after="160"/>
              <w:rPr>
                <w:i/>
                <w:iCs/>
                <w:sz w:val="22"/>
                <w:szCs w:val="22"/>
              </w:rPr>
            </w:pPr>
            <w:hyperlink r:id="rId6" w:history="1">
              <w:r w:rsidRPr="00281EF7">
                <w:rPr>
                  <w:rStyle w:val="Hyperlink"/>
                  <w:i/>
                  <w:iCs/>
                  <w:sz w:val="22"/>
                  <w:szCs w:val="22"/>
                </w:rPr>
                <w:t>Resolución 46</w:t>
              </w:r>
            </w:hyperlink>
            <w:r w:rsidRPr="00281EF7">
              <w:rPr>
                <w:i/>
                <w:iCs/>
                <w:sz w:val="22"/>
                <w:szCs w:val="22"/>
              </w:rPr>
              <w:t xml:space="preserve"> (Kioto, 1994) de la Conferencia de Plenipotenciarios; </w:t>
            </w:r>
            <w:hyperlink r:id="rId7" w:history="1">
              <w:r w:rsidRPr="00281EF7">
                <w:rPr>
                  <w:rStyle w:val="Hyperlink"/>
                  <w:i/>
                  <w:iCs/>
                  <w:sz w:val="22"/>
                  <w:szCs w:val="22"/>
                </w:rPr>
                <w:t>Resolución 647</w:t>
              </w:r>
            </w:hyperlink>
            <w:r w:rsidRPr="00281EF7">
              <w:rPr>
                <w:i/>
                <w:iCs/>
                <w:sz w:val="22"/>
                <w:szCs w:val="22"/>
              </w:rPr>
              <w:t xml:space="preserve"> (C-1969, modificada por última vez C-2003) del Consejo.</w:t>
            </w:r>
          </w:p>
        </w:tc>
      </w:tr>
    </w:tbl>
    <w:bookmarkEnd w:id="0"/>
    <w:p w14:paraId="56CE21B7" w14:textId="77777777" w:rsidR="003A40D1" w:rsidRPr="009B4036" w:rsidRDefault="003A40D1" w:rsidP="003A40D1">
      <w:pPr>
        <w:pStyle w:val="Heading1"/>
        <w:rPr>
          <w:rFonts w:asciiTheme="minorHAnsi" w:eastAsia="SimSun" w:hAnsiTheme="minorHAnsi"/>
          <w:sz w:val="24"/>
          <w:szCs w:val="24"/>
          <w:lang w:val="es-ES"/>
        </w:rPr>
      </w:pPr>
      <w:r w:rsidRPr="009B4036">
        <w:rPr>
          <w:rFonts w:eastAsia="SimSun"/>
          <w:sz w:val="24"/>
          <w:szCs w:val="24"/>
          <w:lang w:val="es-ES"/>
        </w:rPr>
        <w:lastRenderedPageBreak/>
        <w:t>I</w:t>
      </w:r>
      <w:r w:rsidRPr="009B4036">
        <w:rPr>
          <w:rFonts w:eastAsia="SimSun"/>
          <w:sz w:val="24"/>
          <w:szCs w:val="24"/>
          <w:lang w:val="es-ES"/>
        </w:rPr>
        <w:tab/>
        <w:t>Condiciones de empleo de los funcionarios de nombramiento</w:t>
      </w:r>
    </w:p>
    <w:p w14:paraId="3CF04F89" w14:textId="77777777" w:rsidR="003A40D1" w:rsidRPr="00AF05BE" w:rsidRDefault="003A40D1" w:rsidP="00901C14">
      <w:pPr>
        <w:pStyle w:val="Heading2"/>
        <w:rPr>
          <w:rFonts w:asciiTheme="minorHAnsi" w:eastAsia="SimSun" w:hAnsiTheme="minorHAnsi"/>
          <w:szCs w:val="24"/>
          <w:lang w:val="es-ES"/>
        </w:rPr>
      </w:pPr>
      <w:r w:rsidRPr="00AF05BE">
        <w:rPr>
          <w:rFonts w:eastAsia="SimSun"/>
          <w:lang w:val="es-ES"/>
        </w:rPr>
        <w:t>A</w:t>
      </w:r>
      <w:r w:rsidRPr="00AF05BE">
        <w:rPr>
          <w:rFonts w:eastAsia="SimSun"/>
          <w:lang w:val="es-ES"/>
        </w:rPr>
        <w:tab/>
        <w:t>Funcionarios del Cuadro Orgánico y categorías superiores</w:t>
      </w:r>
    </w:p>
    <w:p w14:paraId="6A27FD61" w14:textId="2E63A388" w:rsidR="003A40D1" w:rsidRDefault="003A40D1" w:rsidP="00281EF7">
      <w:pPr>
        <w:jc w:val="both"/>
        <w:rPr>
          <w:rFonts w:eastAsia="SimSun"/>
          <w:lang w:val="es-ES"/>
        </w:rPr>
      </w:pPr>
      <w:r>
        <w:rPr>
          <w:rFonts w:eastAsia="SimSun"/>
          <w:lang w:val="es-ES"/>
        </w:rPr>
        <w:t>1</w:t>
      </w:r>
      <w:r>
        <w:rPr>
          <w:rFonts w:eastAsia="SimSun"/>
          <w:lang w:val="es-ES"/>
        </w:rPr>
        <w:tab/>
      </w:r>
      <w:r w:rsidRPr="00243B04">
        <w:rPr>
          <w:rFonts w:eastAsia="SimSun"/>
          <w:lang w:val="es-ES"/>
        </w:rPr>
        <w:t xml:space="preserve">Atendiendo a las recomendaciones </w:t>
      </w:r>
      <w:r>
        <w:rPr>
          <w:rFonts w:eastAsia="SimSun"/>
          <w:lang w:val="es-ES"/>
        </w:rPr>
        <w:t>formuladas</w:t>
      </w:r>
      <w:r w:rsidRPr="00243B04">
        <w:rPr>
          <w:rFonts w:eastAsia="SimSun"/>
          <w:lang w:val="es-ES"/>
        </w:rPr>
        <w:t xml:space="preserve"> por la Comisión de Administración Pública Internacional (CAPI) para el año 2024, la Asamblea General de las Naciones Unidas</w:t>
      </w:r>
      <w:r>
        <w:rPr>
          <w:rFonts w:eastAsia="SimSun"/>
          <w:lang w:val="es-ES"/>
        </w:rPr>
        <w:t xml:space="preserve"> (AGNU)</w:t>
      </w:r>
      <w:r w:rsidRPr="00243B04">
        <w:rPr>
          <w:rFonts w:eastAsia="SimSun"/>
          <w:lang w:val="es-ES"/>
        </w:rPr>
        <w:t xml:space="preserve"> adoptó </w:t>
      </w:r>
      <w:r>
        <w:rPr>
          <w:rFonts w:eastAsia="SimSun"/>
          <w:lang w:val="es-ES"/>
        </w:rPr>
        <w:t xml:space="preserve">una serie de </w:t>
      </w:r>
      <w:r w:rsidRPr="00243B04">
        <w:rPr>
          <w:rFonts w:eastAsia="SimSun"/>
          <w:lang w:val="es-ES"/>
        </w:rPr>
        <w:t>decisiones relativas a las condiciones de servicio de</w:t>
      </w:r>
      <w:r>
        <w:rPr>
          <w:rFonts w:eastAsia="SimSun"/>
          <w:lang w:val="es-ES"/>
        </w:rPr>
        <w:t>l personal</w:t>
      </w:r>
      <w:r w:rsidRPr="00243B04">
        <w:rPr>
          <w:rFonts w:eastAsia="SimSun"/>
          <w:lang w:val="es-ES"/>
        </w:rPr>
        <w:t xml:space="preserve"> del Cuadro Orgánico y categorías superiores en </w:t>
      </w:r>
      <w:r>
        <w:rPr>
          <w:rFonts w:eastAsia="SimSun"/>
          <w:lang w:val="es-ES"/>
        </w:rPr>
        <w:t xml:space="preserve">virtud de </w:t>
      </w:r>
      <w:r w:rsidRPr="00243B04">
        <w:rPr>
          <w:rFonts w:eastAsia="SimSun"/>
          <w:lang w:val="es-ES"/>
        </w:rPr>
        <w:t>su Resolución 79/252</w:t>
      </w:r>
      <w:r>
        <w:rPr>
          <w:rFonts w:eastAsia="SimSun"/>
          <w:lang w:val="es-ES"/>
        </w:rPr>
        <w:t>,</w:t>
      </w:r>
      <w:r w:rsidRPr="00243B04">
        <w:rPr>
          <w:rFonts w:eastAsia="SimSun"/>
          <w:lang w:val="es-ES"/>
        </w:rPr>
        <w:t xml:space="preserve"> de 24 de diciembre de 2024</w:t>
      </w:r>
      <w:r w:rsidRPr="00AF05BE">
        <w:rPr>
          <w:rFonts w:eastAsia="SimSun"/>
          <w:lang w:val="es-ES"/>
        </w:rPr>
        <w:t>.</w:t>
      </w:r>
    </w:p>
    <w:p w14:paraId="1B305E70" w14:textId="77777777" w:rsidR="003A40D1" w:rsidRPr="00072742" w:rsidRDefault="003A40D1" w:rsidP="00783562">
      <w:pPr>
        <w:pStyle w:val="Headingb"/>
        <w:rPr>
          <w:rFonts w:eastAsia="SimSun"/>
          <w:lang w:val="es-ES"/>
        </w:rPr>
      </w:pPr>
      <w:r w:rsidRPr="00072742">
        <w:rPr>
          <w:rFonts w:eastAsia="SimSun"/>
          <w:lang w:val="es-ES"/>
        </w:rPr>
        <w:t>Escala de sueldos básicos/mínimos</w:t>
      </w:r>
    </w:p>
    <w:p w14:paraId="29A3AD41" w14:textId="614BAFB7" w:rsidR="003A40D1" w:rsidRPr="00072742" w:rsidRDefault="003A40D1" w:rsidP="00281EF7">
      <w:pPr>
        <w:jc w:val="both"/>
        <w:rPr>
          <w:rFonts w:asciiTheme="minorHAnsi" w:hAnsiTheme="minorHAnsi"/>
          <w:szCs w:val="24"/>
          <w:lang w:val="es-ES"/>
        </w:rPr>
      </w:pPr>
      <w:r w:rsidRPr="00072742">
        <w:rPr>
          <w:rFonts w:asciiTheme="minorHAnsi" w:hAnsiTheme="minorHAnsi"/>
          <w:szCs w:val="24"/>
          <w:lang w:val="es-ES"/>
        </w:rPr>
        <w:t>2</w:t>
      </w:r>
      <w:r w:rsidRPr="00072742">
        <w:rPr>
          <w:rFonts w:asciiTheme="minorHAnsi" w:hAnsiTheme="minorHAnsi"/>
          <w:szCs w:val="24"/>
          <w:lang w:val="es-ES"/>
        </w:rPr>
        <w:tab/>
        <w:t>La escala de sueldos básicos/mínimos</w:t>
      </w:r>
      <w:r w:rsidRPr="00B064A8">
        <w:rPr>
          <w:rStyle w:val="FootnoteReference"/>
          <w:szCs w:val="24"/>
        </w:rPr>
        <w:footnoteReference w:id="1"/>
      </w:r>
      <w:r w:rsidRPr="00072742">
        <w:rPr>
          <w:rFonts w:asciiTheme="minorHAnsi" w:hAnsiTheme="minorHAnsi"/>
          <w:szCs w:val="24"/>
          <w:lang w:val="es-ES" w:eastAsia="zh-CN"/>
        </w:rPr>
        <w:t xml:space="preserve"> se ha ajustado en un 9,5</w:t>
      </w:r>
      <w:r w:rsidR="00783562">
        <w:rPr>
          <w:rFonts w:asciiTheme="minorHAnsi" w:hAnsiTheme="minorHAnsi"/>
          <w:szCs w:val="24"/>
          <w:lang w:val="es-ES" w:eastAsia="zh-CN"/>
        </w:rPr>
        <w:t> </w:t>
      </w:r>
      <w:r w:rsidRPr="00072742">
        <w:rPr>
          <w:rFonts w:asciiTheme="minorHAnsi" w:hAnsiTheme="minorHAnsi"/>
          <w:szCs w:val="24"/>
          <w:lang w:val="es-ES" w:eastAsia="zh-CN"/>
        </w:rPr>
        <w:t>%</w:t>
      </w:r>
      <w:r>
        <w:rPr>
          <w:rFonts w:asciiTheme="minorHAnsi" w:hAnsiTheme="minorHAnsi"/>
          <w:szCs w:val="24"/>
          <w:lang w:val="es-ES" w:eastAsia="zh-CN"/>
        </w:rPr>
        <w:t>,</w:t>
      </w:r>
      <w:r w:rsidRPr="00072742">
        <w:rPr>
          <w:rFonts w:asciiTheme="minorHAnsi" w:hAnsiTheme="minorHAnsi"/>
          <w:szCs w:val="24"/>
          <w:lang w:val="es-ES" w:eastAsia="zh-CN"/>
        </w:rPr>
        <w:t xml:space="preserve"> con efecto a partir del 1 de enero de 2025</w:t>
      </w:r>
      <w:r w:rsidRPr="00072742">
        <w:rPr>
          <w:rFonts w:asciiTheme="minorHAnsi" w:hAnsiTheme="minorHAnsi"/>
          <w:szCs w:val="24"/>
          <w:lang w:val="es-ES"/>
        </w:rPr>
        <w:t>.</w:t>
      </w:r>
    </w:p>
    <w:p w14:paraId="073A63CB" w14:textId="3541D768" w:rsidR="003A40D1" w:rsidRPr="00AF05BE" w:rsidRDefault="003A40D1" w:rsidP="00281EF7">
      <w:pPr>
        <w:jc w:val="both"/>
        <w:rPr>
          <w:rFonts w:eastAsia="SimSun"/>
          <w:szCs w:val="24"/>
          <w:lang w:val="es-ES"/>
        </w:rPr>
      </w:pPr>
      <w:r w:rsidRPr="00072742">
        <w:rPr>
          <w:rFonts w:asciiTheme="minorHAnsi" w:hAnsiTheme="minorHAnsi"/>
          <w:szCs w:val="24"/>
          <w:lang w:val="es-ES"/>
        </w:rPr>
        <w:t>3</w:t>
      </w:r>
      <w:r w:rsidRPr="00072742">
        <w:rPr>
          <w:rFonts w:asciiTheme="minorHAnsi" w:hAnsiTheme="minorHAnsi"/>
          <w:szCs w:val="24"/>
          <w:lang w:val="es-ES"/>
        </w:rPr>
        <w:tab/>
      </w:r>
      <w:r>
        <w:rPr>
          <w:rFonts w:asciiTheme="minorHAnsi" w:hAnsiTheme="minorHAnsi"/>
          <w:szCs w:val="24"/>
          <w:lang w:val="es-ES"/>
        </w:rPr>
        <w:t xml:space="preserve">Conforme a </w:t>
      </w:r>
      <w:r w:rsidRPr="00072742">
        <w:rPr>
          <w:rFonts w:asciiTheme="minorHAnsi" w:hAnsiTheme="minorHAnsi"/>
          <w:szCs w:val="24"/>
          <w:lang w:val="es-ES"/>
        </w:rPr>
        <w:t xml:space="preserve">lo aprobado por la </w:t>
      </w:r>
      <w:r>
        <w:rPr>
          <w:rFonts w:asciiTheme="minorHAnsi" w:hAnsiTheme="minorHAnsi"/>
          <w:szCs w:val="24"/>
          <w:lang w:val="es-ES"/>
        </w:rPr>
        <w:t>AGNU</w:t>
      </w:r>
      <w:r w:rsidRPr="00B064A8">
        <w:rPr>
          <w:rStyle w:val="FootnoteReference"/>
          <w:szCs w:val="24"/>
        </w:rPr>
        <w:footnoteReference w:id="2"/>
      </w:r>
      <w:r>
        <w:rPr>
          <w:rFonts w:asciiTheme="minorHAnsi" w:hAnsiTheme="minorHAnsi"/>
          <w:szCs w:val="24"/>
          <w:lang w:val="es-ES"/>
        </w:rPr>
        <w:t xml:space="preserve"> </w:t>
      </w:r>
      <w:r w:rsidRPr="00435D89">
        <w:t xml:space="preserve">y </w:t>
      </w:r>
      <w:r>
        <w:t>a tenor</w:t>
      </w:r>
      <w:r w:rsidRPr="00435D89">
        <w:t xml:space="preserve"> del informe de la CAPI para</w:t>
      </w:r>
      <w:r>
        <w:t> </w:t>
      </w:r>
      <w:r w:rsidRPr="00072742">
        <w:rPr>
          <w:rFonts w:asciiTheme="minorHAnsi" w:hAnsiTheme="minorHAnsi"/>
          <w:szCs w:val="24"/>
          <w:lang w:val="es-ES"/>
        </w:rPr>
        <w:t>2024</w:t>
      </w:r>
      <w:r w:rsidRPr="00B064A8">
        <w:rPr>
          <w:rStyle w:val="FootnoteReference"/>
          <w:szCs w:val="24"/>
        </w:rPr>
        <w:footnoteReference w:id="3"/>
      </w:r>
      <w:r w:rsidRPr="00072742">
        <w:rPr>
          <w:rFonts w:asciiTheme="minorHAnsi" w:hAnsiTheme="minorHAnsi"/>
          <w:szCs w:val="24"/>
          <w:lang w:val="es-ES"/>
        </w:rPr>
        <w:t xml:space="preserve">, </w:t>
      </w:r>
      <w:r w:rsidRPr="0044594C">
        <w:rPr>
          <w:rFonts w:asciiTheme="minorHAnsi" w:hAnsiTheme="minorHAnsi"/>
          <w:szCs w:val="24"/>
          <w:lang w:val="es-ES"/>
        </w:rPr>
        <w:t>la revisión de la escala de sueldos básicos/mínimos se ha</w:t>
      </w:r>
      <w:r>
        <w:rPr>
          <w:rFonts w:asciiTheme="minorHAnsi" w:hAnsiTheme="minorHAnsi"/>
          <w:szCs w:val="24"/>
          <w:lang w:val="es-ES"/>
        </w:rPr>
        <w:t xml:space="preserve"> llevado a cabo </w:t>
      </w:r>
      <w:r w:rsidRPr="006E2244">
        <w:t xml:space="preserve">con arreglo a la fórmula </w:t>
      </w:r>
      <w:r w:rsidR="00783562">
        <w:t>"</w:t>
      </w:r>
      <w:r w:rsidRPr="00435D89">
        <w:t>sin pérdidas ni ganancias</w:t>
      </w:r>
      <w:r w:rsidR="00783562">
        <w:t>"</w:t>
      </w:r>
      <w:r w:rsidRPr="00435D89">
        <w:t xml:space="preserve">. En consecuencia, los multiplicadores de ajuste por lugar de destino aplicables a todos los lugares de destino se han reducido en un </w:t>
      </w:r>
      <w:r>
        <w:t>9</w:t>
      </w:r>
      <w:r w:rsidRPr="00435D89">
        <w:t>,</w:t>
      </w:r>
      <w:r>
        <w:t>5</w:t>
      </w:r>
      <w:r w:rsidR="00783562">
        <w:t> </w:t>
      </w:r>
      <w:r w:rsidRPr="00435D89">
        <w:t xml:space="preserve">%. De este modo, aunque la parte correspondiente al sueldo básico ha aumentado en un </w:t>
      </w:r>
      <w:r>
        <w:t>9</w:t>
      </w:r>
      <w:r w:rsidRPr="00435D89">
        <w:t>,</w:t>
      </w:r>
      <w:r>
        <w:t>5</w:t>
      </w:r>
      <w:r w:rsidR="00783562">
        <w:t> </w:t>
      </w:r>
      <w:r w:rsidRPr="00435D89">
        <w:t>%, el elemento de ajuste relativo al lugar de destino se ha reducido en el mismo porcentaje, de forma que la remuneración total (sueldo básico más ajuste por lugar de destino) en moneda local ha permanecido invariable,</w:t>
      </w:r>
      <w:r>
        <w:t xml:space="preserve"> a reserva de ciertos cambios de menor calado</w:t>
      </w:r>
      <w:r w:rsidRPr="00435D89">
        <w:t xml:space="preserve"> para redondear el total. Por consiguiente, no se han introducido cambios en el sueldo neto del personal</w:t>
      </w:r>
      <w:r>
        <w:t>,</w:t>
      </w:r>
      <w:r w:rsidRPr="00435D89">
        <w:t xml:space="preserve"> ni se han generado costes adicionales para la organización</w:t>
      </w:r>
      <w:r w:rsidRPr="00AF05BE">
        <w:rPr>
          <w:rFonts w:eastAsia="SimSun"/>
          <w:lang w:val="es-ES"/>
        </w:rPr>
        <w:t>.</w:t>
      </w:r>
    </w:p>
    <w:p w14:paraId="661319AB" w14:textId="77777777" w:rsidR="003A40D1" w:rsidRPr="00AF05BE" w:rsidRDefault="003A40D1" w:rsidP="003A40D1">
      <w:pPr>
        <w:pStyle w:val="Headingb"/>
        <w:rPr>
          <w:rFonts w:asciiTheme="minorHAnsi" w:eastAsia="SimSun" w:hAnsiTheme="minorHAnsi"/>
          <w:szCs w:val="24"/>
          <w:lang w:val="es-ES"/>
        </w:rPr>
      </w:pPr>
      <w:r w:rsidRPr="00AF05BE">
        <w:rPr>
          <w:rFonts w:eastAsia="SimSun"/>
          <w:lang w:val="es-ES"/>
        </w:rPr>
        <w:t>Remuneración pensionable</w:t>
      </w:r>
    </w:p>
    <w:p w14:paraId="14671B9A" w14:textId="31299E32" w:rsidR="003A40D1" w:rsidRPr="00AF05BE" w:rsidRDefault="003A40D1" w:rsidP="00281EF7">
      <w:pPr>
        <w:jc w:val="both"/>
        <w:rPr>
          <w:rFonts w:eastAsia="SimSun"/>
          <w:szCs w:val="24"/>
          <w:lang w:val="es-ES"/>
        </w:rPr>
      </w:pPr>
      <w:r>
        <w:rPr>
          <w:rFonts w:eastAsia="SimSun"/>
          <w:lang w:val="es-ES"/>
        </w:rPr>
        <w:t>4</w:t>
      </w:r>
      <w:r>
        <w:rPr>
          <w:rFonts w:eastAsia="SimSun"/>
          <w:lang w:val="es-ES"/>
        </w:rPr>
        <w:tab/>
      </w:r>
      <w:r w:rsidRPr="00AF05BE">
        <w:rPr>
          <w:rFonts w:eastAsia="SimSun"/>
          <w:lang w:val="es-ES"/>
        </w:rPr>
        <w:t>Con efecto a partir del 1 de febrero de 202</w:t>
      </w:r>
      <w:r>
        <w:rPr>
          <w:rFonts w:eastAsia="SimSun"/>
          <w:lang w:val="es-ES"/>
        </w:rPr>
        <w:t>5</w:t>
      </w:r>
      <w:r w:rsidRPr="00AF05BE">
        <w:rPr>
          <w:rFonts w:eastAsia="SimSun"/>
          <w:lang w:val="es-ES"/>
        </w:rPr>
        <w:t xml:space="preserve">, el multiplicador del ajuste por lugar de destino correspondiente a la ciudad de Nueva York pasó de </w:t>
      </w:r>
      <w:r w:rsidRPr="00B064A8">
        <w:rPr>
          <w:rFonts w:asciiTheme="minorHAnsi" w:hAnsiTheme="minorHAnsi"/>
          <w:szCs w:val="24"/>
          <w:lang w:eastAsia="zh-CN"/>
        </w:rPr>
        <w:t>72</w:t>
      </w:r>
      <w:r>
        <w:rPr>
          <w:rFonts w:asciiTheme="minorHAnsi" w:hAnsiTheme="minorHAnsi"/>
          <w:szCs w:val="24"/>
          <w:lang w:eastAsia="zh-CN"/>
        </w:rPr>
        <w:t>,</w:t>
      </w:r>
      <w:r w:rsidRPr="00B064A8">
        <w:rPr>
          <w:rFonts w:asciiTheme="minorHAnsi" w:hAnsiTheme="minorHAnsi"/>
          <w:szCs w:val="24"/>
          <w:lang w:eastAsia="zh-CN"/>
        </w:rPr>
        <w:t>1</w:t>
      </w:r>
      <w:r w:rsidRPr="00B064A8">
        <w:rPr>
          <w:rFonts w:asciiTheme="minorHAnsi" w:hAnsiTheme="minorHAnsi"/>
          <w:szCs w:val="24"/>
        </w:rPr>
        <w:t xml:space="preserve"> </w:t>
      </w:r>
      <w:r>
        <w:rPr>
          <w:rFonts w:asciiTheme="minorHAnsi" w:hAnsiTheme="minorHAnsi"/>
          <w:szCs w:val="24"/>
        </w:rPr>
        <w:t>a</w:t>
      </w:r>
      <w:r w:rsidRPr="00B064A8">
        <w:rPr>
          <w:rFonts w:asciiTheme="minorHAnsi" w:hAnsiTheme="minorHAnsi"/>
          <w:szCs w:val="24"/>
        </w:rPr>
        <w:t xml:space="preserve"> </w:t>
      </w:r>
      <w:r w:rsidRPr="00B064A8">
        <w:rPr>
          <w:rFonts w:asciiTheme="minorHAnsi" w:hAnsiTheme="minorHAnsi"/>
          <w:szCs w:val="24"/>
          <w:lang w:eastAsia="zh-CN"/>
        </w:rPr>
        <w:t>75</w:t>
      </w:r>
      <w:r>
        <w:rPr>
          <w:rFonts w:asciiTheme="minorHAnsi" w:hAnsiTheme="minorHAnsi"/>
          <w:szCs w:val="24"/>
          <w:lang w:eastAsia="zh-CN"/>
        </w:rPr>
        <w:t>,5</w:t>
      </w:r>
      <w:r w:rsidRPr="00AF05BE">
        <w:rPr>
          <w:rFonts w:eastAsia="SimSun"/>
          <w:lang w:val="es-ES"/>
        </w:rPr>
        <w:t xml:space="preserve">, lo que resultó en un aumento de la remuneración neta del personal del Cuadro Orgánico y categorías superiores empleado en Nueva York del orden de </w:t>
      </w:r>
      <w:r w:rsidRPr="00B064A8">
        <w:rPr>
          <w:rFonts w:asciiTheme="minorHAnsi" w:hAnsiTheme="minorHAnsi"/>
          <w:szCs w:val="24"/>
        </w:rPr>
        <w:t>1</w:t>
      </w:r>
      <w:r w:rsidRPr="00B064A8">
        <w:rPr>
          <w:rFonts w:asciiTheme="minorHAnsi" w:hAnsiTheme="minorHAnsi"/>
          <w:szCs w:val="24"/>
          <w:lang w:eastAsia="zh-CN"/>
        </w:rPr>
        <w:t>75</w:t>
      </w:r>
      <w:r>
        <w:rPr>
          <w:rFonts w:asciiTheme="minorHAnsi" w:hAnsiTheme="minorHAnsi"/>
          <w:szCs w:val="24"/>
          <w:lang w:eastAsia="zh-CN"/>
        </w:rPr>
        <w:t>,</w:t>
      </w:r>
      <w:r w:rsidRPr="00852C5C">
        <w:rPr>
          <w:rFonts w:asciiTheme="minorHAnsi" w:hAnsiTheme="minorHAnsi"/>
        </w:rPr>
        <w:t>5</w:t>
      </w:r>
      <w:r w:rsidRPr="00B064A8">
        <w:rPr>
          <w:rFonts w:asciiTheme="minorHAnsi" w:hAnsiTheme="minorHAnsi"/>
          <w:szCs w:val="24"/>
        </w:rPr>
        <w:t>/1</w:t>
      </w:r>
      <w:r w:rsidRPr="00B064A8">
        <w:rPr>
          <w:rFonts w:asciiTheme="minorHAnsi" w:hAnsiTheme="minorHAnsi"/>
          <w:szCs w:val="24"/>
          <w:lang w:eastAsia="zh-CN"/>
        </w:rPr>
        <w:t>72</w:t>
      </w:r>
      <w:r>
        <w:rPr>
          <w:rFonts w:asciiTheme="minorHAnsi" w:hAnsiTheme="minorHAnsi"/>
          <w:szCs w:val="24"/>
          <w:lang w:eastAsia="zh-CN"/>
        </w:rPr>
        <w:t>,</w:t>
      </w:r>
      <w:r w:rsidRPr="00B064A8">
        <w:rPr>
          <w:rFonts w:asciiTheme="minorHAnsi" w:hAnsiTheme="minorHAnsi"/>
          <w:szCs w:val="24"/>
          <w:lang w:eastAsia="zh-CN"/>
        </w:rPr>
        <w:t>1</w:t>
      </w:r>
      <w:r w:rsidRPr="00AF05BE">
        <w:rPr>
          <w:rFonts w:eastAsia="SimSun"/>
          <w:lang w:val="es-ES"/>
        </w:rPr>
        <w:t>. Conforme a lo estipulado en el artículo</w:t>
      </w:r>
      <w:r>
        <w:rPr>
          <w:rFonts w:eastAsia="SimSun"/>
          <w:lang w:val="es-ES"/>
        </w:rPr>
        <w:t> </w:t>
      </w:r>
      <w:r w:rsidRPr="00AF05BE">
        <w:rPr>
          <w:rFonts w:eastAsia="SimSun"/>
          <w:lang w:val="es-ES"/>
        </w:rPr>
        <w:t>51 b) de los Estatutos de la Caja Común de Pensiones del Personal de las Naciones Unidas</w:t>
      </w:r>
      <w:r w:rsidRPr="00AF05BE">
        <w:rPr>
          <w:rFonts w:eastAsia="SimSun"/>
          <w:vertAlign w:val="superscript"/>
          <w:lang w:val="es-ES"/>
        </w:rPr>
        <w:footnoteReference w:id="4"/>
      </w:r>
      <w:r w:rsidRPr="00AF05BE">
        <w:rPr>
          <w:rFonts w:eastAsia="SimSun"/>
          <w:lang w:val="es-ES"/>
        </w:rPr>
        <w:t>, la escala de remuneración pensionable aplicable a todo el personal del Cuadro Orgánico y categorías superiores se ajustó en la misma fecha y en el mismo porcentaje.</w:t>
      </w:r>
    </w:p>
    <w:p w14:paraId="529A9C0A" w14:textId="0425D008" w:rsidR="003A40D1" w:rsidRPr="00AF05BE" w:rsidRDefault="003A40D1" w:rsidP="00281EF7">
      <w:pPr>
        <w:jc w:val="both"/>
        <w:rPr>
          <w:rFonts w:eastAsia="SimSun"/>
          <w:szCs w:val="24"/>
          <w:lang w:val="es-ES"/>
        </w:rPr>
      </w:pPr>
      <w:r>
        <w:rPr>
          <w:rFonts w:eastAsia="SimSun"/>
          <w:lang w:val="es-ES"/>
        </w:rPr>
        <w:lastRenderedPageBreak/>
        <w:t>5</w:t>
      </w:r>
      <w:r>
        <w:rPr>
          <w:rFonts w:eastAsia="SimSun"/>
          <w:lang w:val="es-ES"/>
        </w:rPr>
        <w:tab/>
      </w:r>
      <w:r w:rsidRPr="00AF05BE">
        <w:rPr>
          <w:rFonts w:eastAsia="SimSun"/>
          <w:lang w:val="es-ES"/>
        </w:rPr>
        <w:t xml:space="preserve">En consecuencia, la escala de remuneración pensionable del personal del Cuadro Orgánico y categorías superiores </w:t>
      </w:r>
      <w:r w:rsidRPr="00435D89">
        <w:rPr>
          <w:rFonts w:asciiTheme="minorHAnsi" w:hAnsiTheme="minorHAnsi"/>
          <w:szCs w:val="24"/>
        </w:rPr>
        <w:t>en vigor desde el 1 de febrero de 202</w:t>
      </w:r>
      <w:r>
        <w:rPr>
          <w:rFonts w:asciiTheme="minorHAnsi" w:hAnsiTheme="minorHAnsi"/>
          <w:szCs w:val="24"/>
        </w:rPr>
        <w:t>4</w:t>
      </w:r>
      <w:r w:rsidRPr="00435D89">
        <w:rPr>
          <w:rFonts w:asciiTheme="minorHAnsi" w:hAnsiTheme="minorHAnsi"/>
          <w:szCs w:val="24"/>
        </w:rPr>
        <w:t xml:space="preserve"> </w:t>
      </w:r>
      <w:r w:rsidRPr="00AF05BE">
        <w:rPr>
          <w:rFonts w:eastAsia="SimSun"/>
          <w:lang w:val="es-ES"/>
        </w:rPr>
        <w:t>se ajustó al alza en un 1,0</w:t>
      </w:r>
      <w:r>
        <w:rPr>
          <w:rFonts w:eastAsia="SimSun"/>
          <w:lang w:val="es-ES"/>
        </w:rPr>
        <w:t>19</w:t>
      </w:r>
      <w:r w:rsidR="00783562">
        <w:rPr>
          <w:rFonts w:eastAsia="SimSun"/>
          <w:lang w:val="es-ES"/>
        </w:rPr>
        <w:t> </w:t>
      </w:r>
      <w:r w:rsidRPr="00AF05BE">
        <w:rPr>
          <w:rFonts w:eastAsia="SimSun"/>
          <w:lang w:val="es-ES"/>
        </w:rPr>
        <w:t>%, de conformidad con la disposición anterior y con efecto a partir del 1 de febrero de 202</w:t>
      </w:r>
      <w:r>
        <w:rPr>
          <w:rFonts w:eastAsia="SimSun"/>
          <w:lang w:val="es-ES"/>
        </w:rPr>
        <w:t>5</w:t>
      </w:r>
      <w:r w:rsidRPr="00AF05BE">
        <w:rPr>
          <w:rFonts w:eastAsia="SimSun"/>
          <w:lang w:val="es-ES"/>
        </w:rPr>
        <w:t>.</w:t>
      </w:r>
    </w:p>
    <w:p w14:paraId="10611536" w14:textId="77777777" w:rsidR="003A40D1" w:rsidRPr="009B4036" w:rsidRDefault="003A40D1" w:rsidP="003A40D1">
      <w:pPr>
        <w:pStyle w:val="Heading1"/>
        <w:rPr>
          <w:rFonts w:asciiTheme="minorHAnsi" w:eastAsia="SimSun" w:hAnsiTheme="minorHAnsi"/>
          <w:bCs/>
          <w:sz w:val="24"/>
          <w:szCs w:val="24"/>
          <w:lang w:val="es-ES"/>
        </w:rPr>
      </w:pPr>
      <w:r w:rsidRPr="009B4036">
        <w:rPr>
          <w:rFonts w:eastAsia="SimSun"/>
          <w:bCs/>
          <w:sz w:val="24"/>
          <w:szCs w:val="24"/>
          <w:lang w:val="es-ES"/>
        </w:rPr>
        <w:t>B</w:t>
      </w:r>
      <w:r w:rsidRPr="009B4036">
        <w:rPr>
          <w:rFonts w:eastAsia="SimSun"/>
          <w:sz w:val="24"/>
          <w:szCs w:val="24"/>
          <w:lang w:val="es-ES"/>
        </w:rPr>
        <w:tab/>
        <w:t>Funcionarios</w:t>
      </w:r>
      <w:r w:rsidRPr="009B4036">
        <w:rPr>
          <w:rFonts w:eastAsia="SimSun"/>
          <w:bCs/>
          <w:sz w:val="24"/>
          <w:szCs w:val="24"/>
          <w:lang w:val="es-ES"/>
        </w:rPr>
        <w:t xml:space="preserve"> del Cuadro de Servicios Generales</w:t>
      </w:r>
    </w:p>
    <w:p w14:paraId="77776978" w14:textId="7A3C8334" w:rsidR="003A40D1" w:rsidRPr="00AF05BE" w:rsidRDefault="003A40D1" w:rsidP="00281EF7">
      <w:pPr>
        <w:jc w:val="both"/>
        <w:rPr>
          <w:rFonts w:eastAsia="SimSun"/>
          <w:szCs w:val="24"/>
          <w:lang w:val="es-ES"/>
        </w:rPr>
      </w:pPr>
      <w:r>
        <w:rPr>
          <w:rFonts w:eastAsia="SimSun"/>
          <w:lang w:val="es-ES"/>
        </w:rPr>
        <w:t>6</w:t>
      </w:r>
      <w:r>
        <w:rPr>
          <w:rFonts w:eastAsia="SimSun"/>
          <w:lang w:val="es-ES"/>
        </w:rPr>
        <w:tab/>
      </w:r>
      <w:r w:rsidRPr="00AF05BE">
        <w:rPr>
          <w:rFonts w:eastAsia="SimSun"/>
          <w:lang w:val="es-ES"/>
        </w:rPr>
        <w:t>La metodología elaborada por la CAPI para la introducción de ajustes provisionales en las escalas de sueldos de los funcionarios del Cuadro de Servicios Generales que trabajan en Ginebra exige que el sueldo neto de dichos funcionarios se ajuste cada vez que el índice de precios al consumo (IPC) de Ginebra varíe en un 5</w:t>
      </w:r>
      <w:r w:rsidR="00901C14">
        <w:rPr>
          <w:rFonts w:eastAsia="SimSun"/>
          <w:lang w:val="es-ES"/>
        </w:rPr>
        <w:t> </w:t>
      </w:r>
      <w:r w:rsidRPr="00AF05BE">
        <w:rPr>
          <w:rFonts w:eastAsia="SimSun"/>
          <w:lang w:val="es-ES"/>
        </w:rPr>
        <w:t>% con respecto al índice utilizado a efectos del ajuste anterior, o transcurridos 12 meses, lo que ocurra primero</w:t>
      </w:r>
      <w:r w:rsidRPr="00AF05BE">
        <w:rPr>
          <w:rFonts w:eastAsia="SimSun"/>
          <w:vertAlign w:val="superscript"/>
          <w:lang w:val="es-ES"/>
        </w:rPr>
        <w:footnoteReference w:id="5"/>
      </w:r>
      <w:r w:rsidRPr="00AF05BE">
        <w:rPr>
          <w:rFonts w:eastAsia="SimSun"/>
          <w:lang w:val="es-ES"/>
        </w:rPr>
        <w:t>.</w:t>
      </w:r>
    </w:p>
    <w:p w14:paraId="3B160AEB" w14:textId="7F0510ED" w:rsidR="003A40D1" w:rsidRPr="00AF05BE" w:rsidRDefault="003A40D1" w:rsidP="00281EF7">
      <w:pPr>
        <w:jc w:val="both"/>
        <w:rPr>
          <w:rFonts w:eastAsia="SimSun"/>
          <w:szCs w:val="24"/>
          <w:lang w:val="es-ES"/>
        </w:rPr>
      </w:pPr>
      <w:r>
        <w:rPr>
          <w:rFonts w:eastAsia="SimSun"/>
          <w:lang w:val="es-ES"/>
        </w:rPr>
        <w:t>7</w:t>
      </w:r>
      <w:r>
        <w:rPr>
          <w:rFonts w:eastAsia="SimSun"/>
          <w:lang w:val="es-ES"/>
        </w:rPr>
        <w:tab/>
      </w:r>
      <w:r w:rsidRPr="00AF05BE">
        <w:rPr>
          <w:rFonts w:eastAsia="SimSun"/>
          <w:lang w:val="es-ES"/>
        </w:rPr>
        <w:t>Entre septiembre de 202</w:t>
      </w:r>
      <w:r>
        <w:rPr>
          <w:rFonts w:eastAsia="SimSun"/>
          <w:lang w:val="es-ES"/>
        </w:rPr>
        <w:t>3</w:t>
      </w:r>
      <w:r w:rsidRPr="00AF05BE">
        <w:rPr>
          <w:rFonts w:eastAsia="SimSun"/>
          <w:lang w:val="es-ES"/>
        </w:rPr>
        <w:t xml:space="preserve"> y septiembre de 202</w:t>
      </w:r>
      <w:r>
        <w:rPr>
          <w:rFonts w:eastAsia="SimSun"/>
          <w:lang w:val="es-ES"/>
        </w:rPr>
        <w:t>4</w:t>
      </w:r>
      <w:r w:rsidRPr="00AF05BE">
        <w:rPr>
          <w:rFonts w:eastAsia="SimSun"/>
          <w:lang w:val="es-ES"/>
        </w:rPr>
        <w:t xml:space="preserve">, el movimiento del IPC en Ginebra reflejó un </w:t>
      </w:r>
      <w:r>
        <w:rPr>
          <w:rFonts w:eastAsia="SimSun"/>
          <w:lang w:val="es-ES"/>
        </w:rPr>
        <w:t>aumento</w:t>
      </w:r>
      <w:r w:rsidRPr="00AF05BE">
        <w:rPr>
          <w:rFonts w:eastAsia="SimSun"/>
          <w:lang w:val="es-ES"/>
        </w:rPr>
        <w:t xml:space="preserve"> net</w:t>
      </w:r>
      <w:r>
        <w:rPr>
          <w:rFonts w:eastAsia="SimSun"/>
          <w:lang w:val="es-ES"/>
        </w:rPr>
        <w:t>o</w:t>
      </w:r>
      <w:r w:rsidRPr="00AF05BE">
        <w:rPr>
          <w:rFonts w:eastAsia="SimSun"/>
          <w:lang w:val="es-ES"/>
        </w:rPr>
        <w:t xml:space="preserve"> de las escalas salariales </w:t>
      </w:r>
      <w:r>
        <w:rPr>
          <w:rFonts w:eastAsia="SimSun"/>
          <w:lang w:val="es-ES"/>
        </w:rPr>
        <w:t>de un 0,8</w:t>
      </w:r>
      <w:r w:rsidR="00ED51CB">
        <w:rPr>
          <w:rFonts w:eastAsia="SimSun"/>
          <w:lang w:val="es-ES"/>
        </w:rPr>
        <w:t> </w:t>
      </w:r>
      <w:r>
        <w:rPr>
          <w:rFonts w:eastAsia="SimSun"/>
          <w:lang w:val="es-ES"/>
        </w:rPr>
        <w:t>%</w:t>
      </w:r>
      <w:r w:rsidRPr="00CD74A8">
        <w:rPr>
          <w:rFonts w:eastAsia="SimSun"/>
          <w:lang w:val="es-ES"/>
        </w:rPr>
        <w:t>.</w:t>
      </w:r>
      <w:r w:rsidRPr="00AF05BE">
        <w:rPr>
          <w:rFonts w:eastAsia="SimSun"/>
          <w:lang w:val="es-ES"/>
        </w:rPr>
        <w:t xml:space="preserve"> Por tanto, en aplicación del procedimiento mencionado, los sueldos netos del personal del Cuadro de Servicios Generales en Ginebra</w:t>
      </w:r>
      <w:r>
        <w:rPr>
          <w:rFonts w:eastAsia="SimSun"/>
          <w:lang w:val="es-ES"/>
        </w:rPr>
        <w:t xml:space="preserve"> se ajustaron al alza en un 0,8</w:t>
      </w:r>
      <w:r w:rsidR="00ED51CB">
        <w:rPr>
          <w:rFonts w:eastAsia="SimSun"/>
          <w:lang w:val="es-ES"/>
        </w:rPr>
        <w:t> </w:t>
      </w:r>
      <w:r>
        <w:rPr>
          <w:rFonts w:eastAsia="SimSun"/>
          <w:lang w:val="es-ES"/>
        </w:rPr>
        <w:t>%</w:t>
      </w:r>
      <w:r w:rsidRPr="00AF05BE">
        <w:rPr>
          <w:rFonts w:eastAsia="SimSun"/>
          <w:lang w:val="es-ES"/>
        </w:rPr>
        <w:t xml:space="preserve">, </w:t>
      </w:r>
      <w:r>
        <w:rPr>
          <w:rFonts w:eastAsia="SimSun"/>
          <w:lang w:val="es-ES"/>
        </w:rPr>
        <w:t>con efecto a partir d</w:t>
      </w:r>
      <w:r w:rsidRPr="00AF05BE">
        <w:rPr>
          <w:rFonts w:eastAsia="SimSun"/>
          <w:lang w:val="es-ES"/>
        </w:rPr>
        <w:t>el 1 de septiembre de</w:t>
      </w:r>
      <w:r>
        <w:rPr>
          <w:rFonts w:eastAsia="SimSun"/>
          <w:lang w:val="es-ES"/>
        </w:rPr>
        <w:t> </w:t>
      </w:r>
      <w:r w:rsidRPr="00AF05BE">
        <w:rPr>
          <w:rFonts w:eastAsia="SimSun"/>
          <w:lang w:val="es-ES"/>
        </w:rPr>
        <w:t>202</w:t>
      </w:r>
      <w:r>
        <w:rPr>
          <w:rFonts w:eastAsia="SimSun"/>
          <w:lang w:val="es-ES"/>
        </w:rPr>
        <w:t>4</w:t>
      </w:r>
      <w:r w:rsidRPr="00AF05BE">
        <w:rPr>
          <w:rFonts w:eastAsia="SimSun"/>
          <w:lang w:val="es-ES"/>
        </w:rPr>
        <w:t>.</w:t>
      </w:r>
    </w:p>
    <w:p w14:paraId="57ADA99E" w14:textId="77777777" w:rsidR="003A40D1" w:rsidRPr="009B4036" w:rsidRDefault="003A40D1" w:rsidP="003A40D1">
      <w:pPr>
        <w:pStyle w:val="Heading1"/>
        <w:rPr>
          <w:rFonts w:asciiTheme="minorHAnsi" w:eastAsia="SimSun" w:hAnsiTheme="minorHAnsi"/>
          <w:sz w:val="24"/>
          <w:szCs w:val="24"/>
          <w:lang w:val="es-ES"/>
        </w:rPr>
      </w:pPr>
      <w:r w:rsidRPr="009B4036">
        <w:rPr>
          <w:rFonts w:eastAsia="SimSun"/>
          <w:bCs/>
          <w:sz w:val="24"/>
          <w:szCs w:val="24"/>
          <w:lang w:val="es-ES"/>
        </w:rPr>
        <w:t>II</w:t>
      </w:r>
      <w:r w:rsidRPr="009B4036">
        <w:rPr>
          <w:rFonts w:eastAsia="SimSun"/>
          <w:sz w:val="24"/>
          <w:szCs w:val="24"/>
          <w:lang w:val="es-ES"/>
        </w:rPr>
        <w:tab/>
        <w:t>Condiciones</w:t>
      </w:r>
      <w:r w:rsidRPr="009B4036">
        <w:rPr>
          <w:rFonts w:eastAsia="SimSun"/>
          <w:bCs/>
          <w:sz w:val="24"/>
          <w:szCs w:val="24"/>
          <w:lang w:val="es-ES"/>
        </w:rPr>
        <w:t xml:space="preserve"> de empleo de los funcionarios de elección</w:t>
      </w:r>
    </w:p>
    <w:p w14:paraId="3C5100D8" w14:textId="77777777" w:rsidR="003A40D1" w:rsidRDefault="003A40D1" w:rsidP="00281EF7">
      <w:pPr>
        <w:jc w:val="both"/>
        <w:rPr>
          <w:rFonts w:eastAsia="SimSun"/>
          <w:lang w:val="es-ES"/>
        </w:rPr>
      </w:pPr>
      <w:r>
        <w:rPr>
          <w:rFonts w:eastAsia="SimSun"/>
          <w:lang w:val="es-ES"/>
        </w:rPr>
        <w:t>8</w:t>
      </w:r>
      <w:r>
        <w:rPr>
          <w:rFonts w:eastAsia="SimSun"/>
          <w:lang w:val="es-ES"/>
        </w:rPr>
        <w:tab/>
      </w:r>
      <w:r w:rsidRPr="000925BA">
        <w:rPr>
          <w:rFonts w:eastAsia="SimSun"/>
        </w:rPr>
        <w:t xml:space="preserve">En virtud de la Resolución 46 (Kyoto, 1994) de la Conferencia de Plenipotenciarios, la remuneración de los funcionarios de elección se fija teniendo en cuenta el sueldo máximo pagado al personal de nombramiento sobre la base de los porcentajes señalados en dicha Resolución. Así pues, la remuneración de los funcionarios de elección debe revisarse como consecuencia del incremento del nivel de remuneración del personal de nombramiento aprobado por la AGNU en su último periodo de sesiones. De conformidad con la práctica establecida, la escala revisada de sueldos básicos/mínimos se aplica "sin pérdidas ni ganancias", según se indica </w:t>
      </w:r>
      <w:r w:rsidRPr="000925BA">
        <w:rPr>
          <w:rFonts w:eastAsia="SimSun"/>
          <w:i/>
          <w:iCs/>
        </w:rPr>
        <w:t>supra</w:t>
      </w:r>
      <w:r w:rsidRPr="000925BA">
        <w:rPr>
          <w:rFonts w:eastAsia="SimSun"/>
        </w:rPr>
        <w:t xml:space="preserve"> (véanse los apartados 3</w:t>
      </w:r>
      <w:r>
        <w:rPr>
          <w:rFonts w:eastAsia="SimSun"/>
        </w:rPr>
        <w:t xml:space="preserve"> y 4</w:t>
      </w:r>
      <w:r w:rsidRPr="000925BA">
        <w:rPr>
          <w:rFonts w:eastAsia="SimSun"/>
        </w:rPr>
        <w:t>).</w:t>
      </w:r>
    </w:p>
    <w:p w14:paraId="0A9A2E45" w14:textId="70FAC035" w:rsidR="003A40D1" w:rsidRPr="00AF05BE" w:rsidRDefault="003A40D1" w:rsidP="00281EF7">
      <w:pPr>
        <w:jc w:val="both"/>
        <w:rPr>
          <w:rFonts w:eastAsia="SimSun"/>
          <w:szCs w:val="24"/>
          <w:lang w:val="es-ES"/>
        </w:rPr>
      </w:pPr>
      <w:r>
        <w:rPr>
          <w:rFonts w:eastAsia="SimSun"/>
          <w:lang w:val="es-ES"/>
        </w:rPr>
        <w:t>9</w:t>
      </w:r>
      <w:r>
        <w:rPr>
          <w:rFonts w:eastAsia="SimSun"/>
          <w:lang w:val="es-ES"/>
        </w:rPr>
        <w:tab/>
        <w:t>L</w:t>
      </w:r>
      <w:r w:rsidRPr="00AF05BE">
        <w:rPr>
          <w:rFonts w:eastAsia="SimSun"/>
          <w:lang w:val="es-ES"/>
        </w:rPr>
        <w:t xml:space="preserve">a remuneración pensionable aplicable a los funcionarios de elección </w:t>
      </w:r>
      <w:r w:rsidRPr="00435D89">
        <w:rPr>
          <w:rFonts w:asciiTheme="minorHAnsi" w:hAnsiTheme="minorHAnsi"/>
          <w:szCs w:val="24"/>
        </w:rPr>
        <w:t xml:space="preserve">también ha de ajustarse al alza </w:t>
      </w:r>
      <w:r w:rsidRPr="00435D89">
        <w:t>como consecuencia del incremento del nivel de</w:t>
      </w:r>
      <w:r w:rsidRPr="00AF05BE">
        <w:rPr>
          <w:rFonts w:eastAsia="SimSun"/>
          <w:lang w:val="es-ES"/>
        </w:rPr>
        <w:t xml:space="preserve"> remuneración pensionable </w:t>
      </w:r>
      <w:r>
        <w:rPr>
          <w:rFonts w:eastAsia="SimSun"/>
          <w:lang w:val="es-ES"/>
        </w:rPr>
        <w:t>de</w:t>
      </w:r>
      <w:r w:rsidRPr="00AF05BE">
        <w:rPr>
          <w:rFonts w:eastAsia="SimSun"/>
          <w:lang w:val="es-ES"/>
        </w:rPr>
        <w:t xml:space="preserve">l personal de nombramiento </w:t>
      </w:r>
      <w:r w:rsidRPr="00435D89">
        <w:rPr>
          <w:rFonts w:asciiTheme="minorHAnsi" w:hAnsiTheme="minorHAnsi"/>
          <w:szCs w:val="24"/>
        </w:rPr>
        <w:t>aprobado por la AGNU</w:t>
      </w:r>
      <w:r w:rsidRPr="00AF05BE">
        <w:rPr>
          <w:rFonts w:eastAsia="SimSun"/>
          <w:lang w:val="es-ES"/>
        </w:rPr>
        <w:t>.</w:t>
      </w:r>
      <w:r>
        <w:rPr>
          <w:rFonts w:eastAsia="SimSun"/>
          <w:lang w:val="es-ES"/>
        </w:rPr>
        <w:t xml:space="preserve"> </w:t>
      </w:r>
      <w:r>
        <w:rPr>
          <w:rFonts w:asciiTheme="minorHAnsi" w:hAnsiTheme="minorHAnsi"/>
          <w:szCs w:val="24"/>
        </w:rPr>
        <w:t>De esta forma, se aplica</w:t>
      </w:r>
      <w:r w:rsidRPr="00435D89">
        <w:rPr>
          <w:rFonts w:asciiTheme="minorHAnsi" w:hAnsiTheme="minorHAnsi"/>
          <w:szCs w:val="24"/>
        </w:rPr>
        <w:t xml:space="preserve"> el mismo porcentaje de aumento de la remuneración pensionable (1,0</w:t>
      </w:r>
      <w:r>
        <w:rPr>
          <w:rFonts w:asciiTheme="minorHAnsi" w:hAnsiTheme="minorHAnsi"/>
          <w:szCs w:val="24"/>
        </w:rPr>
        <w:t>19</w:t>
      </w:r>
      <w:r w:rsidR="00901C14">
        <w:rPr>
          <w:rFonts w:asciiTheme="minorHAnsi" w:hAnsiTheme="minorHAnsi"/>
          <w:szCs w:val="24"/>
        </w:rPr>
        <w:t> </w:t>
      </w:r>
      <w:r w:rsidRPr="00435D89">
        <w:rPr>
          <w:rFonts w:asciiTheme="minorHAnsi" w:hAnsiTheme="minorHAnsi"/>
          <w:szCs w:val="24"/>
        </w:rPr>
        <w:t xml:space="preserve">%) que para el personal de nombramiento, según se indica </w:t>
      </w:r>
      <w:r w:rsidRPr="00435D89">
        <w:rPr>
          <w:rFonts w:asciiTheme="minorHAnsi" w:hAnsiTheme="minorHAnsi"/>
          <w:i/>
          <w:iCs/>
          <w:szCs w:val="24"/>
        </w:rPr>
        <w:t>supra</w:t>
      </w:r>
      <w:r w:rsidRPr="00435D89">
        <w:rPr>
          <w:rFonts w:asciiTheme="minorHAnsi" w:hAnsiTheme="minorHAnsi"/>
          <w:szCs w:val="24"/>
        </w:rPr>
        <w:t xml:space="preserve"> (véanse los apartados </w:t>
      </w:r>
      <w:r>
        <w:rPr>
          <w:rFonts w:asciiTheme="minorHAnsi" w:hAnsiTheme="minorHAnsi"/>
          <w:szCs w:val="24"/>
        </w:rPr>
        <w:t>4</w:t>
      </w:r>
      <w:r w:rsidRPr="00435D89">
        <w:rPr>
          <w:rFonts w:asciiTheme="minorHAnsi" w:hAnsiTheme="minorHAnsi"/>
          <w:szCs w:val="24"/>
        </w:rPr>
        <w:t xml:space="preserve"> y </w:t>
      </w:r>
      <w:r>
        <w:rPr>
          <w:rFonts w:asciiTheme="minorHAnsi" w:hAnsiTheme="minorHAnsi"/>
          <w:szCs w:val="24"/>
        </w:rPr>
        <w:t>5</w:t>
      </w:r>
      <w:r w:rsidRPr="00435D89">
        <w:rPr>
          <w:rFonts w:asciiTheme="minorHAnsi" w:hAnsiTheme="minorHAnsi"/>
          <w:szCs w:val="24"/>
        </w:rPr>
        <w:t>)</w:t>
      </w:r>
      <w:r w:rsidRPr="00AF05BE">
        <w:rPr>
          <w:rFonts w:eastAsia="SimSun"/>
          <w:lang w:val="es-ES"/>
        </w:rPr>
        <w:t>.</w:t>
      </w:r>
    </w:p>
    <w:p w14:paraId="57EDD1B3" w14:textId="77777777" w:rsidR="003A40D1" w:rsidRPr="002B4913" w:rsidRDefault="003A40D1" w:rsidP="00281EF7">
      <w:pPr>
        <w:spacing w:before="1200"/>
        <w:jc w:val="both"/>
        <w:rPr>
          <w:rFonts w:eastAsia="SimSun"/>
          <w:b/>
          <w:bCs/>
          <w:i/>
          <w:iCs/>
          <w:szCs w:val="24"/>
          <w:lang w:val="es-ES"/>
        </w:rPr>
      </w:pPr>
      <w:r w:rsidRPr="002B4913">
        <w:rPr>
          <w:rFonts w:eastAsia="SimSun"/>
          <w:b/>
          <w:bCs/>
          <w:i/>
          <w:iCs/>
          <w:lang w:val="es-ES"/>
        </w:rPr>
        <w:t xml:space="preserve">Anexo: </w:t>
      </w:r>
      <w:r w:rsidRPr="00281EF7">
        <w:rPr>
          <w:rFonts w:eastAsia="SimSun"/>
          <w:i/>
          <w:iCs/>
          <w:lang w:val="es-ES"/>
        </w:rPr>
        <w:t>1</w:t>
      </w:r>
    </w:p>
    <w:p w14:paraId="5992A88D" w14:textId="77777777" w:rsidR="003A40D1" w:rsidRPr="00AF05BE" w:rsidRDefault="003A40D1" w:rsidP="003A40D1">
      <w:pPr>
        <w:tabs>
          <w:tab w:val="clear" w:pos="567"/>
          <w:tab w:val="left" w:pos="720"/>
        </w:tabs>
        <w:overflowPunct/>
        <w:autoSpaceDE/>
        <w:adjustRightInd/>
        <w:spacing w:before="0"/>
        <w:rPr>
          <w:rFonts w:asciiTheme="minorHAnsi" w:eastAsiaTheme="minorEastAsia" w:hAnsiTheme="minorHAnsi" w:cstheme="minorBidi"/>
          <w:caps/>
          <w:sz w:val="28"/>
          <w:szCs w:val="22"/>
          <w:lang w:val="es-ES" w:eastAsia="zh-CN"/>
        </w:rPr>
      </w:pPr>
      <w:r w:rsidRPr="00AF05BE">
        <w:rPr>
          <w:rFonts w:asciiTheme="minorHAnsi" w:eastAsiaTheme="minorEastAsia" w:hAnsiTheme="minorHAnsi" w:cstheme="minorBidi"/>
          <w:caps/>
          <w:sz w:val="28"/>
          <w:szCs w:val="22"/>
          <w:lang w:val="es-ES" w:eastAsia="zh-CN"/>
        </w:rPr>
        <w:br w:type="page"/>
      </w:r>
    </w:p>
    <w:p w14:paraId="6A5911F8" w14:textId="77777777" w:rsidR="003A40D1" w:rsidRPr="00AF05BE" w:rsidRDefault="003A40D1" w:rsidP="003A40D1">
      <w:pPr>
        <w:pStyle w:val="AnnexNo"/>
        <w:rPr>
          <w:rFonts w:eastAsia="SimSun"/>
          <w:lang w:val="es-ES"/>
        </w:rPr>
      </w:pPr>
      <w:r w:rsidRPr="00AF05BE">
        <w:rPr>
          <w:rFonts w:eastAsia="SimSun"/>
          <w:lang w:val="es-ES"/>
        </w:rPr>
        <w:lastRenderedPageBreak/>
        <w:t>ANEXO</w:t>
      </w:r>
    </w:p>
    <w:p w14:paraId="761354BF" w14:textId="77777777" w:rsidR="003A40D1" w:rsidRPr="00AF05BE" w:rsidRDefault="003A40D1" w:rsidP="003A40D1">
      <w:pPr>
        <w:pStyle w:val="AnnexNo"/>
        <w:rPr>
          <w:rFonts w:eastAsia="SimSun"/>
          <w:lang w:val="es-ES"/>
        </w:rPr>
      </w:pPr>
      <w:r w:rsidRPr="00AF05BE">
        <w:rPr>
          <w:rFonts w:eastAsia="SimSun"/>
          <w:lang w:val="es-ES"/>
        </w:rPr>
        <w:t>PROYECTO DE RESOLUCIÓN […]</w:t>
      </w:r>
    </w:p>
    <w:p w14:paraId="5EA714AD" w14:textId="77777777" w:rsidR="003A40D1" w:rsidRPr="00AF05BE" w:rsidRDefault="003A40D1" w:rsidP="003A40D1">
      <w:pPr>
        <w:pStyle w:val="Annextitle"/>
        <w:rPr>
          <w:rFonts w:eastAsia="SimSun"/>
          <w:lang w:val="es-ES"/>
        </w:rPr>
      </w:pPr>
      <w:r w:rsidRPr="00AF05BE">
        <w:rPr>
          <w:rFonts w:eastAsia="SimSun"/>
          <w:lang w:val="es-ES"/>
        </w:rPr>
        <w:t>Condiciones de servicio de los funcionarios de elección de la UIT</w:t>
      </w:r>
    </w:p>
    <w:p w14:paraId="4AD12343" w14:textId="77777777" w:rsidR="003A40D1" w:rsidRPr="00AF05BE" w:rsidRDefault="003A40D1" w:rsidP="003A40D1">
      <w:pPr>
        <w:rPr>
          <w:rFonts w:eastAsia="SimSun"/>
          <w:lang w:val="es-ES"/>
        </w:rPr>
      </w:pPr>
      <w:r w:rsidRPr="00AF05BE">
        <w:rPr>
          <w:rFonts w:eastAsia="SimSun"/>
          <w:lang w:val="es-ES"/>
        </w:rPr>
        <w:t>El Consejo de la UIT,</w:t>
      </w:r>
    </w:p>
    <w:p w14:paraId="5442A931" w14:textId="77777777" w:rsidR="003A40D1" w:rsidRPr="00AF05BE" w:rsidRDefault="003A40D1" w:rsidP="003A40D1">
      <w:pPr>
        <w:pStyle w:val="Call"/>
        <w:rPr>
          <w:rFonts w:eastAsia="SimSun"/>
          <w:lang w:val="es-ES"/>
        </w:rPr>
      </w:pPr>
      <w:r w:rsidRPr="00AF05BE">
        <w:rPr>
          <w:rFonts w:eastAsia="SimSun"/>
          <w:lang w:val="es-ES"/>
        </w:rPr>
        <w:t>recordando</w:t>
      </w:r>
    </w:p>
    <w:p w14:paraId="1C618D34" w14:textId="77777777" w:rsidR="003A40D1" w:rsidRPr="00AF05BE" w:rsidRDefault="003A40D1" w:rsidP="00281EF7">
      <w:pPr>
        <w:jc w:val="both"/>
        <w:rPr>
          <w:rFonts w:eastAsia="SimSun"/>
          <w:lang w:val="es-ES"/>
        </w:rPr>
      </w:pPr>
      <w:r w:rsidRPr="00AF05BE">
        <w:rPr>
          <w:rFonts w:eastAsia="SimSun"/>
          <w:lang w:val="es-ES"/>
        </w:rPr>
        <w:t>La Resolución 46 (Kioto, 1994) de la Conferencia de Plenipotenciarios,</w:t>
      </w:r>
    </w:p>
    <w:p w14:paraId="6572B38B" w14:textId="77777777" w:rsidR="003A40D1" w:rsidRPr="00AF05BE" w:rsidRDefault="003A40D1" w:rsidP="00281EF7">
      <w:pPr>
        <w:pStyle w:val="Call"/>
        <w:jc w:val="both"/>
        <w:rPr>
          <w:rFonts w:eastAsia="SimSun"/>
          <w:lang w:val="es-ES"/>
        </w:rPr>
      </w:pPr>
      <w:r w:rsidRPr="00AF05BE">
        <w:rPr>
          <w:rFonts w:eastAsia="SimSun"/>
          <w:lang w:val="es-ES"/>
        </w:rPr>
        <w:t>habiendo considerado</w:t>
      </w:r>
    </w:p>
    <w:p w14:paraId="7C5EC96A" w14:textId="46910B23" w:rsidR="003A40D1" w:rsidRPr="00AF05BE" w:rsidRDefault="003A40D1" w:rsidP="00281EF7">
      <w:pPr>
        <w:jc w:val="both"/>
        <w:rPr>
          <w:rFonts w:eastAsia="SimSun"/>
          <w:lang w:val="es-ES"/>
        </w:rPr>
      </w:pPr>
      <w:r w:rsidRPr="00AF05BE">
        <w:rPr>
          <w:rFonts w:eastAsia="SimSun"/>
          <w:lang w:val="es-ES"/>
        </w:rPr>
        <w:t>el informe de</w:t>
      </w:r>
      <w:r>
        <w:rPr>
          <w:rFonts w:eastAsia="SimSun"/>
          <w:lang w:val="es-ES"/>
        </w:rPr>
        <w:t xml:space="preserve"> </w:t>
      </w:r>
      <w:r w:rsidRPr="00AF05BE">
        <w:rPr>
          <w:rFonts w:eastAsia="SimSun"/>
          <w:lang w:val="es-ES"/>
        </w:rPr>
        <w:t>l</w:t>
      </w:r>
      <w:r>
        <w:rPr>
          <w:rFonts w:eastAsia="SimSun"/>
          <w:lang w:val="es-ES"/>
        </w:rPr>
        <w:t>a</w:t>
      </w:r>
      <w:r w:rsidRPr="00AF05BE">
        <w:rPr>
          <w:rFonts w:eastAsia="SimSun"/>
          <w:lang w:val="es-ES"/>
        </w:rPr>
        <w:t xml:space="preserve"> Secretari</w:t>
      </w:r>
      <w:r>
        <w:rPr>
          <w:rFonts w:eastAsia="SimSun"/>
          <w:lang w:val="es-ES"/>
        </w:rPr>
        <w:t>a</w:t>
      </w:r>
      <w:r w:rsidRPr="00AF05BE">
        <w:rPr>
          <w:rFonts w:eastAsia="SimSun"/>
          <w:lang w:val="es-ES"/>
        </w:rPr>
        <w:t xml:space="preserve"> General sobre las medidas adoptadas en el marco del régimen común de las Naciones Unidas a raíz de la Resolución </w:t>
      </w:r>
      <w:r w:rsidRPr="00B064A8">
        <w:t>7</w:t>
      </w:r>
      <w:r w:rsidRPr="00B064A8">
        <w:rPr>
          <w:lang w:eastAsia="zh-CN"/>
        </w:rPr>
        <w:t>9</w:t>
      </w:r>
      <w:r w:rsidRPr="00B064A8">
        <w:t>/25</w:t>
      </w:r>
      <w:r w:rsidRPr="00B064A8">
        <w:rPr>
          <w:lang w:eastAsia="zh-CN"/>
        </w:rPr>
        <w:t>2</w:t>
      </w:r>
      <w:r w:rsidRPr="00AF05BE">
        <w:rPr>
          <w:rFonts w:eastAsia="SimSun"/>
          <w:lang w:val="es-ES"/>
        </w:rPr>
        <w:t xml:space="preserve"> de la Asamblea General de las Naciones Unidas sobre las condiciones de servicio,</w:t>
      </w:r>
    </w:p>
    <w:p w14:paraId="5B61D341" w14:textId="77777777" w:rsidR="003A40D1" w:rsidRPr="00AF05BE" w:rsidRDefault="003A40D1" w:rsidP="00281EF7">
      <w:pPr>
        <w:pStyle w:val="Call"/>
        <w:jc w:val="both"/>
        <w:rPr>
          <w:rFonts w:eastAsia="SimSun"/>
          <w:lang w:val="es-ES"/>
        </w:rPr>
      </w:pPr>
      <w:r w:rsidRPr="00AF05BE">
        <w:rPr>
          <w:rFonts w:eastAsia="SimSun"/>
          <w:lang w:val="es-ES"/>
        </w:rPr>
        <w:t>resuelve</w:t>
      </w:r>
    </w:p>
    <w:p w14:paraId="52F2463E" w14:textId="45651455" w:rsidR="003A40D1" w:rsidRPr="00AF05BE" w:rsidRDefault="003A40D1" w:rsidP="00281EF7">
      <w:pPr>
        <w:spacing w:after="120"/>
        <w:jc w:val="both"/>
        <w:rPr>
          <w:rFonts w:eastAsia="SimSun"/>
          <w:lang w:val="es-ES"/>
        </w:rPr>
      </w:pPr>
      <w:r w:rsidRPr="00AF05BE">
        <w:rPr>
          <w:rFonts w:eastAsia="SimSun"/>
          <w:lang w:val="es-ES"/>
        </w:rPr>
        <w:t xml:space="preserve">aprobar la siguiente </w:t>
      </w:r>
      <w:r w:rsidRPr="00084046">
        <w:rPr>
          <w:rFonts w:eastAsia="SimSun"/>
          <w:lang w:val="es-ES"/>
        </w:rPr>
        <w:t>escala de sueldos con efecto a partir del 1 de enero de 202</w:t>
      </w:r>
      <w:r>
        <w:rPr>
          <w:rFonts w:eastAsia="SimSun"/>
          <w:lang w:val="es-ES"/>
        </w:rPr>
        <w:t>5</w:t>
      </w:r>
      <w:r w:rsidRPr="00084046">
        <w:rPr>
          <w:rFonts w:eastAsia="SimSun"/>
          <w:lang w:val="es-ES"/>
        </w:rPr>
        <w:t xml:space="preserve"> y la siguiente escala de </w:t>
      </w:r>
      <w:r w:rsidRPr="00AF05BE">
        <w:rPr>
          <w:rFonts w:eastAsia="SimSun"/>
          <w:lang w:val="es-ES"/>
        </w:rPr>
        <w:t>remuneración pensionable con efecto</w:t>
      </w:r>
      <w:r>
        <w:rPr>
          <w:rFonts w:eastAsia="SimSun"/>
          <w:lang w:val="es-ES"/>
        </w:rPr>
        <w:t xml:space="preserve"> a partir del 1 de febrero de 2025</w:t>
      </w:r>
      <w:r w:rsidRPr="00AF05BE">
        <w:rPr>
          <w:rFonts w:eastAsia="SimSun"/>
          <w:lang w:val="es-ES"/>
        </w:rPr>
        <w:t xml:space="preserve"> para los funcionarios de elección de la UIT:</w:t>
      </w:r>
    </w:p>
    <w:tbl>
      <w:tblPr>
        <w:tblpPr w:leftFromText="180" w:rightFromText="180" w:vertAnchor="text"/>
        <w:tblW w:w="9639" w:type="dxa"/>
        <w:tblLayout w:type="fixed"/>
        <w:tblCellMar>
          <w:left w:w="0" w:type="dxa"/>
          <w:right w:w="0" w:type="dxa"/>
        </w:tblCellMar>
        <w:tblLook w:val="04A0" w:firstRow="1" w:lastRow="0" w:firstColumn="1" w:lastColumn="0" w:noHBand="0" w:noVBand="1"/>
      </w:tblPr>
      <w:tblGrid>
        <w:gridCol w:w="2507"/>
        <w:gridCol w:w="2455"/>
        <w:gridCol w:w="2551"/>
        <w:gridCol w:w="2126"/>
      </w:tblGrid>
      <w:tr w:rsidR="003A40D1" w:rsidRPr="00AF05BE" w14:paraId="764FA8F3" w14:textId="77777777" w:rsidTr="00883939">
        <w:tc>
          <w:tcPr>
            <w:tcW w:w="2507" w:type="dxa"/>
            <w:tcBorders>
              <w:right w:val="single" w:sz="4" w:space="0" w:color="auto"/>
            </w:tcBorders>
            <w:tcMar>
              <w:top w:w="0" w:type="dxa"/>
              <w:left w:w="108" w:type="dxa"/>
              <w:bottom w:w="0" w:type="dxa"/>
              <w:right w:w="108" w:type="dxa"/>
            </w:tcMar>
          </w:tcPr>
          <w:p w14:paraId="337DAC5D" w14:textId="77777777" w:rsidR="003A40D1" w:rsidRPr="00AF05BE" w:rsidRDefault="003A40D1" w:rsidP="00883939">
            <w:pPr>
              <w:pStyle w:val="Tablehead"/>
              <w:rPr>
                <w:rFonts w:eastAsiaTheme="minorEastAsia"/>
                <w:lang w:val="es-ES" w:eastAsia="zh-CN"/>
              </w:rPr>
            </w:pPr>
          </w:p>
        </w:tc>
        <w:tc>
          <w:tcPr>
            <w:tcW w:w="7132" w:type="dxa"/>
            <w:gridSpan w:val="3"/>
            <w:tcBorders>
              <w:top w:val="single" w:sz="4" w:space="0" w:color="auto"/>
              <w:left w:val="single" w:sz="4" w:space="0" w:color="auto"/>
              <w:bottom w:val="single" w:sz="4" w:space="0" w:color="auto"/>
              <w:right w:val="single" w:sz="4" w:space="0" w:color="auto"/>
            </w:tcBorders>
          </w:tcPr>
          <w:p w14:paraId="774A3E94" w14:textId="77777777" w:rsidR="003A40D1" w:rsidRPr="00AF05BE" w:rsidRDefault="003A40D1" w:rsidP="00883939">
            <w:pPr>
              <w:pStyle w:val="Tablehead"/>
              <w:rPr>
                <w:rFonts w:asciiTheme="minorHAnsi" w:eastAsiaTheme="minorEastAsia" w:hAnsiTheme="minorHAnsi"/>
                <w:lang w:val="es-ES"/>
              </w:rPr>
            </w:pPr>
            <w:r w:rsidRPr="00AF05BE">
              <w:rPr>
                <w:rFonts w:eastAsia="SimSun"/>
                <w:bCs/>
                <w:lang w:val="es-ES"/>
              </w:rPr>
              <w:t>USD anuales</w:t>
            </w:r>
          </w:p>
        </w:tc>
      </w:tr>
      <w:tr w:rsidR="003A40D1" w:rsidRPr="00AF05BE" w14:paraId="287396A2" w14:textId="77777777" w:rsidTr="00883939">
        <w:tc>
          <w:tcPr>
            <w:tcW w:w="2507" w:type="dxa"/>
            <w:tcBorders>
              <w:right w:val="single" w:sz="4" w:space="0" w:color="auto"/>
            </w:tcBorders>
            <w:tcMar>
              <w:top w:w="0" w:type="dxa"/>
              <w:left w:w="108" w:type="dxa"/>
              <w:bottom w:w="0" w:type="dxa"/>
              <w:right w:w="108" w:type="dxa"/>
            </w:tcMar>
          </w:tcPr>
          <w:p w14:paraId="691175C6" w14:textId="77777777" w:rsidR="003A40D1" w:rsidRPr="00AF05BE" w:rsidRDefault="003A40D1" w:rsidP="00883939">
            <w:pPr>
              <w:pStyle w:val="Tablehead"/>
              <w:rPr>
                <w:rFonts w:asciiTheme="minorHAnsi" w:eastAsiaTheme="minorEastAsia" w:hAnsiTheme="minorHAnsi"/>
                <w:lang w:val="es-ES" w:eastAsia="zh-CN"/>
              </w:rPr>
            </w:pPr>
          </w:p>
        </w:tc>
        <w:tc>
          <w:tcPr>
            <w:tcW w:w="2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024BD" w14:textId="47B61811" w:rsidR="003A40D1" w:rsidRPr="00AF05BE" w:rsidRDefault="003A40D1" w:rsidP="00883939">
            <w:pPr>
              <w:pStyle w:val="Tablehead"/>
              <w:rPr>
                <w:rFonts w:asciiTheme="minorHAnsi" w:eastAsiaTheme="minorEastAsia" w:hAnsiTheme="minorHAnsi"/>
                <w:sz w:val="18"/>
                <w:szCs w:val="18"/>
                <w:lang w:val="es-ES"/>
              </w:rPr>
            </w:pPr>
            <w:r>
              <w:rPr>
                <w:rFonts w:eastAsia="SimSun"/>
                <w:bCs/>
                <w:lang w:val="es-ES"/>
              </w:rPr>
              <w:t>Bruto</w:t>
            </w:r>
            <w:r w:rsidRPr="00AF05BE">
              <w:rPr>
                <w:rFonts w:eastAsia="SimSun"/>
                <w:lang w:val="es-ES"/>
              </w:rPr>
              <w:br/>
            </w:r>
            <w:r w:rsidRPr="00AF05BE">
              <w:rPr>
                <w:rFonts w:eastAsia="SimSun"/>
                <w:sz w:val="18"/>
                <w:szCs w:val="18"/>
                <w:lang w:val="es-ES"/>
              </w:rPr>
              <w:t>(1 de enero de 202</w:t>
            </w:r>
            <w:r>
              <w:rPr>
                <w:rFonts w:eastAsia="SimSun"/>
                <w:sz w:val="18"/>
                <w:szCs w:val="18"/>
                <w:lang w:val="es-ES"/>
              </w:rPr>
              <w:t>5</w:t>
            </w:r>
            <w:r w:rsidRPr="00AF05BE">
              <w:rPr>
                <w:rFonts w:eastAsia="SimSun"/>
                <w:sz w:val="18"/>
                <w:szCs w:val="18"/>
                <w:lang w:val="es-ES"/>
              </w:rPr>
              <w:t>)</w:t>
            </w:r>
          </w:p>
        </w:tc>
        <w:tc>
          <w:tcPr>
            <w:tcW w:w="2551" w:type="dxa"/>
            <w:tcBorders>
              <w:top w:val="single" w:sz="4" w:space="0" w:color="auto"/>
              <w:left w:val="single" w:sz="4" w:space="0" w:color="auto"/>
              <w:bottom w:val="single" w:sz="4" w:space="0" w:color="auto"/>
              <w:right w:val="single" w:sz="4" w:space="0" w:color="auto"/>
            </w:tcBorders>
          </w:tcPr>
          <w:p w14:paraId="7AEE5181" w14:textId="77777777" w:rsidR="003A40D1" w:rsidRPr="0098703A" w:rsidRDefault="003A40D1" w:rsidP="00883939">
            <w:pPr>
              <w:pStyle w:val="Tablehead"/>
              <w:rPr>
                <w:rFonts w:eastAsia="SimSun"/>
                <w:sz w:val="18"/>
                <w:szCs w:val="18"/>
                <w:lang w:val="es-ES"/>
              </w:rPr>
            </w:pPr>
            <w:r w:rsidRPr="0098703A">
              <w:rPr>
                <w:rFonts w:eastAsia="SimSun"/>
                <w:szCs w:val="22"/>
                <w:lang w:val="es-ES"/>
              </w:rPr>
              <w:t>Neto</w:t>
            </w:r>
            <w:r w:rsidRPr="0098703A">
              <w:rPr>
                <w:rFonts w:eastAsia="SimSun"/>
                <w:sz w:val="18"/>
                <w:szCs w:val="18"/>
                <w:lang w:val="es-ES"/>
              </w:rPr>
              <w:br/>
              <w:t>(1 de enero de 2025)</w:t>
            </w:r>
          </w:p>
        </w:tc>
        <w:tc>
          <w:tcPr>
            <w:tcW w:w="2126" w:type="dxa"/>
            <w:tcBorders>
              <w:top w:val="single" w:sz="4" w:space="0" w:color="auto"/>
              <w:left w:val="single" w:sz="4" w:space="0" w:color="auto"/>
              <w:bottom w:val="single" w:sz="4" w:space="0" w:color="auto"/>
              <w:right w:val="single" w:sz="4" w:space="0" w:color="auto"/>
            </w:tcBorders>
            <w:hideMark/>
          </w:tcPr>
          <w:p w14:paraId="23B9C2D1" w14:textId="2FC628A8" w:rsidR="003A40D1" w:rsidRPr="00AF05BE" w:rsidRDefault="003A40D1" w:rsidP="00883939">
            <w:pPr>
              <w:pStyle w:val="Tablehead"/>
              <w:rPr>
                <w:rFonts w:asciiTheme="minorHAnsi" w:eastAsiaTheme="minorEastAsia" w:hAnsiTheme="minorHAnsi"/>
                <w:lang w:val="es-ES"/>
              </w:rPr>
            </w:pPr>
            <w:r w:rsidRPr="00AF05BE">
              <w:rPr>
                <w:rFonts w:eastAsia="SimSun"/>
                <w:bCs/>
                <w:lang w:val="es-ES"/>
              </w:rPr>
              <w:t>Remuneración pensionable</w:t>
            </w:r>
            <w:r w:rsidRPr="00AF05BE">
              <w:rPr>
                <w:rFonts w:eastAsia="SimSun"/>
                <w:bCs/>
                <w:lang w:val="es-ES"/>
              </w:rPr>
              <w:br/>
            </w:r>
            <w:r w:rsidRPr="00AF05BE">
              <w:rPr>
                <w:rFonts w:eastAsia="SimSun"/>
                <w:sz w:val="18"/>
                <w:szCs w:val="18"/>
                <w:lang w:val="es-ES"/>
              </w:rPr>
              <w:t>(1 de febrero de 202</w:t>
            </w:r>
            <w:r>
              <w:rPr>
                <w:rFonts w:eastAsia="SimSun"/>
                <w:sz w:val="18"/>
                <w:szCs w:val="18"/>
                <w:lang w:val="es-ES"/>
              </w:rPr>
              <w:t>5</w:t>
            </w:r>
            <w:r w:rsidRPr="00AF05BE">
              <w:rPr>
                <w:rFonts w:eastAsia="SimSun"/>
                <w:sz w:val="18"/>
                <w:szCs w:val="18"/>
                <w:lang w:val="es-ES"/>
              </w:rPr>
              <w:t>)</w:t>
            </w:r>
          </w:p>
        </w:tc>
      </w:tr>
      <w:tr w:rsidR="003A40D1" w:rsidRPr="00AF05BE" w14:paraId="7AF8DA1D" w14:textId="77777777" w:rsidTr="00883939">
        <w:tc>
          <w:tcPr>
            <w:tcW w:w="250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5667BFF" w14:textId="77777777" w:rsidR="003A40D1" w:rsidRPr="00AF05BE" w:rsidRDefault="003A40D1" w:rsidP="00883939">
            <w:pPr>
              <w:pStyle w:val="Tabletext"/>
              <w:rPr>
                <w:rFonts w:eastAsia="SimSun" w:cs="Calibri"/>
                <w:szCs w:val="24"/>
                <w:lang w:val="es-ES"/>
              </w:rPr>
            </w:pPr>
            <w:r w:rsidRPr="00AF05BE">
              <w:rPr>
                <w:rFonts w:eastAsia="SimSun"/>
                <w:lang w:val="es-ES"/>
              </w:rPr>
              <w:t>Secretario General</w:t>
            </w:r>
          </w:p>
        </w:tc>
        <w:tc>
          <w:tcPr>
            <w:tcW w:w="2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D9D9" w14:textId="4E1F6E78" w:rsidR="003A40D1" w:rsidRPr="00AF05BE" w:rsidRDefault="003A40D1" w:rsidP="00883939">
            <w:pPr>
              <w:pStyle w:val="Tabletext"/>
              <w:jc w:val="center"/>
              <w:rPr>
                <w:rFonts w:eastAsia="SimSun" w:cs="Calibri"/>
                <w:strike/>
                <w:lang w:val="es-ES"/>
              </w:rPr>
            </w:pPr>
            <w:r w:rsidRPr="00B064A8">
              <w:rPr>
                <w:rFonts w:cs="Calibri"/>
                <w:lang w:eastAsia="zh-CN"/>
              </w:rPr>
              <w:t>283</w:t>
            </w:r>
            <w:r>
              <w:rPr>
                <w:rFonts w:cs="Calibri"/>
                <w:lang w:eastAsia="zh-CN"/>
              </w:rPr>
              <w:t> </w:t>
            </w:r>
            <w:r w:rsidRPr="00B064A8">
              <w:rPr>
                <w:rFonts w:cs="Calibri"/>
                <w:lang w:eastAsia="zh-CN"/>
              </w:rPr>
              <w:t>947</w:t>
            </w:r>
          </w:p>
        </w:tc>
        <w:tc>
          <w:tcPr>
            <w:tcW w:w="2551" w:type="dxa"/>
            <w:tcBorders>
              <w:top w:val="single" w:sz="4" w:space="0" w:color="auto"/>
              <w:left w:val="single" w:sz="4" w:space="0" w:color="auto"/>
              <w:bottom w:val="single" w:sz="4" w:space="0" w:color="auto"/>
              <w:right w:val="single" w:sz="4" w:space="0" w:color="auto"/>
            </w:tcBorders>
            <w:vAlign w:val="center"/>
          </w:tcPr>
          <w:p w14:paraId="30454F8C" w14:textId="77777777" w:rsidR="003A40D1" w:rsidRPr="00AF05BE" w:rsidRDefault="003A40D1" w:rsidP="00883939">
            <w:pPr>
              <w:pStyle w:val="Tabletext"/>
              <w:jc w:val="center"/>
              <w:rPr>
                <w:rFonts w:eastAsia="SimSun"/>
                <w:lang w:val="es-ES"/>
              </w:rPr>
            </w:pPr>
            <w:r w:rsidRPr="00B064A8">
              <w:rPr>
                <w:rFonts w:cs="Calibri"/>
                <w:lang w:eastAsia="zh-CN"/>
              </w:rPr>
              <w:t>202</w:t>
            </w:r>
            <w:r>
              <w:rPr>
                <w:rFonts w:cs="Calibri"/>
                <w:lang w:eastAsia="zh-CN"/>
              </w:rPr>
              <w:t> </w:t>
            </w:r>
            <w:r w:rsidRPr="00B064A8">
              <w:rPr>
                <w:rFonts w:cs="Calibri"/>
                <w:lang w:eastAsia="zh-CN"/>
              </w:rPr>
              <w:t>905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96F1F" w14:textId="5C25CC91" w:rsidR="003A40D1" w:rsidRPr="00AF05BE" w:rsidRDefault="003A40D1" w:rsidP="00883939">
            <w:pPr>
              <w:pStyle w:val="Tabletext"/>
              <w:jc w:val="center"/>
              <w:rPr>
                <w:rFonts w:eastAsia="SimSun" w:cs="Calibri"/>
                <w:strike/>
                <w:lang w:val="es-ES"/>
              </w:rPr>
            </w:pPr>
            <w:r w:rsidRPr="00B064A8">
              <w:rPr>
                <w:rFonts w:cs="Calibri"/>
                <w:lang w:eastAsia="zh-CN"/>
              </w:rPr>
              <w:t>465</w:t>
            </w:r>
            <w:r>
              <w:rPr>
                <w:rFonts w:cs="Calibri"/>
                <w:lang w:eastAsia="zh-CN"/>
              </w:rPr>
              <w:t> </w:t>
            </w:r>
            <w:r w:rsidRPr="00B064A8">
              <w:rPr>
                <w:rFonts w:cs="Calibri"/>
                <w:lang w:eastAsia="zh-CN"/>
              </w:rPr>
              <w:t>620</w:t>
            </w:r>
          </w:p>
        </w:tc>
      </w:tr>
      <w:tr w:rsidR="003A40D1" w:rsidRPr="00AF05BE" w14:paraId="2AFF44BF" w14:textId="77777777" w:rsidTr="00883939">
        <w:tc>
          <w:tcPr>
            <w:tcW w:w="2507"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7D4936E" w14:textId="77777777" w:rsidR="003A40D1" w:rsidRPr="00AF05BE" w:rsidRDefault="003A40D1" w:rsidP="00883939">
            <w:pPr>
              <w:pStyle w:val="Tabletext"/>
              <w:rPr>
                <w:rFonts w:eastAsia="SimSun" w:cs="Calibri"/>
                <w:szCs w:val="24"/>
                <w:lang w:val="es-ES"/>
              </w:rPr>
            </w:pPr>
            <w:r w:rsidRPr="00AF05BE">
              <w:rPr>
                <w:rFonts w:eastAsia="SimSun"/>
                <w:lang w:val="es-ES"/>
              </w:rPr>
              <w:t>Vicesecretario General y Directores de las Oficinas</w:t>
            </w:r>
          </w:p>
        </w:tc>
        <w:tc>
          <w:tcPr>
            <w:tcW w:w="2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8B767" w14:textId="38C4C823" w:rsidR="003A40D1" w:rsidRPr="00AF05BE" w:rsidRDefault="003A40D1" w:rsidP="00883939">
            <w:pPr>
              <w:pStyle w:val="Tabletext"/>
              <w:jc w:val="center"/>
              <w:rPr>
                <w:rFonts w:eastAsia="SimSun" w:cs="Calibri"/>
                <w:strike/>
                <w:szCs w:val="24"/>
                <w:lang w:val="es-ES"/>
              </w:rPr>
            </w:pPr>
            <w:r w:rsidRPr="00B064A8">
              <w:rPr>
                <w:rFonts w:cs="Calibri"/>
                <w:lang w:eastAsia="zh-CN"/>
              </w:rPr>
              <w:t>258</w:t>
            </w:r>
            <w:r>
              <w:rPr>
                <w:rFonts w:cs="Calibri"/>
                <w:lang w:eastAsia="zh-CN"/>
              </w:rPr>
              <w:t> </w:t>
            </w:r>
            <w:r w:rsidRPr="00B064A8">
              <w:rPr>
                <w:rFonts w:cs="Calibri"/>
                <w:lang w:eastAsia="zh-CN"/>
              </w:rPr>
              <w:t>711</w:t>
            </w:r>
          </w:p>
        </w:tc>
        <w:tc>
          <w:tcPr>
            <w:tcW w:w="2551" w:type="dxa"/>
            <w:tcBorders>
              <w:top w:val="single" w:sz="4" w:space="0" w:color="auto"/>
              <w:left w:val="single" w:sz="4" w:space="0" w:color="auto"/>
              <w:bottom w:val="single" w:sz="4" w:space="0" w:color="auto"/>
              <w:right w:val="single" w:sz="4" w:space="0" w:color="auto"/>
            </w:tcBorders>
            <w:vAlign w:val="center"/>
          </w:tcPr>
          <w:p w14:paraId="4210DF75" w14:textId="77777777" w:rsidR="003A40D1" w:rsidRPr="00AF05BE" w:rsidRDefault="003A40D1" w:rsidP="00883939">
            <w:pPr>
              <w:pStyle w:val="Tabletext"/>
              <w:jc w:val="center"/>
              <w:rPr>
                <w:rFonts w:eastAsia="SimSun"/>
                <w:lang w:val="es-ES"/>
              </w:rPr>
            </w:pPr>
            <w:r w:rsidRPr="00B064A8">
              <w:rPr>
                <w:rFonts w:cs="Calibri"/>
                <w:lang w:eastAsia="zh-CN"/>
              </w:rPr>
              <w:t>186</w:t>
            </w:r>
            <w:r>
              <w:rPr>
                <w:rFonts w:cs="Calibri"/>
                <w:lang w:eastAsia="zh-CN"/>
              </w:rPr>
              <w:t> </w:t>
            </w:r>
            <w:r w:rsidRPr="00B064A8">
              <w:rPr>
                <w:rFonts w:cs="Calibri"/>
                <w:lang w:eastAsia="zh-CN"/>
              </w:rPr>
              <w:t>249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595ADB" w14:textId="4CCF0B85" w:rsidR="003A40D1" w:rsidRPr="00AF05BE" w:rsidRDefault="003A40D1" w:rsidP="00883939">
            <w:pPr>
              <w:pStyle w:val="Tabletext"/>
              <w:jc w:val="center"/>
              <w:rPr>
                <w:rFonts w:eastAsia="SimSun" w:cs="Calibri"/>
                <w:strike/>
                <w:szCs w:val="24"/>
                <w:lang w:val="es-ES"/>
              </w:rPr>
            </w:pPr>
            <w:r w:rsidRPr="00B064A8">
              <w:rPr>
                <w:rFonts w:cs="Calibri"/>
                <w:lang w:eastAsia="zh-CN"/>
              </w:rPr>
              <w:t>431</w:t>
            </w:r>
            <w:r>
              <w:rPr>
                <w:rFonts w:cs="Calibri"/>
                <w:lang w:eastAsia="zh-CN"/>
              </w:rPr>
              <w:t> </w:t>
            </w:r>
            <w:r w:rsidRPr="00B064A8">
              <w:rPr>
                <w:rFonts w:cs="Calibri"/>
                <w:lang w:eastAsia="zh-CN"/>
              </w:rPr>
              <w:t>846</w:t>
            </w:r>
          </w:p>
        </w:tc>
      </w:tr>
    </w:tbl>
    <w:p w14:paraId="5EAC9761" w14:textId="77777777" w:rsidR="00901C14" w:rsidRDefault="00901C14" w:rsidP="00411C49">
      <w:pPr>
        <w:pStyle w:val="Reasons"/>
      </w:pPr>
    </w:p>
    <w:p w14:paraId="1E385442" w14:textId="77777777" w:rsidR="00901C14" w:rsidRDefault="00901C14">
      <w:pPr>
        <w:jc w:val="center"/>
      </w:pPr>
      <w:r>
        <w:t>______________</w:t>
      </w:r>
    </w:p>
    <w:sectPr w:rsidR="00901C14"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328D" w14:textId="77777777" w:rsidR="003A40D1" w:rsidRDefault="003A40D1">
      <w:r>
        <w:separator/>
      </w:r>
    </w:p>
  </w:endnote>
  <w:endnote w:type="continuationSeparator" w:id="0">
    <w:p w14:paraId="7FE878D5" w14:textId="77777777" w:rsidR="003A40D1" w:rsidRDefault="003A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8C4D9A5" w14:textId="77777777" w:rsidTr="00E31DCE">
      <w:trPr>
        <w:jc w:val="center"/>
      </w:trPr>
      <w:tc>
        <w:tcPr>
          <w:tcW w:w="1803" w:type="dxa"/>
          <w:vAlign w:val="center"/>
        </w:tcPr>
        <w:p w14:paraId="66211352" w14:textId="77777777" w:rsidR="003273A4" w:rsidRDefault="002946E2" w:rsidP="003273A4">
          <w:pPr>
            <w:pStyle w:val="Header"/>
            <w:jc w:val="left"/>
            <w:rPr>
              <w:noProof/>
            </w:rPr>
          </w:pPr>
          <w:r>
            <w:rPr>
              <w:noProof/>
            </w:rPr>
            <w:t>gDoc #</w:t>
          </w:r>
        </w:p>
      </w:tc>
      <w:tc>
        <w:tcPr>
          <w:tcW w:w="8261" w:type="dxa"/>
        </w:tcPr>
        <w:p w14:paraId="1DEF19FE" w14:textId="73C812E8"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83562">
            <w:rPr>
              <w:bCs/>
            </w:rPr>
            <w:t>23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2DE8DD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8406942" w14:textId="77777777" w:rsidTr="00E31DCE">
      <w:trPr>
        <w:jc w:val="center"/>
      </w:trPr>
      <w:tc>
        <w:tcPr>
          <w:tcW w:w="1803" w:type="dxa"/>
          <w:vAlign w:val="center"/>
        </w:tcPr>
        <w:p w14:paraId="2DFD5B0F"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9B19F9" w14:textId="246D1938"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83562">
            <w:rPr>
              <w:bCs/>
            </w:rPr>
            <w:t>23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A12CFF0"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DF50" w14:textId="77777777" w:rsidR="003A40D1" w:rsidRDefault="003A40D1">
      <w:r>
        <w:t>____________________</w:t>
      </w:r>
    </w:p>
  </w:footnote>
  <w:footnote w:type="continuationSeparator" w:id="0">
    <w:p w14:paraId="754B5D4E" w14:textId="77777777" w:rsidR="003A40D1" w:rsidRDefault="003A40D1">
      <w:r>
        <w:continuationSeparator/>
      </w:r>
    </w:p>
  </w:footnote>
  <w:footnote w:id="1">
    <w:p w14:paraId="40901513" w14:textId="39F189B9" w:rsidR="003A40D1" w:rsidRPr="00783562" w:rsidRDefault="003A40D1" w:rsidP="00281EF7">
      <w:pPr>
        <w:pStyle w:val="FootnoteText"/>
        <w:jc w:val="both"/>
        <w:rPr>
          <w:sz w:val="20"/>
          <w:lang w:val="es-ES"/>
        </w:rPr>
      </w:pPr>
      <w:r w:rsidRPr="00783562">
        <w:rPr>
          <w:rStyle w:val="FootnoteReference"/>
          <w:sz w:val="20"/>
        </w:rPr>
        <w:footnoteRef/>
      </w:r>
      <w:r w:rsidRPr="00783562">
        <w:rPr>
          <w:sz w:val="20"/>
          <w:lang w:val="es-ES"/>
        </w:rPr>
        <w:tab/>
        <w:t xml:space="preserve">La escala anual de sueldos básicos/mínimos se expresa en términos brutos y netos tras la aplicación de las contribuciones del personal (es decir, la tributación interna). Para más información, véase: </w:t>
      </w:r>
      <w:hyperlink r:id="rId1" w:history="1">
        <w:r w:rsidRPr="00783562">
          <w:rPr>
            <w:rStyle w:val="Hyperlink"/>
            <w:sz w:val="20"/>
            <w:lang w:val="es-ES"/>
          </w:rPr>
          <w:t>https://icsc.un.org/Home/SalaryScales</w:t>
        </w:r>
      </w:hyperlink>
      <w:r w:rsidRPr="00783562">
        <w:rPr>
          <w:sz w:val="20"/>
          <w:lang w:val="es-ES"/>
        </w:rPr>
        <w:t>.</w:t>
      </w:r>
    </w:p>
  </w:footnote>
  <w:footnote w:id="2">
    <w:p w14:paraId="72853E29" w14:textId="77777777" w:rsidR="003A40D1" w:rsidRPr="00783562" w:rsidRDefault="003A40D1" w:rsidP="00281EF7">
      <w:pPr>
        <w:pStyle w:val="FootnoteText"/>
        <w:jc w:val="both"/>
        <w:rPr>
          <w:sz w:val="20"/>
          <w:lang w:val="es-ES"/>
        </w:rPr>
      </w:pPr>
      <w:r w:rsidRPr="00783562">
        <w:rPr>
          <w:rStyle w:val="FootnoteReference"/>
          <w:sz w:val="20"/>
        </w:rPr>
        <w:footnoteRef/>
      </w:r>
      <w:r w:rsidRPr="00783562">
        <w:rPr>
          <w:sz w:val="20"/>
          <w:lang w:val="es-ES"/>
        </w:rPr>
        <w:tab/>
        <w:t>Resolución 7</w:t>
      </w:r>
      <w:r w:rsidRPr="00783562">
        <w:rPr>
          <w:rFonts w:hint="eastAsia"/>
          <w:sz w:val="20"/>
          <w:lang w:val="es-ES" w:eastAsia="zh-CN"/>
        </w:rPr>
        <w:t>9</w:t>
      </w:r>
      <w:r w:rsidRPr="00783562">
        <w:rPr>
          <w:sz w:val="20"/>
          <w:lang w:val="es-ES"/>
        </w:rPr>
        <w:t>/25</w:t>
      </w:r>
      <w:r w:rsidRPr="00783562">
        <w:rPr>
          <w:rFonts w:hint="eastAsia"/>
          <w:sz w:val="20"/>
          <w:lang w:val="es-ES" w:eastAsia="zh-CN"/>
        </w:rPr>
        <w:t>2</w:t>
      </w:r>
      <w:r w:rsidRPr="00783562">
        <w:rPr>
          <w:sz w:val="20"/>
        </w:rPr>
        <w:t xml:space="preserve"> de la Asamblea General de las Naciones Unidas</w:t>
      </w:r>
      <w:r w:rsidRPr="00783562">
        <w:rPr>
          <w:sz w:val="20"/>
          <w:lang w:val="es-ES"/>
        </w:rPr>
        <w:t xml:space="preserve">, </w:t>
      </w:r>
      <w:hyperlink r:id="rId2" w:history="1">
        <w:r w:rsidRPr="00783562">
          <w:rPr>
            <w:rStyle w:val="Hyperlink"/>
            <w:sz w:val="20"/>
            <w:lang w:val="es-ES"/>
          </w:rPr>
          <w:t>A/RES/7</w:t>
        </w:r>
        <w:r w:rsidRPr="00783562">
          <w:rPr>
            <w:rStyle w:val="Hyperlink"/>
            <w:rFonts w:hint="eastAsia"/>
            <w:sz w:val="20"/>
            <w:lang w:val="es-ES" w:eastAsia="zh-CN"/>
          </w:rPr>
          <w:t>9</w:t>
        </w:r>
        <w:r w:rsidRPr="00783562">
          <w:rPr>
            <w:rStyle w:val="Hyperlink"/>
            <w:sz w:val="20"/>
            <w:lang w:val="es-ES"/>
          </w:rPr>
          <w:t>/25</w:t>
        </w:r>
        <w:r w:rsidRPr="00783562">
          <w:rPr>
            <w:rStyle w:val="Hyperlink"/>
            <w:rFonts w:hint="eastAsia"/>
            <w:sz w:val="20"/>
            <w:lang w:val="es-ES" w:eastAsia="zh-CN"/>
          </w:rPr>
          <w:t>2</w:t>
        </w:r>
      </w:hyperlink>
      <w:r w:rsidRPr="00783562">
        <w:rPr>
          <w:sz w:val="20"/>
          <w:lang w:val="es-ES"/>
        </w:rPr>
        <w:t>, adoptada el 3</w:t>
      </w:r>
      <w:r w:rsidRPr="00783562">
        <w:rPr>
          <w:rFonts w:hint="eastAsia"/>
          <w:sz w:val="20"/>
          <w:lang w:val="es-ES" w:eastAsia="zh-CN"/>
        </w:rPr>
        <w:t>1</w:t>
      </w:r>
      <w:r w:rsidRPr="00783562">
        <w:rPr>
          <w:sz w:val="20"/>
          <w:lang w:val="es-ES"/>
        </w:rPr>
        <w:t> de diciembre de 202</w:t>
      </w:r>
      <w:r w:rsidRPr="00783562">
        <w:rPr>
          <w:rFonts w:hint="eastAsia"/>
          <w:sz w:val="20"/>
          <w:lang w:val="es-ES" w:eastAsia="zh-CN"/>
        </w:rPr>
        <w:t>4</w:t>
      </w:r>
      <w:r w:rsidRPr="00783562">
        <w:rPr>
          <w:sz w:val="20"/>
          <w:lang w:val="es-ES"/>
        </w:rPr>
        <w:t>.</w:t>
      </w:r>
    </w:p>
  </w:footnote>
  <w:footnote w:id="3">
    <w:p w14:paraId="7CAE96F0" w14:textId="77777777" w:rsidR="003A40D1" w:rsidRPr="00783562" w:rsidRDefault="003A40D1" w:rsidP="00281EF7">
      <w:pPr>
        <w:pStyle w:val="FootnoteText"/>
        <w:jc w:val="both"/>
        <w:rPr>
          <w:sz w:val="20"/>
          <w:lang w:val="es-ES"/>
        </w:rPr>
      </w:pPr>
      <w:r w:rsidRPr="00783562">
        <w:rPr>
          <w:rStyle w:val="FootnoteReference"/>
          <w:sz w:val="20"/>
        </w:rPr>
        <w:footnoteRef/>
      </w:r>
      <w:r w:rsidRPr="00783562">
        <w:rPr>
          <w:sz w:val="20"/>
          <w:lang w:val="es-ES"/>
        </w:rPr>
        <w:tab/>
      </w:r>
      <w:r w:rsidRPr="00783562">
        <w:rPr>
          <w:sz w:val="20"/>
        </w:rPr>
        <w:t>Documentos Oficiales de la Asamblea General de las Naciones Unidas, septuagésimo noveno periodo de sesiones, Suplemento núm. 30,</w:t>
      </w:r>
      <w:r w:rsidRPr="00783562">
        <w:rPr>
          <w:sz w:val="20"/>
          <w:lang w:val="es-ES"/>
        </w:rPr>
        <w:t xml:space="preserve"> </w:t>
      </w:r>
      <w:hyperlink r:id="rId3" w:history="1">
        <w:r w:rsidRPr="00783562">
          <w:rPr>
            <w:rStyle w:val="Hyperlink"/>
            <w:sz w:val="20"/>
            <w:lang w:val="es-ES"/>
          </w:rPr>
          <w:t>A/7</w:t>
        </w:r>
        <w:r w:rsidRPr="00783562">
          <w:rPr>
            <w:rStyle w:val="Hyperlink"/>
            <w:rFonts w:hint="eastAsia"/>
            <w:sz w:val="20"/>
            <w:lang w:val="es-ES" w:eastAsia="zh-CN"/>
          </w:rPr>
          <w:t>9</w:t>
        </w:r>
        <w:r w:rsidRPr="00783562">
          <w:rPr>
            <w:rStyle w:val="Hyperlink"/>
            <w:sz w:val="20"/>
            <w:lang w:val="es-ES"/>
          </w:rPr>
          <w:t>/30</w:t>
        </w:r>
      </w:hyperlink>
      <w:r w:rsidRPr="00783562">
        <w:rPr>
          <w:sz w:val="20"/>
          <w:lang w:val="es-ES"/>
        </w:rPr>
        <w:t xml:space="preserve"> (202</w:t>
      </w:r>
      <w:r w:rsidRPr="00783562">
        <w:rPr>
          <w:rFonts w:hint="eastAsia"/>
          <w:sz w:val="20"/>
          <w:lang w:val="es-ES" w:eastAsia="zh-CN"/>
        </w:rPr>
        <w:t>4</w:t>
      </w:r>
      <w:r w:rsidRPr="00783562">
        <w:rPr>
          <w:sz w:val="20"/>
          <w:lang w:val="es-ES"/>
        </w:rPr>
        <w:t>).</w:t>
      </w:r>
    </w:p>
  </w:footnote>
  <w:footnote w:id="4">
    <w:p w14:paraId="50E172B1" w14:textId="77777777" w:rsidR="003A40D1" w:rsidRPr="00783562" w:rsidRDefault="003A40D1" w:rsidP="00281EF7">
      <w:pPr>
        <w:pStyle w:val="FootnoteText"/>
        <w:tabs>
          <w:tab w:val="clear" w:pos="256"/>
          <w:tab w:val="clear" w:pos="567"/>
          <w:tab w:val="clear" w:pos="1134"/>
          <w:tab w:val="clear" w:pos="1701"/>
          <w:tab w:val="clear" w:pos="2268"/>
          <w:tab w:val="clear" w:pos="2835"/>
        </w:tabs>
        <w:ind w:left="284" w:hanging="284"/>
        <w:jc w:val="both"/>
        <w:rPr>
          <w:sz w:val="20"/>
          <w:lang w:val="es-ES"/>
        </w:rPr>
      </w:pPr>
      <w:r w:rsidRPr="00783562">
        <w:rPr>
          <w:rStyle w:val="FootnoteReference"/>
          <w:sz w:val="20"/>
          <w:lang w:val="es-ES"/>
        </w:rPr>
        <w:footnoteRef/>
      </w:r>
      <w:r w:rsidRPr="00783562">
        <w:rPr>
          <w:sz w:val="20"/>
          <w:lang w:val="es-ES"/>
        </w:rPr>
        <w:tab/>
        <w:t>Artículo 51 b): "En el caso de los afiliados del Cuadro Orgánico y categorías superiores, la escala de la remuneración pensionable será la que figura en el sitio web de la CAPI... Dicha escala se ajustará en la misma fecha en que se ajusten los montos de la remuneración neta de los funcionarios del Cuadro Orgánico y categorías superiores en Nueva York. Dicho ajuste consistirá en un porcentaje uniforme igual al promedio ponderado de la variación porcentual de los montos de la remuneración neta, según determine la Comisión de Administración Pública Internacional".</w:t>
      </w:r>
    </w:p>
  </w:footnote>
  <w:footnote w:id="5">
    <w:p w14:paraId="73F9D3BA" w14:textId="77777777" w:rsidR="003A40D1" w:rsidRPr="00AF05BE" w:rsidRDefault="003A40D1" w:rsidP="00281EF7">
      <w:pPr>
        <w:pStyle w:val="FootnoteText"/>
        <w:tabs>
          <w:tab w:val="clear" w:pos="256"/>
        </w:tabs>
        <w:jc w:val="both"/>
        <w:rPr>
          <w:sz w:val="20"/>
          <w:lang w:val="en-GB"/>
        </w:rPr>
      </w:pPr>
      <w:r>
        <w:rPr>
          <w:rStyle w:val="FootnoteReference"/>
          <w:lang w:val="es-ES"/>
        </w:rPr>
        <w:footnoteRef/>
      </w:r>
      <w:r>
        <w:rPr>
          <w:lang w:val="en-US"/>
        </w:rPr>
        <w:tab/>
      </w:r>
      <w:r>
        <w:rPr>
          <w:sz w:val="20"/>
          <w:lang w:val="en-US"/>
        </w:rPr>
        <w:t>"</w:t>
      </w:r>
      <w:r w:rsidRPr="003A5962">
        <w:rPr>
          <w:sz w:val="20"/>
          <w:lang w:val="en-US"/>
        </w:rPr>
        <w:t>Methodology for surveys of the best prevailing conditions of employment at headquarters duty stations (survey methodology I)</w:t>
      </w:r>
      <w:r>
        <w:rPr>
          <w:sz w:val="20"/>
          <w:lang w:val="en-US"/>
        </w:rPr>
        <w:t>"</w:t>
      </w:r>
      <w:r w:rsidRPr="003A5962">
        <w:rPr>
          <w:sz w:val="20"/>
          <w:lang w:val="en-US"/>
        </w:rPr>
        <w:t>, ICSC/94/R.16, 10 de agosto de 2022.</w:t>
      </w:r>
      <w:bookmarkStart w:id="1" w:name="_Hlk160464180"/>
      <w:bookmarkStart w:id="2" w:name="_Hlk160464181"/>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8A9620A" w14:textId="77777777" w:rsidTr="00666D09">
      <w:trPr>
        <w:trHeight w:val="1104"/>
        <w:jc w:val="center"/>
      </w:trPr>
      <w:tc>
        <w:tcPr>
          <w:tcW w:w="5998" w:type="dxa"/>
          <w:vAlign w:val="center"/>
        </w:tcPr>
        <w:p w14:paraId="4934F98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8E2FE96" wp14:editId="574D915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0556FA9" w14:textId="77777777" w:rsidR="00666D09" w:rsidRDefault="00666D09" w:rsidP="001559F5">
          <w:pPr>
            <w:pStyle w:val="Header"/>
            <w:jc w:val="right"/>
            <w:rPr>
              <w:rFonts w:ascii="Arial" w:hAnsi="Arial" w:cs="Arial"/>
              <w:b/>
              <w:bCs/>
              <w:color w:val="009CD6"/>
              <w:szCs w:val="18"/>
            </w:rPr>
          </w:pPr>
        </w:p>
      </w:tc>
    </w:tr>
  </w:tbl>
  <w:p w14:paraId="5522E39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CDA712" wp14:editId="4D8F500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BFE2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D1"/>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801AA"/>
    <w:rsid w:val="00281EF7"/>
    <w:rsid w:val="002946E2"/>
    <w:rsid w:val="002C3F32"/>
    <w:rsid w:val="002C4676"/>
    <w:rsid w:val="002C70B0"/>
    <w:rsid w:val="002F3CC4"/>
    <w:rsid w:val="003032E2"/>
    <w:rsid w:val="0031300A"/>
    <w:rsid w:val="003273A4"/>
    <w:rsid w:val="0034796E"/>
    <w:rsid w:val="003A40D1"/>
    <w:rsid w:val="00473962"/>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1299C"/>
    <w:rsid w:val="00726872"/>
    <w:rsid w:val="00760F1C"/>
    <w:rsid w:val="007657F0"/>
    <w:rsid w:val="0077110E"/>
    <w:rsid w:val="0077252D"/>
    <w:rsid w:val="00783562"/>
    <w:rsid w:val="007955DA"/>
    <w:rsid w:val="007E5DD3"/>
    <w:rsid w:val="007F350B"/>
    <w:rsid w:val="00820BE4"/>
    <w:rsid w:val="00840FFD"/>
    <w:rsid w:val="008451E8"/>
    <w:rsid w:val="008F34E2"/>
    <w:rsid w:val="008F6ABC"/>
    <w:rsid w:val="00901C14"/>
    <w:rsid w:val="00913B9C"/>
    <w:rsid w:val="00927F93"/>
    <w:rsid w:val="00956E77"/>
    <w:rsid w:val="009832DD"/>
    <w:rsid w:val="0098703A"/>
    <w:rsid w:val="009A338E"/>
    <w:rsid w:val="009B4036"/>
    <w:rsid w:val="009E49D0"/>
    <w:rsid w:val="009F4811"/>
    <w:rsid w:val="00A94438"/>
    <w:rsid w:val="00A948F3"/>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A190B"/>
    <w:rsid w:val="00DA4EA2"/>
    <w:rsid w:val="00DC3D3E"/>
    <w:rsid w:val="00DE2C90"/>
    <w:rsid w:val="00DE3B24"/>
    <w:rsid w:val="00E0075B"/>
    <w:rsid w:val="00E06947"/>
    <w:rsid w:val="00E11319"/>
    <w:rsid w:val="00E21444"/>
    <w:rsid w:val="00E34072"/>
    <w:rsid w:val="00E3592D"/>
    <w:rsid w:val="00E50D76"/>
    <w:rsid w:val="00E8018B"/>
    <w:rsid w:val="00E92DE8"/>
    <w:rsid w:val="00EB1212"/>
    <w:rsid w:val="00ED178F"/>
    <w:rsid w:val="00ED51CB"/>
    <w:rsid w:val="00ED65AB"/>
    <w:rsid w:val="00F12850"/>
    <w:rsid w:val="00F24B71"/>
    <w:rsid w:val="00F33BF4"/>
    <w:rsid w:val="00F7105E"/>
    <w:rsid w:val="00F75F57"/>
    <w:rsid w:val="00F82FEE"/>
    <w:rsid w:val="00F92BED"/>
    <w:rsid w:val="00FD57D3"/>
    <w:rsid w:val="00FE57F6"/>
    <w:rsid w:val="00FF11BD"/>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BB0F"/>
  <w15:docId w15:val="{540DC5F1-8BB2-4C27-AD8D-888A256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281EF7"/>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3A40D1"/>
    <w:rPr>
      <w:rFonts w:ascii="Calibri" w:hAnsi="Calibri"/>
      <w:sz w:val="24"/>
      <w:lang w:val="es-ES_tradnl" w:eastAsia="en-US"/>
    </w:rPr>
  </w:style>
  <w:style w:type="character" w:customStyle="1" w:styleId="FootnoteTextChar">
    <w:name w:val="Footnote Text Char"/>
    <w:basedOn w:val="DefaultParagraphFont"/>
    <w:link w:val="FootnoteText"/>
    <w:rsid w:val="003A40D1"/>
    <w:rPr>
      <w:rFonts w:ascii="Calibri" w:hAnsi="Calibri"/>
      <w:sz w:val="24"/>
      <w:lang w:val="es-ES_tradnl" w:eastAsia="en-US"/>
    </w:rPr>
  </w:style>
  <w:style w:type="paragraph" w:customStyle="1" w:styleId="Default">
    <w:name w:val="Default"/>
    <w:rsid w:val="003A40D1"/>
    <w:pPr>
      <w:autoSpaceDE w:val="0"/>
      <w:autoSpaceDN w:val="0"/>
      <w:adjustRightInd w:val="0"/>
    </w:pPr>
    <w:rPr>
      <w:rFonts w:ascii="Times New Roman" w:eastAsia="SimSu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b.itu.int/dms_pub/itu-s/opb/conf/S-CONF-CL-2022-PDF-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046-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64560?v=pdf" TargetMode="External"/><Relationship Id="rId2" Type="http://schemas.openxmlformats.org/officeDocument/2006/relationships/hyperlink" Target="https://documents.un.org/symbol-explorer?s=A/RES/79/252%20A-B&amp;i=A/RES/79/252%20A-B_1737042181393" TargetMode="External"/><Relationship Id="rId1" Type="http://schemas.openxmlformats.org/officeDocument/2006/relationships/hyperlink" Target="https://icsc.un.org/Home/Salar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4</Pages>
  <Words>1194</Words>
  <Characters>6189</Characters>
  <Application>Microsoft Office Word</Application>
  <DocSecurity>0</DocSecurity>
  <Lines>134</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7314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de las condiciones de servicio en el régimen común de las Naciones Unidas</dc:title>
  <dc:subject>Consejo 2025 de la UIT</dc:subject>
  <cp:keywords>C2025, C25, Council-25</cp:keywords>
  <dc:description/>
  <cp:lastPrinted>2006-03-24T09:51:00Z</cp:lastPrinted>
  <dcterms:created xsi:type="dcterms:W3CDTF">2025-05-06T08:39:00Z</dcterms:created>
  <dcterms:modified xsi:type="dcterms:W3CDTF">2025-05-06T08:39:00Z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