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7D84E1BC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ECC4F23" w14:textId="3B2A37EB" w:rsidR="00796BD3" w:rsidRPr="00471F91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en-US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471F91">
              <w:rPr>
                <w:b/>
                <w:lang w:val="ru-RU"/>
              </w:rPr>
              <w:t xml:space="preserve"> </w:t>
            </w:r>
            <w:r w:rsidR="00471F91">
              <w:rPr>
                <w:b/>
                <w:lang w:val="en-US"/>
              </w:rPr>
              <w:t>PL 2</w:t>
            </w:r>
          </w:p>
        </w:tc>
        <w:tc>
          <w:tcPr>
            <w:tcW w:w="5245" w:type="dxa"/>
          </w:tcPr>
          <w:p w14:paraId="7F04FDAD" w14:textId="6D5E310E" w:rsidR="00796BD3" w:rsidRPr="00E8562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</w:t>
            </w:r>
            <w:r w:rsidR="00D631AA">
              <w:rPr>
                <w:b/>
              </w:rPr>
              <w:t>5</w:t>
            </w:r>
            <w:r w:rsidR="00796BD3">
              <w:rPr>
                <w:b/>
              </w:rPr>
              <w:t>/</w:t>
            </w:r>
            <w:r w:rsidR="00471F91">
              <w:rPr>
                <w:b/>
              </w:rPr>
              <w:t>18</w:t>
            </w:r>
            <w:r w:rsidR="00796BD3">
              <w:rPr>
                <w:b/>
              </w:rPr>
              <w:t>-R</w:t>
            </w:r>
          </w:p>
        </w:tc>
      </w:tr>
      <w:tr w:rsidR="00796BD3" w:rsidRPr="00813E5E" w14:paraId="0A80BB53" w14:textId="77777777" w:rsidTr="00DA770A">
        <w:trPr>
          <w:cantSplit/>
        </w:trPr>
        <w:tc>
          <w:tcPr>
            <w:tcW w:w="3969" w:type="dxa"/>
            <w:vMerge/>
          </w:tcPr>
          <w:p w14:paraId="6DD4EE4B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CC69CF9" w14:textId="7DE6E874" w:rsidR="00796BD3" w:rsidRPr="00471F91" w:rsidRDefault="00471F91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 мая 2025 года</w:t>
            </w:r>
          </w:p>
        </w:tc>
      </w:tr>
      <w:tr w:rsidR="00796BD3" w:rsidRPr="00813E5E" w14:paraId="3F700217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079F21D8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7EE201E7" w14:textId="77777777" w:rsidR="00796BD3" w:rsidRPr="00E8562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>Оригинал: английский</w:t>
            </w:r>
          </w:p>
        </w:tc>
      </w:tr>
      <w:tr w:rsidR="00796BD3" w:rsidRPr="00813E5E" w14:paraId="30D37E10" w14:textId="77777777" w:rsidTr="00DA770A">
        <w:trPr>
          <w:cantSplit/>
          <w:trHeight w:val="23"/>
        </w:trPr>
        <w:tc>
          <w:tcPr>
            <w:tcW w:w="3969" w:type="dxa"/>
          </w:tcPr>
          <w:p w14:paraId="470CF9E8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7DC130B" w14:textId="77777777" w:rsidR="00796BD3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13E5E" w14:paraId="2FAA8301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C980953" w14:textId="77777777" w:rsidR="00796BD3" w:rsidRPr="00672F8A" w:rsidRDefault="0033025A" w:rsidP="00DA770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672F8A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007917" w14:paraId="67D029CC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B708CA3" w14:textId="18148683" w:rsidR="00796BD3" w:rsidRPr="00471F91" w:rsidRDefault="00862E63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471F91">
              <w:rPr>
                <w:rFonts w:cstheme="minorHAnsi"/>
                <w:sz w:val="32"/>
                <w:szCs w:val="32"/>
                <w:lang w:val="ru-RU"/>
              </w:rPr>
              <w:t xml:space="preserve">Виды деятельности </w:t>
            </w:r>
            <w:r w:rsidR="00471F91" w:rsidRPr="00471F91">
              <w:rPr>
                <w:rFonts w:cstheme="minorHAnsi"/>
                <w:sz w:val="32"/>
                <w:szCs w:val="32"/>
                <w:lang w:val="ru-RU"/>
              </w:rPr>
              <w:t xml:space="preserve">МСЭ </w:t>
            </w:r>
            <w:r w:rsidRPr="00471F91">
              <w:rPr>
                <w:rFonts w:cstheme="minorHAnsi"/>
                <w:sz w:val="32"/>
                <w:szCs w:val="32"/>
                <w:lang w:val="ru-RU"/>
              </w:rPr>
              <w:t xml:space="preserve">по усилению роли </w:t>
            </w:r>
            <w:r w:rsidR="00471F91" w:rsidRPr="00471F91">
              <w:rPr>
                <w:rFonts w:cstheme="minorHAnsi"/>
                <w:sz w:val="32"/>
                <w:szCs w:val="32"/>
                <w:lang w:val="ru-RU"/>
              </w:rPr>
              <w:t xml:space="preserve">МСЭ </w:t>
            </w:r>
            <w:r w:rsidRPr="00471F91">
              <w:rPr>
                <w:rFonts w:cstheme="minorHAnsi"/>
                <w:sz w:val="32"/>
                <w:szCs w:val="32"/>
                <w:lang w:val="ru-RU"/>
              </w:rPr>
              <w:t>в укреплении доверия и безопасности при использовании информационно-коммуникационных технологий</w:t>
            </w:r>
          </w:p>
        </w:tc>
      </w:tr>
      <w:tr w:rsidR="00796BD3" w:rsidRPr="00007917" w14:paraId="568A6A3C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7E0561F" w14:textId="77777777" w:rsidR="00796BD3" w:rsidRPr="00007917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3454A307" w14:textId="50F59C65" w:rsidR="00796BD3" w:rsidRPr="00D631AA" w:rsidRDefault="00471F91" w:rsidP="00007917">
            <w:pPr>
              <w:jc w:val="both"/>
              <w:rPr>
                <w:lang w:val="ru-RU"/>
              </w:rPr>
            </w:pPr>
            <w:r w:rsidRPr="00EB045C">
              <w:rPr>
                <w:lang w:val="ru-RU"/>
              </w:rPr>
              <w:t>В настоящем отчете содержится краткое описание видов деятельности МСЭ, которые осуществлялись в 2024–2025 годах в связи с Резолюцией 130 (Пересм. Бухарест, 2022 г.), роли МСЭ как единственной содействующей организации по Направлению деятельности С5 ВВУИО, а также других решений членов МСЭ по усилению роли МСЭ в укреплении доверия и безопасности при использовании информационно-коммуникационных технологий (ИКТ).</w:t>
            </w:r>
          </w:p>
          <w:p w14:paraId="2DFF0D20" w14:textId="77777777" w:rsidR="00796BD3" w:rsidRPr="00D631AA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CA74657" w14:textId="04DA7212" w:rsidR="00796BD3" w:rsidRPr="00D631AA" w:rsidRDefault="00471F91" w:rsidP="00862E63">
            <w:pPr>
              <w:rPr>
                <w:lang w:val="ru-RU"/>
              </w:rPr>
            </w:pPr>
            <w:r w:rsidRPr="00EB045C">
              <w:rPr>
                <w:lang w:val="ru-RU"/>
              </w:rPr>
              <w:t xml:space="preserve">Совету предлагается </w:t>
            </w:r>
            <w:r w:rsidRPr="00EB045C">
              <w:rPr>
                <w:b/>
                <w:bCs/>
                <w:lang w:val="ru-RU"/>
              </w:rPr>
              <w:t>принять к сведению</w:t>
            </w:r>
            <w:r w:rsidRPr="00EB045C">
              <w:rPr>
                <w:lang w:val="ru-RU"/>
              </w:rPr>
              <w:t xml:space="preserve"> настоящий отчет.</w:t>
            </w:r>
          </w:p>
          <w:p w14:paraId="2842368C" w14:textId="77777777" w:rsidR="00796BD3" w:rsidRPr="00D631AA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0F336284" w14:textId="1B0B82C3" w:rsidR="00796BD3" w:rsidRPr="00D631AA" w:rsidRDefault="00471F91" w:rsidP="00007917">
            <w:pPr>
              <w:jc w:val="both"/>
              <w:rPr>
                <w:lang w:val="ru-RU"/>
              </w:rPr>
            </w:pPr>
            <w:r w:rsidRPr="00EB045C">
              <w:rPr>
                <w:lang w:val="ru-RU"/>
              </w:rPr>
              <w:t>Содействие универсальной возможности установления соединений; устойчивая цифровая трансформация; инклюзивные и защищенные инфраструктура и услуги электросвязи/ИКТ.</w:t>
            </w:r>
          </w:p>
          <w:p w14:paraId="41572AA2" w14:textId="77777777" w:rsidR="00796BD3" w:rsidRPr="00007917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480B6A09" w14:textId="0B2EBB91" w:rsidR="00345D2A" w:rsidRPr="0014229E" w:rsidRDefault="00471F91" w:rsidP="00862E63">
            <w:pPr>
              <w:rPr>
                <w:szCs w:val="22"/>
                <w:lang w:val="ru-RU"/>
              </w:rPr>
            </w:pPr>
            <w:r w:rsidRPr="00EB045C">
              <w:rPr>
                <w:lang w:val="ru-RU"/>
              </w:rPr>
              <w:t>В рамках выделенного бюджета на 2024–2025 годы.</w:t>
            </w:r>
          </w:p>
          <w:p w14:paraId="78EFA54C" w14:textId="77777777" w:rsidR="00796BD3" w:rsidRPr="00471F91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471F91">
              <w:rPr>
                <w:sz w:val="20"/>
                <w:szCs w:val="18"/>
                <w:lang w:val="ru-RU"/>
              </w:rPr>
              <w:t>__________________</w:t>
            </w:r>
          </w:p>
          <w:p w14:paraId="1CA54022" w14:textId="77777777" w:rsidR="00796BD3" w:rsidRPr="00471F91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471F91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0A9A2502" w14:textId="4B36B18C" w:rsidR="00796BD3" w:rsidRPr="00471F91" w:rsidRDefault="00471F91" w:rsidP="00007917">
            <w:pPr>
              <w:spacing w:after="160"/>
              <w:jc w:val="both"/>
              <w:rPr>
                <w:i/>
                <w:iCs/>
                <w:lang w:val="ru-RU"/>
              </w:rPr>
            </w:pPr>
            <w:r w:rsidRPr="00EB045C">
              <w:rPr>
                <w:i/>
                <w:iCs/>
                <w:color w:val="000000"/>
                <w:szCs w:val="24"/>
                <w:lang w:val="ru-RU"/>
              </w:rPr>
              <w:t xml:space="preserve">Резолюции </w:t>
            </w:r>
            <w:hyperlink r:id="rId7" w:history="1"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71</w:t>
              </w:r>
            </w:hyperlink>
            <w:r w:rsidRPr="00EB045C">
              <w:rPr>
                <w:i/>
                <w:iCs/>
                <w:szCs w:val="24"/>
                <w:lang w:val="ru-RU"/>
              </w:rPr>
              <w:t xml:space="preserve">, </w:t>
            </w:r>
            <w:hyperlink r:id="rId8" w:history="1"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130</w:t>
              </w:r>
            </w:hyperlink>
            <w:r w:rsidRPr="00EB045C">
              <w:rPr>
                <w:i/>
                <w:iCs/>
                <w:szCs w:val="24"/>
                <w:lang w:val="ru-RU"/>
              </w:rPr>
              <w:t xml:space="preserve">, </w:t>
            </w:r>
            <w:hyperlink r:id="rId9" w:history="1"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140</w:t>
              </w:r>
            </w:hyperlink>
            <w:r w:rsidRPr="00EB045C">
              <w:rPr>
                <w:i/>
                <w:iCs/>
                <w:szCs w:val="24"/>
                <w:lang w:val="ru-RU"/>
              </w:rPr>
              <w:t xml:space="preserve">, </w:t>
            </w:r>
            <w:hyperlink r:id="rId10" w:history="1"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179</w:t>
              </w:r>
            </w:hyperlink>
            <w:r w:rsidRPr="00EB045C">
              <w:rPr>
                <w:i/>
                <w:iCs/>
                <w:szCs w:val="24"/>
                <w:lang w:val="ru-RU"/>
              </w:rPr>
              <w:t xml:space="preserve"> </w:t>
            </w:r>
            <w:r w:rsidRPr="00EB045C">
              <w:rPr>
                <w:i/>
                <w:iCs/>
                <w:color w:val="000000"/>
                <w:szCs w:val="24"/>
                <w:lang w:val="ru-RU"/>
              </w:rPr>
              <w:t>(Пересм. Бухарест, 2022 г.)</w:t>
            </w:r>
            <w:r w:rsidR="00624EA7">
              <w:rPr>
                <w:i/>
                <w:iCs/>
                <w:color w:val="000000"/>
                <w:szCs w:val="24"/>
                <w:lang w:val="ru-RU"/>
              </w:rPr>
              <w:t>,</w:t>
            </w:r>
            <w:r w:rsidRPr="00EB045C">
              <w:rPr>
                <w:i/>
                <w:iCs/>
                <w:color w:val="000000"/>
                <w:szCs w:val="24"/>
                <w:lang w:val="ru-RU"/>
              </w:rPr>
              <w:t xml:space="preserve"> Резолюции</w:t>
            </w:r>
            <w:r w:rsidR="001E300C">
              <w:rPr>
                <w:i/>
                <w:iCs/>
                <w:color w:val="000000"/>
                <w:szCs w:val="24"/>
                <w:lang w:val="en-US"/>
              </w:rPr>
              <w:t> </w:t>
            </w:r>
            <w:hyperlink r:id="rId11" w:history="1"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174</w:t>
              </w:r>
            </w:hyperlink>
            <w:r w:rsidRPr="00EB045C">
              <w:rPr>
                <w:i/>
                <w:iCs/>
                <w:color w:val="000000"/>
                <w:szCs w:val="24"/>
                <w:lang w:val="ru-RU"/>
              </w:rPr>
              <w:t xml:space="preserve"> (</w:t>
            </w:r>
            <w:proofErr w:type="spellStart"/>
            <w:r w:rsidRPr="00EB045C">
              <w:rPr>
                <w:i/>
                <w:iCs/>
                <w:color w:val="000000"/>
                <w:szCs w:val="24"/>
                <w:lang w:val="ru-RU"/>
              </w:rPr>
              <w:t>Пересм</w:t>
            </w:r>
            <w:proofErr w:type="spellEnd"/>
            <w:r w:rsidRPr="00EB045C">
              <w:rPr>
                <w:i/>
                <w:iCs/>
                <w:color w:val="000000"/>
                <w:szCs w:val="24"/>
                <w:lang w:val="ru-RU"/>
              </w:rPr>
              <w:t xml:space="preserve">. </w:t>
            </w:r>
            <w:r w:rsidR="00F61A17" w:rsidRPr="00F61A17">
              <w:rPr>
                <w:i/>
                <w:iCs/>
                <w:color w:val="000000"/>
                <w:szCs w:val="24"/>
                <w:lang w:val="ru-RU"/>
              </w:rPr>
              <w:t>Пусан</w:t>
            </w:r>
            <w:r w:rsidRPr="00F61A17">
              <w:rPr>
                <w:i/>
                <w:iCs/>
                <w:color w:val="000000"/>
                <w:szCs w:val="24"/>
                <w:lang w:val="ru-RU"/>
              </w:rPr>
              <w:t>, 201</w:t>
            </w:r>
            <w:r w:rsidR="00F61A17" w:rsidRPr="00F61A17">
              <w:rPr>
                <w:i/>
                <w:iCs/>
                <w:color w:val="000000"/>
                <w:szCs w:val="24"/>
                <w:lang w:val="ru-RU"/>
              </w:rPr>
              <w:t>4</w:t>
            </w:r>
            <w:r w:rsidR="00624EA7">
              <w:rPr>
                <w:i/>
                <w:iCs/>
                <w:color w:val="000000"/>
                <w:szCs w:val="24"/>
                <w:lang w:val="ru-RU"/>
              </w:rPr>
              <w:t> </w:t>
            </w:r>
            <w:r w:rsidRPr="00F61A17">
              <w:rPr>
                <w:i/>
                <w:iCs/>
                <w:color w:val="000000"/>
                <w:szCs w:val="24"/>
                <w:lang w:val="ru-RU"/>
              </w:rPr>
              <w:t>г.),</w:t>
            </w:r>
            <w:r w:rsidRPr="00EB045C">
              <w:rPr>
                <w:i/>
                <w:iCs/>
                <w:color w:val="000000"/>
                <w:szCs w:val="24"/>
                <w:lang w:val="ru-RU"/>
              </w:rPr>
              <w:t xml:space="preserve"> </w:t>
            </w:r>
            <w:hyperlink r:id="rId12" w:history="1"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181</w:t>
              </w:r>
            </w:hyperlink>
            <w:r w:rsidRPr="00EB045C">
              <w:rPr>
                <w:i/>
                <w:iCs/>
                <w:color w:val="000000"/>
                <w:szCs w:val="24"/>
                <w:lang w:val="ru-RU"/>
              </w:rPr>
              <w:t xml:space="preserve"> (Гвадалахара, 2010 г.) Полномочной конференции; </w:t>
            </w:r>
            <w:hyperlink r:id="rId13" w:history="1"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РМЭ</w:t>
              </w:r>
            </w:hyperlink>
            <w:r w:rsidRPr="00EB045C">
              <w:rPr>
                <w:i/>
                <w:iCs/>
                <w:color w:val="000000"/>
                <w:szCs w:val="24"/>
                <w:lang w:val="ru-RU"/>
              </w:rPr>
              <w:t xml:space="preserve"> (</w:t>
            </w:r>
            <w:proofErr w:type="spellStart"/>
            <w:r w:rsidRPr="00EB045C">
              <w:rPr>
                <w:i/>
                <w:iCs/>
                <w:color w:val="000000"/>
                <w:szCs w:val="24"/>
                <w:lang w:val="ru-RU"/>
              </w:rPr>
              <w:t>Пересм</w:t>
            </w:r>
            <w:proofErr w:type="spellEnd"/>
            <w:r w:rsidRPr="00EB045C">
              <w:rPr>
                <w:i/>
                <w:iCs/>
                <w:color w:val="000000"/>
                <w:szCs w:val="24"/>
                <w:lang w:val="ru-RU"/>
              </w:rPr>
              <w:t xml:space="preserve">., Дубай, 2012 г.); Резолюция </w:t>
            </w:r>
            <w:hyperlink r:id="rId14" w:history="1"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1306</w:t>
              </w:r>
            </w:hyperlink>
            <w:r w:rsidRPr="00EB045C">
              <w:rPr>
                <w:i/>
                <w:iCs/>
                <w:szCs w:val="24"/>
                <w:lang w:val="ru-RU"/>
              </w:rPr>
              <w:t xml:space="preserve"> </w:t>
            </w:r>
            <w:r w:rsidRPr="00EB045C">
              <w:rPr>
                <w:i/>
                <w:iCs/>
                <w:color w:val="000000"/>
                <w:szCs w:val="24"/>
                <w:lang w:val="ru-RU"/>
              </w:rPr>
              <w:t xml:space="preserve">Совета; </w:t>
            </w:r>
            <w:hyperlink r:id="rId15" w:history="1"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Резолюции 45, 2, 67, 69 (Пересм. Кигали, 2022 г.) ВКРЭ</w:t>
              </w:r>
            </w:hyperlink>
            <w:r w:rsidRPr="00EB045C">
              <w:rPr>
                <w:i/>
                <w:iCs/>
                <w:color w:val="000000"/>
                <w:szCs w:val="24"/>
                <w:lang w:val="ru-RU"/>
              </w:rPr>
              <w:t>; Приоритеты МСЭ-D (</w:t>
            </w:r>
            <w:proofErr w:type="spellStart"/>
            <w:r>
              <w:fldChar w:fldCharType="begin"/>
            </w:r>
            <w:r>
              <w:instrText>HYPERLINK</w:instrText>
            </w:r>
            <w:r w:rsidRPr="0000791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07917">
              <w:rPr>
                <w:lang w:val="ru-RU"/>
              </w:rPr>
              <w:instrText>://</w:instrText>
            </w:r>
            <w:r>
              <w:instrText>www</w:instrText>
            </w:r>
            <w:r w:rsidRPr="00007917">
              <w:rPr>
                <w:lang w:val="ru-RU"/>
              </w:rPr>
              <w:instrText>.</w:instrText>
            </w:r>
            <w:r>
              <w:instrText>itu</w:instrText>
            </w:r>
            <w:r w:rsidRPr="00007917">
              <w:rPr>
                <w:lang w:val="ru-RU"/>
              </w:rPr>
              <w:instrText>.</w:instrText>
            </w:r>
            <w:r>
              <w:instrText>int</w:instrText>
            </w:r>
            <w:r w:rsidRPr="00007917">
              <w:rPr>
                <w:lang w:val="ru-RU"/>
              </w:rPr>
              <w:instrText>/</w:instrText>
            </w:r>
            <w:r>
              <w:instrText>md</w:instrText>
            </w:r>
            <w:r w:rsidRPr="00007917">
              <w:rPr>
                <w:lang w:val="ru-RU"/>
              </w:rPr>
              <w:instrText>/</w:instrText>
            </w:r>
            <w:r>
              <w:instrText>D</w:instrText>
            </w:r>
            <w:r w:rsidRPr="00007917">
              <w:rPr>
                <w:lang w:val="ru-RU"/>
              </w:rPr>
              <w:instrText>14-</w:instrText>
            </w:r>
            <w:r>
              <w:instrText>WTDC</w:instrText>
            </w:r>
            <w:r w:rsidRPr="00007917">
              <w:rPr>
                <w:lang w:val="ru-RU"/>
              </w:rPr>
              <w:instrText>17-</w:instrText>
            </w:r>
            <w:r>
              <w:instrText>C</w:instrText>
            </w:r>
            <w:r w:rsidRPr="00007917">
              <w:rPr>
                <w:lang w:val="ru-RU"/>
              </w:rPr>
              <w:instrText>-0115/</w:instrText>
            </w:r>
            <w:r>
              <w:instrText>en</w:instrText>
            </w:r>
            <w:r w:rsidRPr="00007917">
              <w:rPr>
                <w:lang w:val="ru-RU"/>
              </w:rPr>
              <w:instrText>"</w:instrText>
            </w:r>
            <w:r>
              <w:fldChar w:fldCharType="separate"/>
            </w:r>
            <w:r w:rsidRPr="00471F91">
              <w:rPr>
                <w:rStyle w:val="Hyperlink"/>
                <w:i/>
                <w:iCs/>
                <w:szCs w:val="24"/>
                <w:lang w:val="ru-RU"/>
              </w:rPr>
              <w:t>Кигалийский</w:t>
            </w:r>
            <w:proofErr w:type="spellEnd"/>
            <w:r w:rsidRPr="00471F91">
              <w:rPr>
                <w:rStyle w:val="Hyperlink"/>
                <w:i/>
                <w:iCs/>
                <w:szCs w:val="24"/>
                <w:lang w:val="ru-RU"/>
              </w:rPr>
              <w:t xml:space="preserve"> план действий</w:t>
            </w:r>
            <w:r>
              <w:fldChar w:fldCharType="end"/>
            </w:r>
            <w:r w:rsidRPr="00EB045C">
              <w:rPr>
                <w:i/>
                <w:iCs/>
                <w:color w:val="000000"/>
                <w:szCs w:val="24"/>
                <w:lang w:val="ru-RU"/>
              </w:rPr>
              <w:t xml:space="preserve">); Резолюции </w:t>
            </w:r>
            <w:hyperlink r:id="rId16" w:history="1"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50</w:t>
              </w:r>
            </w:hyperlink>
            <w:r w:rsidRPr="00EB045C">
              <w:rPr>
                <w:i/>
                <w:iCs/>
                <w:color w:val="000000"/>
                <w:szCs w:val="24"/>
                <w:lang w:val="ru-RU"/>
              </w:rPr>
              <w:t xml:space="preserve"> (</w:t>
            </w:r>
            <w:proofErr w:type="spellStart"/>
            <w:r w:rsidRPr="00EB045C">
              <w:rPr>
                <w:i/>
                <w:iCs/>
                <w:color w:val="000000"/>
                <w:szCs w:val="24"/>
                <w:lang w:val="ru-RU"/>
              </w:rPr>
              <w:t>Пересм</w:t>
            </w:r>
            <w:proofErr w:type="spellEnd"/>
            <w:r w:rsidRPr="00EB045C">
              <w:rPr>
                <w:i/>
                <w:iCs/>
                <w:color w:val="000000"/>
                <w:szCs w:val="24"/>
                <w:lang w:val="ru-RU"/>
              </w:rPr>
              <w:t xml:space="preserve">. Женева, 2022 г.), </w:t>
            </w:r>
            <w:hyperlink r:id="rId17" w:history="1"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52</w:t>
              </w:r>
            </w:hyperlink>
            <w:r w:rsidRPr="00EB045C">
              <w:rPr>
                <w:i/>
                <w:iCs/>
                <w:color w:val="000000"/>
                <w:szCs w:val="24"/>
                <w:lang w:val="ru-RU"/>
              </w:rPr>
              <w:t xml:space="preserve"> (</w:t>
            </w:r>
            <w:proofErr w:type="spellStart"/>
            <w:r w:rsidRPr="00EB045C">
              <w:rPr>
                <w:i/>
                <w:iCs/>
                <w:color w:val="000000"/>
                <w:szCs w:val="24"/>
                <w:lang w:val="ru-RU"/>
              </w:rPr>
              <w:t>Пересм</w:t>
            </w:r>
            <w:proofErr w:type="spellEnd"/>
            <w:r w:rsidRPr="00EB045C">
              <w:rPr>
                <w:i/>
                <w:iCs/>
                <w:color w:val="000000"/>
                <w:szCs w:val="24"/>
                <w:lang w:val="ru-RU"/>
              </w:rPr>
              <w:t xml:space="preserve">. Хаммамет, 2016 г.), </w:t>
            </w:r>
            <w:hyperlink r:id="rId18" w:history="1"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75</w:t>
              </w:r>
            </w:hyperlink>
            <w:r w:rsidRPr="00EB045C">
              <w:rPr>
                <w:i/>
                <w:iCs/>
                <w:color w:val="000000"/>
                <w:szCs w:val="24"/>
                <w:lang w:val="ru-RU"/>
              </w:rPr>
              <w:t xml:space="preserve"> (</w:t>
            </w:r>
            <w:proofErr w:type="spellStart"/>
            <w:r w:rsidRPr="00EB045C">
              <w:rPr>
                <w:i/>
                <w:iCs/>
                <w:color w:val="000000"/>
                <w:szCs w:val="24"/>
                <w:lang w:val="ru-RU"/>
              </w:rPr>
              <w:t>Пересм</w:t>
            </w:r>
            <w:proofErr w:type="spellEnd"/>
            <w:r w:rsidRPr="00EB045C">
              <w:rPr>
                <w:i/>
                <w:iCs/>
                <w:color w:val="000000"/>
                <w:szCs w:val="24"/>
                <w:lang w:val="ru-RU"/>
              </w:rPr>
              <w:t xml:space="preserve">. Женева, 2022 г.), </w:t>
            </w:r>
            <w:hyperlink r:id="rId19" w:history="1"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58</w:t>
              </w:r>
            </w:hyperlink>
            <w:r w:rsidRPr="00EB045C">
              <w:rPr>
                <w:i/>
                <w:iCs/>
                <w:color w:val="000000"/>
                <w:szCs w:val="24"/>
                <w:lang w:val="ru-RU"/>
              </w:rPr>
              <w:t xml:space="preserve"> (</w:t>
            </w:r>
            <w:proofErr w:type="spellStart"/>
            <w:r w:rsidRPr="00EB045C">
              <w:rPr>
                <w:i/>
                <w:iCs/>
                <w:color w:val="000000"/>
                <w:szCs w:val="24"/>
                <w:lang w:val="ru-RU"/>
              </w:rPr>
              <w:t>Пересм</w:t>
            </w:r>
            <w:proofErr w:type="spellEnd"/>
            <w:r w:rsidRPr="00EB045C">
              <w:rPr>
                <w:i/>
                <w:iCs/>
                <w:color w:val="000000"/>
                <w:szCs w:val="24"/>
                <w:lang w:val="ru-RU"/>
              </w:rPr>
              <w:t xml:space="preserve">. Женева, 2022 г.) Всемирной ассамблеи по стандартизации электросвязи; Документы </w:t>
            </w:r>
            <w:hyperlink r:id="rId20" w:history="1">
              <w:proofErr w:type="spellStart"/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C15</w:t>
              </w:r>
              <w:proofErr w:type="spellEnd"/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/</w:t>
              </w:r>
              <w:proofErr w:type="spellStart"/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18</w:t>
              </w:r>
            </w:hyperlink>
            <w:r w:rsidRPr="00EB045C">
              <w:rPr>
                <w:i/>
                <w:iCs/>
                <w:szCs w:val="24"/>
                <w:lang w:val="ru-RU"/>
              </w:rPr>
              <w:t>,</w:t>
            </w:r>
            <w:hyperlink r:id="rId21" w:history="1"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C16</w:t>
              </w:r>
              <w:proofErr w:type="spellEnd"/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/18</w:t>
              </w:r>
            </w:hyperlink>
            <w:r w:rsidRPr="00EB045C">
              <w:rPr>
                <w:i/>
                <w:iCs/>
                <w:szCs w:val="24"/>
                <w:lang w:val="ru-RU"/>
              </w:rPr>
              <w:t xml:space="preserve">, </w:t>
            </w:r>
            <w:hyperlink r:id="rId22" w:history="1">
              <w:proofErr w:type="spellStart"/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C17</w:t>
              </w:r>
              <w:proofErr w:type="spellEnd"/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/18</w:t>
              </w:r>
            </w:hyperlink>
            <w:r w:rsidRPr="00EB045C">
              <w:rPr>
                <w:i/>
                <w:iCs/>
                <w:szCs w:val="24"/>
                <w:lang w:val="ru-RU"/>
              </w:rPr>
              <w:t xml:space="preserve">, </w:t>
            </w:r>
            <w:hyperlink r:id="rId23" w:history="1">
              <w:proofErr w:type="spellStart"/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C18</w:t>
              </w:r>
              <w:proofErr w:type="spellEnd"/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/18</w:t>
              </w:r>
            </w:hyperlink>
            <w:r w:rsidRPr="00EB045C">
              <w:rPr>
                <w:i/>
                <w:iCs/>
                <w:szCs w:val="24"/>
                <w:lang w:val="ru-RU"/>
              </w:rPr>
              <w:t xml:space="preserve">, </w:t>
            </w:r>
            <w:hyperlink r:id="rId24" w:history="1">
              <w:proofErr w:type="spellStart"/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C19</w:t>
              </w:r>
              <w:proofErr w:type="spellEnd"/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/18</w:t>
              </w:r>
            </w:hyperlink>
            <w:r w:rsidRPr="00EB045C">
              <w:rPr>
                <w:i/>
                <w:iCs/>
                <w:szCs w:val="24"/>
                <w:lang w:val="ru-RU"/>
              </w:rPr>
              <w:t xml:space="preserve">, </w:t>
            </w:r>
            <w:hyperlink r:id="rId25" w:history="1">
              <w:proofErr w:type="spellStart"/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C20</w:t>
              </w:r>
              <w:proofErr w:type="spellEnd"/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/18</w:t>
              </w:r>
            </w:hyperlink>
            <w:r w:rsidRPr="00EB045C">
              <w:rPr>
                <w:i/>
                <w:iCs/>
                <w:szCs w:val="24"/>
                <w:u w:val="single"/>
                <w:lang w:val="ru-RU"/>
              </w:rPr>
              <w:t xml:space="preserve">, </w:t>
            </w:r>
            <w:hyperlink r:id="rId26" w:history="1">
              <w:proofErr w:type="spellStart"/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C21</w:t>
              </w:r>
              <w:proofErr w:type="spellEnd"/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/18</w:t>
              </w:r>
            </w:hyperlink>
            <w:r w:rsidRPr="00EB045C">
              <w:rPr>
                <w:i/>
                <w:iCs/>
                <w:szCs w:val="24"/>
                <w:lang w:val="ru-RU"/>
              </w:rPr>
              <w:t xml:space="preserve">, </w:t>
            </w:r>
            <w:hyperlink r:id="rId27" w:history="1">
              <w:proofErr w:type="spellStart"/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C22</w:t>
              </w:r>
              <w:proofErr w:type="spellEnd"/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/18</w:t>
              </w:r>
            </w:hyperlink>
            <w:r w:rsidRPr="00EB045C">
              <w:rPr>
                <w:i/>
                <w:iCs/>
                <w:szCs w:val="24"/>
                <w:u w:val="single"/>
                <w:lang w:val="ru-RU"/>
              </w:rPr>
              <w:t xml:space="preserve">, </w:t>
            </w:r>
            <w:hyperlink r:id="rId28" w:history="1">
              <w:proofErr w:type="spellStart"/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C23</w:t>
              </w:r>
              <w:proofErr w:type="spellEnd"/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/38</w:t>
              </w:r>
            </w:hyperlink>
            <w:r w:rsidRPr="00EB045C">
              <w:rPr>
                <w:i/>
                <w:iCs/>
                <w:szCs w:val="24"/>
                <w:lang w:val="ru-RU"/>
              </w:rPr>
              <w:t xml:space="preserve">, </w:t>
            </w:r>
            <w:hyperlink r:id="rId29" w:history="1">
              <w:proofErr w:type="spellStart"/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C24</w:t>
              </w:r>
              <w:proofErr w:type="spellEnd"/>
              <w:r w:rsidRPr="00EB045C">
                <w:rPr>
                  <w:rStyle w:val="Hyperlink"/>
                  <w:i/>
                  <w:iCs/>
                  <w:szCs w:val="24"/>
                  <w:lang w:val="ru-RU"/>
                </w:rPr>
                <w:t>/18</w:t>
              </w:r>
            </w:hyperlink>
            <w:r w:rsidRPr="00EB045C">
              <w:rPr>
                <w:i/>
                <w:iCs/>
                <w:color w:val="000000"/>
                <w:szCs w:val="24"/>
                <w:lang w:val="ru-RU"/>
              </w:rPr>
              <w:t xml:space="preserve"> Совета</w:t>
            </w:r>
          </w:p>
        </w:tc>
      </w:tr>
      <w:bookmarkEnd w:id="2"/>
      <w:bookmarkEnd w:id="6"/>
    </w:tbl>
    <w:p w14:paraId="171A5598" w14:textId="77777777" w:rsidR="00796BD3" w:rsidRPr="00471F91" w:rsidRDefault="00796BD3" w:rsidP="00796BD3">
      <w:pPr>
        <w:rPr>
          <w:lang w:val="ru-RU"/>
        </w:rPr>
      </w:pPr>
    </w:p>
    <w:p w14:paraId="68525ADE" w14:textId="77777777" w:rsidR="00165D06" w:rsidRPr="00471F91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71F91">
        <w:rPr>
          <w:lang w:val="ru-RU"/>
        </w:rPr>
        <w:br w:type="page"/>
      </w:r>
    </w:p>
    <w:p w14:paraId="21B4FC95" w14:textId="64946A12" w:rsidR="00165439" w:rsidRPr="00EB045C" w:rsidRDefault="00165439" w:rsidP="00007917">
      <w:pPr>
        <w:jc w:val="both"/>
        <w:rPr>
          <w:b/>
          <w:lang w:val="ru-RU"/>
        </w:rPr>
      </w:pPr>
      <w:r w:rsidRPr="00EB045C">
        <w:rPr>
          <w:lang w:val="ru-RU"/>
        </w:rPr>
        <w:lastRenderedPageBreak/>
        <w:t>В настоящем документе содержится информация о деятельности МСЭ в связи с Резолюцией</w:t>
      </w:r>
      <w:r>
        <w:rPr>
          <w:lang w:val="en-US"/>
        </w:rPr>
        <w:t> </w:t>
      </w:r>
      <w:r w:rsidRPr="00EB045C">
        <w:rPr>
          <w:lang w:val="ru-RU"/>
        </w:rPr>
        <w:t xml:space="preserve">130 (Пересм. Бухарест, 2022 г.) Полномочной конференции (ПК), роли МСЭ в качестве ведущей содействующей организации по Направлению деятельности C5 ВВУИО и других решениях членов по усилению роли МСЭ в укреплении доверия и безопасности при использовании ИКТ. </w:t>
      </w:r>
    </w:p>
    <w:p w14:paraId="374A94CE" w14:textId="77777777" w:rsidR="00165439" w:rsidRPr="00EB045C" w:rsidRDefault="00165439" w:rsidP="00007917">
      <w:pPr>
        <w:jc w:val="both"/>
        <w:rPr>
          <w:rFonts w:eastAsia="SimSun" w:cstheme="minorBidi"/>
          <w:lang w:val="ru-RU"/>
        </w:rPr>
      </w:pPr>
      <w:r w:rsidRPr="00EB045C">
        <w:rPr>
          <w:lang w:val="ru-RU"/>
        </w:rPr>
        <w:t>Настоящий отчет, построенный на базе пяти основных составляющих Глобальной программы кибербезопасности (ГПК), отражает взаимодополняющий характер существующих программ работы МСЭ и способствует реализации различных видов деятельности БРЭ, БСЭ и БР в этой области.</w:t>
      </w:r>
    </w:p>
    <w:p w14:paraId="433B70E9" w14:textId="77777777" w:rsidR="00165439" w:rsidRPr="00007917" w:rsidRDefault="00165439" w:rsidP="00007917">
      <w:pPr>
        <w:pStyle w:val="Heading1"/>
        <w:rPr>
          <w:rFonts w:eastAsia="SimSun"/>
        </w:rPr>
      </w:pPr>
      <w:r w:rsidRPr="00007917">
        <w:t>1</w:t>
      </w:r>
      <w:r w:rsidRPr="00007917">
        <w:tab/>
        <w:t>Меры правового характера</w:t>
      </w:r>
    </w:p>
    <w:p w14:paraId="5A677ED3" w14:textId="77777777" w:rsidR="00165439" w:rsidRPr="00EB045C" w:rsidRDefault="00165439" w:rsidP="00007917">
      <w:pPr>
        <w:jc w:val="both"/>
        <w:rPr>
          <w:rFonts w:asciiTheme="minorHAnsi" w:eastAsia="SimSun" w:hAnsiTheme="minorHAnsi" w:cstheme="minorBidi"/>
          <w:szCs w:val="24"/>
          <w:lang w:val="ru-RU"/>
        </w:rPr>
      </w:pPr>
      <w:r w:rsidRPr="00EB045C">
        <w:rPr>
          <w:lang w:val="ru-RU"/>
        </w:rPr>
        <w:t xml:space="preserve">В рамках приоритета 5 МСЭ-D согласно Кигалийскому плану действий и с учетом Вопроса 3/2 МСЭ-D МСЭ помогает Государствам-Членам понять правовые аспекты кибербезопасности с помощью </w:t>
      </w:r>
      <w:hyperlink r:id="rId30" w:history="1">
        <w:r w:rsidRPr="00EB045C">
          <w:rPr>
            <w:rStyle w:val="Hyperlink"/>
            <w:lang w:val="ru-RU"/>
          </w:rPr>
          <w:t>ресурсов МСЭ по законодательству в области киберпреступности</w:t>
        </w:r>
      </w:hyperlink>
      <w:r w:rsidRPr="00EB045C">
        <w:rPr>
          <w:lang w:val="ru-RU"/>
        </w:rPr>
        <w:t>. МСЭ тесно сотрудничает с такими партнерами, как Управление Организации Объединенных Наций по наркотикам и преступности (УНП ООН).</w:t>
      </w:r>
    </w:p>
    <w:p w14:paraId="4F7938DF" w14:textId="77777777" w:rsidR="00165439" w:rsidRPr="00EB045C" w:rsidRDefault="00165439" w:rsidP="00007917">
      <w:pPr>
        <w:pStyle w:val="Heading1"/>
        <w:rPr>
          <w:rFonts w:eastAsia="SimSun"/>
        </w:rPr>
      </w:pPr>
      <w:r w:rsidRPr="00EB045C">
        <w:t>2</w:t>
      </w:r>
      <w:r w:rsidRPr="00EB045C">
        <w:tab/>
        <w:t>Технические и процедурные меры</w:t>
      </w:r>
    </w:p>
    <w:p w14:paraId="7887A324" w14:textId="4544581D" w:rsidR="00165439" w:rsidRPr="00EB045C" w:rsidRDefault="00165439" w:rsidP="00007917">
      <w:pPr>
        <w:jc w:val="both"/>
        <w:rPr>
          <w:rFonts w:asciiTheme="minorHAnsi" w:eastAsia="SimSun" w:hAnsiTheme="minorHAnsi" w:cstheme="minorBidi"/>
          <w:lang w:val="ru-RU"/>
        </w:rPr>
      </w:pPr>
      <w:r w:rsidRPr="00EB045C">
        <w:rPr>
          <w:lang w:val="ru-RU"/>
        </w:rPr>
        <w:t>2.1</w:t>
      </w:r>
      <w:r w:rsidRPr="00EB045C">
        <w:rPr>
          <w:lang w:val="ru-RU"/>
        </w:rPr>
        <w:tab/>
      </w:r>
      <w:hyperlink r:id="rId31" w:history="1">
        <w:r w:rsidRPr="00EB045C">
          <w:rPr>
            <w:rStyle w:val="Hyperlink"/>
            <w:lang w:val="ru-RU"/>
          </w:rPr>
          <w:t>17-я Исследовательская комиссия МСЭ-Т (ИК17)</w:t>
        </w:r>
      </w:hyperlink>
      <w:r w:rsidRPr="00EB045C">
        <w:rPr>
          <w:lang w:val="ru-RU"/>
        </w:rPr>
        <w:t xml:space="preserve"> провела два собрания – в сентябре 2024 года и в апреле 2025 года, – создала 50 новых направлений работы по стандартизации и утвердила 36 новых или пересмотренных Рекомендаций по безопасности искусственного интеллекта, систем Международной подвижной электросвязи, облачных вычислений, интернета вещей, интеллектуальных транспортных систем, систем цифровых двойников, распределения квантов</w:t>
      </w:r>
      <w:r>
        <w:rPr>
          <w:lang w:val="ru-RU"/>
        </w:rPr>
        <w:t>ых</w:t>
      </w:r>
      <w:r w:rsidRPr="00EB045C">
        <w:rPr>
          <w:lang w:val="ru-RU"/>
        </w:rPr>
        <w:t xml:space="preserve"> ключей, управления доступом, цифровых финансовых услуг, сохранения конфиденциальности и других интеллектуальных услуг. </w:t>
      </w:r>
      <w:r>
        <w:rPr>
          <w:lang w:val="ru-RU"/>
        </w:rPr>
        <w:t xml:space="preserve">Кроме того, </w:t>
      </w:r>
      <w:r w:rsidRPr="00EB045C">
        <w:rPr>
          <w:lang w:val="ru-RU"/>
        </w:rPr>
        <w:t xml:space="preserve">ИК5, 11, 13, 15, 20 и 21 МСЭ-Т утвердили рекомендации по безопасности ИКТ (см. </w:t>
      </w:r>
      <w:hyperlink r:id="rId32" w:history="1">
        <w:r w:rsidRPr="00EB045C">
          <w:rPr>
            <w:rStyle w:val="Hyperlink"/>
            <w:lang w:val="ru-RU"/>
          </w:rPr>
          <w:t>каталог Рекомендаций МСЭ</w:t>
        </w:r>
        <w:r w:rsidRPr="00165439">
          <w:rPr>
            <w:rStyle w:val="Hyperlink"/>
            <w:lang w:val="ru-RU"/>
          </w:rPr>
          <w:noBreakHyphen/>
        </w:r>
        <w:r w:rsidRPr="00EB045C">
          <w:rPr>
            <w:rStyle w:val="Hyperlink"/>
            <w:lang w:val="ru-RU"/>
          </w:rPr>
          <w:t>Т</w:t>
        </w:r>
      </w:hyperlink>
      <w:r w:rsidRPr="00EB045C">
        <w:rPr>
          <w:lang w:val="ru-RU"/>
        </w:rPr>
        <w:t xml:space="preserve">) по широкому кругу вопросов – от борьбы с контрафактными и похищенными мобильными устройствами ИКТ, степени доверия в отношении IMT-2020 и </w:t>
      </w:r>
      <w:r>
        <w:rPr>
          <w:lang w:val="ru-RU"/>
        </w:rPr>
        <w:t>дальнейших</w:t>
      </w:r>
      <w:r w:rsidRPr="00EB045C">
        <w:rPr>
          <w:lang w:val="ru-RU"/>
        </w:rPr>
        <w:t xml:space="preserve"> поколений, инфраструктуры (например, электросетей, пассивных оптических сетей), конвергенции фиксированной, подвижной и спутниковой связи, а также безопасности IoT до метавселенной и "умных" городов, управления цифровыми правами для распределения видео-/аудиоконтента и установления аутентичности мультимедиа.</w:t>
      </w:r>
      <w:bookmarkStart w:id="7" w:name="_Hlk63164174"/>
      <w:bookmarkEnd w:id="7"/>
    </w:p>
    <w:p w14:paraId="068A9E02" w14:textId="77777777" w:rsidR="00165439" w:rsidRPr="00EB045C" w:rsidRDefault="00165439" w:rsidP="00007917">
      <w:pPr>
        <w:jc w:val="both"/>
        <w:rPr>
          <w:rFonts w:eastAsia="Calibri" w:cs="Calibri"/>
          <w:szCs w:val="24"/>
          <w:lang w:val="ru-RU"/>
        </w:rPr>
      </w:pPr>
      <w:r w:rsidRPr="00EB045C">
        <w:rPr>
          <w:lang w:val="ru-RU"/>
        </w:rPr>
        <w:t>2.2</w:t>
      </w:r>
      <w:r w:rsidRPr="00EB045C">
        <w:rPr>
          <w:lang w:val="ru-RU"/>
        </w:rPr>
        <w:tab/>
        <w:t xml:space="preserve">ИК11 продолжает деятельность по </w:t>
      </w:r>
      <w:hyperlink r:id="rId33" w:history="1">
        <w:r w:rsidRPr="00EB045C">
          <w:rPr>
            <w:rStyle w:val="Hyperlink"/>
            <w:lang w:val="ru-RU"/>
          </w:rPr>
          <w:t>безопасности сигнализации</w:t>
        </w:r>
      </w:hyperlink>
      <w:r w:rsidRPr="00EB045C">
        <w:rPr>
          <w:lang w:val="ru-RU"/>
        </w:rPr>
        <w:t xml:space="preserve"> для борьбы с контрафактными и похищенными мобильными устройствами ИКТ и с атаками на телефонные сети (такими как телефонный спам, роботизированные вызовы, поддельные номера и т. д.). После </w:t>
      </w:r>
      <w:r>
        <w:rPr>
          <w:lang w:val="ru-RU"/>
        </w:rPr>
        <w:t xml:space="preserve">Рекомендаций </w:t>
      </w:r>
      <w:r w:rsidRPr="00EB045C">
        <w:rPr>
          <w:lang w:val="ru-RU"/>
        </w:rPr>
        <w:t>МСЭ-T Q.3057 (2020 г.), где описано использование цифровых подписей (цифровых сертификатов) при обмене сигнализацией, Q.3062 (2022 г.) "Процедуры и протоколы сигнализации для обеспечения возможности присоединения доверенных сетевых объектов для поддержки существующих и появляющихся сетей" и Q.3063 (2022 г.) "Процедуры сигнализации при аутентификации идентификации линии вызывающего абонента" ИК11 утвердила в 2023 году поправки к стандартам SS7 и BICC для поддержки аутентификации идентификации линии вызывающего абонента, а также Рекомендацию Q.5054 "Ориентированная на потребителей система борьбы с использованием контрафактных и похищенных мобильных устройств ИКТ".</w:t>
      </w:r>
    </w:p>
    <w:p w14:paraId="0EDC6502" w14:textId="70363536" w:rsidR="00165439" w:rsidRPr="00EB045C" w:rsidRDefault="00165439" w:rsidP="00007917">
      <w:pPr>
        <w:jc w:val="both"/>
        <w:rPr>
          <w:rFonts w:asciiTheme="minorHAnsi" w:eastAsia="SimSun" w:hAnsiTheme="minorHAnsi" w:cstheme="minorBidi"/>
          <w:b/>
          <w:szCs w:val="22"/>
          <w:lang w:val="ru-RU"/>
        </w:rPr>
      </w:pPr>
      <w:r w:rsidRPr="00EB045C">
        <w:rPr>
          <w:lang w:val="ru-RU"/>
        </w:rPr>
        <w:t>2.3</w:t>
      </w:r>
      <w:r w:rsidRPr="00EB045C">
        <w:rPr>
          <w:lang w:val="ru-RU"/>
        </w:rPr>
        <w:tab/>
        <w:t xml:space="preserve">МСЭ-R разработал четкие принципы безопасности для сетей Международной подвижной электросвязи (IMT) (3G, 4G и 5G). Он также опубликовал Рекомендации по вопросам безопасности в архитектуре сетевого управления для цифровых спутниковых систем и по улучшению качественных показателей протокола управления передачей по спутниковым сетям (см. </w:t>
      </w:r>
      <w:hyperlink r:id="rId34" w:history="1">
        <w:r w:rsidRPr="00EB045C">
          <w:rPr>
            <w:rStyle w:val="Hyperlink"/>
            <w:lang w:val="ru-RU"/>
          </w:rPr>
          <w:t>здесь</w:t>
        </w:r>
      </w:hyperlink>
      <w:r w:rsidRPr="00EB045C">
        <w:rPr>
          <w:lang w:val="ru-RU"/>
        </w:rPr>
        <w:t>). Информация о будущих системах подвижной связи – "IMT на период до 2020</w:t>
      </w:r>
      <w:r>
        <w:rPr>
          <w:lang w:val="en-US"/>
        </w:rPr>
        <w:t> </w:t>
      </w:r>
      <w:r w:rsidRPr="00EB045C">
        <w:rPr>
          <w:lang w:val="ru-RU"/>
        </w:rPr>
        <w:t xml:space="preserve">года и далее" – представлена </w:t>
      </w:r>
      <w:hyperlink r:id="rId35" w:history="1">
        <w:r w:rsidRPr="00EB045C">
          <w:rPr>
            <w:rStyle w:val="Hyperlink"/>
            <w:lang w:val="ru-RU"/>
          </w:rPr>
          <w:t>здесь</w:t>
        </w:r>
      </w:hyperlink>
      <w:r w:rsidRPr="00EB045C">
        <w:rPr>
          <w:lang w:val="ru-RU"/>
        </w:rPr>
        <w:t>.</w:t>
      </w:r>
    </w:p>
    <w:p w14:paraId="381BACA2" w14:textId="77777777" w:rsidR="00165439" w:rsidRPr="00EB045C" w:rsidRDefault="00165439" w:rsidP="00007917">
      <w:pPr>
        <w:pStyle w:val="Heading1"/>
        <w:rPr>
          <w:rFonts w:eastAsia="SimSun"/>
        </w:rPr>
      </w:pPr>
      <w:r w:rsidRPr="00EB045C">
        <w:lastRenderedPageBreak/>
        <w:t>3</w:t>
      </w:r>
      <w:r w:rsidRPr="00EB045C">
        <w:tab/>
        <w:t>Организационные структуры</w:t>
      </w:r>
    </w:p>
    <w:p w14:paraId="18BA9174" w14:textId="4837CAE9" w:rsidR="00165439" w:rsidRPr="00EB045C" w:rsidRDefault="00165439" w:rsidP="00007917">
      <w:pPr>
        <w:jc w:val="both"/>
        <w:rPr>
          <w:rFonts w:eastAsia="Calibri" w:cs="Calibri"/>
          <w:color w:val="000000" w:themeColor="text1"/>
          <w:lang w:val="ru-RU"/>
        </w:rPr>
      </w:pPr>
      <w:r w:rsidRPr="00EB045C">
        <w:rPr>
          <w:lang w:val="ru-RU"/>
        </w:rPr>
        <w:t>3.1</w:t>
      </w:r>
      <w:r w:rsidRPr="00EB045C">
        <w:rPr>
          <w:lang w:val="ru-RU"/>
        </w:rPr>
        <w:tab/>
        <w:t xml:space="preserve">Начиная с 2012 года МСЭ сотрудничает с Государствами-Членами, партнерами и глобальными организациями в целях укрепления кибербезопасности путем создания национальных и региональных </w:t>
      </w:r>
      <w:hyperlink r:id="rId36" w:history="1">
        <w:r w:rsidRPr="00EB045C">
          <w:rPr>
            <w:rStyle w:val="Hyperlink"/>
            <w:lang w:val="ru-RU"/>
          </w:rPr>
          <w:t>групп реагирования на компьютерные инциденты (CIRT)</w:t>
        </w:r>
      </w:hyperlink>
      <w:r w:rsidRPr="00EB045C">
        <w:rPr>
          <w:lang w:val="ru-RU"/>
        </w:rPr>
        <w:t>. Кроме того, МСЭ проводит оценки зрелости CIRT для дальнейшего расширения их возможностей. На сегодняшний день МСЭ оказал помощь 85 странам в оценке их готовности к обеспечению кибербезопасности, что позволило создать или усовершенствовать национальные CIRT. В</w:t>
      </w:r>
      <w:r w:rsidR="000E1FB5">
        <w:rPr>
          <w:lang w:val="ru-RU"/>
        </w:rPr>
        <w:t> </w:t>
      </w:r>
      <w:r w:rsidRPr="00EB045C">
        <w:rPr>
          <w:lang w:val="ru-RU"/>
        </w:rPr>
        <w:t xml:space="preserve">настоящее время МСЭ работает над внедрением CIRT в четырех странах. </w:t>
      </w:r>
      <w:r w:rsidRPr="00EB045C">
        <w:rPr>
          <w:rFonts w:eastAsia="SimSun"/>
          <w:lang w:val="ru-RU"/>
        </w:rPr>
        <w:fldChar w:fldCharType="begin"/>
      </w:r>
      <w:r w:rsidRPr="00EB045C">
        <w:rPr>
          <w:rFonts w:ascii="Arial" w:eastAsia="SimSun" w:hAnsi="Arial" w:cs="Arial"/>
          <w:lang w:val="ru-RU"/>
        </w:rPr>
        <w:instrText>￼￼￼</w:instrText>
      </w:r>
      <w:r w:rsidRPr="00EB045C">
        <w:rPr>
          <w:rFonts w:eastAsia="Calibri" w:cs="Calibri"/>
          <w:color w:val="0563C1"/>
          <w:u w:val="single"/>
          <w:lang w:val="ru-RU"/>
        </w:rPr>
        <w:instrText>three (3) more</w:instrText>
      </w:r>
      <w:r w:rsidRPr="00EB045C">
        <w:rPr>
          <w:rFonts w:eastAsia="SimSun"/>
          <w:lang w:val="ru-RU"/>
        </w:rPr>
        <w:fldChar w:fldCharType="end"/>
      </w:r>
    </w:p>
    <w:p w14:paraId="486AD75F" w14:textId="77777777" w:rsidR="00165439" w:rsidRPr="00EB045C" w:rsidRDefault="00165439" w:rsidP="00007917">
      <w:pPr>
        <w:jc w:val="both"/>
        <w:rPr>
          <w:rFonts w:asciiTheme="minorHAnsi" w:eastAsia="SimSun" w:hAnsiTheme="minorHAnsi" w:cstheme="minorBidi"/>
          <w:color w:val="000000" w:themeColor="text1"/>
          <w:lang w:val="ru-RU"/>
        </w:rPr>
      </w:pPr>
      <w:r w:rsidRPr="00EB045C">
        <w:rPr>
          <w:lang w:val="ru-RU"/>
        </w:rPr>
        <w:t>МСЭ продолжает активно сотрудничать с сообществом FIRST в целях совершенствования структуры обслуживания групп реагирования на инциденты в сфере компьютерной безопасности (CSIRT) и пересмотра учебных материалов для создания потенциала в области управления деятельностью национальных CIRT.</w:t>
      </w:r>
    </w:p>
    <w:p w14:paraId="45D5353F" w14:textId="77777777" w:rsidR="00165439" w:rsidRPr="00EB045C" w:rsidRDefault="00165439" w:rsidP="00007917">
      <w:pPr>
        <w:jc w:val="both"/>
        <w:rPr>
          <w:rFonts w:asciiTheme="minorHAnsi" w:eastAsia="SimSun" w:hAnsiTheme="minorHAnsi" w:cstheme="minorBidi"/>
          <w:color w:val="000000"/>
          <w:shd w:val="clear" w:color="auto" w:fill="FFFFFF"/>
          <w:lang w:val="ru-RU"/>
        </w:rPr>
      </w:pPr>
      <w:r w:rsidRPr="00EB045C">
        <w:rPr>
          <w:lang w:val="ru-RU"/>
        </w:rPr>
        <w:t>3.2</w:t>
      </w:r>
      <w:r w:rsidRPr="00EB045C">
        <w:rPr>
          <w:lang w:val="ru-RU"/>
        </w:rPr>
        <w:tab/>
        <w:t xml:space="preserve">По состоянию на май 2025 года МСЭ организовал более 55 международных, региональных или национальных </w:t>
      </w:r>
      <w:hyperlink r:id="rId37" w:history="1">
        <w:r w:rsidRPr="00EB045C">
          <w:rPr>
            <w:rStyle w:val="Hyperlink"/>
            <w:lang w:val="ru-RU"/>
          </w:rPr>
          <w:t>тренировочных занятий по кибербезопасности</w:t>
        </w:r>
      </w:hyperlink>
      <w:r w:rsidRPr="00EB045C">
        <w:rPr>
          <w:lang w:val="ru-RU"/>
        </w:rPr>
        <w:t xml:space="preserve"> (включая три глобальных тренировочных занятия) с участием более 160 стран во всех шести регионах МСЭ. Вторые глобальные тренировочные занятия по кибербезопасности состоялись в мае 2025 года и были организованы Советом по кибербезопасности Объединенных Арабских Эмиратов. </w:t>
      </w:r>
    </w:p>
    <w:p w14:paraId="1F6894A5" w14:textId="77777777" w:rsidR="00165439" w:rsidRPr="00EB045C" w:rsidRDefault="00165439" w:rsidP="00007917">
      <w:pPr>
        <w:pStyle w:val="Heading1"/>
        <w:rPr>
          <w:rFonts w:eastAsia="SimSun"/>
        </w:rPr>
      </w:pPr>
      <w:r w:rsidRPr="00EB045C">
        <w:t>4</w:t>
      </w:r>
      <w:r w:rsidRPr="00EB045C">
        <w:tab/>
        <w:t>Создание потенциала</w:t>
      </w:r>
    </w:p>
    <w:p w14:paraId="0A1B40DB" w14:textId="77777777" w:rsidR="00165439" w:rsidRPr="00EB045C" w:rsidRDefault="00165439" w:rsidP="00007917">
      <w:pPr>
        <w:jc w:val="both"/>
        <w:rPr>
          <w:rFonts w:asciiTheme="minorHAnsi" w:hAnsiTheme="minorHAnsi" w:cstheme="minorBidi"/>
          <w:szCs w:val="24"/>
          <w:lang w:val="ru-RU"/>
        </w:rPr>
      </w:pPr>
      <w:r w:rsidRPr="00EB045C">
        <w:rPr>
          <w:lang w:val="ru-RU"/>
        </w:rPr>
        <w:t>4.1</w:t>
      </w:r>
      <w:r w:rsidRPr="00EB045C">
        <w:rPr>
          <w:lang w:val="ru-RU"/>
        </w:rPr>
        <w:tab/>
        <w:t>БРЭ организовало региональные форумы по кибербезопасности для всех регионов МСЭ в целях создания потенциала.</w:t>
      </w:r>
    </w:p>
    <w:p w14:paraId="5293CCE7" w14:textId="77777777" w:rsidR="00165439" w:rsidRPr="00EB045C" w:rsidRDefault="00165439" w:rsidP="00007917">
      <w:pPr>
        <w:jc w:val="both"/>
        <w:rPr>
          <w:rFonts w:asciiTheme="minorHAnsi" w:hAnsiTheme="minorHAnsi" w:cstheme="minorHAnsi"/>
          <w:szCs w:val="24"/>
          <w:lang w:val="ru-RU"/>
        </w:rPr>
      </w:pPr>
      <w:r w:rsidRPr="00EB045C">
        <w:rPr>
          <w:lang w:val="ru-RU"/>
        </w:rPr>
        <w:t>После ВКРЭ-22 продолжается работа над Вопросом 3/2 (</w:t>
      </w:r>
      <w:hyperlink r:id="rId38" w:history="1">
        <w:r w:rsidRPr="00EB045C">
          <w:rPr>
            <w:rStyle w:val="Hyperlink"/>
            <w:lang w:val="ru-RU"/>
          </w:rPr>
          <w:t>Защищенность сетей информации и связи: передовой опыт по созданию культуры кибербезопасности</w:t>
        </w:r>
      </w:hyperlink>
      <w:r w:rsidRPr="00EB045C">
        <w:rPr>
          <w:lang w:val="ru-RU"/>
        </w:rPr>
        <w:t xml:space="preserve">). </w:t>
      </w:r>
    </w:p>
    <w:p w14:paraId="0B288E5E" w14:textId="77777777" w:rsidR="00165439" w:rsidRPr="00EB045C" w:rsidRDefault="00165439" w:rsidP="00007917">
      <w:pPr>
        <w:jc w:val="both"/>
        <w:rPr>
          <w:rFonts w:asciiTheme="minorHAnsi" w:eastAsiaTheme="minorEastAsia" w:hAnsiTheme="minorHAnsi" w:cstheme="minorBidi"/>
          <w:szCs w:val="24"/>
          <w:lang w:val="ru-RU"/>
        </w:rPr>
      </w:pPr>
      <w:r w:rsidRPr="00EB045C">
        <w:rPr>
          <w:lang w:val="ru-RU"/>
        </w:rPr>
        <w:t>4.2</w:t>
      </w:r>
      <w:r w:rsidRPr="00EB045C">
        <w:rPr>
          <w:lang w:val="ru-RU"/>
        </w:rPr>
        <w:tab/>
        <w:t xml:space="preserve">МСЭ совместно с 20 международными партнерами ведет подготовку обновленной версии Руководства по разработке национальной стратегии кибербезопасности (NCS). В основу обновленной версии Руководства, которая, как ожидается, будет опубликована в IV квартале 2025 года, ляжет его </w:t>
      </w:r>
      <w:hyperlink r:id="rId39" w:history="1">
        <w:r w:rsidRPr="00EB045C">
          <w:rPr>
            <w:rStyle w:val="Hyperlink"/>
            <w:lang w:val="ru-RU"/>
          </w:rPr>
          <w:t>второе издание</w:t>
        </w:r>
      </w:hyperlink>
      <w:r w:rsidRPr="00EB045C">
        <w:rPr>
          <w:lang w:val="ru-RU"/>
        </w:rPr>
        <w:t xml:space="preserve">, вышедшее в 2021 году. МСЭ использует данное Руководство в работе с несколькими странами и территориями для совершенствования их стратегий в области кибербезопасности путем проведения очных настольных учений и оценки планов действий, в частности в сотрудничестве с Соединенным Королевством и Японией. </w:t>
      </w:r>
    </w:p>
    <w:p w14:paraId="2DEA5476" w14:textId="77777777" w:rsidR="00165439" w:rsidRPr="00EB045C" w:rsidRDefault="00165439" w:rsidP="00007917">
      <w:pPr>
        <w:jc w:val="both"/>
        <w:rPr>
          <w:rFonts w:eastAsia="Calibri" w:cs="Calibri"/>
          <w:lang w:val="ru-RU"/>
        </w:rPr>
      </w:pPr>
      <w:r w:rsidRPr="00EB045C">
        <w:rPr>
          <w:lang w:val="ru-RU"/>
        </w:rPr>
        <w:t>4.3</w:t>
      </w:r>
      <w:r w:rsidRPr="00EB045C">
        <w:rPr>
          <w:lang w:val="ru-RU"/>
        </w:rPr>
        <w:tab/>
        <w:t xml:space="preserve">МСЭ посредством деятельности </w:t>
      </w:r>
      <w:hyperlink r:id="rId40" w:history="1">
        <w:r w:rsidRPr="00EB045C">
          <w:rPr>
            <w:rStyle w:val="Hyperlink"/>
            <w:lang w:val="ru-RU"/>
          </w:rPr>
          <w:t>Академии МСЭ</w:t>
        </w:r>
      </w:hyperlink>
      <w:r w:rsidRPr="00EB045C">
        <w:rPr>
          <w:lang w:val="ru-RU"/>
        </w:rPr>
        <w:t xml:space="preserve">, центров профессионального мастерства МСЭ и центров профессиональной подготовки Академии продолжает проводить мероприятия в области профессиональной подготовки и семинары-практикумы, посвященные различным аспектам кибербезопасности. Так, в 2021 году был выпущен </w:t>
      </w:r>
      <w:hyperlink r:id="rId41" w:history="1">
        <w:r w:rsidRPr="00EB045C">
          <w:rPr>
            <w:rStyle w:val="Hyperlink"/>
            <w:lang w:val="ru-RU"/>
          </w:rPr>
          <w:t>онлайновый курс для самостоятельного изучения</w:t>
        </w:r>
      </w:hyperlink>
      <w:r w:rsidRPr="00EB045C">
        <w:rPr>
          <w:lang w:val="ru-RU"/>
        </w:rPr>
        <w:t>, основанный на Руководстве по NCS, который в 2023 году в рамках Академии МСЭ прослушали более 730 участников из 131 страны.</w:t>
      </w:r>
    </w:p>
    <w:p w14:paraId="11B70212" w14:textId="77777777" w:rsidR="00165439" w:rsidRPr="00EB045C" w:rsidRDefault="00165439" w:rsidP="00007917">
      <w:pPr>
        <w:jc w:val="both"/>
        <w:rPr>
          <w:rFonts w:asciiTheme="minorHAnsi" w:hAnsiTheme="minorHAnsi" w:cstheme="minorBidi"/>
          <w:szCs w:val="24"/>
          <w:lang w:val="ru-RU"/>
        </w:rPr>
      </w:pPr>
      <w:r w:rsidRPr="00EB045C">
        <w:rPr>
          <w:lang w:val="ru-RU"/>
        </w:rPr>
        <w:t>4.4</w:t>
      </w:r>
      <w:r w:rsidRPr="00EB045C">
        <w:rPr>
          <w:lang w:val="ru-RU"/>
        </w:rPr>
        <w:tab/>
        <w:t xml:space="preserve">В ходе пятого обследования для составления </w:t>
      </w:r>
      <w:hyperlink r:id="rId42" w:history="1">
        <w:r w:rsidRPr="00EB045C">
          <w:rPr>
            <w:rStyle w:val="Hyperlink"/>
            <w:lang w:val="ru-RU"/>
          </w:rPr>
          <w:t>Глобального индекса кибербезопасности</w:t>
        </w:r>
      </w:hyperlink>
      <w:r w:rsidRPr="00EB045C">
        <w:rPr>
          <w:lang w:val="ru-RU"/>
        </w:rPr>
        <w:t xml:space="preserve"> (</w:t>
      </w:r>
      <w:proofErr w:type="spellStart"/>
      <w:r w:rsidRPr="00EB045C">
        <w:rPr>
          <w:lang w:val="ru-RU"/>
        </w:rPr>
        <w:t>GCI</w:t>
      </w:r>
      <w:proofErr w:type="spellEnd"/>
      <w:r w:rsidRPr="00EB045C">
        <w:rPr>
          <w:lang w:val="ru-RU"/>
        </w:rPr>
        <w:t xml:space="preserve">) МСЭ, </w:t>
      </w:r>
      <w:r>
        <w:rPr>
          <w:lang w:val="ru-RU"/>
        </w:rPr>
        <w:t>начатого</w:t>
      </w:r>
      <w:r w:rsidRPr="00EB045C">
        <w:rPr>
          <w:lang w:val="ru-RU"/>
        </w:rPr>
        <w:t xml:space="preserve"> в сентябре 2024 года, были собраны данные по 172 странам. Ожидается, что сбор данных для следующего GCI начнется в начале 2026 года.</w:t>
      </w:r>
    </w:p>
    <w:p w14:paraId="34D71FCB" w14:textId="2BCC1CDE" w:rsidR="00165439" w:rsidRPr="00EB045C" w:rsidRDefault="00165439" w:rsidP="00007917">
      <w:pPr>
        <w:jc w:val="both"/>
        <w:rPr>
          <w:rFonts w:asciiTheme="minorHAnsi" w:hAnsiTheme="minorHAnsi" w:cstheme="minorBidi"/>
          <w:szCs w:val="24"/>
          <w:lang w:val="ru-RU"/>
        </w:rPr>
      </w:pPr>
      <w:r w:rsidRPr="00EB045C">
        <w:rPr>
          <w:lang w:val="ru-RU"/>
        </w:rPr>
        <w:t>4.5</w:t>
      </w:r>
      <w:r w:rsidRPr="00EB045C">
        <w:rPr>
          <w:lang w:val="ru-RU"/>
        </w:rPr>
        <w:tab/>
        <w:t>В 2024 году в рамках усилий по развитию цифровых навыков при поддержке GIZ и Microsoft была успешно реализована программа</w:t>
      </w:r>
      <w:r>
        <w:rPr>
          <w:lang w:val="ru-RU"/>
        </w:rPr>
        <w:t xml:space="preserve"> "</w:t>
      </w:r>
      <w:hyperlink r:id="rId43">
        <w:r>
          <w:rPr>
            <w:rFonts w:asciiTheme="minorHAnsi" w:hAnsiTheme="minorHAnsi" w:cstheme="minorBidi"/>
            <w:color w:val="0563C1"/>
            <w:szCs w:val="24"/>
            <w:u w:val="single"/>
            <w:lang w:val="ru-RU" w:eastAsia="en-GB"/>
          </w:rPr>
          <w:t xml:space="preserve">Ее </w:t>
        </w:r>
        <w:proofErr w:type="spellStart"/>
        <w:r>
          <w:rPr>
            <w:rFonts w:asciiTheme="minorHAnsi" w:hAnsiTheme="minorHAnsi" w:cstheme="minorBidi"/>
            <w:color w:val="0563C1"/>
            <w:szCs w:val="24"/>
            <w:u w:val="single"/>
            <w:lang w:val="ru-RU" w:eastAsia="en-GB"/>
          </w:rPr>
          <w:t>киберследы</w:t>
        </w:r>
        <w:proofErr w:type="spellEnd"/>
      </w:hyperlink>
      <w:r>
        <w:rPr>
          <w:lang w:val="ru-RU"/>
        </w:rPr>
        <w:t>" (</w:t>
      </w:r>
      <w:proofErr w:type="spellStart"/>
      <w:r w:rsidRPr="00EB045C">
        <w:rPr>
          <w:lang w:val="ru-RU"/>
        </w:rPr>
        <w:t>Her</w:t>
      </w:r>
      <w:proofErr w:type="spellEnd"/>
      <w:r w:rsidRPr="00EB045C">
        <w:rPr>
          <w:lang w:val="ru-RU"/>
        </w:rPr>
        <w:t xml:space="preserve"> </w:t>
      </w:r>
      <w:proofErr w:type="spellStart"/>
      <w:r w:rsidRPr="00EB045C">
        <w:rPr>
          <w:lang w:val="ru-RU"/>
        </w:rPr>
        <w:t>CyberTracks</w:t>
      </w:r>
      <w:proofErr w:type="spellEnd"/>
      <w:r>
        <w:rPr>
          <w:lang w:val="ru-RU"/>
        </w:rPr>
        <w:t>),</w:t>
      </w:r>
      <w:r w:rsidRPr="00EB045C">
        <w:rPr>
          <w:lang w:val="ru-RU"/>
        </w:rPr>
        <w:t xml:space="preserve"> ориентированная на женщин – сотрудников директивных и дипломатических органов, а также совместно с УНП ООН был обеспечен охват потребностей в области реагирования на инциденты и борьбы с киберпреступностью. По состоянию на 2025 год география программы расширилась, и теперь она ведется не только в пяти странах Северной и Южной Америки (в</w:t>
      </w:r>
      <w:r w:rsidR="000E1FB5">
        <w:rPr>
          <w:lang w:val="ru-RU"/>
        </w:rPr>
        <w:t> </w:t>
      </w:r>
      <w:r w:rsidRPr="00EB045C">
        <w:rPr>
          <w:lang w:val="ru-RU"/>
        </w:rPr>
        <w:t>сотрудничестве с Организацией американских государств (ОАГ)) и странах Европы, которые ранее являлись целевыми, но и во всех странах – членах Африканского союза.</w:t>
      </w:r>
    </w:p>
    <w:p w14:paraId="3BEB6B83" w14:textId="77777777" w:rsidR="00165439" w:rsidRPr="00EB045C" w:rsidRDefault="00165439" w:rsidP="00007917">
      <w:pPr>
        <w:jc w:val="both"/>
        <w:rPr>
          <w:rFonts w:asciiTheme="minorHAnsi" w:hAnsiTheme="minorHAnsi" w:cstheme="minorBidi"/>
          <w:szCs w:val="24"/>
          <w:lang w:val="ru-RU"/>
        </w:rPr>
      </w:pPr>
      <w:r w:rsidRPr="00EB045C">
        <w:rPr>
          <w:lang w:val="ru-RU"/>
        </w:rPr>
        <w:lastRenderedPageBreak/>
        <w:t>4.6</w:t>
      </w:r>
      <w:r w:rsidRPr="00EB045C">
        <w:rPr>
          <w:lang w:val="ru-RU"/>
        </w:rPr>
        <w:tab/>
        <w:t xml:space="preserve">МСЭ при поддержке Республики Корея работает с 30 странами в рамках программы </w:t>
      </w:r>
      <w:hyperlink r:id="rId44" w:history="1">
        <w:r w:rsidRPr="00EB045C">
          <w:rPr>
            <w:rStyle w:val="Hyperlink"/>
            <w:lang w:val="ru-RU"/>
          </w:rPr>
          <w:t>"Кибертехнологии во благо"</w:t>
        </w:r>
      </w:hyperlink>
      <w:r w:rsidRPr="00EB045C">
        <w:rPr>
          <w:lang w:val="ru-RU"/>
        </w:rPr>
        <w:t>, предоставляя при посредстве восьми Членов Сектора МСЭ-D бесплатный доступ к инструментам, образовательным материалам и услугам, в том числе к оценкам NCS, инструментам мониторинга киберуязвимости и учебным курсам по цифровым навыкам.</w:t>
      </w:r>
    </w:p>
    <w:p w14:paraId="51886657" w14:textId="77777777" w:rsidR="00165439" w:rsidRPr="00EB045C" w:rsidRDefault="00165439" w:rsidP="00007917">
      <w:pPr>
        <w:jc w:val="both"/>
        <w:rPr>
          <w:rFonts w:asciiTheme="minorHAnsi" w:hAnsiTheme="minorHAnsi" w:cstheme="minorBidi"/>
          <w:lang w:val="ru-RU"/>
        </w:rPr>
      </w:pPr>
      <w:r w:rsidRPr="00EB045C">
        <w:rPr>
          <w:lang w:val="ru-RU"/>
        </w:rPr>
        <w:t>4.7</w:t>
      </w:r>
      <w:r w:rsidRPr="00EB045C">
        <w:rPr>
          <w:lang w:val="ru-RU"/>
        </w:rPr>
        <w:tab/>
        <w:t xml:space="preserve">МСЭ совместно с ОАГ занимался разработкой </w:t>
      </w:r>
      <w:hyperlink r:id="rId45" w:history="1">
        <w:r w:rsidRPr="00EB045C">
          <w:rPr>
            <w:rStyle w:val="Hyperlink"/>
            <w:lang w:val="ru-RU"/>
          </w:rPr>
          <w:t>системного подхода к образованию в области кибербезопасности</w:t>
        </w:r>
      </w:hyperlink>
      <w:r w:rsidRPr="00EB045C">
        <w:rPr>
          <w:lang w:val="ru-RU"/>
        </w:rPr>
        <w:t xml:space="preserve"> и в настоящий момент готовит руководство для стран по его внедрению.</w:t>
      </w:r>
    </w:p>
    <w:p w14:paraId="78CB0B11" w14:textId="77777777" w:rsidR="00165439" w:rsidRPr="00EB045C" w:rsidRDefault="00165439" w:rsidP="00007917">
      <w:pPr>
        <w:pStyle w:val="Heading1"/>
        <w:rPr>
          <w:rFonts w:eastAsia="SimSun"/>
        </w:rPr>
      </w:pPr>
      <w:r w:rsidRPr="00EB045C">
        <w:t>5</w:t>
      </w:r>
      <w:r w:rsidRPr="00EB045C">
        <w:tab/>
        <w:t>Международное сотрудничество</w:t>
      </w:r>
    </w:p>
    <w:p w14:paraId="207487DC" w14:textId="77777777" w:rsidR="00165439" w:rsidRPr="00EB045C" w:rsidRDefault="00165439" w:rsidP="00007917">
      <w:pPr>
        <w:jc w:val="both"/>
        <w:rPr>
          <w:rFonts w:asciiTheme="minorHAnsi" w:eastAsia="SimSun" w:hAnsiTheme="minorHAnsi" w:cstheme="minorBidi"/>
          <w:szCs w:val="24"/>
          <w:lang w:val="ru-RU"/>
        </w:rPr>
      </w:pPr>
      <w:r w:rsidRPr="00EB045C">
        <w:rPr>
          <w:lang w:val="ru-RU"/>
        </w:rPr>
        <w:t>5.1</w:t>
      </w:r>
      <w:r w:rsidRPr="00EB045C">
        <w:rPr>
          <w:lang w:val="ru-RU"/>
        </w:rPr>
        <w:tab/>
        <w:t xml:space="preserve">МСЭ развивает отношения и </w:t>
      </w:r>
      <w:hyperlink r:id="rId46" w:history="1">
        <w:r w:rsidRPr="00EB045C">
          <w:rPr>
            <w:rStyle w:val="Hyperlink"/>
            <w:lang w:val="ru-RU"/>
          </w:rPr>
          <w:t>партнерские связи</w:t>
        </w:r>
      </w:hyperlink>
      <w:r w:rsidRPr="00EB045C">
        <w:rPr>
          <w:lang w:val="ru-RU"/>
        </w:rPr>
        <w:t xml:space="preserve"> с различными региональными/международными организациями и инициативами, в том числе с ОАГ, ENISA, Интерполом, ЭКОВАС, Всемирным банком, FIRST, GFCE и региональными ассоциациями CSIRT/CERT, такими как AP CERT, AFRICA CERT и OIC CERT, с целью избежать ненужного дублирования работы и определить области для сотрудничества.</w:t>
      </w:r>
    </w:p>
    <w:p w14:paraId="318CBFFD" w14:textId="77777777" w:rsidR="00165439" w:rsidRPr="00EB045C" w:rsidRDefault="00165439" w:rsidP="00007917">
      <w:pPr>
        <w:jc w:val="both"/>
        <w:rPr>
          <w:rFonts w:eastAsia="SimSun"/>
          <w:color w:val="000000"/>
          <w:lang w:val="ru-RU"/>
        </w:rPr>
      </w:pPr>
      <w:r w:rsidRPr="00EB045C">
        <w:rPr>
          <w:lang w:val="ru-RU"/>
        </w:rPr>
        <w:t>5.2</w:t>
      </w:r>
      <w:r w:rsidRPr="00EB045C">
        <w:rPr>
          <w:lang w:val="ru-RU"/>
        </w:rPr>
        <w:tab/>
        <w:t xml:space="preserve">Во исполнение </w:t>
      </w:r>
      <w:hyperlink r:id="rId47" w:history="1">
        <w:r w:rsidRPr="00EB045C">
          <w:rPr>
            <w:rStyle w:val="Hyperlink"/>
            <w:lang w:val="ru-RU"/>
          </w:rPr>
          <w:t>Решения 630 (2023 г.) Совета</w:t>
        </w:r>
      </w:hyperlink>
      <w:r w:rsidRPr="00EB045C">
        <w:rPr>
          <w:lang w:val="ru-RU"/>
        </w:rPr>
        <w:t xml:space="preserve"> МСЭ разработал </w:t>
      </w:r>
      <w:hyperlink r:id="rId48" w:history="1">
        <w:r w:rsidRPr="00EB045C">
          <w:rPr>
            <w:rStyle w:val="Hyperlink"/>
            <w:lang w:val="ru-RU"/>
          </w:rPr>
          <w:t>информационный ресурс</w:t>
        </w:r>
      </w:hyperlink>
      <w:r w:rsidRPr="00EB045C">
        <w:rPr>
          <w:lang w:val="ru-RU"/>
        </w:rPr>
        <w:t xml:space="preserve"> на основе ответов Государств-Членов для </w:t>
      </w:r>
      <w:r>
        <w:rPr>
          <w:lang w:val="ru-RU"/>
        </w:rPr>
        <w:t xml:space="preserve">оказания им </w:t>
      </w:r>
      <w:r w:rsidRPr="00EB045C">
        <w:rPr>
          <w:lang w:val="ru-RU"/>
        </w:rPr>
        <w:t>помощи в создании потенциала в области кибербезопасности и киберустойчивости. Свой вклад в создание этого ресурса внесли девять (9) Государств-Членов.</w:t>
      </w:r>
    </w:p>
    <w:p w14:paraId="7FAE282B" w14:textId="77777777" w:rsidR="00165439" w:rsidRPr="00EB045C" w:rsidRDefault="00165439" w:rsidP="00007917">
      <w:pPr>
        <w:jc w:val="both"/>
        <w:rPr>
          <w:rFonts w:asciiTheme="minorHAnsi" w:eastAsia="SimSun" w:hAnsiTheme="minorHAnsi" w:cstheme="minorBidi"/>
          <w:szCs w:val="24"/>
          <w:lang w:val="ru-RU"/>
        </w:rPr>
      </w:pPr>
      <w:r w:rsidRPr="00EB045C">
        <w:rPr>
          <w:lang w:val="ru-RU"/>
        </w:rPr>
        <w:t>5.3</w:t>
      </w:r>
      <w:r w:rsidRPr="00EB045C">
        <w:rPr>
          <w:lang w:val="ru-RU"/>
        </w:rPr>
        <w:tab/>
        <w:t xml:space="preserve">В качестве ведущей содействующей организации по Направлению деятельности C5 ВВУИО МСЭ организовал сессию содействующих организаций по Направлению деятельности </w:t>
      </w:r>
      <w:proofErr w:type="spellStart"/>
      <w:r w:rsidRPr="00EB045C">
        <w:rPr>
          <w:lang w:val="ru-RU"/>
        </w:rPr>
        <w:t>C5</w:t>
      </w:r>
      <w:proofErr w:type="spellEnd"/>
      <w:r w:rsidRPr="00EB045C">
        <w:rPr>
          <w:lang w:val="ru-RU"/>
        </w:rPr>
        <w:t xml:space="preserve"> на тему </w:t>
      </w:r>
      <w:hyperlink r:id="rId49" w:history="1">
        <w:r w:rsidRPr="00EB045C">
          <w:rPr>
            <w:rStyle w:val="Hyperlink"/>
            <w:lang w:val="ru-RU"/>
          </w:rPr>
          <w:t>"Под водой: обеспечение глобальной возможности установления соединений с помощью защищенных подводных сетей"</w:t>
        </w:r>
      </w:hyperlink>
      <w:r w:rsidRPr="00EB045C">
        <w:rPr>
          <w:lang w:val="ru-RU"/>
        </w:rPr>
        <w:t xml:space="preserve"> во время </w:t>
      </w:r>
      <w:hyperlink r:id="rId50" w:history="1">
        <w:r w:rsidRPr="00EB045C">
          <w:rPr>
            <w:rStyle w:val="Hyperlink"/>
            <w:lang w:val="ru-RU"/>
          </w:rPr>
          <w:t xml:space="preserve">Форума </w:t>
        </w:r>
        <w:proofErr w:type="spellStart"/>
        <w:r w:rsidRPr="00EB045C">
          <w:rPr>
            <w:rStyle w:val="Hyperlink"/>
            <w:lang w:val="ru-RU"/>
          </w:rPr>
          <w:t>ВВУИО</w:t>
        </w:r>
        <w:proofErr w:type="spellEnd"/>
        <w:r w:rsidRPr="00EB045C">
          <w:rPr>
            <w:rStyle w:val="Hyperlink"/>
            <w:lang w:val="ru-RU"/>
          </w:rPr>
          <w:t xml:space="preserve"> 2024 года</w:t>
        </w:r>
      </w:hyperlink>
      <w:r w:rsidRPr="00EB045C">
        <w:rPr>
          <w:lang w:val="ru-RU"/>
        </w:rPr>
        <w:t xml:space="preserve">, в ходе которого также прошло несколько сессий, посвященных вопросам доверия и уверенности в областях, связанных с новыми и появляющимися технологиями, такими как, например, ИИ и квантовые технологии, а также защита женщин и детей в онлайновой среде. МСЭ планирует провести сессию по Направлению деятельности </w:t>
      </w:r>
      <w:proofErr w:type="spellStart"/>
      <w:r w:rsidRPr="00EB045C">
        <w:rPr>
          <w:lang w:val="ru-RU"/>
        </w:rPr>
        <w:t>C5</w:t>
      </w:r>
      <w:proofErr w:type="spellEnd"/>
      <w:r w:rsidRPr="00EB045C">
        <w:rPr>
          <w:lang w:val="ru-RU"/>
        </w:rPr>
        <w:t xml:space="preserve"> на </w:t>
      </w:r>
      <w:hyperlink r:id="rId51" w:history="1">
        <w:r w:rsidRPr="00EB045C">
          <w:rPr>
            <w:rStyle w:val="Hyperlink"/>
            <w:lang w:val="ru-RU"/>
          </w:rPr>
          <w:t xml:space="preserve">Форуме </w:t>
        </w:r>
        <w:proofErr w:type="spellStart"/>
        <w:r w:rsidRPr="00EB045C">
          <w:rPr>
            <w:rStyle w:val="Hyperlink"/>
            <w:lang w:val="ru-RU"/>
          </w:rPr>
          <w:t>ВВУИО</w:t>
        </w:r>
        <w:proofErr w:type="spellEnd"/>
        <w:r w:rsidRPr="00EB045C">
          <w:rPr>
            <w:rStyle w:val="Hyperlink"/>
            <w:lang w:val="ru-RU"/>
          </w:rPr>
          <w:t xml:space="preserve"> 2025 года</w:t>
        </w:r>
      </w:hyperlink>
      <w:r w:rsidRPr="00EB045C">
        <w:rPr>
          <w:lang w:val="ru-RU"/>
        </w:rPr>
        <w:t xml:space="preserve">. </w:t>
      </w:r>
    </w:p>
    <w:p w14:paraId="574802F7" w14:textId="6FCCE606" w:rsidR="00165439" w:rsidRPr="00EB045C" w:rsidRDefault="00165439" w:rsidP="00007917">
      <w:pPr>
        <w:jc w:val="both"/>
        <w:rPr>
          <w:rFonts w:asciiTheme="minorHAnsi" w:eastAsia="SimSun" w:hAnsiTheme="minorHAnsi" w:cstheme="minorBidi"/>
          <w:lang w:val="ru-RU"/>
        </w:rPr>
      </w:pPr>
      <w:r w:rsidRPr="00EB045C">
        <w:rPr>
          <w:lang w:val="ru-RU"/>
        </w:rPr>
        <w:t>5.4</w:t>
      </w:r>
      <w:r w:rsidRPr="00EB045C">
        <w:rPr>
          <w:lang w:val="ru-RU"/>
        </w:rPr>
        <w:tab/>
        <w:t xml:space="preserve">МСЭ продолжает взаимодействие с </w:t>
      </w:r>
      <w:hyperlink r:id="rId52" w:history="1">
        <w:r w:rsidRPr="00EB045C">
          <w:rPr>
            <w:rStyle w:val="Hyperlink"/>
            <w:lang w:val="ru-RU"/>
          </w:rPr>
          <w:t>заинтересованными сторонами в рамках Рабочей группы открытого состава (РГОС) по вопросам безопасности и использования ИКТ</w:t>
        </w:r>
      </w:hyperlink>
      <w:r w:rsidRPr="00EB045C">
        <w:rPr>
          <w:lang w:val="ru-RU"/>
        </w:rPr>
        <w:t xml:space="preserve">, занимаясь анализом развития потенциала, выявлением текущих потребностей в кибербезопасности на основе Глобального индекса кибербезопасности и демонстрацией результатов инициативы </w:t>
      </w:r>
      <w:r>
        <w:rPr>
          <w:lang w:val="ru-RU"/>
        </w:rPr>
        <w:t>"Ее киберследы"</w:t>
      </w:r>
      <w:r w:rsidRPr="00EB045C">
        <w:rPr>
          <w:lang w:val="ru-RU"/>
        </w:rPr>
        <w:t xml:space="preserve">. </w:t>
      </w:r>
    </w:p>
    <w:p w14:paraId="00A695A0" w14:textId="507C411F" w:rsidR="00165439" w:rsidRPr="00EB045C" w:rsidRDefault="00165439" w:rsidP="00007917">
      <w:pPr>
        <w:jc w:val="both"/>
        <w:rPr>
          <w:rFonts w:asciiTheme="minorHAnsi" w:eastAsia="SimSun" w:hAnsiTheme="minorHAnsi" w:cstheme="minorBidi"/>
          <w:szCs w:val="24"/>
          <w:lang w:val="ru-RU"/>
        </w:rPr>
      </w:pPr>
      <w:r w:rsidRPr="00EB045C">
        <w:rPr>
          <w:lang w:val="ru-RU"/>
        </w:rPr>
        <w:t>5.5</w:t>
      </w:r>
      <w:r w:rsidRPr="00EB045C">
        <w:rPr>
          <w:lang w:val="ru-RU"/>
        </w:rPr>
        <w:tab/>
        <w:t>В ноябре 2024 года МСЭ в партнерстве с Международным комитетом по охране кабелей (</w:t>
      </w:r>
      <w:proofErr w:type="spellStart"/>
      <w:r w:rsidRPr="00EB045C">
        <w:rPr>
          <w:lang w:val="ru-RU"/>
        </w:rPr>
        <w:t>МКОК</w:t>
      </w:r>
      <w:proofErr w:type="spellEnd"/>
      <w:r w:rsidRPr="00EB045C">
        <w:rPr>
          <w:lang w:val="ru-RU"/>
        </w:rPr>
        <w:t xml:space="preserve">) также создал </w:t>
      </w:r>
      <w:hyperlink r:id="rId53" w:history="1">
        <w:r w:rsidRPr="00EB045C">
          <w:rPr>
            <w:rStyle w:val="Hyperlink"/>
            <w:lang w:val="ru-RU"/>
          </w:rPr>
          <w:t>Международный консультативный орган по устойчивости подводных кабелей</w:t>
        </w:r>
      </w:hyperlink>
      <w:r w:rsidRPr="00EB045C">
        <w:rPr>
          <w:lang w:val="ru-RU"/>
        </w:rPr>
        <w:t xml:space="preserve">, в состав которого входят 40 руководителей и экспертов из государственного и частного секторов, с целью содействия диалогу и сотрудничеству в области возможных путей и средств повышения устойчивости этого крайне важного типа инфраструктуры, обеспечивающего связь по всему миру и делающего цифровую экономику возможной. Первое очное собрание комитета состоялось во время </w:t>
      </w:r>
      <w:hyperlink r:id="rId54" w:history="1">
        <w:r w:rsidRPr="00EB045C">
          <w:rPr>
            <w:rStyle w:val="Hyperlink"/>
            <w:lang w:val="ru-RU"/>
          </w:rPr>
          <w:t>Международного саммита по устойчивости подводных кабелей 2025 года (Абуджа, Нигерия, 26–27 февраля 2025 г.)</w:t>
        </w:r>
      </w:hyperlink>
      <w:r w:rsidRPr="00EB045C">
        <w:rPr>
          <w:lang w:val="ru-RU"/>
        </w:rPr>
        <w:t>, на котором представители правительств, ведущих компаний отрасли и международных организаций собрались для решения важнейших проблем в области работы подводных кабелей.</w:t>
      </w:r>
    </w:p>
    <w:p w14:paraId="11C6D114" w14:textId="77777777" w:rsidR="00165439" w:rsidRPr="00EB045C" w:rsidRDefault="00165439" w:rsidP="00007917">
      <w:pPr>
        <w:pStyle w:val="Heading1"/>
        <w:rPr>
          <w:rFonts w:eastAsia="SimSun"/>
        </w:rPr>
      </w:pPr>
      <w:r w:rsidRPr="00EB045C">
        <w:t>6</w:t>
      </w:r>
      <w:r w:rsidRPr="00EB045C">
        <w:tab/>
        <w:t>Защита ребенка в онлайновой среде (COP)</w:t>
      </w:r>
    </w:p>
    <w:p w14:paraId="134F975B" w14:textId="77777777" w:rsidR="00165439" w:rsidRPr="00EB045C" w:rsidRDefault="00165439" w:rsidP="00007917">
      <w:pPr>
        <w:jc w:val="both"/>
        <w:rPr>
          <w:rFonts w:asciiTheme="minorHAnsi" w:eastAsia="SimSun" w:hAnsiTheme="minorHAnsi" w:cstheme="minorBidi"/>
          <w:lang w:val="ru-RU"/>
        </w:rPr>
      </w:pPr>
      <w:r w:rsidRPr="00EB045C">
        <w:rPr>
          <w:lang w:val="ru-RU"/>
        </w:rPr>
        <w:t>6.1</w:t>
      </w:r>
      <w:r w:rsidRPr="00EB045C">
        <w:rPr>
          <w:lang w:val="ru-RU"/>
        </w:rPr>
        <w:tab/>
        <w:t xml:space="preserve">По состоянию на апрель 2025 года МСЭ оказал поддержку в разработке национальных базовых принципов COP или связанных с ними оценок 13 странам: Албании, Армении, Багамским Островам, Бутану, Боливии, Эквадору, Казахстану, Малави, Монголии, Пакистану, </w:t>
      </w:r>
      <w:r w:rsidRPr="00EB045C">
        <w:rPr>
          <w:lang w:val="ru-RU"/>
        </w:rPr>
        <w:lastRenderedPageBreak/>
        <w:t xml:space="preserve">Перу, Суринаму и Таиланду. Продолжается оказание поддержки в области политики Андорре, Эсватини и Ливану. Эти базовые принципы носят нормативно-правовой характер и согласуются с международными стандартами и национальными приоритетами в области защиты ребенка. </w:t>
      </w:r>
    </w:p>
    <w:p w14:paraId="6F6E27AE" w14:textId="77777777" w:rsidR="00165439" w:rsidRPr="00EB045C" w:rsidRDefault="00165439" w:rsidP="00007917">
      <w:pPr>
        <w:jc w:val="both"/>
        <w:rPr>
          <w:rFonts w:asciiTheme="minorHAnsi" w:eastAsia="SimSun" w:hAnsiTheme="minorHAnsi" w:cstheme="minorBidi"/>
          <w:lang w:val="ru-RU"/>
        </w:rPr>
      </w:pPr>
      <w:r w:rsidRPr="00EB045C">
        <w:rPr>
          <w:lang w:val="ru-RU"/>
        </w:rPr>
        <w:t>6.2</w:t>
      </w:r>
      <w:r w:rsidRPr="00EB045C">
        <w:rPr>
          <w:lang w:val="ru-RU"/>
        </w:rPr>
        <w:tab/>
        <w:t xml:space="preserve">Центральное место в работе МСЭ в области COP занимают практические инструменты и цифровые образовательные ресурсы. В 2024–2025 годах в целях поддержки национальной интеграции принципов защиты ребенка 26 стран перевели Руководящие указания МСЭ по СОР на местные языки, в том числе недавно – на кечуа (Эквадор), аймара (Боливия), голландский (Суринам) и мальтийский языки. </w:t>
      </w:r>
    </w:p>
    <w:p w14:paraId="6FF52772" w14:textId="15FFCD6E" w:rsidR="00165439" w:rsidRPr="000E1FB5" w:rsidRDefault="00165439" w:rsidP="00007917">
      <w:pPr>
        <w:jc w:val="both"/>
        <w:rPr>
          <w:rFonts w:asciiTheme="minorHAnsi" w:eastAsia="SimSun" w:hAnsiTheme="minorHAnsi" w:cstheme="minorBidi"/>
          <w:lang w:val="ru-RU"/>
        </w:rPr>
      </w:pPr>
      <w:r w:rsidRPr="00EB045C">
        <w:rPr>
          <w:lang w:val="ru-RU"/>
        </w:rPr>
        <w:t>6.3</w:t>
      </w:r>
      <w:r w:rsidRPr="00EB045C">
        <w:rPr>
          <w:lang w:val="ru-RU"/>
        </w:rPr>
        <w:tab/>
        <w:t>Разработано десять онлайновых курсов для самостоятельного изучения, которые доступны через платформу Академии МСЭ, в том числе в 2024 году благодаря партнерству с ЮНИСЕФ появился специализированный курс для работников отрасли ИКТ. Одновременно в День безопасного интернета в 2025 году были выпущены онлайновые курсы для детей трех возрастных групп, разработанные при участии детей и доступные на всех шести официальных языках ООН.</w:t>
      </w:r>
    </w:p>
    <w:p w14:paraId="2AF731EF" w14:textId="77777777" w:rsidR="00165439" w:rsidRPr="00EB045C" w:rsidRDefault="00165439" w:rsidP="00007917">
      <w:pPr>
        <w:jc w:val="both"/>
        <w:rPr>
          <w:rFonts w:asciiTheme="minorHAnsi" w:eastAsia="SimSun" w:hAnsiTheme="minorHAnsi" w:cstheme="minorBidi"/>
          <w:lang w:val="ru-RU"/>
        </w:rPr>
      </w:pPr>
      <w:r w:rsidRPr="00EB045C">
        <w:rPr>
          <w:lang w:val="ru-RU"/>
        </w:rPr>
        <w:t>6.4</w:t>
      </w:r>
      <w:r w:rsidRPr="00EB045C">
        <w:rPr>
          <w:lang w:val="ru-RU"/>
        </w:rPr>
        <w:tab/>
        <w:t xml:space="preserve">В 2025 году в целях поддержки национальных кампаний по повышению осведомленности были разработаны и распространены (например, в Марокко) дополнительные материалы по повышению осведомленности, в том числе брошюры и обучающие видеоролики. В феврале 2024 года МСЭ также участвовал в кампании по распространению Руководящих указаний по СОР в Сербии. В ходе кампании были проведены мероприятия по распространению информации и презентация недавно переведенных на национальный язык материалов. Кампания прошла плодотворно и охватила 957 детей, а также 60 учителей, педагогов и психологов. </w:t>
      </w:r>
    </w:p>
    <w:p w14:paraId="6843587E" w14:textId="764A9DAF" w:rsidR="00165439" w:rsidRPr="00EB045C" w:rsidRDefault="00165439" w:rsidP="00007917">
      <w:pPr>
        <w:jc w:val="both"/>
        <w:rPr>
          <w:rFonts w:asciiTheme="minorHAnsi" w:eastAsia="SimSun" w:hAnsiTheme="minorHAnsi" w:cstheme="minorBidi"/>
          <w:lang w:val="ru-RU"/>
        </w:rPr>
      </w:pPr>
      <w:r w:rsidRPr="00EB045C">
        <w:rPr>
          <w:lang w:val="ru-RU"/>
        </w:rPr>
        <w:t>6.5</w:t>
      </w:r>
      <w:r w:rsidRPr="00EB045C">
        <w:rPr>
          <w:lang w:val="ru-RU"/>
        </w:rPr>
        <w:tab/>
        <w:t>В общей сложности около 170 000 детей приняли участие в образовательных мероприятиях и мероприятиях по расширению прав и возможностей, посвященных вопросам безопасности в онлайновой среде, а 2500 родителей и педагогов и 1000 заинтересованных</w:t>
      </w:r>
      <w:r>
        <w:rPr>
          <w:lang w:val="ru-RU"/>
        </w:rPr>
        <w:t xml:space="preserve"> лиц из </w:t>
      </w:r>
      <w:r w:rsidRPr="00EB045C">
        <w:rPr>
          <w:lang w:val="ru-RU"/>
        </w:rPr>
        <w:t xml:space="preserve">государственных </w:t>
      </w:r>
      <w:r>
        <w:rPr>
          <w:lang w:val="ru-RU"/>
        </w:rPr>
        <w:t xml:space="preserve">органов прошли </w:t>
      </w:r>
      <w:r w:rsidRPr="00EB045C">
        <w:rPr>
          <w:lang w:val="ru-RU"/>
        </w:rPr>
        <w:t>обучение в рамках семинаров-практикумов, сессий подготовки инструкторов (ToT) и программ электронного обучения. Эти меры по созданию потенциала были реализованы во всех регионах МСЭ, а программы ToT были проведены в таких странах, как Багамские Острова, Коста-Рика, Эквадор, Кыргызстан, Мальдивские Острова, Малави, Мальта, Микронезия, Марокко и Суринам. Дополнительные усилия на страновом уровне еще более расширили охват деятельности по созданию потенциала в области COP. В</w:t>
      </w:r>
      <w:r w:rsidR="000E1FB5">
        <w:rPr>
          <w:lang w:val="ru-RU"/>
        </w:rPr>
        <w:t> </w:t>
      </w:r>
      <w:r w:rsidRPr="00EB045C">
        <w:rPr>
          <w:lang w:val="ru-RU"/>
        </w:rPr>
        <w:t>Эквадоре в сотрудничестве с фондом Scort был проведен учебный вебинар для молодых спортивных тренеров с целью повышения осведомленности о COP в контексте спорта. Кроме того, в Эквадоре были проведены учебные занятия для директивных органов, компаний отрасли ИКТ и представителей гражданского общества.</w:t>
      </w:r>
    </w:p>
    <w:p w14:paraId="7AA6BC3A" w14:textId="238B65A0" w:rsidR="00165439" w:rsidRPr="00EB045C" w:rsidRDefault="00165439" w:rsidP="00007917">
      <w:pPr>
        <w:jc w:val="both"/>
        <w:rPr>
          <w:rFonts w:asciiTheme="minorHAnsi" w:hAnsiTheme="minorHAnsi" w:cstheme="minorBidi"/>
          <w:lang w:val="ru-RU"/>
        </w:rPr>
      </w:pPr>
      <w:r w:rsidRPr="00EB045C">
        <w:rPr>
          <w:lang w:val="ru-RU"/>
        </w:rPr>
        <w:t>6.6</w:t>
      </w:r>
      <w:r w:rsidRPr="00EB045C">
        <w:rPr>
          <w:lang w:val="ru-RU"/>
        </w:rPr>
        <w:tab/>
        <w:t>Инициатива "Защита через онлайновое участие" (PoP), возглавляемая совместно МСЭ и Специальным представителем Генерального секретаря ООН по вопросу о насилии в отношении детей, объединяет более 30 партнеров – учреждения системы ООН, технологические платформы, организации гражданского общества и академические организации. В рамках этой инициативы ведется разработка руководящих указаний для директивных органов, служб помощи детям и технологических платформ, а их публикация запланирована на 2025 год. Одновременно МСЭ завершает работу над межведомственным совместным заявлением по искусственному интеллекту и защите ребенка в онлайновой среде в рамках сотрудничества с Комитетом по правам ребенка, ЮНИСЕФ и более чем десятью учреждениями-подписантами; заявление, как ожидается, будет принято Комитетом в 2025</w:t>
      </w:r>
      <w:r>
        <w:rPr>
          <w:lang w:val="en-US"/>
        </w:rPr>
        <w:t> </w:t>
      </w:r>
      <w:r w:rsidRPr="00EB045C">
        <w:rPr>
          <w:lang w:val="ru-RU"/>
        </w:rPr>
        <w:t>году.</w:t>
      </w:r>
    </w:p>
    <w:p w14:paraId="698FF0D5" w14:textId="77777777" w:rsidR="00165439" w:rsidRPr="00EB045C" w:rsidRDefault="00165439" w:rsidP="00007917">
      <w:pPr>
        <w:jc w:val="both"/>
        <w:rPr>
          <w:lang w:val="ru-RU"/>
        </w:rPr>
      </w:pPr>
      <w:r w:rsidRPr="00EB045C">
        <w:rPr>
          <w:lang w:val="ru-RU"/>
        </w:rPr>
        <w:t>6.7</w:t>
      </w:r>
      <w:r w:rsidRPr="00EB045C">
        <w:rPr>
          <w:lang w:val="ru-RU"/>
        </w:rPr>
        <w:tab/>
        <w:t xml:space="preserve">Что касается исследований и инноваций, то результаты, полученные в </w:t>
      </w:r>
      <w:r>
        <w:rPr>
          <w:lang w:val="ru-RU"/>
        </w:rPr>
        <w:t>рамках</w:t>
      </w:r>
      <w:r w:rsidRPr="00EB045C">
        <w:rPr>
          <w:lang w:val="ru-RU"/>
        </w:rPr>
        <w:t xml:space="preserve"> инициативы PoP, включая взаимодействие с телефонными службами помощи детям, цифровыми платформами и поставщиками услуг, а также с детьми и молодежью, выявили двойственную природу цифровых сред – это пространство, в котором находятся источники </w:t>
      </w:r>
      <w:r w:rsidRPr="00EB045C">
        <w:rPr>
          <w:lang w:val="ru-RU"/>
        </w:rPr>
        <w:lastRenderedPageBreak/>
        <w:t xml:space="preserve">возможного вреда, и это критически важные каналы доступа к службам поддержки. Эти выводы определяют </w:t>
      </w:r>
      <w:r>
        <w:rPr>
          <w:lang w:val="ru-RU"/>
        </w:rPr>
        <w:t>переход к использованию</w:t>
      </w:r>
      <w:r w:rsidRPr="00EB045C">
        <w:rPr>
          <w:lang w:val="ru-RU"/>
        </w:rPr>
        <w:t xml:space="preserve"> подхода, ориентированного на расширение прав и возможностей и превентивные меры для защиты ребенка в онлайновой среде. Помимо этого, в конце 2024 года МСЭ совместно со Всемирной организацией здравоохранения (ВОЗ) начал глобальную совместную исследовательскую работу по созданию Глобальной сети образования и ресурсов по предотвращению инцидентов в сфере безопасности в онлайновой среде. Признавая важность участия детей, в течение 2024 и 2025 годов МСЭ содействовал созданию детских целевых групп в Индонезии, Малави и Ливане, что позволило детям внести непосредственный вклад в разработку национальных стратегий COP.</w:t>
      </w:r>
    </w:p>
    <w:p w14:paraId="7EDAA3D8" w14:textId="77777777" w:rsidR="00796BD3" w:rsidRPr="00796BD3" w:rsidRDefault="00C462C5" w:rsidP="00165439">
      <w:pPr>
        <w:spacing w:before="720"/>
        <w:jc w:val="center"/>
      </w:pPr>
      <w:r>
        <w:t>______________</w:t>
      </w:r>
    </w:p>
    <w:sectPr w:rsidR="00796BD3" w:rsidRPr="00796BD3" w:rsidSect="00796BD3">
      <w:footerReference w:type="default" r:id="rId55"/>
      <w:headerReference w:type="first" r:id="rId56"/>
      <w:footerReference w:type="first" r:id="rId5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DE14E" w14:textId="77777777" w:rsidR="00471F91" w:rsidRDefault="00471F91">
      <w:r>
        <w:separator/>
      </w:r>
    </w:p>
  </w:endnote>
  <w:endnote w:type="continuationSeparator" w:id="0">
    <w:p w14:paraId="2C46A5AF" w14:textId="77777777" w:rsidR="00471F91" w:rsidRDefault="0047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3B04D35" w14:textId="77777777" w:rsidTr="00E31DCE">
      <w:trPr>
        <w:jc w:val="center"/>
      </w:trPr>
      <w:tc>
        <w:tcPr>
          <w:tcW w:w="1803" w:type="dxa"/>
          <w:vAlign w:val="center"/>
        </w:tcPr>
        <w:p w14:paraId="18B29818" w14:textId="54E8CB5B" w:rsidR="00672F8A" w:rsidRPr="00471F91" w:rsidRDefault="00672F8A" w:rsidP="00672F8A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8261" w:type="dxa"/>
        </w:tcPr>
        <w:p w14:paraId="1681914F" w14:textId="5B43641A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471F91">
            <w:rPr>
              <w:bCs/>
              <w:lang w:val="ru-RU"/>
            </w:rPr>
            <w:t>18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D8EA500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F65DDBF" w14:textId="77777777" w:rsidTr="00E31DCE">
      <w:trPr>
        <w:jc w:val="center"/>
      </w:trPr>
      <w:tc>
        <w:tcPr>
          <w:tcW w:w="1803" w:type="dxa"/>
          <w:vAlign w:val="center"/>
        </w:tcPr>
        <w:p w14:paraId="0E0CA87E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16A8A8F1" w14:textId="2524F33B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471F91">
            <w:rPr>
              <w:bCs/>
              <w:lang w:val="ru-RU"/>
            </w:rPr>
            <w:t>18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1F8CB11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8B0D2" w14:textId="77777777" w:rsidR="00471F91" w:rsidRDefault="00471F91">
      <w:r>
        <w:t>____________________</w:t>
      </w:r>
    </w:p>
  </w:footnote>
  <w:footnote w:type="continuationSeparator" w:id="0">
    <w:p w14:paraId="745132DA" w14:textId="77777777" w:rsidR="00471F91" w:rsidRDefault="00471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430AEC3C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73749317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6AC14EA8" wp14:editId="14F37B98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5A3BCBEB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151588ED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D933A9" wp14:editId="369FB223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0DE9D3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91"/>
    <w:rsid w:val="00005BE0"/>
    <w:rsid w:val="00007917"/>
    <w:rsid w:val="0002183E"/>
    <w:rsid w:val="000569B4"/>
    <w:rsid w:val="0006007D"/>
    <w:rsid w:val="00080E82"/>
    <w:rsid w:val="0009399D"/>
    <w:rsid w:val="000B2DE7"/>
    <w:rsid w:val="000E1FB5"/>
    <w:rsid w:val="000E568E"/>
    <w:rsid w:val="0014229E"/>
    <w:rsid w:val="0014734F"/>
    <w:rsid w:val="00156890"/>
    <w:rsid w:val="0015710D"/>
    <w:rsid w:val="00163A32"/>
    <w:rsid w:val="00165439"/>
    <w:rsid w:val="00165D06"/>
    <w:rsid w:val="00192B41"/>
    <w:rsid w:val="001B7B09"/>
    <w:rsid w:val="001E300C"/>
    <w:rsid w:val="001E6719"/>
    <w:rsid w:val="001E7F50"/>
    <w:rsid w:val="00225368"/>
    <w:rsid w:val="00227FF0"/>
    <w:rsid w:val="002470A1"/>
    <w:rsid w:val="00291EB6"/>
    <w:rsid w:val="002C3F32"/>
    <w:rsid w:val="002D2F57"/>
    <w:rsid w:val="002D48C5"/>
    <w:rsid w:val="0033025A"/>
    <w:rsid w:val="00345D2A"/>
    <w:rsid w:val="0036520E"/>
    <w:rsid w:val="003A700B"/>
    <w:rsid w:val="003F099E"/>
    <w:rsid w:val="003F235E"/>
    <w:rsid w:val="00401FD7"/>
    <w:rsid w:val="004023E0"/>
    <w:rsid w:val="00403DD8"/>
    <w:rsid w:val="00442515"/>
    <w:rsid w:val="0045686C"/>
    <w:rsid w:val="00471F91"/>
    <w:rsid w:val="004918C4"/>
    <w:rsid w:val="00497703"/>
    <w:rsid w:val="004A0374"/>
    <w:rsid w:val="004A45B5"/>
    <w:rsid w:val="004D0129"/>
    <w:rsid w:val="00515795"/>
    <w:rsid w:val="00572CC6"/>
    <w:rsid w:val="005A64D5"/>
    <w:rsid w:val="005B3DEC"/>
    <w:rsid w:val="00601994"/>
    <w:rsid w:val="00624EA7"/>
    <w:rsid w:val="00634B49"/>
    <w:rsid w:val="00660449"/>
    <w:rsid w:val="00672F8A"/>
    <w:rsid w:val="006A4D1B"/>
    <w:rsid w:val="006E2D42"/>
    <w:rsid w:val="00703676"/>
    <w:rsid w:val="00707304"/>
    <w:rsid w:val="00732269"/>
    <w:rsid w:val="00762555"/>
    <w:rsid w:val="0077110E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62E63"/>
    <w:rsid w:val="008B62B4"/>
    <w:rsid w:val="008D2D7B"/>
    <w:rsid w:val="008E0737"/>
    <w:rsid w:val="008F7C2C"/>
    <w:rsid w:val="00940E96"/>
    <w:rsid w:val="00950A82"/>
    <w:rsid w:val="009B0BAE"/>
    <w:rsid w:val="009C1C89"/>
    <w:rsid w:val="009F3448"/>
    <w:rsid w:val="00A01CF9"/>
    <w:rsid w:val="00A20B63"/>
    <w:rsid w:val="00A71773"/>
    <w:rsid w:val="00AE2C85"/>
    <w:rsid w:val="00B0107F"/>
    <w:rsid w:val="00B12A37"/>
    <w:rsid w:val="00B41837"/>
    <w:rsid w:val="00B63EF2"/>
    <w:rsid w:val="00BA7D89"/>
    <w:rsid w:val="00BC0D39"/>
    <w:rsid w:val="00BC7BC0"/>
    <w:rsid w:val="00BD57B7"/>
    <w:rsid w:val="00BE63E2"/>
    <w:rsid w:val="00C462C5"/>
    <w:rsid w:val="00C8733A"/>
    <w:rsid w:val="00CD2009"/>
    <w:rsid w:val="00CF629C"/>
    <w:rsid w:val="00D434B5"/>
    <w:rsid w:val="00D631AA"/>
    <w:rsid w:val="00D90D90"/>
    <w:rsid w:val="00D92EEA"/>
    <w:rsid w:val="00DA5D4E"/>
    <w:rsid w:val="00DA770A"/>
    <w:rsid w:val="00E05752"/>
    <w:rsid w:val="00E176BA"/>
    <w:rsid w:val="00E423EC"/>
    <w:rsid w:val="00E55121"/>
    <w:rsid w:val="00EB4FCB"/>
    <w:rsid w:val="00EC6BC5"/>
    <w:rsid w:val="00F348D0"/>
    <w:rsid w:val="00F35898"/>
    <w:rsid w:val="00F5225B"/>
    <w:rsid w:val="00F61A1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659C70C"/>
  <w15:docId w15:val="{01D6419C-9216-4244-844D-63E69293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07917"/>
    <w:pPr>
      <w:keepNext/>
      <w:keepLines/>
      <w:spacing w:before="360"/>
      <w:ind w:left="794" w:hanging="794"/>
      <w:outlineLvl w:val="0"/>
    </w:pPr>
    <w:rPr>
      <w:b/>
      <w:bCs/>
      <w:sz w:val="26"/>
      <w:lang w:val="ru-RU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007917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471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pub/S-CONF-WCIT-2012/en" TargetMode="External"/><Relationship Id="rId18" Type="http://schemas.openxmlformats.org/officeDocument/2006/relationships/hyperlink" Target="https://www.itu.int/pub/T-RES-T.75-2022" TargetMode="External"/><Relationship Id="rId26" Type="http://schemas.openxmlformats.org/officeDocument/2006/relationships/hyperlink" Target="https://www.itu.int/md/S21-CL-C-0018/en" TargetMode="External"/><Relationship Id="rId39" Type="http://schemas.openxmlformats.org/officeDocument/2006/relationships/hyperlink" Target="https://ncsguide.org/" TargetMode="External"/><Relationship Id="rId21" Type="http://schemas.openxmlformats.org/officeDocument/2006/relationships/hyperlink" Target="https://www.itu.int/md/S16-CL-C-0018/en" TargetMode="External"/><Relationship Id="rId34" Type="http://schemas.openxmlformats.org/officeDocument/2006/relationships/hyperlink" Target="https://www.itu.int/pub/R-REC" TargetMode="External"/><Relationship Id="rId42" Type="http://schemas.openxmlformats.org/officeDocument/2006/relationships/hyperlink" Target="https://www.itu.int/en/ITU-D/Cybersecurity/Pages/global-cybersecurity-index.aspx" TargetMode="External"/><Relationship Id="rId47" Type="http://schemas.openxmlformats.org/officeDocument/2006/relationships/hyperlink" Target="https://www.itu.int/md/S23-CL-C-0124/en" TargetMode="External"/><Relationship Id="rId50" Type="http://schemas.openxmlformats.org/officeDocument/2006/relationships/hyperlink" Target="https://www.itu.int/net4/wsis/forum/2024/en" TargetMode="External"/><Relationship Id="rId55" Type="http://schemas.openxmlformats.org/officeDocument/2006/relationships/footer" Target="footer1.xml"/><Relationship Id="rId7" Type="http://schemas.openxmlformats.org/officeDocument/2006/relationships/hyperlink" Target="https://www.itu.int/en/council/Documents/basic-texts-2023/RES-071-R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pub/T-RES-T.50-2022" TargetMode="External"/><Relationship Id="rId29" Type="http://schemas.openxmlformats.org/officeDocument/2006/relationships/hyperlink" Target="https://www.itu.int/md/S24-CL-C-0018/en" TargetMode="External"/><Relationship Id="rId11" Type="http://schemas.openxmlformats.org/officeDocument/2006/relationships/hyperlink" Target="https://www.itu.int/en/council/Documents/basic-texts-2023/RES-174-R.pdf" TargetMode="External"/><Relationship Id="rId24" Type="http://schemas.openxmlformats.org/officeDocument/2006/relationships/hyperlink" Target="https://www.itu.int/md/S19-CL-C-0018/en" TargetMode="External"/><Relationship Id="rId32" Type="http://schemas.openxmlformats.org/officeDocument/2006/relationships/hyperlink" Target="https://www.itu.int/en/ITU-T/publications/Pages/recs.aspx" TargetMode="External"/><Relationship Id="rId37" Type="http://schemas.openxmlformats.org/officeDocument/2006/relationships/hyperlink" Target="https://www.itu.int/en/ITU-D/Cybersecurity/Pages/cyberdrills.aspx" TargetMode="External"/><Relationship Id="rId40" Type="http://schemas.openxmlformats.org/officeDocument/2006/relationships/hyperlink" Target="https://academy.itu.int/training-courses/full-catalogue?search_api_fulltext=&amp;field_taxon_registration=All&amp;field_course_fee=All&amp;field_taxon_region=All&amp;field_taxon_type=All&amp;field_taxon_topics=109&amp;field_taxon_languages=All&amp;date_start=&amp;date_end=&amp;items_per_page=10" TargetMode="External"/><Relationship Id="rId45" Type="http://schemas.openxmlformats.org/officeDocument/2006/relationships/hyperlink" Target="https://www.itu.int/hub/publication/d-phcb-cyb_educ-2024/" TargetMode="External"/><Relationship Id="rId53" Type="http://schemas.openxmlformats.org/officeDocument/2006/relationships/hyperlink" Target="https://www.itu.int/digital-resilience/submarine-cables/advisory-body/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www.itu.int/pub/T-RES-T.58-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-2023/RES-140-R.pdf" TargetMode="External"/><Relationship Id="rId14" Type="http://schemas.openxmlformats.org/officeDocument/2006/relationships/hyperlink" Target="https://www.itu.int/md/S15-CL-C-0109/en" TargetMode="External"/><Relationship Id="rId22" Type="http://schemas.openxmlformats.org/officeDocument/2006/relationships/hyperlink" Target="https://www.itu.int/md/S17-CL-C-0018/en" TargetMode="External"/><Relationship Id="rId27" Type="http://schemas.openxmlformats.org/officeDocument/2006/relationships/hyperlink" Target="https://www.itu.int/md/S22-CL-C-0018/en" TargetMode="External"/><Relationship Id="rId30" Type="http://schemas.openxmlformats.org/officeDocument/2006/relationships/hyperlink" Target="http://www.itu.int/en/ITU-D/Cybersecurity/Pages/Legal-Measures.aspx" TargetMode="External"/><Relationship Id="rId35" Type="http://schemas.openxmlformats.org/officeDocument/2006/relationships/hyperlink" Target="https://www.itu.int/en/ITU-R/study-groups/rsg5/rwp5d/imt-2020/Pages/default.aspx" TargetMode="External"/><Relationship Id="rId43" Type="http://schemas.openxmlformats.org/officeDocument/2006/relationships/hyperlink" Target="https://www.itu.int/en/ITU-D/Cybersecurity/Pages/Women-in-Cyber/HerCyberTracks/Her-CyberTracks.aspx" TargetMode="External"/><Relationship Id="rId48" Type="http://schemas.openxmlformats.org/officeDocument/2006/relationships/hyperlink" Target="https://www.itu.int/en/ITU-D/Cybersecurity/Pages/Council/CD630/Global-Cybersecurity-Knowledgebase.aspx" TargetMode="External"/><Relationship Id="rId56" Type="http://schemas.openxmlformats.org/officeDocument/2006/relationships/header" Target="header1.xml"/><Relationship Id="rId8" Type="http://schemas.openxmlformats.org/officeDocument/2006/relationships/hyperlink" Target="https://www.itu.int/en/council/Documents/basic-texts-2023/RES-130-R.pdf" TargetMode="External"/><Relationship Id="rId51" Type="http://schemas.openxmlformats.org/officeDocument/2006/relationships/hyperlink" Target="https://www.itu.int/net4/wsis/forum/2025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en/council/Documents/basic-texts-2023/RES-181-R.pdf" TargetMode="External"/><Relationship Id="rId17" Type="http://schemas.openxmlformats.org/officeDocument/2006/relationships/hyperlink" Target="https://www.itu.int/pub/T-RES-T.52-2022" TargetMode="External"/><Relationship Id="rId25" Type="http://schemas.openxmlformats.org/officeDocument/2006/relationships/hyperlink" Target="https://www.itu.int/md/S20-CL-C-0018/en" TargetMode="External"/><Relationship Id="rId33" Type="http://schemas.openxmlformats.org/officeDocument/2006/relationships/hyperlink" Target="https://itu.int/go/SIG-SECURITY" TargetMode="External"/><Relationship Id="rId38" Type="http://schemas.openxmlformats.org/officeDocument/2006/relationships/hyperlink" Target="http://www.itu.int/net4/ITU-D/CDS/sg/rgqlist.asp?lg=1&amp;sp=2014&amp;rgq=D14-SG02-RGQ03.2&amp;stg=2" TargetMode="External"/><Relationship Id="rId46" Type="http://schemas.openxmlformats.org/officeDocument/2006/relationships/hyperlink" Target="http://www.itu.int/en/ITU-D/Cybersecurity/Pages/partnership.aspx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www.itu.int/md/S15-CL-C-0018/en" TargetMode="External"/><Relationship Id="rId41" Type="http://schemas.openxmlformats.org/officeDocument/2006/relationships/hyperlink" Target="https://www.itu.int/en/ITU-D/Cybersecurity/Pages/cybersecurity-national-strategies.aspx" TargetMode="External"/><Relationship Id="rId54" Type="http://schemas.openxmlformats.org/officeDocument/2006/relationships/hyperlink" Target="https://www.itu.int/digital-resilience/submarine-cables/events/about-nigeria-summ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dms_pub/itu-d/opb/tdc/D-TDC-WTDC-2022-PDF-R.pdf" TargetMode="External"/><Relationship Id="rId23" Type="http://schemas.openxmlformats.org/officeDocument/2006/relationships/hyperlink" Target="https://www.itu.int/md/S18-CL-C-0018/en" TargetMode="External"/><Relationship Id="rId28" Type="http://schemas.openxmlformats.org/officeDocument/2006/relationships/hyperlink" Target="https://www.itu.int/md/S23-CL-C-0038/en" TargetMode="External"/><Relationship Id="rId36" Type="http://schemas.openxmlformats.org/officeDocument/2006/relationships/hyperlink" Target="https://www.itu.int/en/ITU-D/Cybersecurity/Pages/national-CIRT.aspx" TargetMode="External"/><Relationship Id="rId49" Type="http://schemas.openxmlformats.org/officeDocument/2006/relationships/hyperlink" Target="https://www.itu.int/net4/wsis/forum/2024/Agenda/Session/170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www.itu.int/en/council/Documents/basic-texts-2023/RES-179-R.pdf" TargetMode="External"/><Relationship Id="rId31" Type="http://schemas.openxmlformats.org/officeDocument/2006/relationships/hyperlink" Target="http://www.itu.int/ITU-T/studygroups/com17/" TargetMode="External"/><Relationship Id="rId44" Type="http://schemas.openxmlformats.org/officeDocument/2006/relationships/hyperlink" Target="https://www.itu.int/en/ITU-D/Cybersecurity/Pages/Cyber4Good/Cyber4Good.aspx" TargetMode="External"/><Relationship Id="rId52" Type="http://schemas.openxmlformats.org/officeDocument/2006/relationships/hyperlink" Target="https://meetings.unoda.org/meeting/5787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0</TotalTime>
  <Pages>6</Pages>
  <Words>2174</Words>
  <Characters>18294</Characters>
  <Application>Microsoft Office Word</Application>
  <DocSecurity>0</DocSecurity>
  <Lines>295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activities on strengthening the role of ITU in building confidence and security in the use of Information and Communication Technologies</vt:lpstr>
    </vt:vector>
  </TitlesOfParts>
  <Manager>General Secretariat - Pool</Manager>
  <Company>International Telecommunication Union (ITU)</Company>
  <LinksUpToDate>false</LinksUpToDate>
  <CharactersWithSpaces>20394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activities on strengthening the role of ITU in building confidence and security in the use of Information and Communication Technologies</dc:title>
  <dc:subject>ITU Council 2025</dc:subject>
  <cp:keywords>C2024, C24, Council-24</cp:keywords>
  <dc:description/>
  <cp:lastPrinted>2006-03-28T16:12:00Z</cp:lastPrinted>
  <dcterms:created xsi:type="dcterms:W3CDTF">2025-05-23T15:06:00Z</dcterms:created>
  <dcterms:modified xsi:type="dcterms:W3CDTF">2025-05-23T15:06:00Z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