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2EDC675E" w14:textId="77777777" w:rsidTr="00AD3606">
        <w:trPr>
          <w:cantSplit/>
          <w:trHeight w:val="23"/>
        </w:trPr>
        <w:tc>
          <w:tcPr>
            <w:tcW w:w="3969" w:type="dxa"/>
            <w:vMerge w:val="restart"/>
            <w:tcMar>
              <w:left w:w="0" w:type="dxa"/>
            </w:tcMar>
          </w:tcPr>
          <w:p w14:paraId="1E7D10E5" w14:textId="451E259C"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0458D">
              <w:rPr>
                <w:b/>
              </w:rPr>
              <w:t xml:space="preserve">Agenda item: </w:t>
            </w:r>
            <w:r w:rsidR="002352E5">
              <w:rPr>
                <w:b/>
              </w:rPr>
              <w:t>PL.2</w:t>
            </w:r>
          </w:p>
        </w:tc>
        <w:tc>
          <w:tcPr>
            <w:tcW w:w="5245" w:type="dxa"/>
          </w:tcPr>
          <w:p w14:paraId="3EFDEF91" w14:textId="08141063" w:rsidR="00AD3606" w:rsidRPr="00C0458D" w:rsidRDefault="00AD3606" w:rsidP="00472BAD">
            <w:pPr>
              <w:tabs>
                <w:tab w:val="left" w:pos="851"/>
              </w:tabs>
              <w:spacing w:before="0" w:line="240" w:lineRule="atLeast"/>
              <w:jc w:val="right"/>
              <w:rPr>
                <w:b/>
              </w:rPr>
            </w:pPr>
            <w:r w:rsidRPr="00C0458D">
              <w:rPr>
                <w:b/>
              </w:rPr>
              <w:t>Document C2</w:t>
            </w:r>
            <w:r w:rsidR="00BF1FDE" w:rsidRPr="00C0458D">
              <w:rPr>
                <w:b/>
              </w:rPr>
              <w:t>5</w:t>
            </w:r>
            <w:r w:rsidRPr="00C0458D">
              <w:rPr>
                <w:b/>
              </w:rPr>
              <w:t>/</w:t>
            </w:r>
            <w:r w:rsidR="002352E5">
              <w:rPr>
                <w:b/>
              </w:rPr>
              <w:t>18</w:t>
            </w:r>
            <w:r w:rsidRPr="00C0458D">
              <w:rPr>
                <w:b/>
              </w:rPr>
              <w:t>-E</w:t>
            </w:r>
          </w:p>
        </w:tc>
      </w:tr>
      <w:tr w:rsidR="00AD3606" w:rsidRPr="00C0458D" w14:paraId="6C8DC0C5" w14:textId="77777777" w:rsidTr="00AD3606">
        <w:trPr>
          <w:cantSplit/>
        </w:trPr>
        <w:tc>
          <w:tcPr>
            <w:tcW w:w="3969" w:type="dxa"/>
            <w:vMerge/>
          </w:tcPr>
          <w:p w14:paraId="587644E2"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4C3D73BC" w14:textId="50AFE65A" w:rsidR="00AD3606" w:rsidRPr="00C0458D" w:rsidRDefault="008D1E53" w:rsidP="00AD3606">
            <w:pPr>
              <w:tabs>
                <w:tab w:val="left" w:pos="851"/>
              </w:tabs>
              <w:spacing w:before="0"/>
              <w:jc w:val="right"/>
              <w:rPr>
                <w:b/>
              </w:rPr>
            </w:pPr>
            <w:r>
              <w:rPr>
                <w:b/>
              </w:rPr>
              <w:t>16 May</w:t>
            </w:r>
            <w:r w:rsidR="002352E5">
              <w:rPr>
                <w:b/>
              </w:rPr>
              <w:t xml:space="preserve"> 2025</w:t>
            </w:r>
          </w:p>
        </w:tc>
      </w:tr>
      <w:tr w:rsidR="00AD3606" w:rsidRPr="00C0458D" w14:paraId="54E1C3B2" w14:textId="77777777" w:rsidTr="00AD3606">
        <w:trPr>
          <w:cantSplit/>
          <w:trHeight w:val="23"/>
        </w:trPr>
        <w:tc>
          <w:tcPr>
            <w:tcW w:w="3969" w:type="dxa"/>
            <w:vMerge/>
          </w:tcPr>
          <w:p w14:paraId="15293EBA"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6A583478"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25C87EB3" w14:textId="77777777" w:rsidTr="00AD3606">
        <w:trPr>
          <w:cantSplit/>
          <w:trHeight w:val="23"/>
        </w:trPr>
        <w:tc>
          <w:tcPr>
            <w:tcW w:w="3969" w:type="dxa"/>
          </w:tcPr>
          <w:p w14:paraId="741D7747" w14:textId="77777777" w:rsidR="00472BAD" w:rsidRPr="00C0458D" w:rsidRDefault="00472BAD" w:rsidP="00AD3606">
            <w:pPr>
              <w:tabs>
                <w:tab w:val="left" w:pos="851"/>
              </w:tabs>
              <w:spacing w:line="240" w:lineRule="atLeast"/>
              <w:rPr>
                <w:b/>
              </w:rPr>
            </w:pPr>
          </w:p>
        </w:tc>
        <w:tc>
          <w:tcPr>
            <w:tcW w:w="5245" w:type="dxa"/>
          </w:tcPr>
          <w:p w14:paraId="2975C30C" w14:textId="77777777" w:rsidR="00472BAD" w:rsidRPr="00C0458D" w:rsidRDefault="00472BAD" w:rsidP="00AD3606">
            <w:pPr>
              <w:tabs>
                <w:tab w:val="left" w:pos="851"/>
              </w:tabs>
              <w:spacing w:before="0" w:line="240" w:lineRule="atLeast"/>
              <w:jc w:val="right"/>
              <w:rPr>
                <w:b/>
              </w:rPr>
            </w:pPr>
          </w:p>
        </w:tc>
      </w:tr>
      <w:tr w:rsidR="00AD3606" w:rsidRPr="00C0458D" w14:paraId="0A3AC6BC" w14:textId="77777777" w:rsidTr="00AD3606">
        <w:trPr>
          <w:cantSplit/>
        </w:trPr>
        <w:tc>
          <w:tcPr>
            <w:tcW w:w="9214" w:type="dxa"/>
            <w:gridSpan w:val="2"/>
            <w:tcMar>
              <w:left w:w="0" w:type="dxa"/>
            </w:tcMar>
          </w:tcPr>
          <w:p w14:paraId="17B15C9E" w14:textId="77777777" w:rsidR="00AD3606" w:rsidRPr="00C0458D" w:rsidRDefault="00AD3606" w:rsidP="00AD3606">
            <w:pPr>
              <w:pStyle w:val="Source"/>
              <w:framePr w:hSpace="0" w:wrap="auto" w:vAnchor="margin" w:hAnchor="text" w:yAlign="inline"/>
            </w:pPr>
            <w:bookmarkStart w:id="8" w:name="dsource" w:colFirst="0" w:colLast="0"/>
            <w:bookmarkEnd w:id="7"/>
            <w:r w:rsidRPr="00C0458D">
              <w:t>Report by the Secretary-General</w:t>
            </w:r>
          </w:p>
        </w:tc>
      </w:tr>
      <w:tr w:rsidR="00AD3606" w:rsidRPr="00C0458D" w14:paraId="2FD2DDB7" w14:textId="77777777" w:rsidTr="00AD3606">
        <w:trPr>
          <w:cantSplit/>
        </w:trPr>
        <w:tc>
          <w:tcPr>
            <w:tcW w:w="9214" w:type="dxa"/>
            <w:gridSpan w:val="2"/>
            <w:tcMar>
              <w:left w:w="0" w:type="dxa"/>
            </w:tcMar>
          </w:tcPr>
          <w:p w14:paraId="0BE6C9A8" w14:textId="260A3677" w:rsidR="00AD3606" w:rsidRPr="00176F47" w:rsidRDefault="00A9704B" w:rsidP="00176F47">
            <w:pPr>
              <w:pStyle w:val="Subtitle"/>
              <w:framePr w:hSpace="0" w:wrap="auto" w:hAnchor="text" w:xAlign="left" w:yAlign="inline"/>
            </w:pPr>
            <w:bookmarkStart w:id="9" w:name="_Hlk198305186"/>
            <w:bookmarkStart w:id="10" w:name="dtitle1" w:colFirst="0" w:colLast="0"/>
            <w:bookmarkEnd w:id="8"/>
            <w:r w:rsidRPr="00A9704B">
              <w:t>ITU ACTIVITIES ON STRENGTHENING THE ROLE OF ITU IN BUILDING CONFIDENCE AND SECURITY IN THE USE OF INFORMATION AND COMMUNICATION TECHNOLOGIES</w:t>
            </w:r>
            <w:bookmarkEnd w:id="9"/>
          </w:p>
        </w:tc>
      </w:tr>
      <w:tr w:rsidR="00AD3606" w:rsidRPr="00C0458D" w14:paraId="6856D776" w14:textId="77777777" w:rsidTr="00AD3606">
        <w:trPr>
          <w:cantSplit/>
        </w:trPr>
        <w:tc>
          <w:tcPr>
            <w:tcW w:w="9214" w:type="dxa"/>
            <w:gridSpan w:val="2"/>
            <w:tcBorders>
              <w:top w:val="single" w:sz="4" w:space="0" w:color="auto"/>
              <w:bottom w:val="single" w:sz="4" w:space="0" w:color="auto"/>
            </w:tcBorders>
            <w:tcMar>
              <w:left w:w="0" w:type="dxa"/>
            </w:tcMar>
          </w:tcPr>
          <w:p w14:paraId="47908B59" w14:textId="77777777" w:rsidR="00AD3606" w:rsidRPr="00C0458D" w:rsidRDefault="00F16BAB" w:rsidP="00F16BAB">
            <w:pPr>
              <w:spacing w:before="160"/>
              <w:rPr>
                <w:b/>
                <w:bCs/>
                <w:sz w:val="26"/>
                <w:szCs w:val="26"/>
              </w:rPr>
            </w:pPr>
            <w:r w:rsidRPr="00C0458D">
              <w:rPr>
                <w:b/>
                <w:bCs/>
                <w:sz w:val="26"/>
                <w:szCs w:val="26"/>
              </w:rPr>
              <w:t>Purpose</w:t>
            </w:r>
          </w:p>
          <w:p w14:paraId="0F3EB552" w14:textId="6117991F" w:rsidR="00AD3606" w:rsidRPr="00C0458D" w:rsidRDefault="00A9704B" w:rsidP="00EC0791">
            <w:pPr>
              <w:jc w:val="both"/>
            </w:pPr>
            <w:r w:rsidRPr="002972EF">
              <w:rPr>
                <w:spacing w:val="2"/>
              </w:rPr>
              <w:t>This report summarizes ITU’s activities in 202</w:t>
            </w:r>
            <w:r>
              <w:rPr>
                <w:spacing w:val="2"/>
              </w:rPr>
              <w:t>4</w:t>
            </w:r>
            <w:r w:rsidRPr="002972EF">
              <w:rPr>
                <w:spacing w:val="2"/>
              </w:rPr>
              <w:t>-202</w:t>
            </w:r>
            <w:r>
              <w:rPr>
                <w:spacing w:val="2"/>
              </w:rPr>
              <w:t>5</w:t>
            </w:r>
            <w:r w:rsidRPr="002972EF">
              <w:rPr>
                <w:spacing w:val="2"/>
              </w:rPr>
              <w:t xml:space="preserve"> in relation to Resolution</w:t>
            </w:r>
            <w:r w:rsidR="00A51A6D">
              <w:t> </w:t>
            </w:r>
            <w:r>
              <w:t>130 (Rev. Bucharest, 2022), ITU’s role as sole facilitator for WSIS Action Line C5, and other decisions by the membership on strengthening the role of ITU in building confidence and security in the use of information and communication technologies (ICTs).</w:t>
            </w:r>
          </w:p>
          <w:p w14:paraId="73BEB20C" w14:textId="77777777" w:rsidR="00AD3606" w:rsidRDefault="00AD3606" w:rsidP="00F16BAB">
            <w:pPr>
              <w:spacing w:before="160"/>
              <w:rPr>
                <w:b/>
                <w:bCs/>
                <w:sz w:val="26"/>
                <w:szCs w:val="26"/>
              </w:rPr>
            </w:pPr>
            <w:r w:rsidRPr="00C0458D">
              <w:rPr>
                <w:b/>
                <w:bCs/>
                <w:sz w:val="26"/>
                <w:szCs w:val="26"/>
              </w:rPr>
              <w:t>Action required</w:t>
            </w:r>
            <w:r w:rsidR="00F16BAB" w:rsidRPr="00C0458D">
              <w:rPr>
                <w:b/>
                <w:bCs/>
                <w:sz w:val="26"/>
                <w:szCs w:val="26"/>
              </w:rPr>
              <w:t xml:space="preserve"> by the Council</w:t>
            </w:r>
          </w:p>
          <w:p w14:paraId="75C17D74" w14:textId="256D9982" w:rsidR="00722551" w:rsidRDefault="00A9704B" w:rsidP="00722551">
            <w:r>
              <w:t xml:space="preserve">The Council is invited to </w:t>
            </w:r>
            <w:r w:rsidRPr="526FDE02">
              <w:rPr>
                <w:b/>
                <w:bCs/>
              </w:rPr>
              <w:t>note</w:t>
            </w:r>
            <w:r>
              <w:t xml:space="preserve"> the report.</w:t>
            </w:r>
          </w:p>
          <w:p w14:paraId="1AF6B82A" w14:textId="77777777" w:rsidR="00722551" w:rsidRDefault="00722551" w:rsidP="00722551">
            <w:pPr>
              <w:spacing w:before="160"/>
              <w:rPr>
                <w:b/>
                <w:bCs/>
                <w:sz w:val="26"/>
                <w:szCs w:val="26"/>
              </w:rPr>
            </w:pPr>
            <w:r>
              <w:rPr>
                <w:b/>
                <w:bCs/>
                <w:sz w:val="26"/>
                <w:szCs w:val="26"/>
              </w:rPr>
              <w:t>Relevant link</w:t>
            </w:r>
            <w:r w:rsidR="00176F47">
              <w:rPr>
                <w:b/>
                <w:bCs/>
                <w:sz w:val="26"/>
                <w:szCs w:val="26"/>
              </w:rPr>
              <w:t>(s)</w:t>
            </w:r>
            <w:r>
              <w:rPr>
                <w:b/>
                <w:bCs/>
                <w:sz w:val="26"/>
                <w:szCs w:val="26"/>
              </w:rPr>
              <w:t xml:space="preserve"> with the Strategic Plan</w:t>
            </w:r>
          </w:p>
          <w:p w14:paraId="0603E1D4" w14:textId="6B042232" w:rsidR="00722551" w:rsidRPr="00F16BAB" w:rsidRDefault="00A9704B" w:rsidP="00EC0791">
            <w:pPr>
              <w:jc w:val="both"/>
            </w:pPr>
            <w:r>
              <w:t>Advancing universal connectivity; sustainable digital transformation; i</w:t>
            </w:r>
            <w:r w:rsidRPr="00E97045">
              <w:t>nclusive and secure telecommunication/ICT infrastructure and services</w:t>
            </w:r>
            <w:r>
              <w:t>.</w:t>
            </w:r>
          </w:p>
          <w:p w14:paraId="5DFB28D4" w14:textId="77777777" w:rsidR="00722551" w:rsidRDefault="00722551" w:rsidP="00722551">
            <w:pPr>
              <w:spacing w:before="160"/>
              <w:rPr>
                <w:b/>
                <w:bCs/>
                <w:sz w:val="26"/>
                <w:szCs w:val="26"/>
              </w:rPr>
            </w:pPr>
            <w:r>
              <w:rPr>
                <w:b/>
                <w:bCs/>
                <w:sz w:val="26"/>
                <w:szCs w:val="26"/>
              </w:rPr>
              <w:t>Financial implications</w:t>
            </w:r>
          </w:p>
          <w:p w14:paraId="075A2A4E" w14:textId="6AFAEA0E" w:rsidR="00453079" w:rsidRPr="00A9704B" w:rsidRDefault="00A9704B" w:rsidP="00A9704B">
            <w:pPr>
              <w:spacing w:before="160"/>
              <w:jc w:val="both"/>
            </w:pPr>
            <w:r>
              <w:t>Within the allocated budget 202</w:t>
            </w:r>
            <w:r w:rsidR="00664B65">
              <w:t>4</w:t>
            </w:r>
            <w:r>
              <w:t>-2025.</w:t>
            </w:r>
          </w:p>
          <w:p w14:paraId="2915AB48" w14:textId="77777777" w:rsidR="00C0458D" w:rsidRDefault="00C0458D">
            <w:r>
              <w:t>_______________</w:t>
            </w:r>
          </w:p>
          <w:p w14:paraId="3F58C4CB" w14:textId="77777777" w:rsidR="00AD3606" w:rsidRPr="00C0458D" w:rsidRDefault="00AD3606" w:rsidP="00F16BAB">
            <w:pPr>
              <w:spacing w:before="160"/>
              <w:rPr>
                <w:b/>
                <w:bCs/>
                <w:sz w:val="26"/>
                <w:szCs w:val="26"/>
              </w:rPr>
            </w:pPr>
            <w:r w:rsidRPr="00C0458D">
              <w:rPr>
                <w:b/>
                <w:bCs/>
                <w:sz w:val="26"/>
                <w:szCs w:val="26"/>
              </w:rPr>
              <w:t>References</w:t>
            </w:r>
          </w:p>
          <w:p w14:paraId="4B827F34" w14:textId="35A6D458" w:rsidR="00AD3606" w:rsidRPr="008D1E53" w:rsidRDefault="00A9704B" w:rsidP="00F16BAB">
            <w:pPr>
              <w:spacing w:after="160"/>
              <w:rPr>
                <w:i/>
                <w:iCs/>
                <w:sz w:val="22"/>
                <w:szCs w:val="22"/>
              </w:rPr>
            </w:pPr>
            <w:r w:rsidRPr="008D1E53">
              <w:rPr>
                <w:i/>
                <w:iCs/>
                <w:sz w:val="22"/>
                <w:szCs w:val="22"/>
              </w:rPr>
              <w:t>Resolutions</w:t>
            </w:r>
            <w:r w:rsidRPr="008D1E53">
              <w:rPr>
                <w:i/>
                <w:sz w:val="22"/>
                <w:szCs w:val="22"/>
              </w:rPr>
              <w:t xml:space="preserve"> </w:t>
            </w:r>
            <w:hyperlink r:id="rId11" w:history="1">
              <w:r w:rsidRPr="008D1E53">
                <w:rPr>
                  <w:rStyle w:val="Hyperlink"/>
                  <w:i/>
                  <w:iCs/>
                  <w:sz w:val="22"/>
                  <w:szCs w:val="22"/>
                </w:rPr>
                <w:t>71</w:t>
              </w:r>
            </w:hyperlink>
            <w:r w:rsidRPr="008D1E53">
              <w:rPr>
                <w:i/>
                <w:iCs/>
                <w:sz w:val="22"/>
                <w:szCs w:val="22"/>
              </w:rPr>
              <w:t xml:space="preserve">, </w:t>
            </w:r>
            <w:hyperlink r:id="rId12" w:history="1">
              <w:r w:rsidRPr="008D1E53">
                <w:rPr>
                  <w:rStyle w:val="Hyperlink"/>
                  <w:i/>
                  <w:iCs/>
                  <w:sz w:val="22"/>
                  <w:szCs w:val="22"/>
                </w:rPr>
                <w:t>130</w:t>
              </w:r>
            </w:hyperlink>
            <w:r w:rsidRPr="008D1E53">
              <w:rPr>
                <w:i/>
                <w:iCs/>
                <w:sz w:val="22"/>
                <w:szCs w:val="22"/>
              </w:rPr>
              <w:t xml:space="preserve">, </w:t>
            </w:r>
            <w:hyperlink r:id="rId13" w:history="1">
              <w:r w:rsidRPr="008D1E53">
                <w:rPr>
                  <w:rStyle w:val="Hyperlink"/>
                  <w:i/>
                  <w:iCs/>
                  <w:sz w:val="22"/>
                  <w:szCs w:val="22"/>
                </w:rPr>
                <w:t>140</w:t>
              </w:r>
            </w:hyperlink>
            <w:r w:rsidRPr="008D1E53">
              <w:rPr>
                <w:i/>
                <w:iCs/>
                <w:sz w:val="22"/>
                <w:szCs w:val="22"/>
              </w:rPr>
              <w:t xml:space="preserve">, </w:t>
            </w:r>
            <w:hyperlink r:id="rId14" w:history="1">
              <w:r w:rsidRPr="008D1E53">
                <w:rPr>
                  <w:rStyle w:val="Hyperlink"/>
                  <w:i/>
                  <w:iCs/>
                  <w:sz w:val="22"/>
                  <w:szCs w:val="22"/>
                </w:rPr>
                <w:t>179</w:t>
              </w:r>
            </w:hyperlink>
            <w:r w:rsidRPr="008D1E53">
              <w:rPr>
                <w:i/>
                <w:sz w:val="22"/>
                <w:szCs w:val="22"/>
              </w:rPr>
              <w:t xml:space="preserve"> (Rev. Bucharest, 2022) of the </w:t>
            </w:r>
            <w:r w:rsidRPr="008D1E53">
              <w:rPr>
                <w:i/>
                <w:iCs/>
                <w:sz w:val="22"/>
                <w:szCs w:val="22"/>
              </w:rPr>
              <w:t>Plenipotentiary Conference; Resolution</w:t>
            </w:r>
            <w:r w:rsidRPr="008D1E53">
              <w:rPr>
                <w:sz w:val="22"/>
                <w:szCs w:val="22"/>
              </w:rPr>
              <w:t xml:space="preserve"> </w:t>
            </w:r>
            <w:hyperlink r:id="rId15" w:history="1">
              <w:r w:rsidRPr="008D1E53">
                <w:rPr>
                  <w:rStyle w:val="Hyperlink"/>
                  <w:i/>
                  <w:iCs/>
                  <w:sz w:val="22"/>
                  <w:szCs w:val="22"/>
                </w:rPr>
                <w:t>174</w:t>
              </w:r>
            </w:hyperlink>
            <w:r w:rsidRPr="008D1E53">
              <w:rPr>
                <w:i/>
                <w:sz w:val="22"/>
                <w:szCs w:val="22"/>
              </w:rPr>
              <w:t xml:space="preserve"> </w:t>
            </w:r>
            <w:r w:rsidRPr="008D1E53">
              <w:rPr>
                <w:i/>
                <w:iCs/>
                <w:sz w:val="22"/>
                <w:szCs w:val="22"/>
              </w:rPr>
              <w:t xml:space="preserve">(Rev. </w:t>
            </w:r>
            <w:r w:rsidR="00080653">
              <w:rPr>
                <w:i/>
                <w:iCs/>
                <w:sz w:val="22"/>
                <w:szCs w:val="22"/>
              </w:rPr>
              <w:t>Busan</w:t>
            </w:r>
            <w:r w:rsidRPr="008D1E53">
              <w:rPr>
                <w:i/>
                <w:iCs/>
                <w:sz w:val="22"/>
                <w:szCs w:val="22"/>
              </w:rPr>
              <w:t>, 201</w:t>
            </w:r>
            <w:r w:rsidR="00080653">
              <w:rPr>
                <w:i/>
                <w:iCs/>
                <w:sz w:val="22"/>
                <w:szCs w:val="22"/>
              </w:rPr>
              <w:t>4</w:t>
            </w:r>
            <w:r w:rsidRPr="008D1E53">
              <w:rPr>
                <w:i/>
                <w:iCs/>
                <w:sz w:val="22"/>
                <w:szCs w:val="22"/>
              </w:rPr>
              <w:t xml:space="preserve">), </w:t>
            </w:r>
            <w:hyperlink r:id="rId16" w:history="1">
              <w:r w:rsidRPr="008D1E53">
                <w:rPr>
                  <w:rStyle w:val="Hyperlink"/>
                  <w:i/>
                  <w:iCs/>
                  <w:sz w:val="22"/>
                  <w:szCs w:val="22"/>
                </w:rPr>
                <w:t>181</w:t>
              </w:r>
            </w:hyperlink>
            <w:r w:rsidRPr="008D1E53">
              <w:rPr>
                <w:i/>
                <w:iCs/>
                <w:sz w:val="22"/>
                <w:szCs w:val="22"/>
              </w:rPr>
              <w:t xml:space="preserve"> (Guadalajara, 2010) of the Plenipotentiary Conference; </w:t>
            </w:r>
            <w:hyperlink r:id="rId17" w:history="1">
              <w:r w:rsidRPr="008D1E53">
                <w:rPr>
                  <w:rStyle w:val="Hyperlink"/>
                  <w:i/>
                  <w:iCs/>
                  <w:sz w:val="22"/>
                  <w:szCs w:val="22"/>
                </w:rPr>
                <w:t>ITRs</w:t>
              </w:r>
            </w:hyperlink>
            <w:r w:rsidRPr="008D1E53">
              <w:rPr>
                <w:i/>
                <w:iCs/>
                <w:sz w:val="22"/>
                <w:szCs w:val="22"/>
              </w:rPr>
              <w:t xml:space="preserve"> (Rev. Dubai, 2012); Council Resolution </w:t>
            </w:r>
            <w:hyperlink r:id="rId18" w:history="1">
              <w:r w:rsidRPr="008D1E53">
                <w:rPr>
                  <w:rStyle w:val="Hyperlink"/>
                  <w:i/>
                  <w:iCs/>
                  <w:sz w:val="22"/>
                  <w:szCs w:val="22"/>
                </w:rPr>
                <w:t>1306</w:t>
              </w:r>
            </w:hyperlink>
            <w:r w:rsidRPr="008D1E53">
              <w:rPr>
                <w:i/>
                <w:sz w:val="22"/>
                <w:szCs w:val="22"/>
              </w:rPr>
              <w:t>;</w:t>
            </w:r>
            <w:r w:rsidRPr="008D1E53">
              <w:rPr>
                <w:i/>
                <w:iCs/>
                <w:sz w:val="22"/>
                <w:szCs w:val="22"/>
              </w:rPr>
              <w:t xml:space="preserve"> </w:t>
            </w:r>
            <w:hyperlink r:id="rId19" w:history="1">
              <w:r w:rsidRPr="008D1E53">
                <w:rPr>
                  <w:rStyle w:val="Hyperlink"/>
                  <w:i/>
                  <w:iCs/>
                  <w:sz w:val="22"/>
                  <w:szCs w:val="22"/>
                </w:rPr>
                <w:t xml:space="preserve">WTDC Resolutions 45, </w:t>
              </w:r>
              <w:r w:rsidRPr="008D1E53">
                <w:rPr>
                  <w:rStyle w:val="Hyperlink"/>
                  <w:i/>
                  <w:sz w:val="22"/>
                  <w:szCs w:val="22"/>
                </w:rPr>
                <w:t>2, 67, 69 (Rev. Kigali, 2022)</w:t>
              </w:r>
            </w:hyperlink>
            <w:r w:rsidRPr="008D1E53">
              <w:rPr>
                <w:i/>
                <w:iCs/>
                <w:sz w:val="22"/>
                <w:szCs w:val="22"/>
              </w:rPr>
              <w:t>; ITU-D priorities (</w:t>
            </w:r>
            <w:hyperlink r:id="rId20" w:history="1">
              <w:r w:rsidRPr="008D1E53">
                <w:rPr>
                  <w:rStyle w:val="Hyperlink"/>
                  <w:i/>
                  <w:sz w:val="22"/>
                  <w:szCs w:val="22"/>
                </w:rPr>
                <w:t>Kigali Action Plan</w:t>
              </w:r>
            </w:hyperlink>
            <w:r w:rsidRPr="008D1E53">
              <w:rPr>
                <w:i/>
                <w:iCs/>
                <w:sz w:val="22"/>
                <w:szCs w:val="22"/>
              </w:rPr>
              <w:t>)</w:t>
            </w:r>
            <w:r w:rsidRPr="008D1E53">
              <w:rPr>
                <w:i/>
                <w:sz w:val="22"/>
                <w:szCs w:val="22"/>
              </w:rPr>
              <w:t>;</w:t>
            </w:r>
            <w:r w:rsidRPr="008D1E53">
              <w:rPr>
                <w:i/>
                <w:iCs/>
                <w:sz w:val="22"/>
                <w:szCs w:val="22"/>
              </w:rPr>
              <w:t xml:space="preserve"> Resolutions </w:t>
            </w:r>
            <w:hyperlink r:id="rId21" w:history="1">
              <w:r w:rsidRPr="008D1E53">
                <w:rPr>
                  <w:rStyle w:val="Hyperlink"/>
                  <w:i/>
                  <w:iCs/>
                  <w:sz w:val="22"/>
                  <w:szCs w:val="22"/>
                  <w:lang w:val="en-US"/>
                </w:rPr>
                <w:t>50 (Rev. Geneva, 2022)</w:t>
              </w:r>
            </w:hyperlink>
            <w:r w:rsidRPr="008D1E53">
              <w:rPr>
                <w:i/>
                <w:iCs/>
                <w:sz w:val="22"/>
                <w:szCs w:val="22"/>
                <w:lang w:val="en-US"/>
              </w:rPr>
              <w:t xml:space="preserve">, </w:t>
            </w:r>
            <w:hyperlink r:id="rId22" w:history="1">
              <w:r w:rsidRPr="008D1E53">
                <w:rPr>
                  <w:rStyle w:val="Hyperlink"/>
                  <w:i/>
                  <w:iCs/>
                  <w:sz w:val="22"/>
                  <w:szCs w:val="22"/>
                  <w:lang w:val="en-US"/>
                </w:rPr>
                <w:t>52</w:t>
              </w:r>
            </w:hyperlink>
            <w:r w:rsidRPr="008D1E53">
              <w:rPr>
                <w:i/>
                <w:iCs/>
                <w:sz w:val="22"/>
                <w:szCs w:val="22"/>
                <w:u w:val="single"/>
                <w:lang w:val="en-US"/>
              </w:rPr>
              <w:t xml:space="preserve"> (Rev. </w:t>
            </w:r>
            <w:proofErr w:type="spellStart"/>
            <w:r w:rsidRPr="008D1E53">
              <w:rPr>
                <w:i/>
                <w:iCs/>
                <w:sz w:val="22"/>
                <w:szCs w:val="22"/>
                <w:u w:val="single"/>
                <w:lang w:val="en-US"/>
              </w:rPr>
              <w:t>Hammamet</w:t>
            </w:r>
            <w:proofErr w:type="spellEnd"/>
            <w:r w:rsidRPr="008D1E53">
              <w:rPr>
                <w:i/>
                <w:iCs/>
                <w:sz w:val="22"/>
                <w:szCs w:val="22"/>
                <w:u w:val="single"/>
                <w:lang w:val="en-US"/>
              </w:rPr>
              <w:t>, 2016)</w:t>
            </w:r>
            <w:r w:rsidRPr="008D1E53">
              <w:rPr>
                <w:i/>
                <w:iCs/>
                <w:sz w:val="22"/>
                <w:szCs w:val="22"/>
              </w:rPr>
              <w:t xml:space="preserve">, </w:t>
            </w:r>
            <w:hyperlink r:id="rId23" w:history="1">
              <w:r w:rsidRPr="008D1E53">
                <w:rPr>
                  <w:rStyle w:val="Hyperlink"/>
                  <w:i/>
                  <w:iCs/>
                  <w:sz w:val="22"/>
                  <w:szCs w:val="22"/>
                </w:rPr>
                <w:t>75 (Rev. Geneva, 2022)</w:t>
              </w:r>
            </w:hyperlink>
            <w:r w:rsidRPr="008D1E53">
              <w:rPr>
                <w:i/>
                <w:iCs/>
                <w:sz w:val="22"/>
                <w:szCs w:val="22"/>
                <w:lang w:val="en-US"/>
              </w:rPr>
              <w:t xml:space="preserve">, </w:t>
            </w:r>
            <w:hyperlink r:id="rId24" w:history="1">
              <w:r w:rsidRPr="008D1E53">
                <w:rPr>
                  <w:rStyle w:val="Hyperlink"/>
                  <w:i/>
                  <w:iCs/>
                  <w:sz w:val="22"/>
                  <w:szCs w:val="22"/>
                  <w:lang w:val="en-US"/>
                </w:rPr>
                <w:t>58 (Rev. Geneva, 2022)</w:t>
              </w:r>
            </w:hyperlink>
            <w:r w:rsidRPr="008D1E53">
              <w:rPr>
                <w:sz w:val="22"/>
                <w:szCs w:val="22"/>
              </w:rPr>
              <w:t xml:space="preserve"> </w:t>
            </w:r>
            <w:r w:rsidRPr="008D1E53">
              <w:rPr>
                <w:i/>
                <w:iCs/>
                <w:sz w:val="22"/>
                <w:szCs w:val="22"/>
                <w:lang w:val="en-US"/>
              </w:rPr>
              <w:t>of World Telecommunication Standardization Assembly</w:t>
            </w:r>
            <w:r w:rsidRPr="008D1E53">
              <w:rPr>
                <w:i/>
                <w:iCs/>
                <w:sz w:val="22"/>
                <w:szCs w:val="22"/>
              </w:rPr>
              <w:t xml:space="preserve">, Council Documents </w:t>
            </w:r>
            <w:hyperlink r:id="rId25" w:history="1">
              <w:r w:rsidRPr="008D1E53">
                <w:rPr>
                  <w:rStyle w:val="Hyperlink"/>
                  <w:i/>
                  <w:iCs/>
                  <w:sz w:val="22"/>
                  <w:szCs w:val="22"/>
                </w:rPr>
                <w:t>C15/18</w:t>
              </w:r>
            </w:hyperlink>
            <w:r w:rsidRPr="008D1E53">
              <w:rPr>
                <w:i/>
                <w:iCs/>
                <w:sz w:val="22"/>
                <w:szCs w:val="22"/>
              </w:rPr>
              <w:t xml:space="preserve"> ,</w:t>
            </w:r>
            <w:hyperlink r:id="rId26" w:history="1">
              <w:r w:rsidRPr="008D1E53">
                <w:rPr>
                  <w:rStyle w:val="Hyperlink"/>
                  <w:i/>
                  <w:iCs/>
                  <w:sz w:val="22"/>
                  <w:szCs w:val="22"/>
                </w:rPr>
                <w:t>C16/18</w:t>
              </w:r>
            </w:hyperlink>
            <w:r w:rsidRPr="008D1E53">
              <w:rPr>
                <w:i/>
                <w:sz w:val="22"/>
                <w:szCs w:val="22"/>
              </w:rPr>
              <w:t xml:space="preserve">, </w:t>
            </w:r>
            <w:hyperlink r:id="rId27" w:history="1">
              <w:r w:rsidRPr="008D1E53">
                <w:rPr>
                  <w:rStyle w:val="Hyperlink"/>
                  <w:i/>
                  <w:iCs/>
                  <w:sz w:val="22"/>
                  <w:szCs w:val="22"/>
                </w:rPr>
                <w:t>C17/18</w:t>
              </w:r>
            </w:hyperlink>
            <w:r w:rsidRPr="008D1E53">
              <w:rPr>
                <w:i/>
                <w:iCs/>
                <w:sz w:val="22"/>
                <w:szCs w:val="22"/>
              </w:rPr>
              <w:t xml:space="preserve">, </w:t>
            </w:r>
            <w:hyperlink r:id="rId28" w:history="1">
              <w:r w:rsidRPr="008D1E53">
                <w:rPr>
                  <w:rStyle w:val="Hyperlink"/>
                  <w:i/>
                  <w:iCs/>
                  <w:sz w:val="22"/>
                  <w:szCs w:val="22"/>
                </w:rPr>
                <w:t>C18/18</w:t>
              </w:r>
            </w:hyperlink>
            <w:r w:rsidRPr="008D1E53">
              <w:rPr>
                <w:i/>
                <w:iCs/>
                <w:sz w:val="22"/>
                <w:szCs w:val="22"/>
              </w:rPr>
              <w:t xml:space="preserve"> , </w:t>
            </w:r>
            <w:hyperlink r:id="rId29" w:history="1">
              <w:r w:rsidRPr="008D1E53">
                <w:rPr>
                  <w:rStyle w:val="Hyperlink"/>
                  <w:i/>
                  <w:iCs/>
                  <w:sz w:val="22"/>
                  <w:szCs w:val="22"/>
                </w:rPr>
                <w:t>C19/18</w:t>
              </w:r>
            </w:hyperlink>
            <w:r w:rsidRPr="008D1E53">
              <w:rPr>
                <w:i/>
                <w:iCs/>
                <w:sz w:val="22"/>
                <w:szCs w:val="22"/>
              </w:rPr>
              <w:t xml:space="preserve">, </w:t>
            </w:r>
            <w:hyperlink r:id="rId30" w:history="1">
              <w:r w:rsidRPr="008D1E53">
                <w:rPr>
                  <w:rStyle w:val="Hyperlink"/>
                  <w:i/>
                  <w:iCs/>
                  <w:sz w:val="22"/>
                  <w:szCs w:val="22"/>
                </w:rPr>
                <w:t>C20/18</w:t>
              </w:r>
            </w:hyperlink>
            <w:r w:rsidRPr="008D1E53">
              <w:rPr>
                <w:i/>
                <w:iCs/>
                <w:sz w:val="22"/>
                <w:szCs w:val="22"/>
                <w:u w:val="single"/>
              </w:rPr>
              <w:t xml:space="preserve">, </w:t>
            </w:r>
            <w:hyperlink r:id="rId31" w:history="1">
              <w:r w:rsidRPr="008D1E53">
                <w:rPr>
                  <w:rStyle w:val="Hyperlink"/>
                  <w:i/>
                  <w:iCs/>
                  <w:sz w:val="22"/>
                  <w:szCs w:val="22"/>
                </w:rPr>
                <w:t>C21/18</w:t>
              </w:r>
            </w:hyperlink>
            <w:r w:rsidRPr="008D1E53">
              <w:rPr>
                <w:i/>
                <w:sz w:val="22"/>
                <w:szCs w:val="22"/>
              </w:rPr>
              <w:t xml:space="preserve">, </w:t>
            </w:r>
            <w:hyperlink r:id="rId32" w:history="1">
              <w:r w:rsidRPr="008D1E53">
                <w:rPr>
                  <w:rStyle w:val="Hyperlink"/>
                  <w:i/>
                  <w:sz w:val="22"/>
                  <w:szCs w:val="22"/>
                </w:rPr>
                <w:t>C22/18</w:t>
              </w:r>
            </w:hyperlink>
            <w:r w:rsidRPr="008D1E53">
              <w:rPr>
                <w:i/>
                <w:sz w:val="22"/>
                <w:szCs w:val="22"/>
                <w:u w:val="single"/>
              </w:rPr>
              <w:t xml:space="preserve">, </w:t>
            </w:r>
            <w:hyperlink r:id="rId33" w:history="1">
              <w:r w:rsidRPr="008D1E53">
                <w:rPr>
                  <w:rStyle w:val="Hyperlink"/>
                  <w:i/>
                  <w:sz w:val="22"/>
                  <w:szCs w:val="22"/>
                </w:rPr>
                <w:t>C23/38</w:t>
              </w:r>
            </w:hyperlink>
            <w:r w:rsidRPr="008D1E53">
              <w:rPr>
                <w:sz w:val="22"/>
                <w:szCs w:val="22"/>
              </w:rPr>
              <w:t xml:space="preserve">, </w:t>
            </w:r>
            <w:hyperlink r:id="rId34" w:history="1">
              <w:r w:rsidRPr="008D1E53">
                <w:rPr>
                  <w:rStyle w:val="Hyperlink"/>
                  <w:i/>
                  <w:iCs/>
                  <w:sz w:val="22"/>
                  <w:szCs w:val="22"/>
                  <w:lang w:val="en-US"/>
                </w:rPr>
                <w:t>C24/18</w:t>
              </w:r>
            </w:hyperlink>
          </w:p>
        </w:tc>
      </w:tr>
    </w:tbl>
    <w:p w14:paraId="6694C772" w14:textId="77777777" w:rsidR="00E227F3" w:rsidRPr="00C0458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74B44ABC" w14:textId="77777777" w:rsidR="0090147A" w:rsidRPr="00C0458D"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0458D">
        <w:br w:type="page"/>
      </w:r>
    </w:p>
    <w:bookmarkEnd w:id="5"/>
    <w:bookmarkEnd w:id="11"/>
    <w:p w14:paraId="39F556A0" w14:textId="77777777" w:rsidR="00892389" w:rsidRPr="007B3C14" w:rsidRDefault="00892389" w:rsidP="00A51A6D">
      <w:pPr>
        <w:tabs>
          <w:tab w:val="clear" w:pos="567"/>
          <w:tab w:val="clear" w:pos="1134"/>
          <w:tab w:val="clear" w:pos="1701"/>
          <w:tab w:val="clear" w:pos="2268"/>
          <w:tab w:val="clear" w:pos="2835"/>
        </w:tabs>
        <w:jc w:val="both"/>
        <w:rPr>
          <w:rFonts w:eastAsia="SimSun"/>
        </w:rPr>
      </w:pPr>
      <w:r w:rsidRPr="007B3C14">
        <w:rPr>
          <w:rFonts w:eastAsia="SimSun"/>
        </w:rPr>
        <w:lastRenderedPageBreak/>
        <w:t xml:space="preserve">This document reports on ITU’s activities in relation to Resolution 130 (Rev. Bucharest, 2022) of the Plenipotentiary Conference (PP), ITU’s role as </w:t>
      </w:r>
      <w:r>
        <w:rPr>
          <w:rFonts w:eastAsia="SimSun"/>
        </w:rPr>
        <w:t>lead</w:t>
      </w:r>
      <w:r w:rsidRPr="007B3C14">
        <w:rPr>
          <w:rFonts w:eastAsia="SimSun"/>
        </w:rPr>
        <w:t xml:space="preserve"> facilitator for WSIS Action Line C5, and other decisions by the membership on strengthening the role of ITU in building confidence and security in the use of ICTs. </w:t>
      </w:r>
    </w:p>
    <w:p w14:paraId="140914F7" w14:textId="77777777" w:rsidR="00892389" w:rsidRPr="007B3C14" w:rsidRDefault="00892389" w:rsidP="00A51A6D">
      <w:pPr>
        <w:tabs>
          <w:tab w:val="clear" w:pos="567"/>
          <w:tab w:val="clear" w:pos="1134"/>
          <w:tab w:val="clear" w:pos="1701"/>
          <w:tab w:val="clear" w:pos="2268"/>
          <w:tab w:val="clear" w:pos="2835"/>
        </w:tabs>
        <w:jc w:val="both"/>
        <w:rPr>
          <w:rFonts w:eastAsia="SimSun" w:cstheme="minorBidi"/>
        </w:rPr>
      </w:pPr>
      <w:r w:rsidRPr="007B3C14">
        <w:rPr>
          <w:rFonts w:eastAsia="SimSun" w:cstheme="minorBidi"/>
        </w:rPr>
        <w:t xml:space="preserve">Organized around the five pillars of </w:t>
      </w:r>
      <w:r w:rsidRPr="007B3C14">
        <w:rPr>
          <w:rFonts w:eastAsia="SimSun" w:cstheme="minorBidi"/>
          <w:color w:val="000000" w:themeColor="text1"/>
        </w:rPr>
        <w:t>the Global Cybersecurity Agenda (GCA), this report shows the complementary nature of</w:t>
      </w:r>
      <w:r w:rsidRPr="007B3C14">
        <w:rPr>
          <w:rFonts w:eastAsia="SimSun" w:cstheme="minorBidi"/>
        </w:rPr>
        <w:t xml:space="preserve"> existing ITU work programmes, including BDT, TSB, and BR activities in this domain.</w:t>
      </w:r>
    </w:p>
    <w:p w14:paraId="3B75FD3B" w14:textId="6B3AB3A3" w:rsidR="00892389" w:rsidRPr="007B3C14" w:rsidRDefault="00892389" w:rsidP="00A51A6D">
      <w:pPr>
        <w:pStyle w:val="Heading1"/>
        <w:tabs>
          <w:tab w:val="clear" w:pos="567"/>
          <w:tab w:val="clear" w:pos="1134"/>
          <w:tab w:val="clear" w:pos="1701"/>
          <w:tab w:val="clear" w:pos="2268"/>
          <w:tab w:val="clear" w:pos="2835"/>
        </w:tabs>
        <w:ind w:left="0" w:firstLine="0"/>
        <w:rPr>
          <w:rFonts w:eastAsia="SimSun"/>
        </w:rPr>
      </w:pPr>
      <w:r w:rsidRPr="007B3C14">
        <w:rPr>
          <w:rFonts w:eastAsia="SimSun"/>
        </w:rPr>
        <w:t>1</w:t>
      </w:r>
      <w:r w:rsidRPr="007B3C14">
        <w:rPr>
          <w:rFonts w:eastAsia="SimSun"/>
        </w:rPr>
        <w:tab/>
        <w:t>Legal measures</w:t>
      </w:r>
    </w:p>
    <w:p w14:paraId="38808E6F" w14:textId="77777777" w:rsidR="00892389" w:rsidRPr="007B3C14" w:rsidRDefault="00892389" w:rsidP="00A51A6D">
      <w:pPr>
        <w:tabs>
          <w:tab w:val="clear" w:pos="567"/>
          <w:tab w:val="clear" w:pos="1134"/>
          <w:tab w:val="clear" w:pos="1701"/>
          <w:tab w:val="clear" w:pos="2268"/>
          <w:tab w:val="clear" w:pos="2835"/>
        </w:tabs>
        <w:jc w:val="both"/>
        <w:rPr>
          <w:rFonts w:asciiTheme="minorHAnsi" w:eastAsia="SimSun" w:hAnsiTheme="minorHAnsi" w:cstheme="minorBidi"/>
          <w:szCs w:val="24"/>
          <w:lang w:eastAsia="zh-CN"/>
        </w:rPr>
      </w:pPr>
      <w:r w:rsidRPr="003D744B">
        <w:rPr>
          <w:rFonts w:asciiTheme="minorHAnsi" w:hAnsiTheme="minorHAnsi" w:cstheme="minorBidi"/>
          <w:color w:val="000000" w:themeColor="text1"/>
          <w:spacing w:val="2"/>
          <w:szCs w:val="24"/>
        </w:rPr>
        <w:t>As part of ITU-D Priority 5 of the Kigali Action Plan, and taking into account ITU-D Q 3/2,</w:t>
      </w:r>
      <w:r w:rsidRPr="003D744B">
        <w:rPr>
          <w:rFonts w:asciiTheme="minorHAnsi" w:eastAsia="SimSun" w:hAnsiTheme="minorHAnsi" w:cstheme="minorBidi"/>
          <w:spacing w:val="2"/>
          <w:szCs w:val="24"/>
          <w:lang w:eastAsia="zh-CN"/>
        </w:rPr>
        <w:t xml:space="preserve"> ITU is assisting Member States in understanding </w:t>
      </w:r>
      <w:r w:rsidRPr="003D744B">
        <w:rPr>
          <w:rFonts w:eastAsia="SimSun"/>
          <w:spacing w:val="2"/>
        </w:rPr>
        <w:t>the</w:t>
      </w:r>
      <w:r w:rsidRPr="003D744B">
        <w:rPr>
          <w:rFonts w:asciiTheme="minorHAnsi" w:eastAsia="SimSun" w:hAnsiTheme="minorHAnsi" w:cstheme="minorBidi"/>
          <w:spacing w:val="2"/>
          <w:szCs w:val="24"/>
          <w:lang w:eastAsia="zh-CN"/>
        </w:rPr>
        <w:t xml:space="preserve"> legal aspects of cybersecurity through its</w:t>
      </w:r>
      <w:r w:rsidRPr="007B3C14">
        <w:rPr>
          <w:rFonts w:asciiTheme="minorHAnsi" w:eastAsia="SimSun" w:hAnsiTheme="minorHAnsi" w:cstheme="minorBidi"/>
          <w:szCs w:val="24"/>
          <w:lang w:eastAsia="zh-CN"/>
        </w:rPr>
        <w:t xml:space="preserve"> </w:t>
      </w:r>
      <w:hyperlink r:id="rId35">
        <w:r w:rsidRPr="00E23465">
          <w:rPr>
            <w:rStyle w:val="Hyperlink"/>
            <w:rFonts w:eastAsia="SimSun"/>
            <w:shd w:val="clear" w:color="auto" w:fill="FFFFFF"/>
            <w:lang w:val="en-US"/>
          </w:rPr>
          <w:t>ITU Cybercrime Legislation Resources</w:t>
        </w:r>
      </w:hyperlink>
      <w:r w:rsidRPr="007B3C14">
        <w:rPr>
          <w:rFonts w:asciiTheme="minorHAnsi" w:eastAsia="SimSun" w:hAnsiTheme="minorHAnsi" w:cstheme="minorBidi"/>
          <w:szCs w:val="24"/>
          <w:lang w:eastAsia="zh-CN"/>
        </w:rPr>
        <w:t>. ITU collaborates closely with partners such as the United Nations Office on Drugs and Crime (UNODC).</w:t>
      </w:r>
    </w:p>
    <w:p w14:paraId="36E51589" w14:textId="460A704C" w:rsidR="00892389" w:rsidRPr="007B3C14" w:rsidRDefault="00892389" w:rsidP="00A51A6D">
      <w:pPr>
        <w:pStyle w:val="Heading1"/>
        <w:tabs>
          <w:tab w:val="clear" w:pos="567"/>
          <w:tab w:val="clear" w:pos="1134"/>
          <w:tab w:val="clear" w:pos="1701"/>
          <w:tab w:val="clear" w:pos="2268"/>
          <w:tab w:val="clear" w:pos="2835"/>
        </w:tabs>
        <w:ind w:left="0" w:firstLine="0"/>
        <w:rPr>
          <w:rFonts w:eastAsia="SimSun"/>
          <w:lang w:eastAsia="zh-CN"/>
        </w:rPr>
      </w:pPr>
      <w:r w:rsidRPr="007B3C14">
        <w:rPr>
          <w:rFonts w:eastAsia="SimSun"/>
          <w:lang w:eastAsia="zh-CN"/>
        </w:rPr>
        <w:t>2</w:t>
      </w:r>
      <w:r w:rsidRPr="007B3C14">
        <w:rPr>
          <w:rFonts w:eastAsia="SimSun" w:cs="Arial"/>
          <w:lang w:eastAsia="zh-CN"/>
        </w:rPr>
        <w:tab/>
      </w:r>
      <w:r w:rsidRPr="007B3C14">
        <w:rPr>
          <w:rFonts w:eastAsia="SimSun"/>
          <w:lang w:eastAsia="zh-CN"/>
        </w:rPr>
        <w:t>Technical and procedural measures</w:t>
      </w:r>
    </w:p>
    <w:p w14:paraId="0D78011D" w14:textId="6C917091" w:rsidR="00892389" w:rsidRPr="007B3C14" w:rsidRDefault="00892389" w:rsidP="00A51A6D">
      <w:pPr>
        <w:tabs>
          <w:tab w:val="clear" w:pos="567"/>
          <w:tab w:val="clear" w:pos="1134"/>
          <w:tab w:val="clear" w:pos="1701"/>
          <w:tab w:val="clear" w:pos="2268"/>
          <w:tab w:val="clear" w:pos="2835"/>
        </w:tabs>
        <w:jc w:val="both"/>
        <w:rPr>
          <w:rFonts w:asciiTheme="minorHAnsi" w:eastAsia="SimSun" w:hAnsiTheme="minorHAnsi" w:cstheme="minorBidi"/>
          <w:lang w:val="en-US"/>
        </w:rPr>
      </w:pPr>
      <w:r w:rsidRPr="007B3C14">
        <w:rPr>
          <w:rFonts w:eastAsia="SimSun"/>
        </w:rPr>
        <w:t>2.1</w:t>
      </w:r>
      <w:r w:rsidRPr="007B3C14">
        <w:rPr>
          <w:rFonts w:eastAsia="SimSun"/>
        </w:rPr>
        <w:tab/>
      </w:r>
      <w:hyperlink r:id="rId36" w:history="1">
        <w:r w:rsidRPr="00E23465">
          <w:rPr>
            <w:rStyle w:val="Hyperlink"/>
            <w:rFonts w:eastAsia="SimSun"/>
            <w:shd w:val="clear" w:color="auto" w:fill="FFFFFF"/>
            <w:lang w:val="en-US"/>
          </w:rPr>
          <w:t>ITU-T Study Group 17 (SG17)</w:t>
        </w:r>
      </w:hyperlink>
      <w:bookmarkStart w:id="12" w:name="_Hlk63164174"/>
      <w:r w:rsidRPr="007B3C14">
        <w:rPr>
          <w:rFonts w:asciiTheme="minorHAnsi" w:eastAsia="SimSun" w:hAnsiTheme="minorHAnsi" w:cstheme="minorBidi"/>
          <w:lang w:eastAsia="zh-CN"/>
        </w:rPr>
        <w:t xml:space="preserve"> </w:t>
      </w:r>
      <w:r w:rsidRPr="007B3C14">
        <w:rPr>
          <w:rFonts w:eastAsia="SimSun"/>
          <w:lang w:val="en-US" w:eastAsia="zh-CN"/>
        </w:rPr>
        <w:t>held two meetings in September 202</w:t>
      </w:r>
      <w:r>
        <w:rPr>
          <w:rFonts w:eastAsia="SimSun"/>
          <w:lang w:val="en-US" w:eastAsia="zh-CN"/>
        </w:rPr>
        <w:t>4</w:t>
      </w:r>
      <w:r w:rsidRPr="007B3C14">
        <w:rPr>
          <w:rFonts w:eastAsia="SimSun"/>
          <w:lang w:val="en-US" w:eastAsia="zh-CN"/>
        </w:rPr>
        <w:t xml:space="preserve"> and </w:t>
      </w:r>
      <w:r>
        <w:rPr>
          <w:rFonts w:eastAsia="SimSun"/>
          <w:lang w:val="en-US" w:eastAsia="zh-CN"/>
        </w:rPr>
        <w:t>April 2025</w:t>
      </w:r>
      <w:r w:rsidRPr="007B3C14">
        <w:rPr>
          <w:rFonts w:eastAsia="SimSun"/>
          <w:lang w:val="en-US" w:eastAsia="zh-CN"/>
        </w:rPr>
        <w:t>,</w:t>
      </w:r>
      <w:r w:rsidRPr="007B3C14">
        <w:rPr>
          <w:rFonts w:asciiTheme="minorHAnsi" w:eastAsia="SimSun" w:hAnsiTheme="minorHAnsi" w:cstheme="minorBidi"/>
          <w:color w:val="498205"/>
          <w:shd w:val="clear" w:color="auto" w:fill="FFFFFF"/>
        </w:rPr>
        <w:t xml:space="preserve"> </w:t>
      </w:r>
      <w:r w:rsidRPr="007B3C14">
        <w:rPr>
          <w:rFonts w:asciiTheme="minorHAnsi" w:eastAsia="SimSun" w:hAnsiTheme="minorHAnsi" w:cstheme="minorBidi"/>
        </w:rPr>
        <w:t xml:space="preserve">established </w:t>
      </w:r>
      <w:r>
        <w:rPr>
          <w:rFonts w:asciiTheme="minorHAnsi" w:eastAsia="SimSun" w:hAnsiTheme="minorHAnsi" w:cstheme="minorBidi"/>
        </w:rPr>
        <w:t>50</w:t>
      </w:r>
      <w:r w:rsidRPr="007B3C14">
        <w:rPr>
          <w:rFonts w:asciiTheme="minorHAnsi" w:eastAsia="SimSun" w:hAnsiTheme="minorHAnsi" w:cstheme="minorBidi"/>
        </w:rPr>
        <w:t xml:space="preserve"> </w:t>
      </w:r>
      <w:hyperlink r:id="rId37" w:history="1">
        <w:r w:rsidRPr="002241F8">
          <w:rPr>
            <w:rStyle w:val="Hyperlink"/>
            <w:rFonts w:asciiTheme="minorHAnsi" w:eastAsia="SimSun" w:hAnsiTheme="minorHAnsi" w:cstheme="minorBidi"/>
            <w:color w:val="auto"/>
            <w:u w:val="none"/>
          </w:rPr>
          <w:t xml:space="preserve">new standardization work items, and approved 36 new or revised Recommendations on </w:t>
        </w:r>
        <w:r w:rsidRPr="002241F8">
          <w:rPr>
            <w:rStyle w:val="Hyperlink"/>
            <w:rFonts w:eastAsia="Calibri" w:cs="Calibri"/>
            <w:color w:val="auto"/>
            <w:szCs w:val="24"/>
            <w:u w:val="none"/>
          </w:rPr>
          <w:t>security of A</w:t>
        </w:r>
        <w:r>
          <w:rPr>
            <w:rStyle w:val="Hyperlink"/>
            <w:rFonts w:eastAsia="Calibri" w:cs="Calibri"/>
            <w:color w:val="auto"/>
            <w:szCs w:val="24"/>
            <w:u w:val="none"/>
          </w:rPr>
          <w:t xml:space="preserve">rtificial </w:t>
        </w:r>
        <w:r w:rsidRPr="002241F8">
          <w:rPr>
            <w:rStyle w:val="Hyperlink"/>
            <w:rFonts w:eastAsia="Calibri" w:cs="Calibri"/>
            <w:color w:val="auto"/>
            <w:szCs w:val="24"/>
            <w:u w:val="none"/>
          </w:rPr>
          <w:t>I</w:t>
        </w:r>
        <w:r>
          <w:rPr>
            <w:rStyle w:val="Hyperlink"/>
            <w:rFonts w:eastAsia="Calibri" w:cs="Calibri"/>
            <w:color w:val="auto"/>
            <w:szCs w:val="24"/>
            <w:u w:val="none"/>
          </w:rPr>
          <w:t>ntelligence</w:t>
        </w:r>
        <w:r w:rsidRPr="002241F8">
          <w:rPr>
            <w:rStyle w:val="Hyperlink"/>
            <w:rFonts w:eastAsia="Calibri" w:cs="Calibri"/>
            <w:color w:val="auto"/>
            <w:szCs w:val="24"/>
            <w:u w:val="none"/>
          </w:rPr>
          <w:t xml:space="preserve">, </w:t>
        </w:r>
        <w:r w:rsidRPr="00AB6387">
          <w:rPr>
            <w:rStyle w:val="Hyperlink"/>
            <w:rFonts w:eastAsia="Calibri" w:cs="Calibri"/>
            <w:color w:val="auto"/>
            <w:szCs w:val="24"/>
            <w:u w:val="none"/>
          </w:rPr>
          <w:t>I</w:t>
        </w:r>
        <w:r>
          <w:rPr>
            <w:rStyle w:val="Hyperlink"/>
            <w:rFonts w:eastAsia="Calibri" w:cs="Calibri"/>
            <w:color w:val="auto"/>
            <w:szCs w:val="24"/>
            <w:u w:val="none"/>
          </w:rPr>
          <w:t xml:space="preserve">nternational </w:t>
        </w:r>
        <w:r w:rsidRPr="002241F8">
          <w:rPr>
            <w:rStyle w:val="Hyperlink"/>
            <w:rFonts w:eastAsia="Calibri" w:cs="Calibri"/>
            <w:color w:val="auto"/>
            <w:szCs w:val="24"/>
            <w:u w:val="none"/>
          </w:rPr>
          <w:t>M</w:t>
        </w:r>
        <w:r>
          <w:rPr>
            <w:rStyle w:val="Hyperlink"/>
            <w:rFonts w:eastAsia="Calibri" w:cs="Calibri"/>
            <w:color w:val="auto"/>
            <w:szCs w:val="24"/>
            <w:u w:val="none"/>
          </w:rPr>
          <w:t xml:space="preserve">obile </w:t>
        </w:r>
        <w:r w:rsidRPr="002241F8">
          <w:rPr>
            <w:rStyle w:val="Hyperlink"/>
            <w:rFonts w:eastAsia="Calibri" w:cs="Calibri"/>
            <w:color w:val="auto"/>
            <w:szCs w:val="24"/>
            <w:u w:val="none"/>
          </w:rPr>
          <w:t>T</w:t>
        </w:r>
        <w:r>
          <w:rPr>
            <w:rStyle w:val="Hyperlink"/>
            <w:rFonts w:eastAsia="Calibri" w:cs="Calibri"/>
            <w:color w:val="auto"/>
            <w:szCs w:val="24"/>
            <w:u w:val="none"/>
          </w:rPr>
          <w:t>elecommunication systems</w:t>
        </w:r>
        <w:r w:rsidRPr="002241F8">
          <w:rPr>
            <w:rStyle w:val="Hyperlink"/>
            <w:rFonts w:eastAsia="Calibri" w:cs="Calibri"/>
            <w:color w:val="auto"/>
            <w:szCs w:val="24"/>
            <w:u w:val="none"/>
          </w:rPr>
          <w:t>, cloud, I</w:t>
        </w:r>
        <w:r>
          <w:rPr>
            <w:rStyle w:val="Hyperlink"/>
            <w:rFonts w:eastAsia="Calibri" w:cs="Calibri"/>
            <w:color w:val="auto"/>
            <w:szCs w:val="24"/>
            <w:u w:val="none"/>
          </w:rPr>
          <w:t xml:space="preserve">nternet </w:t>
        </w:r>
        <w:r w:rsidRPr="002241F8">
          <w:rPr>
            <w:rStyle w:val="Hyperlink"/>
            <w:rFonts w:eastAsia="Calibri" w:cs="Calibri"/>
            <w:color w:val="auto"/>
            <w:szCs w:val="24"/>
            <w:u w:val="none"/>
          </w:rPr>
          <w:t>o</w:t>
        </w:r>
        <w:r>
          <w:rPr>
            <w:rStyle w:val="Hyperlink"/>
            <w:rFonts w:eastAsia="Calibri" w:cs="Calibri"/>
            <w:color w:val="auto"/>
            <w:szCs w:val="24"/>
            <w:u w:val="none"/>
          </w:rPr>
          <w:t xml:space="preserve">f </w:t>
        </w:r>
        <w:r w:rsidRPr="002241F8">
          <w:rPr>
            <w:rStyle w:val="Hyperlink"/>
            <w:rFonts w:eastAsia="Calibri" w:cs="Calibri"/>
            <w:color w:val="auto"/>
            <w:szCs w:val="24"/>
            <w:u w:val="none"/>
          </w:rPr>
          <w:t>T</w:t>
        </w:r>
        <w:r>
          <w:rPr>
            <w:rStyle w:val="Hyperlink"/>
            <w:rFonts w:eastAsia="Calibri" w:cs="Calibri"/>
            <w:color w:val="auto"/>
            <w:szCs w:val="24"/>
            <w:u w:val="none"/>
          </w:rPr>
          <w:t>hings</w:t>
        </w:r>
        <w:r w:rsidRPr="002241F8">
          <w:rPr>
            <w:rStyle w:val="Hyperlink"/>
            <w:rFonts w:eastAsia="Calibri" w:cs="Calibri"/>
            <w:color w:val="auto"/>
            <w:szCs w:val="24"/>
            <w:u w:val="none"/>
          </w:rPr>
          <w:t>, Intelligent Transport Systems, digital twin systems, quantum key distribution, access control, digital financial, privacy preserving and other smart services</w:t>
        </w:r>
      </w:hyperlink>
      <w:r w:rsidRPr="00CF1DA5">
        <w:rPr>
          <w:rFonts w:eastAsia="Calibri" w:cs="Calibri"/>
          <w:szCs w:val="24"/>
        </w:rPr>
        <w:t>.</w:t>
      </w:r>
      <w:r w:rsidRPr="007B3C14">
        <w:rPr>
          <w:rFonts w:asciiTheme="minorHAnsi" w:eastAsia="SimSun" w:hAnsiTheme="minorHAnsi" w:cstheme="minorBidi"/>
        </w:rPr>
        <w:t xml:space="preserve"> </w:t>
      </w:r>
      <w:bookmarkEnd w:id="12"/>
      <w:r w:rsidRPr="007B3C14">
        <w:rPr>
          <w:rFonts w:asciiTheme="minorHAnsi" w:eastAsia="SimSun" w:hAnsiTheme="minorHAnsi" w:cstheme="minorBidi"/>
        </w:rPr>
        <w:t>ITU-T SGs</w:t>
      </w:r>
      <w:r>
        <w:rPr>
          <w:rFonts w:asciiTheme="minorHAnsi" w:eastAsia="SimSun" w:hAnsiTheme="minorHAnsi" w:cstheme="minorBidi"/>
        </w:rPr>
        <w:t> </w:t>
      </w:r>
      <w:r w:rsidRPr="007B3C14">
        <w:rPr>
          <w:rFonts w:asciiTheme="minorHAnsi" w:eastAsia="SimSun" w:hAnsiTheme="minorHAnsi" w:cstheme="minorBidi"/>
        </w:rPr>
        <w:t xml:space="preserve">5, 11, 13, </w:t>
      </w:r>
      <w:r>
        <w:rPr>
          <w:rFonts w:asciiTheme="minorHAnsi" w:eastAsia="SimSun" w:hAnsiTheme="minorHAnsi" w:cstheme="minorBidi"/>
        </w:rPr>
        <w:t>15, 20</w:t>
      </w:r>
      <w:r w:rsidRPr="007B3C14">
        <w:rPr>
          <w:rFonts w:asciiTheme="minorHAnsi" w:eastAsia="SimSun" w:hAnsiTheme="minorHAnsi" w:cstheme="minorBidi"/>
        </w:rPr>
        <w:t xml:space="preserve"> and 2</w:t>
      </w:r>
      <w:r>
        <w:rPr>
          <w:rFonts w:asciiTheme="minorHAnsi" w:eastAsia="SimSun" w:hAnsiTheme="minorHAnsi" w:cstheme="minorBidi"/>
        </w:rPr>
        <w:t>1</w:t>
      </w:r>
      <w:r w:rsidRPr="007B3C14">
        <w:rPr>
          <w:rFonts w:asciiTheme="minorHAnsi" w:eastAsia="SimSun" w:hAnsiTheme="minorHAnsi" w:cstheme="minorBidi"/>
        </w:rPr>
        <w:t xml:space="preserve"> also approved recommendations on ICT security (see </w:t>
      </w:r>
      <w:hyperlink r:id="rId38" w:history="1">
        <w:r w:rsidRPr="00E23465">
          <w:rPr>
            <w:rStyle w:val="Hyperlink"/>
            <w:rFonts w:eastAsia="SimSun"/>
            <w:shd w:val="clear" w:color="auto" w:fill="FFFFFF"/>
            <w:lang w:val="en-US"/>
          </w:rPr>
          <w:t>catalogue of ITU-T Recommendations</w:t>
        </w:r>
      </w:hyperlink>
      <w:r w:rsidRPr="007B3C14">
        <w:rPr>
          <w:rFonts w:asciiTheme="minorHAnsi" w:eastAsia="SimSun" w:hAnsiTheme="minorHAnsi" w:cstheme="minorBidi"/>
          <w:lang w:val="en-US"/>
        </w:rPr>
        <w:t>)</w:t>
      </w:r>
      <w:r w:rsidRPr="007B3C14">
        <w:rPr>
          <w:rFonts w:asciiTheme="minorHAnsi" w:eastAsia="SimSun" w:hAnsiTheme="minorHAnsi" w:cstheme="minorBidi"/>
        </w:rPr>
        <w:t xml:space="preserve"> across a wide range of issues from </w:t>
      </w:r>
      <w:r>
        <w:rPr>
          <w:rFonts w:asciiTheme="minorHAnsi" w:eastAsia="SimSun" w:hAnsiTheme="minorHAnsi" w:cstheme="minorBidi"/>
        </w:rPr>
        <w:t>combating counterfeit and stolen ICT mobile devices,</w:t>
      </w:r>
      <w:r w:rsidRPr="006C7D27">
        <w:rPr>
          <w:rFonts w:eastAsia="Calibri" w:cs="Calibri"/>
          <w:szCs w:val="24"/>
        </w:rPr>
        <w:t xml:space="preserve"> </w:t>
      </w:r>
      <w:r w:rsidRPr="007B3C14">
        <w:rPr>
          <w:rFonts w:eastAsia="Calibri" w:cs="Calibri"/>
          <w:szCs w:val="24"/>
        </w:rPr>
        <w:t>trust</w:t>
      </w:r>
      <w:r>
        <w:rPr>
          <w:rFonts w:eastAsia="Calibri" w:cs="Calibri"/>
          <w:szCs w:val="24"/>
        </w:rPr>
        <w:t>worthiness of IMT-2020 and beyond</w:t>
      </w:r>
      <w:r w:rsidRPr="007B3C14">
        <w:rPr>
          <w:rFonts w:eastAsia="Calibri" w:cs="Calibri"/>
          <w:szCs w:val="24"/>
        </w:rPr>
        <w:t>,</w:t>
      </w:r>
      <w:r>
        <w:rPr>
          <w:rFonts w:asciiTheme="minorHAnsi" w:eastAsia="SimSun" w:hAnsiTheme="minorHAnsi" w:cstheme="minorBidi"/>
        </w:rPr>
        <w:t xml:space="preserve"> infrastructure (e.g. power grid, </w:t>
      </w:r>
      <w:r w:rsidRPr="004F5CD5">
        <w:rPr>
          <w:rFonts w:asciiTheme="minorHAnsi" w:eastAsia="SimSun" w:hAnsiTheme="minorHAnsi" w:cstheme="minorBidi"/>
        </w:rPr>
        <w:t>passive optical network</w:t>
      </w:r>
      <w:r>
        <w:rPr>
          <w:rFonts w:asciiTheme="minorHAnsi" w:eastAsia="SimSun" w:hAnsiTheme="minorHAnsi" w:cstheme="minorBidi"/>
        </w:rPr>
        <w:t>), fixed, mobile and satellite convergence</w:t>
      </w:r>
      <w:r w:rsidRPr="007B3C14">
        <w:rPr>
          <w:rFonts w:asciiTheme="minorHAnsi" w:eastAsia="SimSun" w:hAnsiTheme="minorHAnsi" w:cstheme="minorBidi"/>
        </w:rPr>
        <w:t>, security</w:t>
      </w:r>
      <w:r>
        <w:rPr>
          <w:rFonts w:asciiTheme="minorHAnsi" w:eastAsia="SimSun" w:hAnsiTheme="minorHAnsi" w:cstheme="minorBidi"/>
        </w:rPr>
        <w:t xml:space="preserve"> of IoT, metaverse and smart cities, digital rights management for video/audio content</w:t>
      </w:r>
      <w:r w:rsidRPr="007B3C14">
        <w:rPr>
          <w:rFonts w:asciiTheme="minorHAnsi" w:eastAsia="SimSun" w:hAnsiTheme="minorHAnsi" w:cstheme="minorBidi"/>
        </w:rPr>
        <w:t xml:space="preserve"> distribution</w:t>
      </w:r>
      <w:r>
        <w:rPr>
          <w:rFonts w:asciiTheme="minorHAnsi" w:eastAsia="SimSun" w:hAnsiTheme="minorHAnsi" w:cstheme="minorBidi"/>
        </w:rPr>
        <w:t>, and multimedia authenticity</w:t>
      </w:r>
      <w:r w:rsidRPr="007B3C14">
        <w:rPr>
          <w:rFonts w:asciiTheme="minorHAnsi" w:eastAsia="SimSun" w:hAnsiTheme="minorHAnsi" w:cstheme="minorBidi"/>
        </w:rPr>
        <w:t>.</w:t>
      </w:r>
    </w:p>
    <w:p w14:paraId="4FCF6EEE" w14:textId="77777777" w:rsidR="00892389" w:rsidRPr="007B3C14" w:rsidRDefault="00892389" w:rsidP="00A51A6D">
      <w:pPr>
        <w:tabs>
          <w:tab w:val="clear" w:pos="567"/>
          <w:tab w:val="clear" w:pos="1134"/>
          <w:tab w:val="clear" w:pos="1701"/>
          <w:tab w:val="clear" w:pos="2268"/>
          <w:tab w:val="clear" w:pos="2835"/>
        </w:tabs>
        <w:jc w:val="both"/>
        <w:rPr>
          <w:rFonts w:eastAsia="Calibri" w:cs="Calibri"/>
          <w:szCs w:val="24"/>
        </w:rPr>
      </w:pPr>
      <w:r w:rsidRPr="007B3C14">
        <w:rPr>
          <w:rFonts w:eastAsia="Calibri" w:cs="Calibri"/>
          <w:szCs w:val="24"/>
        </w:rPr>
        <w:t>2.</w:t>
      </w:r>
      <w:r>
        <w:rPr>
          <w:rFonts w:eastAsia="Calibri" w:cs="Calibri"/>
          <w:szCs w:val="24"/>
        </w:rPr>
        <w:t>2</w:t>
      </w:r>
      <w:r w:rsidRPr="007B3C14">
        <w:rPr>
          <w:rFonts w:eastAsia="Calibri" w:cs="Calibri"/>
          <w:szCs w:val="24"/>
        </w:rPr>
        <w:tab/>
        <w:t xml:space="preserve">SG11 continues its activities on </w:t>
      </w:r>
      <w:hyperlink r:id="rId39" w:history="1">
        <w:r w:rsidRPr="00E23465">
          <w:rPr>
            <w:rStyle w:val="Hyperlink"/>
            <w:rFonts w:eastAsia="SimSun"/>
            <w:shd w:val="clear" w:color="auto" w:fill="FFFFFF"/>
            <w:lang w:val="en-US"/>
          </w:rPr>
          <w:t>signalling security</w:t>
        </w:r>
      </w:hyperlink>
      <w:r w:rsidRPr="007B3C14">
        <w:rPr>
          <w:rFonts w:eastAsia="Calibri" w:cs="Calibri"/>
          <w:szCs w:val="24"/>
        </w:rPr>
        <w:t xml:space="preserve"> to combat </w:t>
      </w:r>
      <w:r>
        <w:rPr>
          <w:rFonts w:eastAsia="Calibri" w:cs="Calibri"/>
          <w:szCs w:val="24"/>
        </w:rPr>
        <w:t xml:space="preserve">counterfeit and stolen ICT mobile devices and </w:t>
      </w:r>
      <w:r w:rsidRPr="007B3C14">
        <w:rPr>
          <w:rFonts w:eastAsia="Calibri" w:cs="Calibri"/>
          <w:szCs w:val="24"/>
        </w:rPr>
        <w:t>attacks on telephone networks (e.g. telephone spam, robocalls, spoofing numbers, etc). After ITU-T Q.3057 (2020), which describes the use of digital signature (digital certificates) in the signalling exchange, Q.3062 (2022) “Signalling procedures and protocols for enabling interconnection between trustable network entities in support of existing and emerging networks” and Q.3063 (2022) “Signalling procedures of calling line identification authentication”, SG11 approved in 2023 amendments to SS7 and BICC related standards to support calling line identification authentication</w:t>
      </w:r>
      <w:r>
        <w:rPr>
          <w:rFonts w:eastAsia="Calibri" w:cs="Calibri"/>
          <w:szCs w:val="24"/>
        </w:rPr>
        <w:t>, and Q.5054 “</w:t>
      </w:r>
      <w:r w:rsidRPr="00B153BE">
        <w:rPr>
          <w:rFonts w:eastAsia="Calibri" w:cs="Calibri"/>
          <w:szCs w:val="24"/>
        </w:rPr>
        <w:t>Consumer centric framework for combating counterfeit and stolen ICT mobile devices</w:t>
      </w:r>
      <w:r>
        <w:rPr>
          <w:rFonts w:eastAsia="Calibri" w:cs="Calibri"/>
          <w:szCs w:val="24"/>
        </w:rPr>
        <w:t>”</w:t>
      </w:r>
      <w:r w:rsidRPr="00B153BE">
        <w:rPr>
          <w:rFonts w:eastAsia="Calibri" w:cs="Calibri"/>
          <w:szCs w:val="24"/>
        </w:rPr>
        <w:t xml:space="preserve"> </w:t>
      </w:r>
      <w:r>
        <w:rPr>
          <w:rFonts w:eastAsia="Calibri" w:cs="Calibri"/>
          <w:szCs w:val="24"/>
        </w:rPr>
        <w:t>in 2025</w:t>
      </w:r>
      <w:r w:rsidRPr="007B3C14">
        <w:rPr>
          <w:rFonts w:eastAsia="Calibri" w:cs="Calibri"/>
          <w:szCs w:val="24"/>
        </w:rPr>
        <w:t>.</w:t>
      </w:r>
    </w:p>
    <w:p w14:paraId="63DF7F8B" w14:textId="4E0FB01A" w:rsidR="00892389" w:rsidRPr="007B3C14" w:rsidRDefault="00892389" w:rsidP="00A51A6D">
      <w:pPr>
        <w:tabs>
          <w:tab w:val="clear" w:pos="567"/>
          <w:tab w:val="clear" w:pos="1134"/>
          <w:tab w:val="clear" w:pos="1701"/>
          <w:tab w:val="clear" w:pos="2268"/>
          <w:tab w:val="clear" w:pos="2835"/>
        </w:tabs>
        <w:jc w:val="both"/>
        <w:rPr>
          <w:rFonts w:asciiTheme="minorHAnsi" w:eastAsia="SimSun" w:hAnsiTheme="minorHAnsi" w:cstheme="minorBidi"/>
          <w:b/>
          <w:sz w:val="22"/>
          <w:szCs w:val="22"/>
          <w:lang w:eastAsia="zh-CN"/>
        </w:rPr>
      </w:pPr>
      <w:r w:rsidRPr="63B0A86E">
        <w:rPr>
          <w:rFonts w:asciiTheme="minorHAnsi" w:eastAsia="SimSun" w:hAnsiTheme="minorHAnsi" w:cstheme="minorBidi"/>
          <w:lang w:eastAsia="zh-CN"/>
        </w:rPr>
        <w:t>2.3</w:t>
      </w:r>
      <w:r>
        <w:tab/>
      </w:r>
      <w:r w:rsidRPr="63B0A86E">
        <w:rPr>
          <w:rFonts w:asciiTheme="minorHAnsi" w:eastAsia="SimSun" w:hAnsiTheme="minorHAnsi" w:cstheme="minorBidi"/>
          <w:spacing w:val="2"/>
          <w:lang w:eastAsia="zh-CN"/>
        </w:rPr>
        <w:t>ITU-R has established clear security principles for International Mobile Telecommunication</w:t>
      </w:r>
      <w:r w:rsidRPr="63B0A86E">
        <w:rPr>
          <w:rFonts w:asciiTheme="minorHAnsi" w:eastAsia="SimSun" w:hAnsiTheme="minorHAnsi" w:cstheme="minorBidi"/>
          <w:lang w:eastAsia="zh-CN"/>
        </w:rPr>
        <w:t xml:space="preserve"> (IMT) (3G, 4G and 5G) </w:t>
      </w:r>
      <w:r w:rsidRPr="63B0A86E">
        <w:rPr>
          <w:rFonts w:asciiTheme="minorHAnsi" w:eastAsia="SimSun" w:hAnsiTheme="minorHAnsi" w:cstheme="minorBidi"/>
          <w:spacing w:val="-4"/>
          <w:lang w:eastAsia="zh-CN"/>
        </w:rPr>
        <w:t>networks. It has also issued</w:t>
      </w:r>
      <w:r w:rsidRPr="63B0A86E">
        <w:rPr>
          <w:rFonts w:asciiTheme="minorHAnsi" w:eastAsia="SimSun" w:hAnsiTheme="minorHAnsi" w:cstheme="minorBidi"/>
          <w:lang w:eastAsia="zh-CN"/>
        </w:rPr>
        <w:t xml:space="preserve"> </w:t>
      </w:r>
      <w:r w:rsidRPr="63B0A86E">
        <w:rPr>
          <w:rFonts w:asciiTheme="minorHAnsi" w:eastAsia="SimSun" w:hAnsiTheme="minorHAnsi" w:cstheme="minorBidi"/>
          <w:spacing w:val="2"/>
          <w:lang w:eastAsia="zh-CN"/>
        </w:rPr>
        <w:t xml:space="preserve">Recommendations on security </w:t>
      </w:r>
      <w:r w:rsidRPr="00EC0791">
        <w:rPr>
          <w:rFonts w:eastAsia="SimSun"/>
        </w:rPr>
        <w:t>issues</w:t>
      </w:r>
      <w:r w:rsidRPr="63B0A86E">
        <w:rPr>
          <w:rFonts w:asciiTheme="minorHAnsi" w:eastAsia="SimSun" w:hAnsiTheme="minorHAnsi" w:cstheme="minorBidi"/>
          <w:spacing w:val="2"/>
          <w:lang w:eastAsia="zh-CN"/>
        </w:rPr>
        <w:t xml:space="preserve"> in network management architecture for digital satellite systems </w:t>
      </w:r>
      <w:r w:rsidRPr="63B0A86E">
        <w:rPr>
          <w:rFonts w:asciiTheme="minorHAnsi" w:eastAsia="SimSun" w:hAnsiTheme="minorHAnsi" w:cstheme="minorBidi"/>
          <w:lang w:eastAsia="zh-CN"/>
        </w:rPr>
        <w:t xml:space="preserve">and performance enhancements of transmission control protocol over satellite networks (see </w:t>
      </w:r>
      <w:hyperlink r:id="rId40" w:history="1">
        <w:r w:rsidRPr="00E23465">
          <w:rPr>
            <w:rStyle w:val="Hyperlink"/>
            <w:rFonts w:eastAsia="SimSun"/>
            <w:shd w:val="clear" w:color="auto" w:fill="FFFFFF"/>
            <w:lang w:val="en-US"/>
          </w:rPr>
          <w:t>here</w:t>
        </w:r>
      </w:hyperlink>
      <w:r w:rsidRPr="63B0A86E">
        <w:rPr>
          <w:rFonts w:asciiTheme="minorHAnsi" w:eastAsia="SimSun" w:hAnsiTheme="minorHAnsi" w:cstheme="minorBidi"/>
          <w:lang w:eastAsia="zh-CN"/>
        </w:rPr>
        <w:t xml:space="preserve">). Information on Futuristic mobile technologies – “IMT for 2020 and beyond” can be found </w:t>
      </w:r>
      <w:hyperlink r:id="rId41" w:history="1">
        <w:r w:rsidRPr="00E23465">
          <w:rPr>
            <w:rStyle w:val="Hyperlink"/>
            <w:rFonts w:eastAsia="SimSun"/>
            <w:shd w:val="clear" w:color="auto" w:fill="FFFFFF"/>
            <w:lang w:val="en-US"/>
          </w:rPr>
          <w:t>here</w:t>
        </w:r>
      </w:hyperlink>
      <w:r w:rsidRPr="63B0A86E">
        <w:rPr>
          <w:rFonts w:asciiTheme="minorHAnsi" w:eastAsia="SimSun" w:hAnsiTheme="minorHAnsi" w:cstheme="minorBidi"/>
          <w:lang w:eastAsia="zh-CN"/>
        </w:rPr>
        <w:t>.</w:t>
      </w:r>
    </w:p>
    <w:p w14:paraId="102CE498" w14:textId="628F0FDF" w:rsidR="00892389" w:rsidRPr="007B3C14" w:rsidRDefault="00892389" w:rsidP="00A51A6D">
      <w:pPr>
        <w:pStyle w:val="Heading1"/>
        <w:tabs>
          <w:tab w:val="clear" w:pos="567"/>
          <w:tab w:val="clear" w:pos="1134"/>
          <w:tab w:val="clear" w:pos="1701"/>
          <w:tab w:val="clear" w:pos="2268"/>
          <w:tab w:val="clear" w:pos="2835"/>
        </w:tabs>
        <w:ind w:left="0" w:firstLine="0"/>
        <w:rPr>
          <w:rFonts w:eastAsia="SimSun"/>
          <w:lang w:eastAsia="zh-CN"/>
        </w:rPr>
      </w:pPr>
      <w:r w:rsidRPr="007B3C14">
        <w:rPr>
          <w:rFonts w:eastAsia="SimSun"/>
          <w:lang w:eastAsia="zh-CN"/>
        </w:rPr>
        <w:lastRenderedPageBreak/>
        <w:t>3</w:t>
      </w:r>
      <w:r w:rsidRPr="007B3C14">
        <w:rPr>
          <w:rFonts w:eastAsia="SimSun" w:cs="Arial"/>
          <w:sz w:val="22"/>
          <w:szCs w:val="22"/>
          <w:lang w:eastAsia="zh-CN"/>
        </w:rPr>
        <w:tab/>
      </w:r>
      <w:r w:rsidRPr="007B3C14">
        <w:rPr>
          <w:rFonts w:eastAsia="SimSun"/>
          <w:lang w:eastAsia="zh-CN"/>
        </w:rPr>
        <w:t>Organizational structures</w:t>
      </w:r>
    </w:p>
    <w:p w14:paraId="254A60AE" w14:textId="77777777" w:rsidR="00892389" w:rsidRPr="007B3C14" w:rsidRDefault="00892389" w:rsidP="00A51A6D">
      <w:pPr>
        <w:tabs>
          <w:tab w:val="clear" w:pos="567"/>
          <w:tab w:val="clear" w:pos="1134"/>
          <w:tab w:val="clear" w:pos="1701"/>
          <w:tab w:val="clear" w:pos="2268"/>
          <w:tab w:val="clear" w:pos="2835"/>
        </w:tabs>
        <w:jc w:val="both"/>
        <w:rPr>
          <w:rFonts w:eastAsia="Calibri" w:cs="Calibri"/>
          <w:color w:val="000000" w:themeColor="text1"/>
        </w:rPr>
      </w:pPr>
      <w:r w:rsidRPr="523002B8">
        <w:rPr>
          <w:rFonts w:asciiTheme="minorHAnsi" w:eastAsia="SimSun" w:hAnsiTheme="minorHAnsi" w:cstheme="minorBidi"/>
          <w:color w:val="000000"/>
          <w:shd w:val="clear" w:color="auto" w:fill="FFFFFF"/>
        </w:rPr>
        <w:t>3.1</w:t>
      </w:r>
      <w:r w:rsidRPr="007B3C14">
        <w:rPr>
          <w:rFonts w:asciiTheme="minorHAnsi" w:eastAsia="SimSun" w:hAnsiTheme="minorHAnsi" w:cstheme="minorHAnsi"/>
          <w:color w:val="000000"/>
          <w:shd w:val="clear" w:color="auto" w:fill="FFFFFF"/>
        </w:rPr>
        <w:tab/>
      </w:r>
      <w:r w:rsidRPr="523002B8">
        <w:rPr>
          <w:rFonts w:asciiTheme="minorHAnsi" w:eastAsia="SimSun" w:hAnsiTheme="minorHAnsi" w:cstheme="minorBidi"/>
          <w:color w:val="000000"/>
          <w:shd w:val="clear" w:color="auto" w:fill="FFFFFF"/>
        </w:rPr>
        <w:t xml:space="preserve">Since 2012, ITU has been </w:t>
      </w:r>
      <w:r w:rsidRPr="007B3C14">
        <w:rPr>
          <w:rFonts w:eastAsia="Calibri" w:cs="Calibri"/>
          <w:color w:val="000000" w:themeColor="text1"/>
        </w:rPr>
        <w:t xml:space="preserve">collaborating with Member States, partners, and global </w:t>
      </w:r>
      <w:r w:rsidRPr="00EC0791">
        <w:rPr>
          <w:rFonts w:eastAsia="SimSun"/>
        </w:rPr>
        <w:t>organizations</w:t>
      </w:r>
      <w:r w:rsidRPr="007B3C14">
        <w:rPr>
          <w:rFonts w:eastAsia="Calibri" w:cs="Calibri"/>
          <w:color w:val="000000" w:themeColor="text1"/>
        </w:rPr>
        <w:t xml:space="preserve"> to strengthen cybersecurity by creating national and regional</w:t>
      </w:r>
      <w:r w:rsidRPr="007B3C14">
        <w:rPr>
          <w:rFonts w:eastAsia="Calibri" w:cs="Calibri"/>
          <w:lang w:val="en-US"/>
        </w:rPr>
        <w:t xml:space="preserve"> </w:t>
      </w:r>
      <w:hyperlink r:id="rId42" w:history="1">
        <w:r w:rsidRPr="00EA5E22">
          <w:rPr>
            <w:rStyle w:val="Hyperlink"/>
            <w:rFonts w:asciiTheme="minorHAnsi" w:eastAsia="SimSun" w:hAnsiTheme="minorHAnsi" w:cstheme="minorBidi"/>
            <w:shd w:val="clear" w:color="auto" w:fill="FFFFFF"/>
            <w:lang w:val="en-US"/>
          </w:rPr>
          <w:t>Computer Incident Response Teams (CIRTs)</w:t>
        </w:r>
      </w:hyperlink>
      <w:r w:rsidRPr="523002B8">
        <w:rPr>
          <w:rFonts w:asciiTheme="minorHAnsi" w:eastAsia="SimSun" w:hAnsiTheme="minorHAnsi" w:cstheme="minorBidi"/>
          <w:lang w:val="en-US"/>
        </w:rPr>
        <w:t xml:space="preserve">. </w:t>
      </w:r>
      <w:r w:rsidRPr="523002B8">
        <w:rPr>
          <w:rFonts w:eastAsia="Calibri" w:cs="Calibri"/>
          <w:color w:val="000000" w:themeColor="text1"/>
        </w:rPr>
        <w:t xml:space="preserve">Additionally, ITU conducts CIRT Maturity Assessments to further enhance CIRT capabilities. So far, ITU has assisted </w:t>
      </w:r>
      <w:r w:rsidRPr="00776C2B">
        <w:rPr>
          <w:rFonts w:eastAsia="Calibri" w:cs="Calibri"/>
          <w:color w:val="000000" w:themeColor="text1"/>
        </w:rPr>
        <w:t>8</w:t>
      </w:r>
      <w:r>
        <w:rPr>
          <w:rFonts w:eastAsia="Calibri" w:cs="Calibri"/>
          <w:color w:val="000000" w:themeColor="text1"/>
        </w:rPr>
        <w:t>5</w:t>
      </w:r>
      <w:r w:rsidRPr="523002B8">
        <w:rPr>
          <w:rFonts w:eastAsia="Calibri" w:cs="Calibri"/>
          <w:color w:val="000000" w:themeColor="text1"/>
        </w:rPr>
        <w:t xml:space="preserve"> countries by evaluating their cybersecurity readiness, leading to the establishment or improvement of National CIRTs. ITU is currently working on </w:t>
      </w:r>
      <w:r>
        <w:rPr>
          <w:rFonts w:eastAsia="Calibri" w:cs="Calibri"/>
          <w:color w:val="000000" w:themeColor="text1"/>
        </w:rPr>
        <w:t>implementing CIRTs in four countries</w:t>
      </w:r>
      <w:r w:rsidRPr="523002B8">
        <w:rPr>
          <w:rFonts w:eastAsia="Calibri" w:cs="Calibri"/>
          <w:color w:val="000000" w:themeColor="text1"/>
        </w:rPr>
        <w:t xml:space="preserve">. </w:t>
      </w:r>
      <w:r w:rsidRPr="007B3C14">
        <w:rPr>
          <w:rFonts w:eastAsia="SimSun"/>
        </w:rPr>
        <w:fldChar w:fldCharType="begin"/>
      </w:r>
      <w:r w:rsidRPr="007B3C14">
        <w:rPr>
          <w:rFonts w:ascii="Arial" w:eastAsia="SimSun" w:hAnsi="Arial" w:cs="Arial"/>
          <w:lang w:val="en-US"/>
        </w:rPr>
        <w:instrText>￼￼￼</w:instrText>
      </w:r>
      <w:r w:rsidRPr="523002B8">
        <w:rPr>
          <w:rFonts w:eastAsia="Calibri" w:cs="Calibri"/>
          <w:color w:val="0563C1"/>
          <w:u w:val="single"/>
        </w:rPr>
        <w:instrText>three (3) more</w:instrText>
      </w:r>
      <w:r w:rsidRPr="007B3C14">
        <w:rPr>
          <w:rFonts w:eastAsia="SimSun"/>
        </w:rPr>
        <w:fldChar w:fldCharType="end"/>
      </w:r>
    </w:p>
    <w:p w14:paraId="316BB54D" w14:textId="77777777" w:rsidR="00892389" w:rsidRPr="007B3C14" w:rsidRDefault="00892389" w:rsidP="00A51A6D">
      <w:pPr>
        <w:tabs>
          <w:tab w:val="clear" w:pos="567"/>
          <w:tab w:val="clear" w:pos="1134"/>
          <w:tab w:val="clear" w:pos="1701"/>
          <w:tab w:val="clear" w:pos="2268"/>
          <w:tab w:val="clear" w:pos="2835"/>
        </w:tabs>
        <w:spacing w:after="120"/>
        <w:jc w:val="both"/>
        <w:rPr>
          <w:rFonts w:asciiTheme="minorHAnsi" w:eastAsia="SimSun" w:hAnsiTheme="minorHAnsi" w:cstheme="minorBidi"/>
          <w:color w:val="000000" w:themeColor="text1"/>
          <w:lang w:val="en-US"/>
        </w:rPr>
      </w:pPr>
      <w:r w:rsidRPr="07C93B0E">
        <w:rPr>
          <w:rFonts w:eastAsia="Calibri" w:cs="Calibri"/>
          <w:color w:val="000000"/>
          <w:shd w:val="clear" w:color="auto" w:fill="FFFFFF"/>
        </w:rPr>
        <w:t>ITU continues to actively collaborate with the FIRST community to enhance the Computer Security Incident Response Team (CSIRT) Service Framework and revise training materials for capacity-building in managing national CIRT operations.</w:t>
      </w:r>
    </w:p>
    <w:p w14:paraId="0C170665" w14:textId="25CE770F" w:rsidR="00892389" w:rsidRPr="007B3C14" w:rsidRDefault="00892389" w:rsidP="00A51A6D">
      <w:pPr>
        <w:tabs>
          <w:tab w:val="clear" w:pos="567"/>
          <w:tab w:val="clear" w:pos="1134"/>
          <w:tab w:val="clear" w:pos="1701"/>
          <w:tab w:val="clear" w:pos="2268"/>
          <w:tab w:val="clear" w:pos="2835"/>
        </w:tabs>
        <w:jc w:val="both"/>
        <w:rPr>
          <w:rFonts w:asciiTheme="minorHAnsi" w:eastAsia="SimSun" w:hAnsiTheme="minorHAnsi" w:cstheme="minorBidi"/>
          <w:color w:val="000000"/>
          <w:shd w:val="clear" w:color="auto" w:fill="FFFFFF"/>
          <w:lang w:val="en-US"/>
        </w:rPr>
      </w:pPr>
      <w:r w:rsidRPr="007B3C14">
        <w:rPr>
          <w:rFonts w:asciiTheme="minorHAnsi" w:eastAsia="SimSun" w:hAnsiTheme="minorHAnsi" w:cstheme="minorBidi"/>
          <w:color w:val="000000"/>
          <w:shd w:val="clear" w:color="auto" w:fill="FFFFFF"/>
          <w:lang w:val="en-US"/>
        </w:rPr>
        <w:t>3.2</w:t>
      </w:r>
      <w:r w:rsidRPr="007B3C14">
        <w:rPr>
          <w:rFonts w:asciiTheme="minorHAnsi" w:eastAsia="SimSun" w:hAnsiTheme="minorHAnsi" w:cstheme="minorHAnsi"/>
          <w:color w:val="000000"/>
          <w:shd w:val="clear" w:color="auto" w:fill="FFFFFF"/>
          <w:lang w:val="en-US"/>
        </w:rPr>
        <w:tab/>
      </w:r>
      <w:r w:rsidRPr="007B3C14">
        <w:rPr>
          <w:rFonts w:asciiTheme="minorHAnsi" w:eastAsia="SimSun" w:hAnsiTheme="minorHAnsi" w:cstheme="minorBidi"/>
          <w:color w:val="000000"/>
          <w:shd w:val="clear" w:color="auto" w:fill="FFFFFF"/>
          <w:lang w:val="en-US"/>
        </w:rPr>
        <w:t xml:space="preserve">As of </w:t>
      </w:r>
      <w:r w:rsidRPr="00EC0791">
        <w:rPr>
          <w:rFonts w:eastAsia="SimSun"/>
        </w:rPr>
        <w:t>May</w:t>
      </w:r>
      <w:r w:rsidRPr="007B3C14">
        <w:rPr>
          <w:rFonts w:asciiTheme="minorHAnsi" w:eastAsia="SimSun" w:hAnsiTheme="minorHAnsi" w:cstheme="minorBidi"/>
          <w:color w:val="000000" w:themeColor="text1"/>
          <w:lang w:val="en-US"/>
        </w:rPr>
        <w:t xml:space="preserve"> </w:t>
      </w:r>
      <w:r w:rsidRPr="007B3C14">
        <w:rPr>
          <w:rFonts w:asciiTheme="minorHAnsi" w:eastAsia="SimSun" w:hAnsiTheme="minorHAnsi" w:cstheme="minorBidi"/>
          <w:color w:val="000000"/>
          <w:shd w:val="clear" w:color="auto" w:fill="FFFFFF"/>
          <w:lang w:val="en-US"/>
        </w:rPr>
        <w:t>202</w:t>
      </w:r>
      <w:r>
        <w:rPr>
          <w:rFonts w:asciiTheme="minorHAnsi" w:eastAsia="SimSun" w:hAnsiTheme="minorHAnsi" w:cstheme="minorBidi"/>
          <w:color w:val="000000"/>
          <w:shd w:val="clear" w:color="auto" w:fill="FFFFFF"/>
          <w:lang w:val="en-US"/>
        </w:rPr>
        <w:t>5</w:t>
      </w:r>
      <w:r w:rsidRPr="007B3C14">
        <w:rPr>
          <w:rFonts w:asciiTheme="minorHAnsi" w:eastAsia="SimSun" w:hAnsiTheme="minorHAnsi" w:cstheme="minorBidi"/>
          <w:color w:val="000000"/>
          <w:shd w:val="clear" w:color="auto" w:fill="FFFFFF"/>
          <w:lang w:val="en-US"/>
        </w:rPr>
        <w:t xml:space="preserve">, ITU has organized </w:t>
      </w:r>
      <w:r w:rsidRPr="007B3C14">
        <w:rPr>
          <w:rFonts w:asciiTheme="minorHAnsi" w:eastAsia="SimSun" w:hAnsiTheme="minorHAnsi" w:cstheme="minorBidi"/>
          <w:color w:val="000000" w:themeColor="text1"/>
          <w:lang w:val="en-US"/>
        </w:rPr>
        <w:t xml:space="preserve">over </w:t>
      </w:r>
      <w:r>
        <w:rPr>
          <w:rFonts w:asciiTheme="minorHAnsi" w:eastAsia="SimSun" w:hAnsiTheme="minorHAnsi" w:cstheme="minorBidi"/>
          <w:color w:val="000000" w:themeColor="text1"/>
          <w:lang w:val="en-US"/>
        </w:rPr>
        <w:t>55</w:t>
      </w:r>
      <w:r w:rsidRPr="007B3C14">
        <w:rPr>
          <w:rFonts w:asciiTheme="minorHAnsi" w:eastAsia="SimSun" w:hAnsiTheme="minorHAnsi" w:cstheme="minorBidi"/>
          <w:color w:val="000000"/>
          <w:shd w:val="clear" w:color="auto" w:fill="FFFFFF"/>
          <w:lang w:val="en-US"/>
        </w:rPr>
        <w:t xml:space="preserve"> </w:t>
      </w:r>
      <w:r w:rsidRPr="007B3C14">
        <w:rPr>
          <w:rFonts w:asciiTheme="minorHAnsi" w:eastAsia="SimSun" w:hAnsiTheme="minorHAnsi" w:cstheme="minorBidi"/>
          <w:color w:val="000000" w:themeColor="text1"/>
          <w:lang w:val="en-US"/>
        </w:rPr>
        <w:t xml:space="preserve">international, regional, or national </w:t>
      </w:r>
      <w:hyperlink r:id="rId43" w:tgtFrame="_blank" w:history="1">
        <w:proofErr w:type="spellStart"/>
        <w:r w:rsidRPr="00CF1DA5">
          <w:rPr>
            <w:rStyle w:val="Hyperlink"/>
            <w:rFonts w:eastAsiaTheme="minorEastAsia"/>
          </w:rPr>
          <w:t>CyberDrills</w:t>
        </w:r>
        <w:proofErr w:type="spellEnd"/>
      </w:hyperlink>
      <w:r w:rsidRPr="007B3C14">
        <w:rPr>
          <w:rFonts w:asciiTheme="minorHAnsi" w:eastAsia="SimSun" w:hAnsiTheme="minorHAnsi" w:cstheme="minorBidi"/>
          <w:color w:val="000000"/>
          <w:shd w:val="clear" w:color="auto" w:fill="FFFFFF"/>
          <w:lang w:val="en-US"/>
        </w:rPr>
        <w:t xml:space="preserve"> (including 3 Global </w:t>
      </w:r>
      <w:proofErr w:type="spellStart"/>
      <w:r w:rsidRPr="007B3C14">
        <w:rPr>
          <w:rFonts w:asciiTheme="minorHAnsi" w:eastAsia="SimSun" w:hAnsiTheme="minorHAnsi" w:cstheme="minorBidi"/>
          <w:color w:val="000000"/>
          <w:shd w:val="clear" w:color="auto" w:fill="FFFFFF"/>
          <w:lang w:val="en-US"/>
        </w:rPr>
        <w:t>CyberDrills</w:t>
      </w:r>
      <w:proofErr w:type="spellEnd"/>
      <w:r w:rsidRPr="007B3C14">
        <w:rPr>
          <w:rFonts w:asciiTheme="minorHAnsi" w:eastAsia="SimSun" w:hAnsiTheme="minorHAnsi" w:cstheme="minorBidi"/>
          <w:color w:val="000000"/>
          <w:shd w:val="clear" w:color="auto" w:fill="FFFFFF"/>
          <w:lang w:val="en-US"/>
        </w:rPr>
        <w:t>), involving more than 1</w:t>
      </w:r>
      <w:r>
        <w:rPr>
          <w:rFonts w:asciiTheme="minorHAnsi" w:eastAsia="SimSun" w:hAnsiTheme="minorHAnsi" w:cstheme="minorBidi"/>
          <w:color w:val="000000"/>
          <w:shd w:val="clear" w:color="auto" w:fill="FFFFFF"/>
          <w:lang w:val="en-US"/>
        </w:rPr>
        <w:t>6</w:t>
      </w:r>
      <w:r w:rsidRPr="007B3C14">
        <w:rPr>
          <w:rFonts w:asciiTheme="minorHAnsi" w:eastAsia="SimSun" w:hAnsiTheme="minorHAnsi" w:cstheme="minorBidi"/>
          <w:color w:val="000000"/>
          <w:shd w:val="clear" w:color="auto" w:fill="FFFFFF"/>
          <w:lang w:val="en-US"/>
        </w:rPr>
        <w:t>0 countries</w:t>
      </w:r>
      <w:r w:rsidRPr="007B3C14" w:rsidDel="00597921">
        <w:rPr>
          <w:rFonts w:asciiTheme="minorHAnsi" w:eastAsia="SimSun" w:hAnsiTheme="minorHAnsi" w:cstheme="minorBidi"/>
          <w:color w:val="000000"/>
          <w:shd w:val="clear" w:color="auto" w:fill="FFFFFF"/>
          <w:lang w:val="en-US"/>
        </w:rPr>
        <w:t xml:space="preserve"> </w:t>
      </w:r>
      <w:r w:rsidRPr="007B3C14">
        <w:rPr>
          <w:rFonts w:asciiTheme="minorHAnsi" w:eastAsia="SimSun" w:hAnsiTheme="minorHAnsi" w:cstheme="minorBidi"/>
          <w:color w:val="000000"/>
          <w:shd w:val="clear" w:color="auto" w:fill="FFFFFF"/>
          <w:lang w:val="en-US"/>
        </w:rPr>
        <w:t xml:space="preserve">across all </w:t>
      </w:r>
      <w:r w:rsidRPr="007B3C14">
        <w:rPr>
          <w:rFonts w:asciiTheme="minorHAnsi" w:eastAsia="SimSun" w:hAnsiTheme="minorHAnsi" w:cstheme="minorBidi"/>
          <w:color w:val="000000" w:themeColor="text1"/>
          <w:lang w:val="en-US"/>
        </w:rPr>
        <w:t xml:space="preserve">six </w:t>
      </w:r>
      <w:r w:rsidRPr="007B3C14">
        <w:rPr>
          <w:rFonts w:asciiTheme="minorHAnsi" w:eastAsia="SimSun" w:hAnsiTheme="minorHAnsi" w:cstheme="minorBidi"/>
          <w:color w:val="000000"/>
          <w:shd w:val="clear" w:color="auto" w:fill="FFFFFF"/>
          <w:lang w:val="en-US"/>
        </w:rPr>
        <w:t>ITU regions.</w:t>
      </w:r>
      <w:r w:rsidRPr="007B3C14">
        <w:rPr>
          <w:rFonts w:asciiTheme="minorHAnsi" w:eastAsia="SimSun" w:hAnsiTheme="minorHAnsi" w:cstheme="minorBidi"/>
          <w:color w:val="000000" w:themeColor="text1"/>
          <w:lang w:val="en-US"/>
        </w:rPr>
        <w:t xml:space="preserve"> </w:t>
      </w:r>
      <w:r w:rsidRPr="007B3C14" w:rsidDel="00597921">
        <w:rPr>
          <w:rFonts w:asciiTheme="minorHAnsi" w:eastAsia="SimSun" w:hAnsiTheme="minorHAnsi" w:cstheme="minorBidi"/>
          <w:color w:val="000000" w:themeColor="text1"/>
          <w:lang w:val="en-US"/>
        </w:rPr>
        <w:t xml:space="preserve">The </w:t>
      </w:r>
      <w:r>
        <w:rPr>
          <w:rFonts w:asciiTheme="minorHAnsi" w:eastAsia="SimSun" w:hAnsiTheme="minorHAnsi" w:cstheme="minorBidi"/>
          <w:color w:val="000000" w:themeColor="text1"/>
          <w:lang w:val="en-US"/>
        </w:rPr>
        <w:t>second</w:t>
      </w:r>
      <w:r w:rsidRPr="007B3C14">
        <w:rPr>
          <w:rFonts w:asciiTheme="minorHAnsi" w:eastAsia="SimSun" w:hAnsiTheme="minorHAnsi" w:cstheme="minorBidi"/>
          <w:color w:val="000000" w:themeColor="text1"/>
          <w:lang w:val="en-US"/>
        </w:rPr>
        <w:t xml:space="preserve"> global </w:t>
      </w:r>
      <w:proofErr w:type="spellStart"/>
      <w:r w:rsidRPr="007B3C14">
        <w:rPr>
          <w:rFonts w:asciiTheme="minorHAnsi" w:eastAsia="SimSun" w:hAnsiTheme="minorHAnsi" w:cstheme="minorBidi"/>
          <w:color w:val="000000" w:themeColor="text1"/>
          <w:lang w:val="en-US"/>
        </w:rPr>
        <w:t>CyberDrill</w:t>
      </w:r>
      <w:proofErr w:type="spellEnd"/>
      <w:r w:rsidRPr="007B3C14">
        <w:rPr>
          <w:rFonts w:asciiTheme="minorHAnsi" w:eastAsia="SimSun" w:hAnsiTheme="minorHAnsi" w:cstheme="minorBidi"/>
          <w:color w:val="000000" w:themeColor="text1"/>
          <w:lang w:val="en-US"/>
        </w:rPr>
        <w:t xml:space="preserve"> </w:t>
      </w:r>
      <w:r w:rsidR="00536994">
        <w:rPr>
          <w:rFonts w:asciiTheme="minorHAnsi" w:eastAsia="SimSun" w:hAnsiTheme="minorHAnsi" w:cstheme="minorBidi"/>
          <w:color w:val="000000" w:themeColor="text1"/>
          <w:lang w:val="en-US"/>
        </w:rPr>
        <w:t>was held</w:t>
      </w:r>
      <w:r w:rsidRPr="007B3C14">
        <w:rPr>
          <w:rFonts w:asciiTheme="minorHAnsi" w:eastAsia="SimSun" w:hAnsiTheme="minorHAnsi" w:cstheme="minorBidi"/>
          <w:color w:val="000000" w:themeColor="text1"/>
          <w:lang w:val="en-US"/>
        </w:rPr>
        <w:t xml:space="preserve"> in </w:t>
      </w:r>
      <w:r>
        <w:rPr>
          <w:rFonts w:asciiTheme="minorHAnsi" w:eastAsia="SimSun" w:hAnsiTheme="minorHAnsi" w:cstheme="minorBidi"/>
          <w:color w:val="000000" w:themeColor="text1"/>
          <w:lang w:val="en-US"/>
        </w:rPr>
        <w:t>May</w:t>
      </w:r>
      <w:r w:rsidRPr="007B3C14">
        <w:rPr>
          <w:rFonts w:asciiTheme="minorHAnsi" w:eastAsia="SimSun" w:hAnsiTheme="minorHAnsi" w:cstheme="minorBidi"/>
          <w:color w:val="000000" w:themeColor="text1"/>
          <w:lang w:val="en-US"/>
        </w:rPr>
        <w:t xml:space="preserve"> 202</w:t>
      </w:r>
      <w:r>
        <w:rPr>
          <w:rFonts w:asciiTheme="minorHAnsi" w:eastAsia="SimSun" w:hAnsiTheme="minorHAnsi" w:cstheme="minorBidi"/>
          <w:color w:val="000000" w:themeColor="text1"/>
          <w:lang w:val="en-US"/>
        </w:rPr>
        <w:t>5</w:t>
      </w:r>
      <w:r w:rsidRPr="007B3C14">
        <w:rPr>
          <w:rFonts w:asciiTheme="minorHAnsi" w:eastAsia="SimSun" w:hAnsiTheme="minorHAnsi" w:cstheme="minorBidi"/>
          <w:color w:val="000000" w:themeColor="text1"/>
          <w:lang w:val="en-US"/>
        </w:rPr>
        <w:t xml:space="preserve">, hosted by the Cybersecurity Council of the United Arab Emirates. </w:t>
      </w:r>
    </w:p>
    <w:p w14:paraId="6A5D05BD" w14:textId="2560B6A7" w:rsidR="00892389" w:rsidRPr="007B3C14" w:rsidRDefault="00892389" w:rsidP="00A51A6D">
      <w:pPr>
        <w:pStyle w:val="Heading1"/>
        <w:tabs>
          <w:tab w:val="clear" w:pos="567"/>
          <w:tab w:val="clear" w:pos="1134"/>
          <w:tab w:val="clear" w:pos="1701"/>
          <w:tab w:val="clear" w:pos="2268"/>
          <w:tab w:val="clear" w:pos="2835"/>
        </w:tabs>
        <w:ind w:left="0" w:firstLine="0"/>
        <w:rPr>
          <w:rFonts w:eastAsia="SimSun"/>
        </w:rPr>
      </w:pPr>
      <w:r w:rsidRPr="007B3C14">
        <w:rPr>
          <w:rFonts w:eastAsia="SimSun"/>
        </w:rPr>
        <w:t>4</w:t>
      </w:r>
      <w:r w:rsidRPr="007B3C14">
        <w:rPr>
          <w:rFonts w:eastAsia="SimSun"/>
        </w:rPr>
        <w:tab/>
        <w:t>Capacity building</w:t>
      </w:r>
    </w:p>
    <w:p w14:paraId="0DB21495" w14:textId="77777777" w:rsidR="00892389" w:rsidRPr="007B3C14" w:rsidRDefault="00892389" w:rsidP="00A51A6D">
      <w:pPr>
        <w:tabs>
          <w:tab w:val="clear" w:pos="567"/>
          <w:tab w:val="clear" w:pos="1134"/>
          <w:tab w:val="clear" w:pos="1701"/>
          <w:tab w:val="clear" w:pos="2268"/>
          <w:tab w:val="clear" w:pos="2835"/>
        </w:tabs>
        <w:jc w:val="both"/>
        <w:rPr>
          <w:rFonts w:asciiTheme="minorHAnsi" w:hAnsiTheme="minorHAnsi" w:cstheme="minorBidi"/>
          <w:szCs w:val="24"/>
          <w:lang w:eastAsia="en-GB"/>
        </w:rPr>
      </w:pPr>
      <w:r w:rsidRPr="007B3C14">
        <w:rPr>
          <w:rFonts w:asciiTheme="minorHAnsi" w:eastAsiaTheme="minorEastAsia" w:hAnsiTheme="minorHAnsi" w:cstheme="minorBidi"/>
          <w:szCs w:val="24"/>
          <w:lang w:eastAsia="en-GB"/>
        </w:rPr>
        <w:t>4.1</w:t>
      </w:r>
      <w:r w:rsidRPr="007B3C14">
        <w:rPr>
          <w:rFonts w:ascii="Times New Roman" w:hAnsi="Times New Roman"/>
          <w:szCs w:val="24"/>
          <w:lang w:eastAsia="en-GB"/>
        </w:rPr>
        <w:tab/>
      </w:r>
      <w:r w:rsidRPr="007B3C14">
        <w:rPr>
          <w:rFonts w:asciiTheme="minorHAnsi" w:eastAsiaTheme="minorEastAsia" w:hAnsiTheme="minorHAnsi" w:cstheme="minorBidi"/>
          <w:szCs w:val="24"/>
          <w:lang w:eastAsia="en-GB"/>
        </w:rPr>
        <w:t xml:space="preserve">BDT organized regional </w:t>
      </w:r>
      <w:r w:rsidRPr="00EC0791">
        <w:rPr>
          <w:rFonts w:eastAsia="SimSun"/>
        </w:rPr>
        <w:t>cybersecurity</w:t>
      </w:r>
      <w:r w:rsidRPr="007B3C14">
        <w:rPr>
          <w:rFonts w:asciiTheme="minorHAnsi" w:eastAsiaTheme="minorEastAsia" w:hAnsiTheme="minorHAnsi" w:cstheme="minorBidi"/>
          <w:szCs w:val="24"/>
          <w:lang w:eastAsia="en-GB"/>
        </w:rPr>
        <w:t xml:space="preserve"> forums for all ITU regions to build capacity.</w:t>
      </w:r>
    </w:p>
    <w:p w14:paraId="03CC4158" w14:textId="4AE3A698" w:rsidR="00892389" w:rsidRPr="007B3C14" w:rsidRDefault="00892389" w:rsidP="00A51A6D">
      <w:pPr>
        <w:tabs>
          <w:tab w:val="clear" w:pos="567"/>
          <w:tab w:val="clear" w:pos="1134"/>
          <w:tab w:val="clear" w:pos="1701"/>
          <w:tab w:val="clear" w:pos="2268"/>
          <w:tab w:val="clear" w:pos="2835"/>
        </w:tabs>
        <w:jc w:val="both"/>
        <w:rPr>
          <w:rFonts w:asciiTheme="minorHAnsi" w:hAnsiTheme="minorHAnsi" w:cstheme="minorHAnsi"/>
          <w:szCs w:val="24"/>
          <w:lang w:eastAsia="en-GB"/>
        </w:rPr>
      </w:pPr>
      <w:r w:rsidRPr="00EC0791">
        <w:rPr>
          <w:rFonts w:eastAsia="SimSun"/>
        </w:rPr>
        <w:t>Following</w:t>
      </w:r>
      <w:r w:rsidRPr="007B3C14">
        <w:rPr>
          <w:rFonts w:asciiTheme="minorHAnsi" w:eastAsiaTheme="minorEastAsia" w:hAnsiTheme="minorHAnsi" w:cstheme="minorHAnsi"/>
          <w:szCs w:val="24"/>
          <w:lang w:val="en-US" w:eastAsia="en-GB"/>
        </w:rPr>
        <w:t xml:space="preserve"> WTDC 2022, work on Question 3/2 continues (</w:t>
      </w:r>
      <w:hyperlink r:id="rId44" w:tgtFrame="_blank" w:history="1">
        <w:r w:rsidRPr="00CF1DA5">
          <w:rPr>
            <w:rStyle w:val="Hyperlink"/>
            <w:rFonts w:eastAsiaTheme="minorEastAsia" w:cstheme="minorBidi"/>
          </w:rPr>
          <w:t>Securing information and communication networks: Best practices for developing a culture of cybersecurity</w:t>
        </w:r>
      </w:hyperlink>
      <w:r w:rsidRPr="007B3C14">
        <w:rPr>
          <w:rFonts w:asciiTheme="minorHAnsi" w:eastAsiaTheme="minorEastAsia" w:hAnsiTheme="minorHAnsi" w:cstheme="minorHAnsi"/>
          <w:szCs w:val="24"/>
          <w:lang w:val="en-US" w:eastAsia="en-GB"/>
        </w:rPr>
        <w:t>).</w:t>
      </w:r>
    </w:p>
    <w:p w14:paraId="4DF37CB3" w14:textId="77777777" w:rsidR="00892389" w:rsidRPr="007B3C14" w:rsidRDefault="00892389" w:rsidP="00A51A6D">
      <w:pPr>
        <w:tabs>
          <w:tab w:val="clear" w:pos="567"/>
          <w:tab w:val="clear" w:pos="1134"/>
          <w:tab w:val="clear" w:pos="1701"/>
          <w:tab w:val="clear" w:pos="2268"/>
          <w:tab w:val="clear" w:pos="2835"/>
        </w:tabs>
        <w:jc w:val="both"/>
        <w:rPr>
          <w:rFonts w:asciiTheme="minorHAnsi" w:eastAsiaTheme="minorEastAsia" w:hAnsiTheme="minorHAnsi" w:cstheme="minorBidi"/>
          <w:szCs w:val="24"/>
          <w:lang w:val="en-US" w:eastAsia="en-GB"/>
        </w:rPr>
      </w:pPr>
      <w:r w:rsidRPr="007B3C14">
        <w:rPr>
          <w:rFonts w:asciiTheme="minorHAnsi" w:eastAsiaTheme="minorEastAsia" w:hAnsiTheme="minorHAnsi" w:cstheme="minorBidi"/>
          <w:szCs w:val="24"/>
          <w:lang w:val="en-US" w:eastAsia="en-GB"/>
        </w:rPr>
        <w:t>4.2</w:t>
      </w:r>
      <w:r w:rsidRPr="007B3C14">
        <w:rPr>
          <w:rFonts w:ascii="Times New Roman" w:hAnsi="Times New Roman"/>
          <w:szCs w:val="24"/>
          <w:lang w:eastAsia="en-GB"/>
        </w:rPr>
        <w:tab/>
      </w:r>
      <w:r w:rsidRPr="007B3C14">
        <w:rPr>
          <w:rFonts w:asciiTheme="minorHAnsi" w:eastAsiaTheme="minorEastAsia" w:hAnsiTheme="minorHAnsi" w:cstheme="minorBidi"/>
          <w:szCs w:val="24"/>
          <w:lang w:val="en-US" w:eastAsia="en-GB"/>
        </w:rPr>
        <w:t xml:space="preserve">ITU </w:t>
      </w:r>
      <w:r>
        <w:rPr>
          <w:rFonts w:asciiTheme="minorHAnsi" w:eastAsiaTheme="minorEastAsia" w:hAnsiTheme="minorHAnsi" w:cstheme="minorBidi"/>
          <w:szCs w:val="24"/>
          <w:lang w:val="en-US" w:eastAsia="en-GB"/>
        </w:rPr>
        <w:t xml:space="preserve">is in the process of updating the Guide to Developing a National Cybersecurity Strategy </w:t>
      </w:r>
      <w:r w:rsidRPr="007B3C14">
        <w:rPr>
          <w:rFonts w:asciiTheme="minorHAnsi" w:eastAsiaTheme="minorEastAsia" w:hAnsiTheme="minorHAnsi" w:cstheme="minorBidi"/>
          <w:szCs w:val="24"/>
          <w:lang w:val="en-US" w:eastAsia="en-GB"/>
        </w:rPr>
        <w:t>(NCS)</w:t>
      </w:r>
      <w:r>
        <w:rPr>
          <w:rFonts w:asciiTheme="minorHAnsi" w:eastAsiaTheme="minorEastAsia" w:hAnsiTheme="minorHAnsi" w:cstheme="minorBidi"/>
          <w:szCs w:val="24"/>
          <w:lang w:val="en-US" w:eastAsia="en-GB"/>
        </w:rPr>
        <w:t xml:space="preserve"> with 20 </w:t>
      </w:r>
      <w:r w:rsidRPr="00EC0791">
        <w:rPr>
          <w:rFonts w:eastAsia="SimSun"/>
        </w:rPr>
        <w:t>international</w:t>
      </w:r>
      <w:r>
        <w:rPr>
          <w:rFonts w:asciiTheme="minorHAnsi" w:eastAsiaTheme="minorEastAsia" w:hAnsiTheme="minorHAnsi" w:cstheme="minorBidi"/>
          <w:szCs w:val="24"/>
          <w:lang w:val="en-US" w:eastAsia="en-GB"/>
        </w:rPr>
        <w:t xml:space="preserve"> partners. The updated guide will build on the</w:t>
      </w:r>
      <w:r w:rsidRPr="007B3C14">
        <w:rPr>
          <w:rFonts w:ascii="Times New Roman" w:hAnsi="Times New Roman"/>
          <w:szCs w:val="24"/>
          <w:lang w:eastAsia="en-GB"/>
        </w:rPr>
        <w:t xml:space="preserve"> </w:t>
      </w:r>
      <w:hyperlink r:id="rId45" w:history="1">
        <w:r w:rsidRPr="00CF1DA5">
          <w:rPr>
            <w:rStyle w:val="Hyperlink"/>
            <w:rFonts w:asciiTheme="minorHAnsi" w:hAnsiTheme="minorHAnsi" w:cstheme="minorBidi"/>
            <w:szCs w:val="24"/>
            <w:lang w:val="en-US" w:eastAsia="en-GB"/>
          </w:rPr>
          <w:t xml:space="preserve">Second </w:t>
        </w:r>
        <w:r>
          <w:rPr>
            <w:rStyle w:val="Hyperlink"/>
            <w:rFonts w:asciiTheme="minorHAnsi" w:hAnsiTheme="minorHAnsi" w:cstheme="minorBidi"/>
            <w:szCs w:val="24"/>
            <w:lang w:val="en-US" w:eastAsia="en-GB"/>
          </w:rPr>
          <w:t>E</w:t>
        </w:r>
        <w:r w:rsidRPr="00CF1DA5">
          <w:rPr>
            <w:rStyle w:val="Hyperlink"/>
            <w:rFonts w:asciiTheme="minorHAnsi" w:hAnsiTheme="minorHAnsi" w:cstheme="minorBidi"/>
            <w:szCs w:val="24"/>
            <w:lang w:val="en-US" w:eastAsia="en-GB"/>
          </w:rPr>
          <w:t xml:space="preserve">dition </w:t>
        </w:r>
      </w:hyperlink>
      <w:r w:rsidRPr="007B3C14">
        <w:rPr>
          <w:rFonts w:asciiTheme="minorHAnsi" w:eastAsiaTheme="minorEastAsia" w:hAnsiTheme="minorHAnsi" w:cstheme="minorBidi"/>
          <w:szCs w:val="24"/>
          <w:lang w:val="en-US" w:eastAsia="en-GB"/>
        </w:rPr>
        <w:t xml:space="preserve">published </w:t>
      </w:r>
      <w:r w:rsidRPr="007B3C14">
        <w:rPr>
          <w:rFonts w:eastAsia="Calibri" w:cs="Calibri"/>
          <w:szCs w:val="24"/>
          <w:lang w:val="en-US" w:eastAsia="en-GB"/>
        </w:rPr>
        <w:t>in 2021</w:t>
      </w:r>
      <w:r>
        <w:rPr>
          <w:rFonts w:eastAsia="Calibri" w:cs="Calibri"/>
          <w:szCs w:val="24"/>
          <w:lang w:val="en-US" w:eastAsia="en-GB"/>
        </w:rPr>
        <w:t>, and is expected to launch in Q4, 2025.</w:t>
      </w:r>
      <w:r w:rsidRPr="007B3C14">
        <w:rPr>
          <w:rFonts w:eastAsia="Calibri" w:cs="Calibri"/>
          <w:szCs w:val="24"/>
          <w:lang w:val="en-US" w:eastAsia="en-GB"/>
        </w:rPr>
        <w:t xml:space="preserve"> </w:t>
      </w:r>
      <w:r>
        <w:rPr>
          <w:rFonts w:eastAsia="Calibri" w:cs="Calibri"/>
          <w:szCs w:val="24"/>
          <w:lang w:val="en-US" w:eastAsia="en-GB"/>
        </w:rPr>
        <w:t>ITU leverages the Guide when</w:t>
      </w:r>
      <w:r w:rsidRPr="007B3C14">
        <w:rPr>
          <w:rFonts w:eastAsia="Calibri" w:cs="Calibri"/>
          <w:szCs w:val="24"/>
          <w:lang w:val="en-US" w:eastAsia="en-GB"/>
        </w:rPr>
        <w:t xml:space="preserve"> working with several countries and territories to advance their cybersecurity strategies through in-person tabletop exercises and Action Plan assessments</w:t>
      </w:r>
      <w:r>
        <w:rPr>
          <w:rFonts w:eastAsia="Calibri" w:cs="Calibri"/>
          <w:szCs w:val="24"/>
          <w:lang w:val="en-US" w:eastAsia="en-GB"/>
        </w:rPr>
        <w:t>, such as</w:t>
      </w:r>
      <w:r w:rsidRPr="007B3C14">
        <w:rPr>
          <w:rFonts w:eastAsia="Calibri" w:cs="Calibri"/>
          <w:szCs w:val="24"/>
          <w:lang w:val="en-US" w:eastAsia="en-GB"/>
        </w:rPr>
        <w:t xml:space="preserve"> in collaboration with the United Kingdom</w:t>
      </w:r>
      <w:r>
        <w:rPr>
          <w:rFonts w:eastAsia="Calibri" w:cs="Calibri"/>
          <w:szCs w:val="24"/>
          <w:lang w:val="en-US" w:eastAsia="en-GB"/>
        </w:rPr>
        <w:t xml:space="preserve"> and Japan</w:t>
      </w:r>
      <w:r w:rsidRPr="007B3C14">
        <w:rPr>
          <w:rFonts w:eastAsia="Calibri" w:cs="Calibri"/>
          <w:szCs w:val="24"/>
          <w:lang w:val="en-US" w:eastAsia="en-GB"/>
        </w:rPr>
        <w:t xml:space="preserve">. </w:t>
      </w:r>
    </w:p>
    <w:p w14:paraId="1103AD8E" w14:textId="77777777" w:rsidR="00892389" w:rsidRPr="007B3C14" w:rsidRDefault="00892389" w:rsidP="00A51A6D">
      <w:pPr>
        <w:tabs>
          <w:tab w:val="clear" w:pos="567"/>
          <w:tab w:val="clear" w:pos="1134"/>
          <w:tab w:val="clear" w:pos="1701"/>
          <w:tab w:val="clear" w:pos="2268"/>
          <w:tab w:val="clear" w:pos="2835"/>
        </w:tabs>
        <w:jc w:val="both"/>
        <w:rPr>
          <w:rFonts w:eastAsia="Calibri" w:cs="Calibri"/>
          <w:lang w:val="en-US"/>
        </w:rPr>
      </w:pPr>
      <w:r w:rsidRPr="007B3C14">
        <w:rPr>
          <w:rFonts w:asciiTheme="minorHAnsi" w:eastAsiaTheme="minorEastAsia" w:hAnsiTheme="minorHAnsi" w:cstheme="minorBidi"/>
        </w:rPr>
        <w:t>4.3</w:t>
      </w:r>
      <w:r w:rsidRPr="007B3C14">
        <w:rPr>
          <w:rFonts w:eastAsia="SimSun"/>
        </w:rPr>
        <w:tab/>
      </w:r>
      <w:r w:rsidRPr="007B3C14">
        <w:rPr>
          <w:rFonts w:asciiTheme="minorHAnsi" w:eastAsiaTheme="minorEastAsia" w:hAnsiTheme="minorHAnsi" w:cstheme="minorBidi"/>
        </w:rPr>
        <w:t xml:space="preserve">Through the </w:t>
      </w:r>
      <w:hyperlink r:id="rId46">
        <w:r w:rsidRPr="00CF1DA5">
          <w:rPr>
            <w:rStyle w:val="Hyperlink"/>
            <w:rFonts w:eastAsiaTheme="minorEastAsia"/>
            <w:szCs w:val="24"/>
            <w:lang w:val="en-US" w:eastAsia="en-GB"/>
          </w:rPr>
          <w:t>ITU Academy</w:t>
        </w:r>
      </w:hyperlink>
      <w:r w:rsidRPr="007B3C14">
        <w:rPr>
          <w:rFonts w:asciiTheme="minorHAnsi" w:eastAsiaTheme="minorEastAsia" w:hAnsiTheme="minorHAnsi" w:cstheme="minorBidi"/>
        </w:rPr>
        <w:t xml:space="preserve">, and the ITU Centres of Excellence and Academy Training Centres, ITU </w:t>
      </w:r>
      <w:r w:rsidRPr="00EC0791">
        <w:rPr>
          <w:rFonts w:eastAsia="SimSun"/>
        </w:rPr>
        <w:t>continues</w:t>
      </w:r>
      <w:r w:rsidRPr="007B3C14">
        <w:rPr>
          <w:rFonts w:asciiTheme="minorHAnsi" w:eastAsiaTheme="minorEastAsia" w:hAnsiTheme="minorHAnsi" w:cstheme="minorBidi"/>
        </w:rPr>
        <w:t xml:space="preserve"> to deliver training activities and workshops in various areas of the cybersecurity domain.</w:t>
      </w:r>
      <w:r w:rsidRPr="007B3C14">
        <w:rPr>
          <w:rFonts w:eastAsia="Calibri" w:cs="Calibri"/>
          <w:szCs w:val="24"/>
          <w:lang w:val="en-US"/>
        </w:rPr>
        <w:t xml:space="preserve"> </w:t>
      </w:r>
      <w:r>
        <w:rPr>
          <w:rFonts w:eastAsia="Calibri" w:cs="Calibri"/>
          <w:szCs w:val="24"/>
          <w:lang w:val="en-US"/>
        </w:rPr>
        <w:t xml:space="preserve">For example, </w:t>
      </w:r>
      <w:r w:rsidRPr="00861FB3">
        <w:rPr>
          <w:rFonts w:eastAsia="Calibri" w:cs="Calibri"/>
          <w:szCs w:val="24"/>
          <w:lang w:val="en-US"/>
        </w:rPr>
        <w:t xml:space="preserve">an </w:t>
      </w:r>
      <w:hyperlink r:id="rId47" w:history="1">
        <w:r w:rsidRPr="00E23465">
          <w:rPr>
            <w:rStyle w:val="Hyperlink"/>
            <w:rFonts w:eastAsia="SimSun"/>
            <w:shd w:val="clear" w:color="auto" w:fill="FFFFFF"/>
          </w:rPr>
          <w:t>online self-paced training based</w:t>
        </w:r>
      </w:hyperlink>
      <w:r w:rsidRPr="00861FB3">
        <w:rPr>
          <w:rFonts w:eastAsia="Calibri" w:cs="Calibri"/>
          <w:szCs w:val="24"/>
          <w:lang w:val="en-US"/>
        </w:rPr>
        <w:t xml:space="preserve"> on the NCS of the Guide was launched in 2021 and in 2023 reached over 730 participants from 131 countries through ITU Academy.</w:t>
      </w:r>
    </w:p>
    <w:p w14:paraId="5525E1D9" w14:textId="77777777" w:rsidR="00892389" w:rsidRPr="007B3C14" w:rsidRDefault="00892389" w:rsidP="00A51A6D">
      <w:pPr>
        <w:tabs>
          <w:tab w:val="clear" w:pos="567"/>
          <w:tab w:val="clear" w:pos="1134"/>
          <w:tab w:val="clear" w:pos="1701"/>
          <w:tab w:val="clear" w:pos="2268"/>
          <w:tab w:val="clear" w:pos="2835"/>
        </w:tabs>
        <w:jc w:val="both"/>
        <w:rPr>
          <w:rFonts w:asciiTheme="minorHAnsi" w:hAnsiTheme="minorHAnsi" w:cstheme="minorBidi"/>
          <w:szCs w:val="24"/>
          <w:lang w:eastAsia="en-GB"/>
        </w:rPr>
      </w:pPr>
      <w:r w:rsidRPr="007B3C14">
        <w:rPr>
          <w:rFonts w:asciiTheme="minorHAnsi" w:eastAsiaTheme="minorEastAsia" w:hAnsiTheme="minorHAnsi" w:cstheme="minorBidi"/>
          <w:szCs w:val="24"/>
          <w:lang w:eastAsia="en-GB"/>
        </w:rPr>
        <w:t>4.4</w:t>
      </w:r>
      <w:r w:rsidRPr="007B3C14">
        <w:rPr>
          <w:rFonts w:ascii="Times New Roman" w:hAnsi="Times New Roman"/>
          <w:szCs w:val="24"/>
          <w:lang w:eastAsia="en-GB"/>
        </w:rPr>
        <w:tab/>
      </w:r>
      <w:r w:rsidRPr="007B3C14">
        <w:rPr>
          <w:rFonts w:asciiTheme="minorHAnsi" w:eastAsiaTheme="minorEastAsia" w:hAnsiTheme="minorHAnsi" w:cstheme="minorBidi"/>
          <w:szCs w:val="24"/>
          <w:lang w:eastAsia="en-GB"/>
        </w:rPr>
        <w:t>The</w:t>
      </w:r>
      <w:r w:rsidRPr="007B3C14">
        <w:rPr>
          <w:rFonts w:asciiTheme="minorHAnsi" w:eastAsiaTheme="minorEastAsia" w:hAnsiTheme="minorHAnsi" w:cstheme="minorBidi"/>
          <w:szCs w:val="24"/>
          <w:lang w:val="en-US" w:eastAsia="en-GB"/>
        </w:rPr>
        <w:t xml:space="preserve"> fifth edition of the </w:t>
      </w:r>
      <w:hyperlink r:id="rId48">
        <w:r w:rsidRPr="00E23465">
          <w:rPr>
            <w:rStyle w:val="Hyperlink"/>
            <w:rFonts w:eastAsia="SimSun"/>
            <w:shd w:val="clear" w:color="auto" w:fill="FFFFFF"/>
          </w:rPr>
          <w:t>ITU Global Cybersecurity Index</w:t>
        </w:r>
      </w:hyperlink>
      <w:r w:rsidRPr="007B3C14">
        <w:rPr>
          <w:rFonts w:asciiTheme="minorHAnsi" w:eastAsiaTheme="minorEastAsia" w:hAnsiTheme="minorHAnsi" w:cstheme="minorBidi"/>
          <w:szCs w:val="24"/>
          <w:lang w:val="en-US" w:eastAsia="en-GB"/>
        </w:rPr>
        <w:t xml:space="preserve"> (GCI) Questionnaire </w:t>
      </w:r>
      <w:r>
        <w:rPr>
          <w:rFonts w:asciiTheme="minorHAnsi" w:eastAsiaTheme="minorEastAsia" w:hAnsiTheme="minorHAnsi" w:cstheme="minorBidi"/>
          <w:szCs w:val="24"/>
          <w:lang w:val="en-US" w:eastAsia="en-GB"/>
        </w:rPr>
        <w:t xml:space="preserve">launched in September 2024, working </w:t>
      </w:r>
      <w:r w:rsidRPr="007B3C14">
        <w:rPr>
          <w:rFonts w:asciiTheme="minorHAnsi" w:eastAsiaTheme="minorEastAsia" w:hAnsiTheme="minorHAnsi" w:cstheme="minorBidi"/>
          <w:szCs w:val="24"/>
          <w:lang w:val="en-US" w:eastAsia="en-GB"/>
        </w:rPr>
        <w:t xml:space="preserve">with 172 countries to gather data. </w:t>
      </w:r>
      <w:r>
        <w:rPr>
          <w:rFonts w:asciiTheme="minorHAnsi" w:eastAsiaTheme="minorEastAsia" w:hAnsiTheme="minorHAnsi" w:cstheme="minorBidi"/>
          <w:szCs w:val="24"/>
          <w:lang w:val="en-US" w:eastAsia="en-GB"/>
        </w:rPr>
        <w:t>The next edition of the GCI is expected to start data collection in early 2026.</w:t>
      </w:r>
    </w:p>
    <w:p w14:paraId="295623B1" w14:textId="77777777" w:rsidR="00892389" w:rsidRPr="007B3C14" w:rsidRDefault="00892389" w:rsidP="00A51A6D">
      <w:pPr>
        <w:tabs>
          <w:tab w:val="clear" w:pos="567"/>
          <w:tab w:val="clear" w:pos="1134"/>
          <w:tab w:val="clear" w:pos="1701"/>
          <w:tab w:val="clear" w:pos="2268"/>
          <w:tab w:val="clear" w:pos="2835"/>
        </w:tabs>
        <w:jc w:val="both"/>
        <w:rPr>
          <w:rFonts w:asciiTheme="minorHAnsi" w:hAnsiTheme="minorHAnsi" w:cstheme="minorBidi"/>
          <w:szCs w:val="24"/>
          <w:lang w:eastAsia="en-GB"/>
        </w:rPr>
      </w:pPr>
      <w:r w:rsidRPr="007B3C14">
        <w:rPr>
          <w:rFonts w:asciiTheme="minorHAnsi" w:eastAsiaTheme="minorEastAsia" w:hAnsiTheme="minorHAnsi" w:cstheme="minorBidi"/>
          <w:szCs w:val="24"/>
          <w:lang w:eastAsia="en-GB"/>
        </w:rPr>
        <w:t>4.5</w:t>
      </w:r>
      <w:r w:rsidRPr="007B3C14">
        <w:rPr>
          <w:rFonts w:ascii="Times New Roman" w:hAnsi="Times New Roman"/>
          <w:szCs w:val="24"/>
          <w:lang w:eastAsia="en-GB"/>
        </w:rPr>
        <w:tab/>
      </w:r>
      <w:r w:rsidRPr="007B3C14">
        <w:rPr>
          <w:rFonts w:asciiTheme="minorHAnsi" w:eastAsiaTheme="minorEastAsia" w:hAnsiTheme="minorHAnsi" w:cstheme="minorBidi"/>
          <w:szCs w:val="24"/>
          <w:lang w:eastAsia="en-GB"/>
        </w:rPr>
        <w:t xml:space="preserve">In its efforts for cyber skills development, </w:t>
      </w:r>
      <w:r w:rsidRPr="007B3C14">
        <w:rPr>
          <w:rFonts w:asciiTheme="minorHAnsi" w:hAnsiTheme="minorHAnsi" w:cstheme="minorBidi"/>
          <w:szCs w:val="24"/>
          <w:lang w:eastAsia="en-GB"/>
        </w:rPr>
        <w:t>“</w:t>
      </w:r>
      <w:hyperlink r:id="rId49">
        <w:r w:rsidRPr="00E23465">
          <w:rPr>
            <w:rStyle w:val="Hyperlink"/>
            <w:rFonts w:eastAsia="SimSun"/>
            <w:shd w:val="clear" w:color="auto" w:fill="FFFFFF"/>
          </w:rPr>
          <w:t xml:space="preserve">Her </w:t>
        </w:r>
        <w:proofErr w:type="spellStart"/>
        <w:r w:rsidRPr="00E23465">
          <w:rPr>
            <w:rStyle w:val="Hyperlink"/>
            <w:rFonts w:eastAsia="SimSun"/>
            <w:shd w:val="clear" w:color="auto" w:fill="FFFFFF"/>
          </w:rPr>
          <w:t>CyberTracks</w:t>
        </w:r>
        <w:proofErr w:type="spellEnd"/>
      </w:hyperlink>
      <w:r w:rsidRPr="007B3C14">
        <w:rPr>
          <w:rFonts w:asciiTheme="minorHAnsi" w:hAnsiTheme="minorHAnsi" w:cstheme="minorBidi"/>
          <w:szCs w:val="24"/>
          <w:lang w:eastAsia="en-GB"/>
        </w:rPr>
        <w:t xml:space="preserve">”, supported by GIZ and Microsoft, </w:t>
      </w:r>
      <w:r w:rsidRPr="00EC0791">
        <w:rPr>
          <w:rFonts w:eastAsia="SimSun"/>
        </w:rPr>
        <w:t>successfully</w:t>
      </w:r>
      <w:r w:rsidRPr="007B3C14">
        <w:rPr>
          <w:rFonts w:asciiTheme="minorHAnsi" w:hAnsiTheme="minorHAnsi" w:cstheme="minorBidi"/>
          <w:szCs w:val="24"/>
          <w:lang w:eastAsia="en-GB"/>
        </w:rPr>
        <w:t xml:space="preserve"> targeted at women </w:t>
      </w:r>
      <w:r>
        <w:rPr>
          <w:rFonts w:asciiTheme="minorHAnsi" w:hAnsiTheme="minorHAnsi" w:cstheme="minorBidi"/>
          <w:szCs w:val="24"/>
          <w:lang w:eastAsia="en-GB"/>
        </w:rPr>
        <w:t xml:space="preserve">in </w:t>
      </w:r>
      <w:r w:rsidRPr="007B3C14">
        <w:rPr>
          <w:rFonts w:asciiTheme="minorHAnsi" w:hAnsiTheme="minorHAnsi" w:cstheme="minorBidi"/>
          <w:szCs w:val="24"/>
          <w:lang w:eastAsia="en-GB"/>
        </w:rPr>
        <w:t>policy-mak</w:t>
      </w:r>
      <w:r>
        <w:rPr>
          <w:rFonts w:asciiTheme="minorHAnsi" w:hAnsiTheme="minorHAnsi" w:cstheme="minorBidi"/>
          <w:szCs w:val="24"/>
          <w:lang w:eastAsia="en-GB"/>
        </w:rPr>
        <w:t>ing</w:t>
      </w:r>
      <w:r w:rsidRPr="007B3C14">
        <w:rPr>
          <w:rFonts w:asciiTheme="minorHAnsi" w:hAnsiTheme="minorHAnsi" w:cstheme="minorBidi"/>
          <w:szCs w:val="24"/>
          <w:lang w:eastAsia="en-GB"/>
        </w:rPr>
        <w:t xml:space="preserve"> and diploma</w:t>
      </w:r>
      <w:r>
        <w:rPr>
          <w:rFonts w:asciiTheme="minorHAnsi" w:hAnsiTheme="minorHAnsi" w:cstheme="minorBidi"/>
          <w:szCs w:val="24"/>
          <w:lang w:eastAsia="en-GB"/>
        </w:rPr>
        <w:t>cy, has addressed needs in incident response and cybercrime (in cooperation with UNODC)</w:t>
      </w:r>
      <w:r w:rsidRPr="007B3C14">
        <w:rPr>
          <w:rFonts w:asciiTheme="minorHAnsi" w:hAnsiTheme="minorHAnsi" w:cstheme="minorBidi"/>
          <w:szCs w:val="24"/>
          <w:lang w:eastAsia="en-GB"/>
        </w:rPr>
        <w:t xml:space="preserve"> in </w:t>
      </w:r>
      <w:r>
        <w:rPr>
          <w:rFonts w:asciiTheme="minorHAnsi" w:hAnsiTheme="minorHAnsi" w:cstheme="minorBidi"/>
          <w:szCs w:val="24"/>
          <w:lang w:eastAsia="en-GB"/>
        </w:rPr>
        <w:t>2024. Geographic reach for 2025 has expanded to include all African Union members, in addition to 5 countries from the Americas (in cooperation with OAS) and previously targeted countries in Europe.</w:t>
      </w:r>
    </w:p>
    <w:p w14:paraId="68A3F951" w14:textId="77777777" w:rsidR="00892389" w:rsidRDefault="00892389" w:rsidP="00A51A6D">
      <w:pPr>
        <w:tabs>
          <w:tab w:val="clear" w:pos="567"/>
          <w:tab w:val="clear" w:pos="1134"/>
          <w:tab w:val="clear" w:pos="1701"/>
          <w:tab w:val="clear" w:pos="2268"/>
          <w:tab w:val="clear" w:pos="2835"/>
        </w:tabs>
        <w:jc w:val="both"/>
        <w:rPr>
          <w:rFonts w:asciiTheme="minorHAnsi" w:hAnsiTheme="minorHAnsi" w:cstheme="minorBidi"/>
          <w:szCs w:val="24"/>
          <w:lang w:eastAsia="en-GB"/>
        </w:rPr>
      </w:pPr>
      <w:r w:rsidRPr="007B3C14">
        <w:rPr>
          <w:rFonts w:asciiTheme="minorHAnsi" w:hAnsiTheme="minorHAnsi" w:cstheme="minorBidi"/>
          <w:szCs w:val="24"/>
          <w:lang w:eastAsia="en-GB"/>
        </w:rPr>
        <w:t>4.6</w:t>
      </w:r>
      <w:r w:rsidRPr="007B3C14">
        <w:rPr>
          <w:rFonts w:ascii="Times New Roman" w:hAnsi="Times New Roman"/>
          <w:szCs w:val="24"/>
          <w:lang w:eastAsia="en-GB"/>
        </w:rPr>
        <w:tab/>
      </w:r>
      <w:r w:rsidRPr="007B3C14">
        <w:rPr>
          <w:rFonts w:asciiTheme="minorHAnsi" w:hAnsiTheme="minorHAnsi" w:cstheme="minorBidi"/>
          <w:szCs w:val="24"/>
          <w:lang w:eastAsia="en-GB"/>
        </w:rPr>
        <w:t xml:space="preserve">ITU is working with </w:t>
      </w:r>
      <w:r>
        <w:rPr>
          <w:rFonts w:asciiTheme="minorHAnsi" w:hAnsiTheme="minorHAnsi" w:cstheme="minorBidi"/>
          <w:szCs w:val="24"/>
          <w:lang w:eastAsia="en-GB"/>
        </w:rPr>
        <w:t>30</w:t>
      </w:r>
      <w:r w:rsidRPr="007B3C14">
        <w:rPr>
          <w:rFonts w:asciiTheme="minorHAnsi" w:hAnsiTheme="minorHAnsi" w:cstheme="minorBidi"/>
          <w:szCs w:val="24"/>
          <w:lang w:eastAsia="en-GB"/>
        </w:rPr>
        <w:t xml:space="preserve"> countries through </w:t>
      </w:r>
      <w:hyperlink r:id="rId50">
        <w:r w:rsidRPr="00E23465">
          <w:rPr>
            <w:rStyle w:val="Hyperlink"/>
            <w:rFonts w:eastAsia="SimSun"/>
            <w:shd w:val="clear" w:color="auto" w:fill="FFFFFF"/>
          </w:rPr>
          <w:t>Cyber for Good</w:t>
        </w:r>
      </w:hyperlink>
      <w:r w:rsidRPr="007B3C14">
        <w:rPr>
          <w:rFonts w:asciiTheme="minorHAnsi" w:hAnsiTheme="minorHAnsi" w:cstheme="minorBidi"/>
          <w:szCs w:val="24"/>
          <w:lang w:eastAsia="en-GB"/>
        </w:rPr>
        <w:t xml:space="preserve">, supported by the Republic of Korea, providing free access to tools, trainings, and services through </w:t>
      </w:r>
      <w:r>
        <w:rPr>
          <w:rFonts w:asciiTheme="minorHAnsi" w:hAnsiTheme="minorHAnsi" w:cstheme="minorBidi"/>
          <w:szCs w:val="24"/>
          <w:lang w:eastAsia="en-GB"/>
        </w:rPr>
        <w:t>8</w:t>
      </w:r>
      <w:r w:rsidRPr="007B3C14">
        <w:rPr>
          <w:rFonts w:asciiTheme="minorHAnsi" w:hAnsiTheme="minorHAnsi" w:cstheme="minorBidi"/>
          <w:szCs w:val="24"/>
          <w:lang w:eastAsia="en-GB"/>
        </w:rPr>
        <w:t xml:space="preserve"> ITU-D Sector Members, including NCS assessments, cyber vulnerability monitoring tools, and cyber skills trainings.</w:t>
      </w:r>
    </w:p>
    <w:p w14:paraId="75A08538" w14:textId="53E6DDF8" w:rsidR="00892389" w:rsidRPr="007B3C14" w:rsidRDefault="00892389" w:rsidP="00A51A6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lang w:eastAsia="en-GB"/>
        </w:rPr>
      </w:pPr>
      <w:r w:rsidRPr="523002B8">
        <w:rPr>
          <w:rFonts w:asciiTheme="minorHAnsi" w:hAnsiTheme="minorHAnsi" w:cstheme="minorBidi"/>
          <w:lang w:eastAsia="en-GB"/>
        </w:rPr>
        <w:lastRenderedPageBreak/>
        <w:t>4.7</w:t>
      </w:r>
      <w:r>
        <w:tab/>
      </w:r>
      <w:r w:rsidRPr="523002B8">
        <w:rPr>
          <w:rFonts w:asciiTheme="minorHAnsi" w:hAnsiTheme="minorHAnsi" w:cstheme="minorBidi"/>
          <w:lang w:eastAsia="en-GB"/>
        </w:rPr>
        <w:t>ITU worked with O</w:t>
      </w:r>
      <w:r>
        <w:rPr>
          <w:rFonts w:asciiTheme="minorHAnsi" w:hAnsiTheme="minorHAnsi" w:cstheme="minorBidi"/>
          <w:lang w:eastAsia="en-GB"/>
        </w:rPr>
        <w:t xml:space="preserve">rganization of </w:t>
      </w:r>
      <w:r w:rsidRPr="523002B8">
        <w:rPr>
          <w:rFonts w:asciiTheme="minorHAnsi" w:hAnsiTheme="minorHAnsi" w:cstheme="minorBidi"/>
          <w:lang w:eastAsia="en-GB"/>
        </w:rPr>
        <w:t>A</w:t>
      </w:r>
      <w:r>
        <w:rPr>
          <w:rFonts w:asciiTheme="minorHAnsi" w:hAnsiTheme="minorHAnsi" w:cstheme="minorBidi"/>
          <w:lang w:eastAsia="en-GB"/>
        </w:rPr>
        <w:t xml:space="preserve">merican </w:t>
      </w:r>
      <w:r w:rsidRPr="523002B8">
        <w:rPr>
          <w:rFonts w:asciiTheme="minorHAnsi" w:hAnsiTheme="minorHAnsi" w:cstheme="minorBidi"/>
          <w:lang w:eastAsia="en-GB"/>
        </w:rPr>
        <w:t>S</w:t>
      </w:r>
      <w:r>
        <w:rPr>
          <w:rFonts w:asciiTheme="minorHAnsi" w:hAnsiTheme="minorHAnsi" w:cstheme="minorBidi"/>
          <w:lang w:eastAsia="en-GB"/>
        </w:rPr>
        <w:t>tates</w:t>
      </w:r>
      <w:r w:rsidRPr="523002B8">
        <w:rPr>
          <w:rFonts w:asciiTheme="minorHAnsi" w:hAnsiTheme="minorHAnsi" w:cstheme="minorBidi"/>
          <w:lang w:eastAsia="en-GB"/>
        </w:rPr>
        <w:t xml:space="preserve"> to develop a </w:t>
      </w:r>
      <w:hyperlink r:id="rId51" w:history="1">
        <w:r w:rsidRPr="00120A61">
          <w:rPr>
            <w:rStyle w:val="Hyperlink"/>
            <w:rFonts w:asciiTheme="minorHAnsi" w:hAnsiTheme="minorHAnsi" w:cstheme="minorBidi"/>
            <w:lang w:eastAsia="en-GB"/>
          </w:rPr>
          <w:t>systems approach to cybersecurity education</w:t>
        </w:r>
      </w:hyperlink>
      <w:r w:rsidRPr="523002B8">
        <w:rPr>
          <w:rFonts w:asciiTheme="minorHAnsi" w:hAnsiTheme="minorHAnsi" w:cstheme="minorBidi"/>
          <w:lang w:eastAsia="en-GB"/>
        </w:rPr>
        <w:t xml:space="preserve">, and is working to develop </w:t>
      </w:r>
      <w:r>
        <w:rPr>
          <w:rFonts w:asciiTheme="minorHAnsi" w:hAnsiTheme="minorHAnsi" w:cstheme="minorBidi"/>
          <w:lang w:eastAsia="en-GB"/>
        </w:rPr>
        <w:t>a guide for implementation for countries.</w:t>
      </w:r>
    </w:p>
    <w:p w14:paraId="2A23ABA8" w14:textId="0A4BF9F1" w:rsidR="00892389" w:rsidRPr="007B3C14" w:rsidRDefault="00892389" w:rsidP="00A51A6D">
      <w:pPr>
        <w:pStyle w:val="Heading1"/>
        <w:tabs>
          <w:tab w:val="clear" w:pos="567"/>
          <w:tab w:val="clear" w:pos="1134"/>
          <w:tab w:val="clear" w:pos="1701"/>
          <w:tab w:val="clear" w:pos="2268"/>
          <w:tab w:val="clear" w:pos="2835"/>
        </w:tabs>
        <w:ind w:left="0" w:firstLine="0"/>
        <w:rPr>
          <w:rFonts w:eastAsia="SimSun"/>
          <w:lang w:eastAsia="zh-CN"/>
        </w:rPr>
      </w:pPr>
      <w:r w:rsidRPr="007B3C14">
        <w:rPr>
          <w:rFonts w:eastAsia="SimSun"/>
          <w:lang w:eastAsia="zh-CN"/>
        </w:rPr>
        <w:t>5</w:t>
      </w:r>
      <w:r w:rsidRPr="007B3C14">
        <w:rPr>
          <w:rFonts w:eastAsia="SimSun"/>
          <w:lang w:eastAsia="zh-CN"/>
        </w:rPr>
        <w:tab/>
        <w:t>International cooperation</w:t>
      </w:r>
    </w:p>
    <w:p w14:paraId="357D1EAE" w14:textId="77777777" w:rsidR="00892389" w:rsidRPr="007B3C14" w:rsidRDefault="00892389" w:rsidP="00A51A6D">
      <w:pPr>
        <w:tabs>
          <w:tab w:val="clear" w:pos="567"/>
          <w:tab w:val="clear" w:pos="1134"/>
          <w:tab w:val="clear" w:pos="1701"/>
          <w:tab w:val="clear" w:pos="2268"/>
          <w:tab w:val="clear" w:pos="2835"/>
        </w:tabs>
        <w:jc w:val="both"/>
        <w:rPr>
          <w:rFonts w:asciiTheme="minorHAnsi" w:eastAsia="SimSun" w:hAnsiTheme="minorHAnsi" w:cstheme="minorBidi"/>
          <w:szCs w:val="24"/>
          <w:lang w:eastAsia="zh-CN"/>
        </w:rPr>
      </w:pPr>
      <w:r w:rsidRPr="007B3C14">
        <w:rPr>
          <w:rFonts w:asciiTheme="minorHAnsi" w:eastAsia="SimSun" w:hAnsiTheme="minorHAnsi" w:cstheme="minorBidi"/>
          <w:szCs w:val="24"/>
          <w:lang w:eastAsia="zh-CN"/>
        </w:rPr>
        <w:t>5.1</w:t>
      </w:r>
      <w:r w:rsidRPr="007B3C14">
        <w:rPr>
          <w:rFonts w:asciiTheme="minorHAnsi" w:eastAsia="SimSun" w:hAnsiTheme="minorHAnsi" w:cs="Arial"/>
          <w:sz w:val="22"/>
          <w:szCs w:val="22"/>
          <w:lang w:eastAsia="zh-CN"/>
        </w:rPr>
        <w:tab/>
      </w:r>
      <w:r w:rsidRPr="007B3C14">
        <w:rPr>
          <w:rFonts w:asciiTheme="minorHAnsi" w:eastAsia="SimSun" w:hAnsiTheme="minorHAnsi" w:cstheme="minorBidi"/>
          <w:szCs w:val="24"/>
          <w:lang w:eastAsia="zh-CN"/>
        </w:rPr>
        <w:t xml:space="preserve">ITU is </w:t>
      </w:r>
      <w:r w:rsidRPr="00EC0791">
        <w:rPr>
          <w:rFonts w:eastAsia="SimSun"/>
        </w:rPr>
        <w:t>enhancing</w:t>
      </w:r>
      <w:r w:rsidRPr="007B3C14">
        <w:rPr>
          <w:rFonts w:asciiTheme="minorHAnsi" w:eastAsia="SimSun" w:hAnsiTheme="minorHAnsi" w:cstheme="minorBidi"/>
          <w:szCs w:val="24"/>
          <w:lang w:eastAsia="zh-CN"/>
        </w:rPr>
        <w:t xml:space="preserve"> relationships and </w:t>
      </w:r>
      <w:hyperlink r:id="rId52" w:history="1">
        <w:r w:rsidRPr="00E23465">
          <w:rPr>
            <w:rStyle w:val="Hyperlink"/>
            <w:rFonts w:eastAsia="SimSun"/>
            <w:shd w:val="clear" w:color="auto" w:fill="FFFFFF"/>
          </w:rPr>
          <w:t>partnerships</w:t>
        </w:r>
      </w:hyperlink>
      <w:r w:rsidRPr="007B3C14">
        <w:rPr>
          <w:rFonts w:asciiTheme="minorHAnsi" w:eastAsia="SimSun" w:hAnsiTheme="minorHAnsi" w:cstheme="minorBidi"/>
          <w:szCs w:val="24"/>
          <w:lang w:eastAsia="zh-CN"/>
        </w:rPr>
        <w:t xml:space="preserve"> with various regional/international organizations and initiatives, including OAS, ENISA, INTERPOL, ECOWAS, the World Bank, FIRST, the GFCE, and regional CSIRT/CERT associations, such as AP CERT, AFRICA CERT, and OIC CERT, with an aim to avoid unnecessary duplication and identify areas for collaboration.</w:t>
      </w:r>
    </w:p>
    <w:p w14:paraId="1C0EBA1A" w14:textId="2579890E" w:rsidR="00892389" w:rsidRPr="007B3C14" w:rsidRDefault="00892389" w:rsidP="00A51A6D">
      <w:pPr>
        <w:tabs>
          <w:tab w:val="clear" w:pos="567"/>
          <w:tab w:val="clear" w:pos="1134"/>
          <w:tab w:val="clear" w:pos="1701"/>
          <w:tab w:val="clear" w:pos="2268"/>
          <w:tab w:val="clear" w:pos="2835"/>
        </w:tabs>
        <w:jc w:val="both"/>
        <w:rPr>
          <w:rFonts w:eastAsia="SimSun"/>
          <w:color w:val="000000"/>
        </w:rPr>
      </w:pPr>
      <w:r w:rsidRPr="007B3C14">
        <w:rPr>
          <w:rFonts w:eastAsia="SimSun" w:cstheme="minorHAnsi"/>
          <w:szCs w:val="24"/>
        </w:rPr>
        <w:t>5.2</w:t>
      </w:r>
      <w:r w:rsidRPr="007B3C14">
        <w:rPr>
          <w:rFonts w:eastAsia="SimSun" w:cstheme="minorHAnsi"/>
          <w:szCs w:val="24"/>
        </w:rPr>
        <w:tab/>
      </w:r>
      <w:r w:rsidRPr="007B3C14">
        <w:rPr>
          <w:rFonts w:eastAsia="SimSun"/>
          <w:color w:val="000000"/>
        </w:rPr>
        <w:t xml:space="preserve">Pursuant to </w:t>
      </w:r>
      <w:hyperlink r:id="rId53" w:history="1">
        <w:r w:rsidRPr="00E23465">
          <w:rPr>
            <w:rStyle w:val="Hyperlink"/>
            <w:rFonts w:eastAsia="SimSun"/>
            <w:shd w:val="clear" w:color="auto" w:fill="FFFFFF"/>
          </w:rPr>
          <w:t>Decision 630</w:t>
        </w:r>
      </w:hyperlink>
      <w:r w:rsidRPr="00E23465">
        <w:rPr>
          <w:rStyle w:val="Hyperlink"/>
          <w:rFonts w:eastAsia="SimSun"/>
          <w:shd w:val="clear" w:color="auto" w:fill="FFFFFF"/>
        </w:rPr>
        <w:t xml:space="preserve"> (Council 2023)</w:t>
      </w:r>
      <w:r w:rsidRPr="00E23465">
        <w:rPr>
          <w:rFonts w:eastAsia="SimSun"/>
          <w:color w:val="000000"/>
        </w:rPr>
        <w:t>,</w:t>
      </w:r>
      <w:r w:rsidRPr="007B3C14">
        <w:rPr>
          <w:rFonts w:eastAsia="SimSun"/>
          <w:color w:val="000000"/>
        </w:rPr>
        <w:t xml:space="preserve"> ITU develop</w:t>
      </w:r>
      <w:r>
        <w:rPr>
          <w:rFonts w:eastAsia="SimSun"/>
          <w:color w:val="000000"/>
        </w:rPr>
        <w:t>ed</w:t>
      </w:r>
      <w:r w:rsidRPr="007B3C14">
        <w:rPr>
          <w:rFonts w:eastAsia="SimSun"/>
          <w:color w:val="000000"/>
        </w:rPr>
        <w:t xml:space="preserve"> an </w:t>
      </w:r>
      <w:hyperlink r:id="rId54" w:history="1">
        <w:r w:rsidRPr="00E23465">
          <w:rPr>
            <w:rStyle w:val="Hyperlink"/>
            <w:rFonts w:eastAsia="SimSun"/>
            <w:shd w:val="clear" w:color="auto" w:fill="FFFFFF"/>
          </w:rPr>
          <w:t>informational resource</w:t>
        </w:r>
      </w:hyperlink>
      <w:r w:rsidRPr="007B3C14">
        <w:rPr>
          <w:rFonts w:eastAsia="SimSun"/>
          <w:color w:val="000000"/>
        </w:rPr>
        <w:t xml:space="preserve"> </w:t>
      </w:r>
      <w:r>
        <w:rPr>
          <w:rFonts w:eastAsia="SimSun"/>
          <w:color w:val="000000"/>
        </w:rPr>
        <w:t xml:space="preserve">based on </w:t>
      </w:r>
      <w:r w:rsidRPr="00EC0791">
        <w:rPr>
          <w:rFonts w:eastAsia="SimSun"/>
        </w:rPr>
        <w:t>Member</w:t>
      </w:r>
      <w:r>
        <w:rPr>
          <w:rFonts w:eastAsia="SimSun"/>
          <w:color w:val="000000"/>
        </w:rPr>
        <w:t xml:space="preserve"> State responses, </w:t>
      </w:r>
      <w:r w:rsidRPr="007B3C14">
        <w:rPr>
          <w:rFonts w:eastAsia="SimSun"/>
          <w:color w:val="000000"/>
        </w:rPr>
        <w:t>to help Member States build their cybersecurity and cyber resilience capacity</w:t>
      </w:r>
      <w:r>
        <w:rPr>
          <w:rFonts w:eastAsia="SimSun"/>
          <w:color w:val="000000"/>
        </w:rPr>
        <w:t>. Nine (9) Member States have contributed to this resource.</w:t>
      </w:r>
    </w:p>
    <w:p w14:paraId="7C063675" w14:textId="77777777" w:rsidR="00892389" w:rsidRPr="007B3C14" w:rsidRDefault="00892389" w:rsidP="00A51A6D">
      <w:pPr>
        <w:tabs>
          <w:tab w:val="clear" w:pos="567"/>
          <w:tab w:val="clear" w:pos="1134"/>
          <w:tab w:val="clear" w:pos="1701"/>
          <w:tab w:val="clear" w:pos="2268"/>
          <w:tab w:val="clear" w:pos="2835"/>
        </w:tabs>
        <w:jc w:val="both"/>
        <w:rPr>
          <w:rFonts w:asciiTheme="minorHAnsi" w:eastAsia="SimSun" w:hAnsiTheme="minorHAnsi" w:cstheme="minorBidi"/>
          <w:szCs w:val="24"/>
          <w:lang w:eastAsia="zh-CN"/>
        </w:rPr>
      </w:pPr>
      <w:r w:rsidRPr="007B3C14">
        <w:rPr>
          <w:rFonts w:asciiTheme="minorHAnsi" w:eastAsia="SimSun" w:hAnsiTheme="minorHAnsi" w:cstheme="minorBidi"/>
          <w:szCs w:val="24"/>
          <w:lang w:eastAsia="zh-CN"/>
        </w:rPr>
        <w:t>5.3</w:t>
      </w:r>
      <w:r w:rsidRPr="007B3C14">
        <w:rPr>
          <w:rFonts w:asciiTheme="minorHAnsi" w:eastAsia="SimSun" w:hAnsiTheme="minorHAnsi" w:cs="Arial"/>
          <w:sz w:val="22"/>
          <w:szCs w:val="22"/>
          <w:lang w:eastAsia="zh-CN"/>
        </w:rPr>
        <w:tab/>
      </w:r>
      <w:r w:rsidRPr="007B3C14">
        <w:rPr>
          <w:rFonts w:asciiTheme="minorHAnsi" w:eastAsia="SimSun" w:hAnsiTheme="minorHAnsi" w:cstheme="minorBidi"/>
          <w:szCs w:val="24"/>
          <w:lang w:eastAsia="zh-CN"/>
        </w:rPr>
        <w:t xml:space="preserve">As </w:t>
      </w:r>
      <w:r w:rsidRPr="00EC0791">
        <w:rPr>
          <w:rFonts w:eastAsia="SimSun"/>
        </w:rPr>
        <w:t>the</w:t>
      </w:r>
      <w:r w:rsidRPr="007B3C14">
        <w:rPr>
          <w:rFonts w:asciiTheme="minorHAnsi" w:eastAsia="SimSun" w:hAnsiTheme="minorHAnsi" w:cstheme="minorBidi"/>
          <w:szCs w:val="24"/>
          <w:lang w:eastAsia="zh-CN"/>
        </w:rPr>
        <w:t xml:space="preserve"> lead facilitator for WSIS Action Line C5, ITU organized an Action Line C5 facilitator session on “</w:t>
      </w:r>
      <w:hyperlink r:id="rId55" w:history="1">
        <w:r w:rsidRPr="008E05CA">
          <w:rPr>
            <w:rStyle w:val="Hyperlink"/>
            <w:rFonts w:asciiTheme="minorHAnsi" w:eastAsia="SimSun" w:hAnsiTheme="minorHAnsi" w:cstheme="minorBidi"/>
            <w:szCs w:val="24"/>
            <w:lang w:eastAsia="zh-CN"/>
          </w:rPr>
          <w:t>Beneath the Waves: Safeguarding Global Connectivity through Secure Submarine Networks</w:t>
        </w:r>
      </w:hyperlink>
      <w:r w:rsidRPr="007B3C14">
        <w:rPr>
          <w:rFonts w:asciiTheme="minorHAnsi" w:eastAsia="SimSun" w:hAnsiTheme="minorHAnsi" w:cstheme="minorBidi"/>
          <w:szCs w:val="24"/>
          <w:lang w:eastAsia="zh-CN"/>
        </w:rPr>
        <w:t xml:space="preserve">” at the </w:t>
      </w:r>
      <w:hyperlink r:id="rId56" w:history="1">
        <w:r w:rsidRPr="008E05CA">
          <w:rPr>
            <w:rStyle w:val="Hyperlink"/>
            <w:rFonts w:asciiTheme="minorHAnsi" w:eastAsia="SimSun" w:hAnsiTheme="minorHAnsi" w:cstheme="minorBidi"/>
            <w:szCs w:val="24"/>
            <w:lang w:eastAsia="zh-CN"/>
          </w:rPr>
          <w:t>WSIS Forum 202</w:t>
        </w:r>
        <w:r>
          <w:rPr>
            <w:rStyle w:val="Hyperlink"/>
            <w:rFonts w:asciiTheme="minorHAnsi" w:eastAsia="SimSun" w:hAnsiTheme="minorHAnsi" w:cstheme="minorBidi"/>
            <w:szCs w:val="24"/>
            <w:lang w:eastAsia="zh-CN"/>
          </w:rPr>
          <w:t>4</w:t>
        </w:r>
        <w:r w:rsidRPr="008E05CA">
          <w:rPr>
            <w:rStyle w:val="Hyperlink"/>
            <w:rFonts w:asciiTheme="minorHAnsi" w:eastAsia="SimSun" w:hAnsiTheme="minorHAnsi" w:cstheme="minorBidi"/>
            <w:szCs w:val="24"/>
            <w:lang w:eastAsia="zh-CN"/>
          </w:rPr>
          <w:t>,</w:t>
        </w:r>
      </w:hyperlink>
      <w:r w:rsidRPr="007B3C14">
        <w:rPr>
          <w:rFonts w:asciiTheme="minorHAnsi" w:eastAsia="SimSun" w:hAnsiTheme="minorHAnsi" w:cstheme="minorBidi"/>
          <w:szCs w:val="24"/>
          <w:lang w:eastAsia="zh-CN"/>
        </w:rPr>
        <w:t xml:space="preserve"> which also had several sessions addressing trust and confidence in areas related to new and emerging technologies</w:t>
      </w:r>
      <w:r>
        <w:rPr>
          <w:rFonts w:asciiTheme="minorHAnsi" w:eastAsia="SimSun" w:hAnsiTheme="minorHAnsi" w:cstheme="minorBidi"/>
          <w:szCs w:val="24"/>
          <w:lang w:eastAsia="zh-CN"/>
        </w:rPr>
        <w:t>,</w:t>
      </w:r>
      <w:r w:rsidRPr="007B3C14">
        <w:rPr>
          <w:rFonts w:asciiTheme="minorHAnsi" w:eastAsia="SimSun" w:hAnsiTheme="minorHAnsi" w:cstheme="minorBidi"/>
          <w:szCs w:val="24"/>
          <w:lang w:eastAsia="zh-CN"/>
        </w:rPr>
        <w:t xml:space="preserve"> such as AI, Quantum and others</w:t>
      </w:r>
      <w:r>
        <w:rPr>
          <w:rFonts w:asciiTheme="minorHAnsi" w:eastAsia="SimSun" w:hAnsiTheme="minorHAnsi" w:cstheme="minorBidi"/>
          <w:szCs w:val="24"/>
          <w:lang w:eastAsia="zh-CN"/>
        </w:rPr>
        <w:t>,</w:t>
      </w:r>
      <w:r w:rsidRPr="007B3C14">
        <w:rPr>
          <w:rFonts w:asciiTheme="minorHAnsi" w:eastAsia="SimSun" w:hAnsiTheme="minorHAnsi" w:cstheme="minorBidi"/>
          <w:szCs w:val="24"/>
          <w:lang w:eastAsia="zh-CN"/>
        </w:rPr>
        <w:t xml:space="preserve"> as well as protection of women and children online. </w:t>
      </w:r>
      <w:r>
        <w:rPr>
          <w:rFonts w:asciiTheme="minorHAnsi" w:eastAsia="SimSun" w:hAnsiTheme="minorHAnsi" w:cstheme="minorBidi"/>
          <w:szCs w:val="24"/>
          <w:lang w:eastAsia="zh-CN"/>
        </w:rPr>
        <w:t xml:space="preserve">ITU plans to have a session related to Action Line C5 at the </w:t>
      </w:r>
      <w:hyperlink r:id="rId57" w:history="1">
        <w:r w:rsidRPr="008D0887">
          <w:rPr>
            <w:rStyle w:val="Hyperlink"/>
            <w:rFonts w:asciiTheme="minorHAnsi" w:eastAsia="SimSun" w:hAnsiTheme="minorHAnsi" w:cstheme="minorBidi"/>
            <w:szCs w:val="24"/>
            <w:lang w:eastAsia="zh-CN"/>
          </w:rPr>
          <w:t>WSIS Forum 2025</w:t>
        </w:r>
      </w:hyperlink>
      <w:r>
        <w:rPr>
          <w:rFonts w:asciiTheme="minorHAnsi" w:eastAsia="SimSun" w:hAnsiTheme="minorHAnsi" w:cstheme="minorBidi"/>
          <w:szCs w:val="24"/>
          <w:lang w:eastAsia="zh-CN"/>
        </w:rPr>
        <w:t xml:space="preserve">. </w:t>
      </w:r>
    </w:p>
    <w:p w14:paraId="15641D7E" w14:textId="06828419" w:rsidR="00892389" w:rsidRPr="00CA092D" w:rsidRDefault="00892389" w:rsidP="00A51A6D">
      <w:pPr>
        <w:tabs>
          <w:tab w:val="clear" w:pos="567"/>
          <w:tab w:val="clear" w:pos="1134"/>
          <w:tab w:val="clear" w:pos="1701"/>
          <w:tab w:val="clear" w:pos="2268"/>
          <w:tab w:val="clear" w:pos="2835"/>
        </w:tabs>
        <w:jc w:val="both"/>
        <w:rPr>
          <w:rFonts w:asciiTheme="minorHAnsi" w:eastAsia="SimSun" w:hAnsiTheme="minorHAnsi" w:cstheme="minorBidi"/>
          <w:lang w:eastAsia="zh-CN"/>
        </w:rPr>
      </w:pPr>
      <w:r w:rsidRPr="523002B8">
        <w:rPr>
          <w:rFonts w:asciiTheme="minorHAnsi" w:eastAsia="SimSun" w:hAnsiTheme="minorHAnsi" w:cstheme="minorBidi"/>
          <w:lang w:eastAsia="zh-CN"/>
        </w:rPr>
        <w:t>5.4</w:t>
      </w:r>
      <w:r>
        <w:tab/>
      </w:r>
      <w:r w:rsidRPr="523002B8">
        <w:rPr>
          <w:rFonts w:asciiTheme="minorHAnsi" w:eastAsia="SimSun" w:hAnsiTheme="minorHAnsi" w:cstheme="minorBidi"/>
          <w:lang w:eastAsia="zh-CN"/>
        </w:rPr>
        <w:t xml:space="preserve">ITU has continued to engage with stakeholders in </w:t>
      </w:r>
      <w:r>
        <w:rPr>
          <w:rFonts w:asciiTheme="minorHAnsi" w:eastAsia="SimSun" w:hAnsiTheme="minorHAnsi" w:cstheme="minorBidi"/>
          <w:lang w:eastAsia="zh-CN"/>
        </w:rPr>
        <w:t xml:space="preserve">the </w:t>
      </w:r>
      <w:hyperlink r:id="rId58" w:history="1">
        <w:r w:rsidRPr="00290A07">
          <w:rPr>
            <w:rStyle w:val="Hyperlink"/>
            <w:rFonts w:asciiTheme="minorHAnsi" w:eastAsia="SimSun" w:hAnsiTheme="minorHAnsi" w:cstheme="minorBidi"/>
            <w:lang w:eastAsia="zh-CN"/>
          </w:rPr>
          <w:t>Open-ended Working Group on security of and in the use of ICTs (OEWG)</w:t>
        </w:r>
      </w:hyperlink>
      <w:r w:rsidRPr="523002B8">
        <w:rPr>
          <w:rFonts w:asciiTheme="minorHAnsi" w:eastAsia="SimSun" w:hAnsiTheme="minorHAnsi" w:cstheme="minorBidi"/>
          <w:lang w:eastAsia="zh-CN"/>
        </w:rPr>
        <w:t xml:space="preserve">, providing inputs into its capacity development mapping exercise, understanding current cybersecurity needs based on the Global </w:t>
      </w:r>
      <w:r w:rsidRPr="00EC0791">
        <w:rPr>
          <w:rFonts w:eastAsia="SimSun"/>
        </w:rPr>
        <w:t>Cybersecurity</w:t>
      </w:r>
      <w:r w:rsidRPr="523002B8">
        <w:rPr>
          <w:rFonts w:asciiTheme="minorHAnsi" w:eastAsia="SimSun" w:hAnsiTheme="minorHAnsi" w:cstheme="minorBidi"/>
          <w:lang w:eastAsia="zh-CN"/>
        </w:rPr>
        <w:t xml:space="preserve"> Index, and showcasing the impact of the </w:t>
      </w:r>
      <w:proofErr w:type="spellStart"/>
      <w:r w:rsidRPr="523002B8">
        <w:rPr>
          <w:rFonts w:asciiTheme="minorHAnsi" w:eastAsia="SimSun" w:hAnsiTheme="minorHAnsi" w:cstheme="minorBidi"/>
          <w:lang w:eastAsia="zh-CN"/>
        </w:rPr>
        <w:t>HerCyberTracks</w:t>
      </w:r>
      <w:proofErr w:type="spellEnd"/>
      <w:r w:rsidRPr="523002B8">
        <w:rPr>
          <w:rFonts w:asciiTheme="minorHAnsi" w:eastAsia="SimSun" w:hAnsiTheme="minorHAnsi" w:cstheme="minorBidi"/>
          <w:lang w:eastAsia="zh-CN"/>
        </w:rPr>
        <w:t xml:space="preserve"> initiative. </w:t>
      </w:r>
    </w:p>
    <w:p w14:paraId="3CCC2F55" w14:textId="0AA27D42" w:rsidR="00892389" w:rsidRDefault="00892389" w:rsidP="00A51A6D">
      <w:pPr>
        <w:tabs>
          <w:tab w:val="clear" w:pos="567"/>
          <w:tab w:val="clear" w:pos="1134"/>
          <w:tab w:val="clear" w:pos="1701"/>
          <w:tab w:val="clear" w:pos="2268"/>
          <w:tab w:val="clear" w:pos="2835"/>
        </w:tabs>
        <w:jc w:val="both"/>
        <w:rPr>
          <w:rFonts w:asciiTheme="minorHAnsi" w:eastAsia="SimSun" w:hAnsiTheme="minorHAnsi" w:cstheme="minorBidi"/>
          <w:szCs w:val="24"/>
          <w:lang w:eastAsia="zh-CN"/>
        </w:rPr>
      </w:pPr>
      <w:r w:rsidRPr="007B3C14">
        <w:rPr>
          <w:rFonts w:asciiTheme="minorHAnsi" w:eastAsia="SimSun" w:hAnsiTheme="minorHAnsi" w:cstheme="minorBidi"/>
          <w:szCs w:val="24"/>
          <w:lang w:eastAsia="zh-CN"/>
        </w:rPr>
        <w:t>5.</w:t>
      </w:r>
      <w:r>
        <w:rPr>
          <w:rFonts w:asciiTheme="minorHAnsi" w:eastAsia="SimSun" w:hAnsiTheme="minorHAnsi" w:cstheme="minorBidi"/>
          <w:szCs w:val="24"/>
          <w:lang w:eastAsia="zh-CN"/>
        </w:rPr>
        <w:t>5</w:t>
      </w:r>
      <w:r w:rsidRPr="007B3C14">
        <w:rPr>
          <w:rFonts w:asciiTheme="minorHAnsi" w:eastAsia="SimSun" w:hAnsiTheme="minorHAnsi" w:cstheme="minorBidi"/>
          <w:szCs w:val="24"/>
          <w:lang w:eastAsia="zh-CN"/>
        </w:rPr>
        <w:tab/>
      </w:r>
      <w:r>
        <w:rPr>
          <w:rFonts w:asciiTheme="minorHAnsi" w:eastAsia="SimSun" w:hAnsiTheme="minorHAnsi" w:cstheme="minorBidi"/>
          <w:szCs w:val="24"/>
          <w:lang w:eastAsia="zh-CN"/>
        </w:rPr>
        <w:t xml:space="preserve">In November 2024, </w:t>
      </w:r>
      <w:r w:rsidRPr="0097107F">
        <w:rPr>
          <w:rFonts w:asciiTheme="minorHAnsi" w:eastAsia="SimSun" w:hAnsiTheme="minorHAnsi" w:cstheme="minorBidi"/>
          <w:szCs w:val="24"/>
          <w:lang w:eastAsia="zh-CN"/>
        </w:rPr>
        <w:t xml:space="preserve">ITU also launched the </w:t>
      </w:r>
      <w:hyperlink r:id="rId59" w:history="1">
        <w:r w:rsidRPr="001C5162">
          <w:rPr>
            <w:rStyle w:val="Hyperlink"/>
            <w:rFonts w:asciiTheme="minorHAnsi" w:eastAsia="SimSun" w:hAnsiTheme="minorHAnsi" w:cstheme="minorBidi"/>
            <w:szCs w:val="24"/>
            <w:lang w:eastAsia="zh-CN"/>
          </w:rPr>
          <w:t>International Advisory Body on Submarine Cable Resilience</w:t>
        </w:r>
      </w:hyperlink>
      <w:r w:rsidRPr="0097107F">
        <w:rPr>
          <w:rFonts w:asciiTheme="minorHAnsi" w:eastAsia="SimSun" w:hAnsiTheme="minorHAnsi" w:cstheme="minorBidi"/>
          <w:szCs w:val="24"/>
          <w:lang w:eastAsia="zh-CN"/>
        </w:rPr>
        <w:t xml:space="preserve"> in partnership with the International Cable Protection Committee (ICPC), comprising 40 leaders and experts from the public and private sectors, with the aim of promoting </w:t>
      </w:r>
      <w:r w:rsidRPr="00EC0791">
        <w:rPr>
          <w:rFonts w:eastAsia="SimSun"/>
        </w:rPr>
        <w:t>dialogue</w:t>
      </w:r>
      <w:r w:rsidRPr="0097107F">
        <w:rPr>
          <w:rFonts w:asciiTheme="minorHAnsi" w:eastAsia="SimSun" w:hAnsiTheme="minorHAnsi" w:cstheme="minorBidi"/>
          <w:szCs w:val="24"/>
          <w:lang w:eastAsia="zh-CN"/>
        </w:rPr>
        <w:t xml:space="preserve"> and collaboration on potential ways and means to improve the resilience of this vital infrastructure that powers global communications and the digital economy. </w:t>
      </w:r>
      <w:r>
        <w:rPr>
          <w:rFonts w:asciiTheme="minorHAnsi" w:eastAsia="SimSun" w:hAnsiTheme="minorHAnsi" w:cstheme="minorBidi"/>
          <w:szCs w:val="24"/>
          <w:lang w:eastAsia="zh-CN"/>
        </w:rPr>
        <w:t xml:space="preserve">The first in-person meeting of the Body took place at the </w:t>
      </w:r>
      <w:hyperlink r:id="rId60" w:history="1">
        <w:r w:rsidRPr="006C5886">
          <w:rPr>
            <w:rStyle w:val="Hyperlink"/>
            <w:rFonts w:asciiTheme="minorHAnsi" w:eastAsia="SimSun" w:hAnsiTheme="minorHAnsi" w:cstheme="minorBidi"/>
            <w:szCs w:val="24"/>
            <w:lang w:eastAsia="zh-CN"/>
          </w:rPr>
          <w:t>International Submarine Cable Resilience Summit 2025 (Abuja, Nigeria, 26-27 February 2025)</w:t>
        </w:r>
      </w:hyperlink>
      <w:r>
        <w:rPr>
          <w:rFonts w:asciiTheme="minorHAnsi" w:eastAsia="SimSun" w:hAnsiTheme="minorHAnsi" w:cstheme="minorBidi"/>
          <w:szCs w:val="24"/>
          <w:lang w:eastAsia="zh-CN"/>
        </w:rPr>
        <w:t xml:space="preserve"> that brough together </w:t>
      </w:r>
      <w:r w:rsidRPr="00D750A7">
        <w:rPr>
          <w:rFonts w:asciiTheme="minorHAnsi" w:eastAsia="SimSun" w:hAnsiTheme="minorHAnsi" w:cstheme="minorBidi"/>
          <w:szCs w:val="24"/>
          <w:lang w:eastAsia="zh-CN"/>
        </w:rPr>
        <w:t>governments, industry leaders, and international organizations to address critical challenges facing submarine cables</w:t>
      </w:r>
      <w:r>
        <w:rPr>
          <w:rFonts w:asciiTheme="minorHAnsi" w:eastAsia="SimSun" w:hAnsiTheme="minorHAnsi" w:cstheme="minorBidi"/>
          <w:szCs w:val="24"/>
          <w:lang w:eastAsia="zh-CN"/>
        </w:rPr>
        <w:t>.</w:t>
      </w:r>
    </w:p>
    <w:p w14:paraId="4CE3DC32" w14:textId="0E7C19A2" w:rsidR="00892389" w:rsidRPr="007B3C14" w:rsidRDefault="00892389" w:rsidP="00A51A6D">
      <w:pPr>
        <w:pStyle w:val="Heading1"/>
        <w:tabs>
          <w:tab w:val="clear" w:pos="567"/>
          <w:tab w:val="clear" w:pos="1134"/>
          <w:tab w:val="clear" w:pos="1701"/>
          <w:tab w:val="clear" w:pos="2268"/>
          <w:tab w:val="clear" w:pos="2835"/>
        </w:tabs>
        <w:ind w:left="0" w:firstLine="0"/>
        <w:rPr>
          <w:rFonts w:eastAsia="SimSun"/>
          <w:lang w:eastAsia="zh-CN"/>
        </w:rPr>
      </w:pPr>
      <w:r w:rsidRPr="782BAD56">
        <w:rPr>
          <w:rFonts w:eastAsia="SimSun"/>
          <w:lang w:eastAsia="zh-CN"/>
        </w:rPr>
        <w:t>6</w:t>
      </w:r>
      <w:r>
        <w:rPr>
          <w:rFonts w:eastAsia="SimSun"/>
        </w:rPr>
        <w:tab/>
      </w:r>
      <w:r w:rsidRPr="782BAD56">
        <w:rPr>
          <w:rFonts w:eastAsia="SimSun"/>
          <w:lang w:eastAsia="zh-CN"/>
        </w:rPr>
        <w:t>Child Online Protection (COP)</w:t>
      </w:r>
    </w:p>
    <w:p w14:paraId="346D055E" w14:textId="55400A42" w:rsidR="398883C2" w:rsidRDefault="398883C2" w:rsidP="00A51A6D">
      <w:pPr>
        <w:tabs>
          <w:tab w:val="clear" w:pos="567"/>
          <w:tab w:val="clear" w:pos="1134"/>
          <w:tab w:val="clear" w:pos="1701"/>
          <w:tab w:val="clear" w:pos="2268"/>
          <w:tab w:val="clear" w:pos="2835"/>
        </w:tabs>
        <w:spacing w:after="120"/>
        <w:jc w:val="both"/>
        <w:rPr>
          <w:rFonts w:asciiTheme="minorHAnsi" w:eastAsia="SimSun" w:hAnsiTheme="minorHAnsi" w:cstheme="minorBidi"/>
        </w:rPr>
      </w:pPr>
      <w:r w:rsidRPr="49E963CC">
        <w:rPr>
          <w:rFonts w:asciiTheme="minorHAnsi" w:eastAsia="SimSun" w:hAnsiTheme="minorHAnsi" w:cstheme="minorBidi"/>
        </w:rPr>
        <w:t>6.1</w:t>
      </w:r>
      <w:r w:rsidR="00332CD4">
        <w:rPr>
          <w:rFonts w:asciiTheme="minorHAnsi" w:eastAsia="SimSun" w:hAnsiTheme="minorHAnsi" w:cstheme="minorBidi"/>
        </w:rPr>
        <w:tab/>
      </w:r>
      <w:r w:rsidRPr="49E963CC">
        <w:rPr>
          <w:rFonts w:asciiTheme="minorHAnsi" w:eastAsia="SimSun" w:hAnsiTheme="minorHAnsi" w:cstheme="minorBidi"/>
        </w:rPr>
        <w:t xml:space="preserve">As of April 2025, ITU has supported the development of national COP frameworks or related assessments in 13 countries: Albania, Armenia, Bahamas, Bhutan, Bolivia, Ecuador, Kazakhstan, Malawi, Mongolia, Pakistan, Peru, Suriname, and Thailand. Further policy assistance is being undertaken in Andorra, Eswatini, and Lebanon. These frameworks embed legal and regulatory measures that align with international standards and national child protection priorities. </w:t>
      </w:r>
    </w:p>
    <w:p w14:paraId="759EA47A" w14:textId="149BBAD1" w:rsidR="398883C2" w:rsidRDefault="398883C2" w:rsidP="00A51A6D">
      <w:pPr>
        <w:tabs>
          <w:tab w:val="clear" w:pos="567"/>
          <w:tab w:val="clear" w:pos="1134"/>
          <w:tab w:val="clear" w:pos="1701"/>
          <w:tab w:val="clear" w:pos="2268"/>
          <w:tab w:val="clear" w:pos="2835"/>
        </w:tabs>
        <w:spacing w:after="120"/>
        <w:jc w:val="both"/>
        <w:rPr>
          <w:rFonts w:asciiTheme="minorHAnsi" w:eastAsia="SimSun" w:hAnsiTheme="minorHAnsi" w:cstheme="minorBidi"/>
        </w:rPr>
      </w:pPr>
      <w:r w:rsidRPr="49E963CC">
        <w:rPr>
          <w:rFonts w:asciiTheme="minorHAnsi" w:eastAsia="SimSun" w:hAnsiTheme="minorHAnsi" w:cstheme="minorBidi"/>
        </w:rPr>
        <w:t>6.2</w:t>
      </w:r>
      <w:r w:rsidR="00332CD4">
        <w:rPr>
          <w:rFonts w:asciiTheme="minorHAnsi" w:eastAsia="SimSun" w:hAnsiTheme="minorHAnsi" w:cstheme="minorBidi"/>
        </w:rPr>
        <w:tab/>
      </w:r>
      <w:r w:rsidRPr="49E963CC">
        <w:rPr>
          <w:rFonts w:asciiTheme="minorHAnsi" w:eastAsia="SimSun" w:hAnsiTheme="minorHAnsi" w:cstheme="minorBidi"/>
        </w:rPr>
        <w:t xml:space="preserve">Practical tools and digital learning resources have been central to ITU’s work on </w:t>
      </w:r>
      <w:r w:rsidR="3113A303" w:rsidRPr="7B1E6C31">
        <w:rPr>
          <w:rFonts w:asciiTheme="minorHAnsi" w:eastAsia="SimSun" w:hAnsiTheme="minorHAnsi" w:cstheme="minorBidi"/>
        </w:rPr>
        <w:t>COP</w:t>
      </w:r>
      <w:r w:rsidRPr="7B1E6C31">
        <w:rPr>
          <w:rFonts w:asciiTheme="minorHAnsi" w:eastAsia="SimSun" w:hAnsiTheme="minorHAnsi" w:cstheme="minorBidi"/>
        </w:rPr>
        <w:t>.</w:t>
      </w:r>
      <w:r w:rsidRPr="49E963CC">
        <w:rPr>
          <w:rFonts w:asciiTheme="minorHAnsi" w:eastAsia="SimSun" w:hAnsiTheme="minorHAnsi" w:cstheme="minorBidi"/>
        </w:rPr>
        <w:t xml:space="preserve"> To support national integration of child protection principles, 26 countries have translated the ITU COP Guidelines into local languages, including recent localisations into Quechua (Ecuador), Aymara (Bolivia), Dutch (Suriname), and Maltese during 2024</w:t>
      </w:r>
      <w:r w:rsidR="00332CD4">
        <w:rPr>
          <w:rFonts w:asciiTheme="minorHAnsi" w:eastAsia="SimSun" w:hAnsiTheme="minorHAnsi" w:cstheme="minorBidi"/>
        </w:rPr>
        <w:t>-</w:t>
      </w:r>
      <w:r w:rsidRPr="49E963CC">
        <w:rPr>
          <w:rFonts w:asciiTheme="minorHAnsi" w:eastAsia="SimSun" w:hAnsiTheme="minorHAnsi" w:cstheme="minorBidi"/>
        </w:rPr>
        <w:t xml:space="preserve">2025. </w:t>
      </w:r>
    </w:p>
    <w:p w14:paraId="48295E39" w14:textId="484AB6F6" w:rsidR="398883C2" w:rsidRDefault="398883C2" w:rsidP="00A51A6D">
      <w:pPr>
        <w:tabs>
          <w:tab w:val="clear" w:pos="567"/>
          <w:tab w:val="clear" w:pos="1134"/>
          <w:tab w:val="clear" w:pos="1701"/>
          <w:tab w:val="clear" w:pos="2268"/>
          <w:tab w:val="clear" w:pos="2835"/>
        </w:tabs>
        <w:spacing w:after="120"/>
        <w:jc w:val="both"/>
        <w:rPr>
          <w:rFonts w:asciiTheme="minorHAnsi" w:eastAsia="SimSun" w:hAnsiTheme="minorHAnsi" w:cstheme="minorBidi"/>
        </w:rPr>
      </w:pPr>
      <w:r w:rsidRPr="49E963CC">
        <w:rPr>
          <w:rFonts w:asciiTheme="minorHAnsi" w:eastAsia="SimSun" w:hAnsiTheme="minorHAnsi" w:cstheme="minorBidi"/>
        </w:rPr>
        <w:lastRenderedPageBreak/>
        <w:t>6.3</w:t>
      </w:r>
      <w:r w:rsidR="00332CD4">
        <w:rPr>
          <w:rFonts w:asciiTheme="minorHAnsi" w:eastAsia="SimSun" w:hAnsiTheme="minorHAnsi" w:cstheme="minorBidi"/>
        </w:rPr>
        <w:tab/>
      </w:r>
      <w:r w:rsidRPr="49E963CC">
        <w:rPr>
          <w:rFonts w:asciiTheme="minorHAnsi" w:eastAsia="SimSun" w:hAnsiTheme="minorHAnsi" w:cstheme="minorBidi"/>
        </w:rPr>
        <w:t xml:space="preserve">Ten online self-paced training courses were developed and made available through the ITU Academy, including a sector-specific course for the ICT industry launched in 2024 in partnership with UNICEF. In parallel, online trainings for children—tailored to three different age groups and co-developed with children—were released on Safer Internet Day 2025 in all six official UN languages.  </w:t>
      </w:r>
    </w:p>
    <w:p w14:paraId="731E2D3A" w14:textId="581E1968" w:rsidR="398883C2" w:rsidRDefault="398883C2" w:rsidP="00A51A6D">
      <w:pPr>
        <w:tabs>
          <w:tab w:val="clear" w:pos="567"/>
          <w:tab w:val="clear" w:pos="1134"/>
          <w:tab w:val="clear" w:pos="1701"/>
          <w:tab w:val="clear" w:pos="2268"/>
          <w:tab w:val="clear" w:pos="2835"/>
        </w:tabs>
        <w:spacing w:after="120"/>
        <w:jc w:val="both"/>
        <w:rPr>
          <w:rFonts w:asciiTheme="minorHAnsi" w:eastAsia="SimSun" w:hAnsiTheme="minorHAnsi" w:cstheme="minorBidi"/>
        </w:rPr>
      </w:pPr>
      <w:r w:rsidRPr="49E963CC">
        <w:rPr>
          <w:rFonts w:asciiTheme="minorHAnsi" w:eastAsia="SimSun" w:hAnsiTheme="minorHAnsi" w:cstheme="minorBidi"/>
        </w:rPr>
        <w:t>6.4</w:t>
      </w:r>
      <w:r w:rsidR="00332CD4">
        <w:rPr>
          <w:rFonts w:asciiTheme="minorHAnsi" w:eastAsia="SimSun" w:hAnsiTheme="minorHAnsi" w:cstheme="minorBidi"/>
        </w:rPr>
        <w:tab/>
      </w:r>
      <w:r w:rsidRPr="49E963CC">
        <w:rPr>
          <w:rFonts w:asciiTheme="minorHAnsi" w:eastAsia="SimSun" w:hAnsiTheme="minorHAnsi" w:cstheme="minorBidi"/>
        </w:rPr>
        <w:t>Additional awareness</w:t>
      </w:r>
      <w:r w:rsidR="00332CD4">
        <w:rPr>
          <w:rFonts w:asciiTheme="minorHAnsi" w:eastAsia="SimSun" w:hAnsiTheme="minorHAnsi" w:cstheme="minorBidi"/>
        </w:rPr>
        <w:t>-</w:t>
      </w:r>
      <w:r w:rsidRPr="49E963CC">
        <w:rPr>
          <w:rFonts w:asciiTheme="minorHAnsi" w:eastAsia="SimSun" w:hAnsiTheme="minorHAnsi" w:cstheme="minorBidi"/>
        </w:rPr>
        <w:t xml:space="preserve">raising materials, including brochures and educational videos, were developed and deployed in countries such as in 2025 in Morocco to support national awareness raising campaigns. ITU further supported the roll-out of the COP Guidelines in Serbia in February 2024. Activities included a dissemination campaign and the presentation of newly translated materials in the national language. The campaign successfully reached 957 children, along with 60 teachers, pedagogues, and psychologists. </w:t>
      </w:r>
    </w:p>
    <w:p w14:paraId="432FFB0A" w14:textId="1B897C2E" w:rsidR="398883C2" w:rsidRDefault="398883C2" w:rsidP="00A51A6D">
      <w:pPr>
        <w:tabs>
          <w:tab w:val="clear" w:pos="567"/>
          <w:tab w:val="clear" w:pos="1134"/>
          <w:tab w:val="clear" w:pos="1701"/>
          <w:tab w:val="clear" w:pos="2268"/>
          <w:tab w:val="clear" w:pos="2835"/>
        </w:tabs>
        <w:spacing w:after="120"/>
        <w:jc w:val="both"/>
        <w:rPr>
          <w:rFonts w:asciiTheme="minorHAnsi" w:eastAsia="SimSun" w:hAnsiTheme="minorHAnsi" w:cstheme="minorBidi"/>
        </w:rPr>
      </w:pPr>
      <w:r w:rsidRPr="7B1E6C31">
        <w:rPr>
          <w:rFonts w:asciiTheme="minorHAnsi" w:eastAsia="SimSun" w:hAnsiTheme="minorHAnsi" w:cstheme="minorBidi"/>
        </w:rPr>
        <w:t>6.5</w:t>
      </w:r>
      <w:r w:rsidR="00332CD4">
        <w:rPr>
          <w:rFonts w:asciiTheme="minorHAnsi" w:eastAsia="SimSun" w:hAnsiTheme="minorHAnsi" w:cstheme="minorBidi"/>
        </w:rPr>
        <w:tab/>
      </w:r>
      <w:r w:rsidRPr="49E963CC">
        <w:rPr>
          <w:rFonts w:asciiTheme="minorHAnsi" w:eastAsia="SimSun" w:hAnsiTheme="minorHAnsi" w:cstheme="minorBidi"/>
        </w:rPr>
        <w:t>A total of around 170</w:t>
      </w:r>
      <w:r w:rsidR="00A51A6D">
        <w:rPr>
          <w:rFonts w:asciiTheme="minorHAnsi" w:eastAsia="SimSun" w:hAnsiTheme="minorHAnsi" w:cstheme="minorBidi"/>
        </w:rPr>
        <w:t> </w:t>
      </w:r>
      <w:r w:rsidRPr="49E963CC">
        <w:rPr>
          <w:rFonts w:asciiTheme="minorHAnsi" w:eastAsia="SimSun" w:hAnsiTheme="minorHAnsi" w:cstheme="minorBidi"/>
        </w:rPr>
        <w:t>000 children have participated in educational and empowerment activities focused on online safety, while 2</w:t>
      </w:r>
      <w:r w:rsidR="00A51A6D">
        <w:rPr>
          <w:rFonts w:asciiTheme="minorHAnsi" w:eastAsia="SimSun" w:hAnsiTheme="minorHAnsi" w:cstheme="minorBidi"/>
        </w:rPr>
        <w:t> </w:t>
      </w:r>
      <w:r w:rsidRPr="49E963CC">
        <w:rPr>
          <w:rFonts w:asciiTheme="minorHAnsi" w:eastAsia="SimSun" w:hAnsiTheme="minorHAnsi" w:cstheme="minorBidi"/>
        </w:rPr>
        <w:t>500 parents and educators and 1</w:t>
      </w:r>
      <w:r w:rsidR="00A51A6D">
        <w:rPr>
          <w:rFonts w:asciiTheme="minorHAnsi" w:eastAsia="SimSun" w:hAnsiTheme="minorHAnsi" w:cstheme="minorBidi"/>
        </w:rPr>
        <w:t> </w:t>
      </w:r>
      <w:r w:rsidRPr="49E963CC">
        <w:rPr>
          <w:rFonts w:asciiTheme="minorHAnsi" w:eastAsia="SimSun" w:hAnsiTheme="minorHAnsi" w:cstheme="minorBidi"/>
        </w:rPr>
        <w:t>000 government stakeholders have received training through workshops, Training of Trainers (</w:t>
      </w:r>
      <w:proofErr w:type="spellStart"/>
      <w:r w:rsidRPr="49E963CC">
        <w:rPr>
          <w:rFonts w:asciiTheme="minorHAnsi" w:eastAsia="SimSun" w:hAnsiTheme="minorHAnsi" w:cstheme="minorBidi"/>
        </w:rPr>
        <w:t>ToT</w:t>
      </w:r>
      <w:proofErr w:type="spellEnd"/>
      <w:r w:rsidRPr="49E963CC">
        <w:rPr>
          <w:rFonts w:asciiTheme="minorHAnsi" w:eastAsia="SimSun" w:hAnsiTheme="minorHAnsi" w:cstheme="minorBidi"/>
        </w:rPr>
        <w:t xml:space="preserve">) sessions, and e-learning programmes. These capacity-building efforts have been implemented across all ITU regions, with </w:t>
      </w:r>
      <w:proofErr w:type="spellStart"/>
      <w:r w:rsidRPr="49E963CC">
        <w:rPr>
          <w:rFonts w:asciiTheme="minorHAnsi" w:eastAsia="SimSun" w:hAnsiTheme="minorHAnsi" w:cstheme="minorBidi"/>
        </w:rPr>
        <w:t>ToT</w:t>
      </w:r>
      <w:proofErr w:type="spellEnd"/>
      <w:r w:rsidRPr="49E963CC">
        <w:rPr>
          <w:rFonts w:asciiTheme="minorHAnsi" w:eastAsia="SimSun" w:hAnsiTheme="minorHAnsi" w:cstheme="minorBidi"/>
        </w:rPr>
        <w:t xml:space="preserve"> programmes conducted in countries such as the Bahamas, Costa Rica, Ecuador, Kyrgyzstan, Maldives, Malawi, Malta, Micronesia, Morocco, and Suriname. Additional country-level efforts have further expanded the reach of COP capacity-building. In Ecuador, in collaboration with the </w:t>
      </w:r>
      <w:proofErr w:type="spellStart"/>
      <w:r w:rsidRPr="49E963CC">
        <w:rPr>
          <w:rFonts w:asciiTheme="minorHAnsi" w:eastAsia="SimSun" w:hAnsiTheme="minorHAnsi" w:cstheme="minorBidi"/>
        </w:rPr>
        <w:t>Scort</w:t>
      </w:r>
      <w:proofErr w:type="spellEnd"/>
      <w:r w:rsidRPr="49E963CC">
        <w:rPr>
          <w:rFonts w:asciiTheme="minorHAnsi" w:eastAsia="SimSun" w:hAnsiTheme="minorHAnsi" w:cstheme="minorBidi"/>
        </w:rPr>
        <w:t xml:space="preserve"> Foundation, a training webinar was held for young sports coaches to raise awareness on </w:t>
      </w:r>
      <w:r w:rsidR="14A37ECE" w:rsidRPr="7B1E6C31">
        <w:rPr>
          <w:rFonts w:asciiTheme="minorHAnsi" w:eastAsia="SimSun" w:hAnsiTheme="minorHAnsi" w:cstheme="minorBidi"/>
        </w:rPr>
        <w:t>COP</w:t>
      </w:r>
      <w:r w:rsidRPr="49E963CC">
        <w:rPr>
          <w:rFonts w:asciiTheme="minorHAnsi" w:eastAsia="SimSun" w:hAnsiTheme="minorHAnsi" w:cstheme="minorBidi"/>
        </w:rPr>
        <w:t xml:space="preserve"> in sports contexts. Furthermore, training sessions were conducted for policymakers, the ICT industry, and civil society actors in Ecuador.</w:t>
      </w:r>
    </w:p>
    <w:p w14:paraId="22D1B79B" w14:textId="02BC3DFB" w:rsidR="007A3FCD" w:rsidRPr="007A3FCD" w:rsidRDefault="398883C2" w:rsidP="00A51A6D">
      <w:pPr>
        <w:tabs>
          <w:tab w:val="clear" w:pos="567"/>
          <w:tab w:val="clear" w:pos="1134"/>
          <w:tab w:val="clear" w:pos="1701"/>
          <w:tab w:val="clear" w:pos="2268"/>
          <w:tab w:val="clear" w:pos="2835"/>
        </w:tabs>
        <w:spacing w:after="120"/>
        <w:jc w:val="both"/>
        <w:rPr>
          <w:rFonts w:asciiTheme="minorHAnsi" w:hAnsiTheme="minorHAnsi" w:cstheme="minorBidi"/>
        </w:rPr>
      </w:pPr>
      <w:r w:rsidRPr="57D269EE">
        <w:rPr>
          <w:rFonts w:asciiTheme="minorHAnsi" w:eastAsia="SimSun" w:hAnsiTheme="minorHAnsi" w:cstheme="minorBidi"/>
        </w:rPr>
        <w:t>6.6</w:t>
      </w:r>
      <w:r>
        <w:tab/>
      </w:r>
      <w:r w:rsidRPr="57D269EE">
        <w:rPr>
          <w:rFonts w:asciiTheme="minorHAnsi" w:eastAsia="SimSun" w:hAnsiTheme="minorHAnsi" w:cstheme="minorBidi"/>
        </w:rPr>
        <w:t>The Protection through Online Participation (</w:t>
      </w:r>
      <w:proofErr w:type="spellStart"/>
      <w:r w:rsidRPr="57D269EE">
        <w:rPr>
          <w:rFonts w:asciiTheme="minorHAnsi" w:eastAsia="SimSun" w:hAnsiTheme="minorHAnsi" w:cstheme="minorBidi"/>
        </w:rPr>
        <w:t>PoP</w:t>
      </w:r>
      <w:proofErr w:type="spellEnd"/>
      <w:r w:rsidRPr="57D269EE">
        <w:rPr>
          <w:rFonts w:asciiTheme="minorHAnsi" w:eastAsia="SimSun" w:hAnsiTheme="minorHAnsi" w:cstheme="minorBidi"/>
        </w:rPr>
        <w:t>) initiative, co-led by ITU and the UN Special Representative of the Secretary-General on Violence Against Children, brings together over 30 partners from across the UN system, technology platforms, civil society organizations, and academia. The initiative is developing guiding principles for policy</w:t>
      </w:r>
      <w:r w:rsidR="00F0610C" w:rsidRPr="57D269EE">
        <w:rPr>
          <w:rFonts w:asciiTheme="minorHAnsi" w:eastAsia="SimSun" w:hAnsiTheme="minorHAnsi" w:cstheme="minorBidi"/>
        </w:rPr>
        <w:t>-</w:t>
      </w:r>
      <w:r w:rsidRPr="57D269EE">
        <w:rPr>
          <w:rFonts w:asciiTheme="minorHAnsi" w:eastAsia="SimSun" w:hAnsiTheme="minorHAnsi" w:cstheme="minorBidi"/>
        </w:rPr>
        <w:t>makers, child helpline</w:t>
      </w:r>
      <w:r w:rsidR="2EB9321D" w:rsidRPr="57D269EE">
        <w:rPr>
          <w:rFonts w:asciiTheme="minorHAnsi" w:eastAsia="SimSun" w:hAnsiTheme="minorHAnsi" w:cstheme="minorBidi"/>
        </w:rPr>
        <w:t xml:space="preserve">s, </w:t>
      </w:r>
      <w:r w:rsidR="2EB9321D" w:rsidRPr="31C05E63">
        <w:rPr>
          <w:rFonts w:eastAsia="Calibri" w:cs="Calibri"/>
        </w:rPr>
        <w:t>and technology platforms, which are scheduled for release in 2025. In parallel, ITU is collaborating with the Committee on the Rights of the Child, UNICEF, and more than ten co-signatory agencies to finalize an interagency Joint Statement on Artificial Intelligence and child online protection, expected to be adopted by the Committee in 2025.</w:t>
      </w:r>
    </w:p>
    <w:p w14:paraId="065A4702" w14:textId="6282C94F" w:rsidR="007A3FCD" w:rsidRPr="00973E69" w:rsidRDefault="2EB9321D" w:rsidP="00A51A6D">
      <w:pPr>
        <w:tabs>
          <w:tab w:val="clear" w:pos="567"/>
          <w:tab w:val="clear" w:pos="1134"/>
          <w:tab w:val="clear" w:pos="1701"/>
          <w:tab w:val="clear" w:pos="2268"/>
          <w:tab w:val="clear" w:pos="2835"/>
        </w:tabs>
        <w:spacing w:after="120"/>
        <w:jc w:val="both"/>
      </w:pPr>
      <w:r w:rsidRPr="57D269EE">
        <w:rPr>
          <w:rFonts w:eastAsia="Calibri" w:cs="Calibri"/>
          <w:szCs w:val="24"/>
        </w:rPr>
        <w:t>6.7</w:t>
      </w:r>
      <w:r w:rsidR="00A51A6D">
        <w:rPr>
          <w:rFonts w:eastAsia="Calibri" w:cs="Calibri"/>
          <w:szCs w:val="24"/>
        </w:rPr>
        <w:tab/>
      </w:r>
      <w:r w:rsidRPr="57D269EE">
        <w:rPr>
          <w:rFonts w:eastAsia="Calibri" w:cs="Calibri"/>
          <w:szCs w:val="24"/>
        </w:rPr>
        <w:t xml:space="preserve">In terms of Research and Innovation, findings emerging from the </w:t>
      </w:r>
      <w:proofErr w:type="spellStart"/>
      <w:r w:rsidRPr="57D269EE">
        <w:rPr>
          <w:rFonts w:eastAsia="Calibri" w:cs="Calibri"/>
          <w:szCs w:val="24"/>
        </w:rPr>
        <w:t>PoP</w:t>
      </w:r>
      <w:proofErr w:type="spellEnd"/>
      <w:r w:rsidRPr="57D269EE">
        <w:rPr>
          <w:rFonts w:eastAsia="Calibri" w:cs="Calibri"/>
          <w:szCs w:val="24"/>
        </w:rPr>
        <w:t xml:space="preserve"> initiative—including engagement with child helplines, digital platforms and service providers, and children and young people—has highlighted the dual nature of digital environments as spaces of potential harm and critical channels for accessing support services. These insights are shaping a shift toward a more empowering and preventive approach to online child protection. In addition, ITU has launched a global research collaboration with the World Health Organization (WHO) in late 2024 to establish a Global Online Safety Prevention Education and Resource Network. Recognizing the importance of child participation, throughout 2024 and 2025, ITU has enabled the creation of child taskforces in Indonesia, Malawi, and Lebanon, enabling children to contribute directly to the development of national COP strategies.</w:t>
      </w:r>
    </w:p>
    <w:p w14:paraId="5062D338" w14:textId="77777777" w:rsidR="007A3FCD" w:rsidRPr="00C0458D" w:rsidRDefault="007A3FCD" w:rsidP="00A51A6D">
      <w:pPr>
        <w:spacing w:before="480"/>
        <w:jc w:val="center"/>
      </w:pPr>
      <w:r>
        <w:t>______________</w:t>
      </w:r>
    </w:p>
    <w:sectPr w:rsidR="007A3FCD" w:rsidRPr="00C0458D" w:rsidSect="00AD3606">
      <w:footerReference w:type="default" r:id="rId61"/>
      <w:headerReference w:type="first" r:id="rId62"/>
      <w:footerReference w:type="first" r:id="rId6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1680B" w14:textId="77777777" w:rsidR="009E22CD" w:rsidRDefault="009E22CD">
      <w:r>
        <w:separator/>
      </w:r>
    </w:p>
  </w:endnote>
  <w:endnote w:type="continuationSeparator" w:id="0">
    <w:p w14:paraId="38835F81" w14:textId="77777777" w:rsidR="009E22CD" w:rsidRDefault="009E22CD">
      <w:r>
        <w:continuationSeparator/>
      </w:r>
    </w:p>
  </w:endnote>
  <w:endnote w:type="continuationNotice" w:id="1">
    <w:p w14:paraId="762C63A4" w14:textId="77777777" w:rsidR="009E22CD" w:rsidRDefault="009E22C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40BA033" w14:textId="77777777" w:rsidTr="005B12B0">
      <w:trPr>
        <w:jc w:val="center"/>
      </w:trPr>
      <w:tc>
        <w:tcPr>
          <w:tcW w:w="1803" w:type="dxa"/>
          <w:vAlign w:val="center"/>
        </w:tcPr>
        <w:p w14:paraId="516132E5" w14:textId="77777777" w:rsidR="00EE49E8" w:rsidRDefault="00C6520B" w:rsidP="00EE49E8">
          <w:pPr>
            <w:pStyle w:val="Header"/>
            <w:jc w:val="left"/>
            <w:rPr>
              <w:noProof/>
            </w:rPr>
          </w:pPr>
          <w:r>
            <w:rPr>
              <w:noProof/>
            </w:rPr>
            <w:t>gDoc #</w:t>
          </w:r>
        </w:p>
      </w:tc>
      <w:tc>
        <w:tcPr>
          <w:tcW w:w="8261" w:type="dxa"/>
        </w:tcPr>
        <w:p w14:paraId="18EA6AB0" w14:textId="0476F78C"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EC0791">
            <w:rPr>
              <w:bCs/>
            </w:rPr>
            <w:t>18</w:t>
          </w:r>
          <w:r w:rsidRPr="00623AE3">
            <w:rPr>
              <w:bCs/>
            </w:rPr>
            <w:t>-E</w:t>
          </w:r>
          <w:r>
            <w:rPr>
              <w:bCs/>
            </w:rPr>
            <w:tab/>
          </w:r>
          <w:r>
            <w:fldChar w:fldCharType="begin"/>
          </w:r>
          <w:r>
            <w:instrText>PAGE</w:instrText>
          </w:r>
          <w:r>
            <w:fldChar w:fldCharType="separate"/>
          </w:r>
          <w:r>
            <w:t>1</w:t>
          </w:r>
          <w:r>
            <w:rPr>
              <w:noProof/>
            </w:rPr>
            <w:fldChar w:fldCharType="end"/>
          </w:r>
        </w:p>
      </w:tc>
    </w:tr>
  </w:tbl>
  <w:p w14:paraId="7D0DC28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38763E78" w14:textId="77777777" w:rsidTr="006B77F1">
      <w:trPr>
        <w:jc w:val="center"/>
      </w:trPr>
      <w:tc>
        <w:tcPr>
          <w:tcW w:w="1803" w:type="dxa"/>
          <w:vAlign w:val="center"/>
        </w:tcPr>
        <w:p w14:paraId="03BFE24B"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73590087" w14:textId="45300746"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EC0791">
            <w:rPr>
              <w:bCs/>
            </w:rPr>
            <w:t>18</w:t>
          </w:r>
          <w:r w:rsidRPr="00623AE3">
            <w:rPr>
              <w:bCs/>
            </w:rPr>
            <w:t>-E</w:t>
          </w:r>
          <w:r>
            <w:rPr>
              <w:bCs/>
            </w:rPr>
            <w:tab/>
          </w:r>
          <w:r>
            <w:fldChar w:fldCharType="begin"/>
          </w:r>
          <w:r>
            <w:instrText>PAGE</w:instrText>
          </w:r>
          <w:r>
            <w:fldChar w:fldCharType="separate"/>
          </w:r>
          <w:r>
            <w:t>1</w:t>
          </w:r>
          <w:r>
            <w:rPr>
              <w:noProof/>
            </w:rPr>
            <w:fldChar w:fldCharType="end"/>
          </w:r>
        </w:p>
      </w:tc>
    </w:tr>
  </w:tbl>
  <w:p w14:paraId="2B474C26"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9B778" w14:textId="77777777" w:rsidR="009E22CD" w:rsidRDefault="009E22CD">
      <w:r>
        <w:t>____________________</w:t>
      </w:r>
    </w:p>
  </w:footnote>
  <w:footnote w:type="continuationSeparator" w:id="0">
    <w:p w14:paraId="68AED4C0" w14:textId="77777777" w:rsidR="009E22CD" w:rsidRDefault="009E22CD">
      <w:r>
        <w:continuationSeparator/>
      </w:r>
    </w:p>
  </w:footnote>
  <w:footnote w:type="continuationNotice" w:id="1">
    <w:p w14:paraId="19706954" w14:textId="77777777" w:rsidR="009E22CD" w:rsidRDefault="009E22C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892389" w:rsidRPr="00784011" w14:paraId="164E6427" w14:textId="77777777" w:rsidTr="005B12B0">
      <w:trPr>
        <w:trHeight w:val="1104"/>
        <w:jc w:val="center"/>
      </w:trPr>
      <w:tc>
        <w:tcPr>
          <w:tcW w:w="4390" w:type="dxa"/>
          <w:vAlign w:val="center"/>
        </w:tcPr>
        <w:p w14:paraId="1E8C6B67" w14:textId="77777777" w:rsidR="00892389" w:rsidRPr="009621F8" w:rsidRDefault="00892389" w:rsidP="00892389">
          <w:pPr>
            <w:pStyle w:val="Header"/>
            <w:jc w:val="left"/>
            <w:rPr>
              <w:rFonts w:ascii="Arial" w:hAnsi="Arial" w:cs="Arial"/>
              <w:b/>
              <w:bCs/>
              <w:color w:val="009CD6"/>
              <w:sz w:val="36"/>
              <w:szCs w:val="36"/>
            </w:rPr>
          </w:pPr>
          <w:r>
            <w:rPr>
              <w:rFonts w:ascii="Arial" w:hAnsi="Arial" w:cs="Arial"/>
              <w:b/>
              <w:bCs/>
              <w:noProof/>
              <w:color w:val="009CD6"/>
              <w:sz w:val="36"/>
              <w:szCs w:val="36"/>
            </w:rPr>
            <w:drawing>
              <wp:inline distT="0" distB="0" distL="0" distR="0" wp14:anchorId="5864F96B" wp14:editId="34C16220">
                <wp:extent cx="3671597" cy="612000"/>
                <wp:effectExtent l="0" t="0" r="0" b="0"/>
                <wp:docPr id="419265710"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0C00FE9A" w14:textId="77777777" w:rsidR="00892389" w:rsidRDefault="00892389" w:rsidP="00892389">
          <w:pPr>
            <w:pStyle w:val="Header"/>
            <w:jc w:val="right"/>
            <w:rPr>
              <w:rFonts w:ascii="Arial" w:hAnsi="Arial" w:cs="Arial"/>
              <w:b/>
              <w:bCs/>
              <w:color w:val="009CD6"/>
              <w:szCs w:val="18"/>
            </w:rPr>
          </w:pPr>
        </w:p>
        <w:p w14:paraId="1D34058E" w14:textId="77777777" w:rsidR="00892389" w:rsidRDefault="00892389" w:rsidP="00892389">
          <w:pPr>
            <w:pStyle w:val="Header"/>
            <w:jc w:val="right"/>
            <w:rPr>
              <w:rFonts w:ascii="Arial" w:hAnsi="Arial" w:cs="Arial"/>
              <w:b/>
              <w:bCs/>
              <w:color w:val="009CD6"/>
              <w:szCs w:val="18"/>
            </w:rPr>
          </w:pPr>
        </w:p>
        <w:p w14:paraId="6FC5E77C" w14:textId="77777777" w:rsidR="00892389" w:rsidRPr="00784011" w:rsidRDefault="00892389" w:rsidP="0089238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58597BF4" w14:textId="0EDEEC35"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7885E4DA" wp14:editId="43A97EF3">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24EBE"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E5"/>
    <w:rsid w:val="0001049B"/>
    <w:rsid w:val="000210D4"/>
    <w:rsid w:val="0006007D"/>
    <w:rsid w:val="00063016"/>
    <w:rsid w:val="00066795"/>
    <w:rsid w:val="00076AF6"/>
    <w:rsid w:val="00080653"/>
    <w:rsid w:val="000840EC"/>
    <w:rsid w:val="00085CF2"/>
    <w:rsid w:val="000922DF"/>
    <w:rsid w:val="000B1705"/>
    <w:rsid w:val="000D6176"/>
    <w:rsid w:val="000D75B2"/>
    <w:rsid w:val="000F5DDB"/>
    <w:rsid w:val="001121F5"/>
    <w:rsid w:val="00112274"/>
    <w:rsid w:val="00120640"/>
    <w:rsid w:val="00120A61"/>
    <w:rsid w:val="00121992"/>
    <w:rsid w:val="00126B22"/>
    <w:rsid w:val="00127F9E"/>
    <w:rsid w:val="001400DC"/>
    <w:rsid w:val="00140CE1"/>
    <w:rsid w:val="00155EF6"/>
    <w:rsid w:val="0017539C"/>
    <w:rsid w:val="00175AC2"/>
    <w:rsid w:val="0017609F"/>
    <w:rsid w:val="00176F47"/>
    <w:rsid w:val="001A3154"/>
    <w:rsid w:val="001A7D1D"/>
    <w:rsid w:val="001B51DD"/>
    <w:rsid w:val="001B72E3"/>
    <w:rsid w:val="001C628E"/>
    <w:rsid w:val="001D1409"/>
    <w:rsid w:val="001E0F7B"/>
    <w:rsid w:val="001F5569"/>
    <w:rsid w:val="002034B6"/>
    <w:rsid w:val="00210F45"/>
    <w:rsid w:val="002119FD"/>
    <w:rsid w:val="002130E0"/>
    <w:rsid w:val="00221F46"/>
    <w:rsid w:val="002352E5"/>
    <w:rsid w:val="002449C3"/>
    <w:rsid w:val="00264425"/>
    <w:rsid w:val="00265875"/>
    <w:rsid w:val="00266EEF"/>
    <w:rsid w:val="0027303B"/>
    <w:rsid w:val="0028109B"/>
    <w:rsid w:val="002A2188"/>
    <w:rsid w:val="002B1F58"/>
    <w:rsid w:val="002C1C7A"/>
    <w:rsid w:val="002C3F32"/>
    <w:rsid w:val="002C54E2"/>
    <w:rsid w:val="0030160F"/>
    <w:rsid w:val="0031062C"/>
    <w:rsid w:val="00320223"/>
    <w:rsid w:val="00322D0D"/>
    <w:rsid w:val="00332CD4"/>
    <w:rsid w:val="00335D32"/>
    <w:rsid w:val="00361465"/>
    <w:rsid w:val="00361BCB"/>
    <w:rsid w:val="00382CC1"/>
    <w:rsid w:val="003877F5"/>
    <w:rsid w:val="003934EA"/>
    <w:rsid w:val="003936D3"/>
    <w:rsid w:val="003942D4"/>
    <w:rsid w:val="003958A8"/>
    <w:rsid w:val="003B29C2"/>
    <w:rsid w:val="003B4FAF"/>
    <w:rsid w:val="003C2533"/>
    <w:rsid w:val="003D5A7F"/>
    <w:rsid w:val="003D744B"/>
    <w:rsid w:val="003E7AD4"/>
    <w:rsid w:val="0040435A"/>
    <w:rsid w:val="00416A24"/>
    <w:rsid w:val="00431D9E"/>
    <w:rsid w:val="00433B84"/>
    <w:rsid w:val="00433CE8"/>
    <w:rsid w:val="00434A5C"/>
    <w:rsid w:val="00453079"/>
    <w:rsid w:val="004544D9"/>
    <w:rsid w:val="00472BAD"/>
    <w:rsid w:val="00484009"/>
    <w:rsid w:val="00490E72"/>
    <w:rsid w:val="00491157"/>
    <w:rsid w:val="00491BA9"/>
    <w:rsid w:val="004921C8"/>
    <w:rsid w:val="00494ABD"/>
    <w:rsid w:val="00495B0B"/>
    <w:rsid w:val="00496CC0"/>
    <w:rsid w:val="004A1B8B"/>
    <w:rsid w:val="004D1851"/>
    <w:rsid w:val="004D599D"/>
    <w:rsid w:val="004E2EA5"/>
    <w:rsid w:val="004E3AEB"/>
    <w:rsid w:val="005020BD"/>
    <w:rsid w:val="0050223C"/>
    <w:rsid w:val="00510CBB"/>
    <w:rsid w:val="005243FF"/>
    <w:rsid w:val="00527BEC"/>
    <w:rsid w:val="00536994"/>
    <w:rsid w:val="00564FBC"/>
    <w:rsid w:val="005800BC"/>
    <w:rsid w:val="00582442"/>
    <w:rsid w:val="00590696"/>
    <w:rsid w:val="005A04C9"/>
    <w:rsid w:val="005B12B0"/>
    <w:rsid w:val="005B5F51"/>
    <w:rsid w:val="005B6A6D"/>
    <w:rsid w:val="005D09BF"/>
    <w:rsid w:val="005F3269"/>
    <w:rsid w:val="00617DA3"/>
    <w:rsid w:val="00623AE3"/>
    <w:rsid w:val="00632211"/>
    <w:rsid w:val="0064737F"/>
    <w:rsid w:val="006535F1"/>
    <w:rsid w:val="0065557D"/>
    <w:rsid w:val="00660D50"/>
    <w:rsid w:val="00662984"/>
    <w:rsid w:val="00664B65"/>
    <w:rsid w:val="006716BB"/>
    <w:rsid w:val="006B0FDA"/>
    <w:rsid w:val="006B1859"/>
    <w:rsid w:val="006B6680"/>
    <w:rsid w:val="006B6DCC"/>
    <w:rsid w:val="006B77F1"/>
    <w:rsid w:val="006D4E21"/>
    <w:rsid w:val="006F3967"/>
    <w:rsid w:val="006F7339"/>
    <w:rsid w:val="00702DEF"/>
    <w:rsid w:val="00706861"/>
    <w:rsid w:val="00722551"/>
    <w:rsid w:val="0075051B"/>
    <w:rsid w:val="0077110E"/>
    <w:rsid w:val="00793188"/>
    <w:rsid w:val="00794D34"/>
    <w:rsid w:val="007A3FCD"/>
    <w:rsid w:val="007B19CF"/>
    <w:rsid w:val="007B586B"/>
    <w:rsid w:val="007D01AF"/>
    <w:rsid w:val="00811E96"/>
    <w:rsid w:val="00813E5E"/>
    <w:rsid w:val="00823750"/>
    <w:rsid w:val="0083581B"/>
    <w:rsid w:val="008373C4"/>
    <w:rsid w:val="00842E79"/>
    <w:rsid w:val="00852759"/>
    <w:rsid w:val="00856075"/>
    <w:rsid w:val="00863874"/>
    <w:rsid w:val="00864AFF"/>
    <w:rsid w:val="00865925"/>
    <w:rsid w:val="00892389"/>
    <w:rsid w:val="008B34D8"/>
    <w:rsid w:val="008B4A6A"/>
    <w:rsid w:val="008B7594"/>
    <w:rsid w:val="008C3AC8"/>
    <w:rsid w:val="008C7E27"/>
    <w:rsid w:val="008D1E53"/>
    <w:rsid w:val="008F7448"/>
    <w:rsid w:val="0090147A"/>
    <w:rsid w:val="009173EF"/>
    <w:rsid w:val="00932906"/>
    <w:rsid w:val="00950D2C"/>
    <w:rsid w:val="00961B0B"/>
    <w:rsid w:val="00962D33"/>
    <w:rsid w:val="00973E69"/>
    <w:rsid w:val="009A2014"/>
    <w:rsid w:val="009B38C3"/>
    <w:rsid w:val="009E17BD"/>
    <w:rsid w:val="009E22CD"/>
    <w:rsid w:val="009E485A"/>
    <w:rsid w:val="00A04CEC"/>
    <w:rsid w:val="00A27F92"/>
    <w:rsid w:val="00A32257"/>
    <w:rsid w:val="00A33051"/>
    <w:rsid w:val="00A36D20"/>
    <w:rsid w:val="00A514A4"/>
    <w:rsid w:val="00A51A6D"/>
    <w:rsid w:val="00A55622"/>
    <w:rsid w:val="00A55E54"/>
    <w:rsid w:val="00A64048"/>
    <w:rsid w:val="00A74218"/>
    <w:rsid w:val="00A83502"/>
    <w:rsid w:val="00A94BAB"/>
    <w:rsid w:val="00A9704B"/>
    <w:rsid w:val="00AD15B3"/>
    <w:rsid w:val="00AD3606"/>
    <w:rsid w:val="00AD4A3D"/>
    <w:rsid w:val="00AF6E49"/>
    <w:rsid w:val="00B04A67"/>
    <w:rsid w:val="00B0583C"/>
    <w:rsid w:val="00B214D5"/>
    <w:rsid w:val="00B22B86"/>
    <w:rsid w:val="00B40A81"/>
    <w:rsid w:val="00B41DAD"/>
    <w:rsid w:val="00B44910"/>
    <w:rsid w:val="00B54A47"/>
    <w:rsid w:val="00B72267"/>
    <w:rsid w:val="00B76EB6"/>
    <w:rsid w:val="00B7737B"/>
    <w:rsid w:val="00B824C8"/>
    <w:rsid w:val="00B84B9D"/>
    <w:rsid w:val="00B86098"/>
    <w:rsid w:val="00B9131F"/>
    <w:rsid w:val="00BA3B7B"/>
    <w:rsid w:val="00BB0646"/>
    <w:rsid w:val="00BC251A"/>
    <w:rsid w:val="00BC4A20"/>
    <w:rsid w:val="00BD032B"/>
    <w:rsid w:val="00BD2D7B"/>
    <w:rsid w:val="00BE01C6"/>
    <w:rsid w:val="00BE058C"/>
    <w:rsid w:val="00BE2640"/>
    <w:rsid w:val="00BF1FDE"/>
    <w:rsid w:val="00C01189"/>
    <w:rsid w:val="00C0458D"/>
    <w:rsid w:val="00C374DE"/>
    <w:rsid w:val="00C47AD4"/>
    <w:rsid w:val="00C52D81"/>
    <w:rsid w:val="00C55198"/>
    <w:rsid w:val="00C6520B"/>
    <w:rsid w:val="00CA6393"/>
    <w:rsid w:val="00CA7995"/>
    <w:rsid w:val="00CB18FF"/>
    <w:rsid w:val="00CD0C08"/>
    <w:rsid w:val="00CE03FB"/>
    <w:rsid w:val="00CE2B12"/>
    <w:rsid w:val="00CE433C"/>
    <w:rsid w:val="00CF0161"/>
    <w:rsid w:val="00CF102A"/>
    <w:rsid w:val="00CF33F3"/>
    <w:rsid w:val="00CF4A2B"/>
    <w:rsid w:val="00D024CA"/>
    <w:rsid w:val="00D06183"/>
    <w:rsid w:val="00D22C42"/>
    <w:rsid w:val="00D6035C"/>
    <w:rsid w:val="00D65041"/>
    <w:rsid w:val="00D675DE"/>
    <w:rsid w:val="00D766A7"/>
    <w:rsid w:val="00DB0DE5"/>
    <w:rsid w:val="00DB1936"/>
    <w:rsid w:val="00DB384B"/>
    <w:rsid w:val="00DF0189"/>
    <w:rsid w:val="00E00A29"/>
    <w:rsid w:val="00E06FD5"/>
    <w:rsid w:val="00E10E80"/>
    <w:rsid w:val="00E124F0"/>
    <w:rsid w:val="00E227F3"/>
    <w:rsid w:val="00E23465"/>
    <w:rsid w:val="00E545C6"/>
    <w:rsid w:val="00E60F04"/>
    <w:rsid w:val="00E65B24"/>
    <w:rsid w:val="00E74BC2"/>
    <w:rsid w:val="00E76842"/>
    <w:rsid w:val="00E854E4"/>
    <w:rsid w:val="00E86DBF"/>
    <w:rsid w:val="00E969AF"/>
    <w:rsid w:val="00EB0D6F"/>
    <w:rsid w:val="00EB2232"/>
    <w:rsid w:val="00EC0791"/>
    <w:rsid w:val="00EC282F"/>
    <w:rsid w:val="00EC5337"/>
    <w:rsid w:val="00EE49E8"/>
    <w:rsid w:val="00F0610C"/>
    <w:rsid w:val="00F16BAB"/>
    <w:rsid w:val="00F2150A"/>
    <w:rsid w:val="00F231D8"/>
    <w:rsid w:val="00F26177"/>
    <w:rsid w:val="00F44C00"/>
    <w:rsid w:val="00F45D2C"/>
    <w:rsid w:val="00F46C5F"/>
    <w:rsid w:val="00F632C0"/>
    <w:rsid w:val="00F641E1"/>
    <w:rsid w:val="00F94A63"/>
    <w:rsid w:val="00FA1C28"/>
    <w:rsid w:val="00FA7D55"/>
    <w:rsid w:val="00FB1279"/>
    <w:rsid w:val="00FB6B76"/>
    <w:rsid w:val="00FB7596"/>
    <w:rsid w:val="00FD36FD"/>
    <w:rsid w:val="00FE4077"/>
    <w:rsid w:val="00FE500D"/>
    <w:rsid w:val="00FE77D2"/>
    <w:rsid w:val="00FF39B1"/>
    <w:rsid w:val="00FF4F15"/>
    <w:rsid w:val="14A37ECE"/>
    <w:rsid w:val="1C1FD13E"/>
    <w:rsid w:val="1E539903"/>
    <w:rsid w:val="2EB9321D"/>
    <w:rsid w:val="3113A303"/>
    <w:rsid w:val="31C05E63"/>
    <w:rsid w:val="3874E1EB"/>
    <w:rsid w:val="398883C2"/>
    <w:rsid w:val="4747FCAD"/>
    <w:rsid w:val="49E963CC"/>
    <w:rsid w:val="57D269EE"/>
    <w:rsid w:val="5E59E38A"/>
    <w:rsid w:val="6A72F8E8"/>
    <w:rsid w:val="782BAD56"/>
    <w:rsid w:val="7B1E6C31"/>
    <w:rsid w:val="7F9D85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E467D"/>
  <w15:docId w15:val="{4C0EA2AF-B322-4205-851C-FC8D2BA63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176F47"/>
    <w:pPr>
      <w:framePr w:wrap="around" w:vAnchor="margin" w:hAnchor="page" w:x="1821" w:y="2317"/>
      <w:spacing w:before="120" w:after="120"/>
    </w:pPr>
    <w:rPr>
      <w:sz w:val="32"/>
      <w:szCs w:val="32"/>
    </w:r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character" w:styleId="CommentReference">
    <w:name w:val="annotation reference"/>
    <w:basedOn w:val="DefaultParagraphFont"/>
    <w:semiHidden/>
    <w:unhideWhenUsed/>
    <w:rsid w:val="00A9704B"/>
    <w:rPr>
      <w:sz w:val="16"/>
      <w:szCs w:val="16"/>
    </w:rPr>
  </w:style>
  <w:style w:type="paragraph" w:styleId="CommentText">
    <w:name w:val="annotation text"/>
    <w:basedOn w:val="Normal"/>
    <w:link w:val="CommentTextChar"/>
    <w:unhideWhenUsed/>
    <w:rsid w:val="00A9704B"/>
    <w:rPr>
      <w:sz w:val="20"/>
    </w:rPr>
  </w:style>
  <w:style w:type="character" w:customStyle="1" w:styleId="CommentTextChar">
    <w:name w:val="Comment Text Char"/>
    <w:basedOn w:val="DefaultParagraphFont"/>
    <w:link w:val="CommentText"/>
    <w:rsid w:val="00A9704B"/>
    <w:rPr>
      <w:rFonts w:ascii="Calibri" w:hAnsi="Calibri"/>
      <w:lang w:val="en-GB" w:eastAsia="en-US"/>
    </w:rPr>
  </w:style>
  <w:style w:type="character" w:styleId="Mention">
    <w:name w:val="Mention"/>
    <w:basedOn w:val="DefaultParagraphFont"/>
    <w:uiPriority w:val="99"/>
    <w:unhideWhenUsed/>
    <w:rsid w:val="009A2014"/>
    <w:rPr>
      <w:color w:val="2B579A"/>
      <w:shd w:val="clear" w:color="auto" w:fill="E1DFDD"/>
    </w:rPr>
  </w:style>
  <w:style w:type="paragraph" w:styleId="CommentSubject">
    <w:name w:val="annotation subject"/>
    <w:basedOn w:val="CommentText"/>
    <w:next w:val="CommentText"/>
    <w:link w:val="CommentSubjectChar"/>
    <w:semiHidden/>
    <w:unhideWhenUsed/>
    <w:rsid w:val="00536994"/>
    <w:rPr>
      <w:b/>
      <w:bCs/>
    </w:rPr>
  </w:style>
  <w:style w:type="character" w:customStyle="1" w:styleId="CommentSubjectChar">
    <w:name w:val="Comment Subject Char"/>
    <w:basedOn w:val="CommentTextChar"/>
    <w:link w:val="CommentSubject"/>
    <w:semiHidden/>
    <w:rsid w:val="00536994"/>
    <w:rPr>
      <w:rFonts w:ascii="Calibri" w:hAnsi="Calibri"/>
      <w:b/>
      <w:bCs/>
      <w:lang w:val="en-GB" w:eastAsia="en-US"/>
    </w:rPr>
  </w:style>
  <w:style w:type="paragraph" w:styleId="Revision">
    <w:name w:val="Revision"/>
    <w:hidden/>
    <w:uiPriority w:val="99"/>
    <w:semiHidden/>
    <w:rsid w:val="003934EA"/>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16-CL-C-0018/en" TargetMode="External"/><Relationship Id="rId21" Type="http://schemas.openxmlformats.org/officeDocument/2006/relationships/hyperlink" Target="https://www.itu.int/pub/T-RES-T.50-2022" TargetMode="External"/><Relationship Id="rId34" Type="http://schemas.openxmlformats.org/officeDocument/2006/relationships/hyperlink" Target="https://www.itu.int/md/S24-CL-C-0018/en" TargetMode="External"/><Relationship Id="rId42" Type="http://schemas.openxmlformats.org/officeDocument/2006/relationships/hyperlink" Target="https://www.itu.int/en/ITU-D/Cybersecurity/Pages/national-CIRT.aspx" TargetMode="External"/><Relationship Id="rId47" Type="http://schemas.openxmlformats.org/officeDocument/2006/relationships/hyperlink" Target="https://www.itu.int/en/ITU-D/Cybersecurity/Pages/cybersecurity-national-strategies.aspx" TargetMode="External"/><Relationship Id="rId50" Type="http://schemas.openxmlformats.org/officeDocument/2006/relationships/hyperlink" Target="https://www.itu.int/en/ITU-D/Cybersecurity/Pages/Cyber4Good/Cyber4Good.aspx" TargetMode="External"/><Relationship Id="rId55" Type="http://schemas.openxmlformats.org/officeDocument/2006/relationships/hyperlink" Target="https://www.itu.int/net4/wsis/forum/2024/Agenda/Session/170" TargetMode="External"/><Relationship Id="rId63"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council/Documents/basic-texts-2023/RES-181-E.pdf" TargetMode="External"/><Relationship Id="rId29" Type="http://schemas.openxmlformats.org/officeDocument/2006/relationships/hyperlink" Target="https://www.itu.int/md/S19-CL-C-0018/en" TargetMode="External"/><Relationship Id="rId11" Type="http://schemas.openxmlformats.org/officeDocument/2006/relationships/hyperlink" Target="https://www.itu.int/en/council/Documents/basic-texts-2023/RES-071-E.pdf" TargetMode="External"/><Relationship Id="rId24" Type="http://schemas.openxmlformats.org/officeDocument/2006/relationships/hyperlink" Target="https://www.itu.int/pub/T-RES-T.58-2022" TargetMode="External"/><Relationship Id="rId32" Type="http://schemas.openxmlformats.org/officeDocument/2006/relationships/hyperlink" Target="https://www.itu.int/md/S22-CL-C-0018/en" TargetMode="External"/><Relationship Id="rId37" Type="http://schemas.openxmlformats.org/officeDocument/2006/relationships/hyperlink" Target="https://www.itu.int/itu-t/workprog/wp_search.aspx?sg=17" TargetMode="External"/><Relationship Id="rId40" Type="http://schemas.openxmlformats.org/officeDocument/2006/relationships/hyperlink" Target="https://www.itu.int/pub/R-REC" TargetMode="External"/><Relationship Id="rId45" Type="http://schemas.openxmlformats.org/officeDocument/2006/relationships/hyperlink" Target="https://ncsguide.org/" TargetMode="External"/><Relationship Id="rId53" Type="http://schemas.openxmlformats.org/officeDocument/2006/relationships/hyperlink" Target="https://www.itu.int/md/S23-CL-C-0124/en" TargetMode="External"/><Relationship Id="rId58" Type="http://schemas.openxmlformats.org/officeDocument/2006/relationships/hyperlink" Target="https://meetings.unoda.org/meeting/57871"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s://www.itu.int/dms_pub/itu-d/opb/tdc/D-TDC-WTDC-2022-PDF-E.pdf" TargetMode="External"/><Relationship Id="rId14" Type="http://schemas.openxmlformats.org/officeDocument/2006/relationships/hyperlink" Target="https://www.itu.int/en/council/Documents/basic-texts-2023/RES-179-E.pdf" TargetMode="External"/><Relationship Id="rId22" Type="http://schemas.openxmlformats.org/officeDocument/2006/relationships/hyperlink" Target="https://www.itu.int/pub/T-RES-T.52-2022" TargetMode="External"/><Relationship Id="rId27" Type="http://schemas.openxmlformats.org/officeDocument/2006/relationships/hyperlink" Target="https://www.itu.int/md/S17-CL-C-0018/en" TargetMode="External"/><Relationship Id="rId30" Type="http://schemas.openxmlformats.org/officeDocument/2006/relationships/hyperlink" Target="https://www.itu.int/md/S20-CL-C-0018/en" TargetMode="External"/><Relationship Id="rId35" Type="http://schemas.openxmlformats.org/officeDocument/2006/relationships/hyperlink" Target="http://www.itu.int/en/ITU-D/Cybersecurity/Pages/Legal-Measures.aspx" TargetMode="External"/><Relationship Id="rId43" Type="http://schemas.openxmlformats.org/officeDocument/2006/relationships/hyperlink" Target="https://www.itu.int/en/ITU-D/Cybersecurity/Pages/cyberdrills.aspx" TargetMode="External"/><Relationship Id="rId48" Type="http://schemas.openxmlformats.org/officeDocument/2006/relationships/hyperlink" Target="https://www.itu.int/en/ITU-D/Cybersecurity/Pages/global-cybersecurity-index.aspx" TargetMode="External"/><Relationship Id="rId56" Type="http://schemas.openxmlformats.org/officeDocument/2006/relationships/hyperlink" Target="https://www.itu.int/net4/wsis/forum/2024/en"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itu.int/hub/publication/d-phcb-cyb_educ-2024/" TargetMode="External"/><Relationship Id="rId3" Type="http://schemas.openxmlformats.org/officeDocument/2006/relationships/customXml" Target="../customXml/item3.xml"/><Relationship Id="rId12" Type="http://schemas.openxmlformats.org/officeDocument/2006/relationships/hyperlink" Target="https://www.itu.int/en/council/Documents/basic-texts-2023/RES-130-E.pdf" TargetMode="External"/><Relationship Id="rId17" Type="http://schemas.openxmlformats.org/officeDocument/2006/relationships/hyperlink" Target="http://www.itu.int/pub/S-CONF-WCIT-2012/en" TargetMode="External"/><Relationship Id="rId25" Type="http://schemas.openxmlformats.org/officeDocument/2006/relationships/hyperlink" Target="http://www.itu.int/md/S15-CL-C-0018/en" TargetMode="External"/><Relationship Id="rId33" Type="http://schemas.openxmlformats.org/officeDocument/2006/relationships/hyperlink" Target="https://www.itu.int/md/S23-CL-C-0038/en" TargetMode="External"/><Relationship Id="rId38" Type="http://schemas.openxmlformats.org/officeDocument/2006/relationships/hyperlink" Target="https://www.itu.int/en/ITU-T/publications/Pages/recs.aspx" TargetMode="External"/><Relationship Id="rId46" Type="http://schemas.openxmlformats.org/officeDocument/2006/relationships/hyperlink" Target="https://academy.itu.int/training-courses/full-catalogue?search_api_fulltext=&amp;field_taxon_registration=All&amp;field_course_fee=All&amp;field_taxon_region=All&amp;field_taxon_type=All&amp;field_taxon_topics=109&amp;field_taxon_languages=All&amp;date_start=&amp;date_end=&amp;items_per_page=10" TargetMode="External"/><Relationship Id="rId59" Type="http://schemas.openxmlformats.org/officeDocument/2006/relationships/hyperlink" Target="https://www.itu.int/digital-resilience/submarine-cables/advisory-body/" TargetMode="External"/><Relationship Id="rId20" Type="http://schemas.openxmlformats.org/officeDocument/2006/relationships/hyperlink" Target="https://www.itu.int/md/D14-WTDC17-C-0115/en" TargetMode="External"/><Relationship Id="rId41" Type="http://schemas.openxmlformats.org/officeDocument/2006/relationships/hyperlink" Target="https://www.itu.int/en/ITU-R/study-groups/rsg5/rwp5d/imt-2020/Pages/default.aspx" TargetMode="External"/><Relationship Id="rId54" Type="http://schemas.openxmlformats.org/officeDocument/2006/relationships/hyperlink" Target="https://www.itu.int/en/ITU-D/Cybersecurity/Pages/Council/CD630/Global-Cybersecurity-Knowledgebase.aspx"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council/Documents/basic-texts-2023/RES-174-E.pdf" TargetMode="External"/><Relationship Id="rId23" Type="http://schemas.openxmlformats.org/officeDocument/2006/relationships/hyperlink" Target="https://www.itu.int/pub/T-RES-T.75-2022" TargetMode="External"/><Relationship Id="rId28" Type="http://schemas.openxmlformats.org/officeDocument/2006/relationships/hyperlink" Target="https://www.itu.int/md/S18-CL-C-0018/en" TargetMode="External"/><Relationship Id="rId36" Type="http://schemas.openxmlformats.org/officeDocument/2006/relationships/hyperlink" Target="http://www.itu.int/ITU-T/studygroups/com17/" TargetMode="External"/><Relationship Id="rId49" Type="http://schemas.openxmlformats.org/officeDocument/2006/relationships/hyperlink" Target="https://www.itu.int/en/ITU-D/Cybersecurity/Pages/Women-in-Cyber/HerCyberTracks/Her-CyberTracks.aspx" TargetMode="External"/><Relationship Id="rId57" Type="http://schemas.openxmlformats.org/officeDocument/2006/relationships/hyperlink" Target="https://www.itu.int/net4/wsis/forum/2025/" TargetMode="External"/><Relationship Id="rId10" Type="http://schemas.openxmlformats.org/officeDocument/2006/relationships/endnotes" Target="endnotes.xml"/><Relationship Id="rId31" Type="http://schemas.openxmlformats.org/officeDocument/2006/relationships/hyperlink" Target="https://www.itu.int/md/S21-CL-C-0018/en" TargetMode="External"/><Relationship Id="rId44" Type="http://schemas.openxmlformats.org/officeDocument/2006/relationships/hyperlink" Target="http://www.itu.int/net4/ITU-D/CDS/sg/rgqlist.asp?lg=1&amp;sp=2014&amp;rgq=D14-SG02-RGQ03.2&amp;stg=2" TargetMode="External"/><Relationship Id="rId52" Type="http://schemas.openxmlformats.org/officeDocument/2006/relationships/hyperlink" Target="http://www.itu.int/en/ITU-D/Cybersecurity/Pages/partnership.aspx" TargetMode="External"/><Relationship Id="rId60" Type="http://schemas.openxmlformats.org/officeDocument/2006/relationships/hyperlink" Target="https://www.itu.int/digital-resilience/submarine-cables/events/about-nigeria-summit/"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en/council/Documents/basic-texts-2023/RES-140-E.pdf" TargetMode="External"/><Relationship Id="rId18" Type="http://schemas.openxmlformats.org/officeDocument/2006/relationships/hyperlink" Target="https://www.itu.int/md/S15-CL-C-0109/en" TargetMode="External"/><Relationship Id="rId39" Type="http://schemas.openxmlformats.org/officeDocument/2006/relationships/hyperlink" Target="https://itu.int/go/SIG-SECURIT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8" ma:contentTypeDescription="Create a new document." ma:contentTypeScope="" ma:versionID="df57621dcd9cb730b7324d398b3ce10c">
  <xsd:schema xmlns:xsd="http://www.w3.org/2001/XMLSchema" xmlns:xs="http://www.w3.org/2001/XMLSchema" xmlns:p="http://schemas.microsoft.com/office/2006/metadata/properties" xmlns:ns2="a1cf676c-2816-4389-ad5d-0f2e7c7e67c4" targetNamespace="http://schemas.microsoft.com/office/2006/metadata/properties" ma:root="true" ma:fieldsID="21bebef123d8a211588512afbbbc1c26"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7F8E6770-9E05-4E46-B9BB-31CDF2695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316A31-6ED6-4B63-AF32-8122772BE3C1}">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terms/"/>
    <ds:schemaRef ds:uri="a1cf676c-2816-4389-ad5d-0f2e7c7e67c4"/>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DADCCE92-6D0B-4ADC-AE25-74A42C5C63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PE_Council25.dotx</Template>
  <TotalTime>2</TotalTime>
  <Pages>5</Pages>
  <Words>2065</Words>
  <Characters>16193</Characters>
  <Application>Microsoft Office Word</Application>
  <DocSecurity>0</DocSecurity>
  <Lines>257</Lines>
  <Paragraphs>78</Paragraphs>
  <ScaleCrop>false</ScaleCrop>
  <HeadingPairs>
    <vt:vector size="2" baseType="variant">
      <vt:variant>
        <vt:lpstr>Title</vt:lpstr>
      </vt:variant>
      <vt:variant>
        <vt:i4>1</vt:i4>
      </vt:variant>
    </vt:vector>
  </HeadingPairs>
  <TitlesOfParts>
    <vt:vector size="1" baseType="lpstr">
      <vt:lpstr>ITU activities on strengthening the role of ITU in building confidence and security in the use of ICTs</vt:lpstr>
    </vt:vector>
  </TitlesOfParts>
  <Manager>General Secretariat</Manager>
  <Company>International Telecommunication Union (ITU)</Company>
  <LinksUpToDate>false</LinksUpToDate>
  <CharactersWithSpaces>18180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activities on strengthening the role of ITU in building confidence and security in the use of ICTs</dc:title>
  <dc:subject>Council 2025</dc:subject>
  <cp:keywords>C25; C2025; Council 2025; ITU160</cp:keywords>
  <dc:description/>
  <cp:lastPrinted>2000-07-19T07:30:00Z</cp:lastPrinted>
  <dcterms:created xsi:type="dcterms:W3CDTF">2025-05-22T09:44:00Z</dcterms:created>
  <dcterms:modified xsi:type="dcterms:W3CDTF">2025-05-22T09:46:00Z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