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6EB072C" w14:textId="77777777" w:rsidTr="00E31DCE">
        <w:trPr>
          <w:cantSplit/>
          <w:trHeight w:val="23"/>
        </w:trPr>
        <w:tc>
          <w:tcPr>
            <w:tcW w:w="3969" w:type="dxa"/>
            <w:vMerge w:val="restart"/>
            <w:tcMar>
              <w:left w:w="0" w:type="dxa"/>
            </w:tcMar>
          </w:tcPr>
          <w:p w14:paraId="28317C52" w14:textId="2713D420"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5361D5">
              <w:rPr>
                <w:b/>
                <w:bCs/>
                <w:lang w:val="zh-CN"/>
              </w:rPr>
              <w:t>PL</w:t>
            </w:r>
            <w:r w:rsidR="002F6492">
              <w:rPr>
                <w:b/>
                <w:bCs/>
                <w:lang w:val="en-US"/>
              </w:rPr>
              <w:t>.</w:t>
            </w:r>
            <w:r w:rsidR="005361D5">
              <w:rPr>
                <w:b/>
                <w:bCs/>
                <w:lang w:val="zh-CN"/>
              </w:rPr>
              <w:t>2</w:t>
            </w:r>
          </w:p>
        </w:tc>
        <w:tc>
          <w:tcPr>
            <w:tcW w:w="5245" w:type="dxa"/>
          </w:tcPr>
          <w:p w14:paraId="0D7B1BED" w14:textId="0862F2E8"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w:t>
            </w:r>
            <w:r w:rsidR="0072138B">
              <w:rPr>
                <w:b/>
                <w:lang w:val="fr-CH"/>
              </w:rPr>
              <w:t>5</w:t>
            </w:r>
            <w:r w:rsidRPr="00E24D59">
              <w:rPr>
                <w:b/>
                <w:lang w:val="fr-CH"/>
              </w:rPr>
              <w:t>/</w:t>
            </w:r>
            <w:r w:rsidR="005361D5">
              <w:rPr>
                <w:rFonts w:hint="eastAsia"/>
                <w:b/>
                <w:lang w:val="fr-CH" w:eastAsia="zh-CN"/>
              </w:rPr>
              <w:t>18</w:t>
            </w:r>
            <w:r w:rsidRPr="00E24D59">
              <w:rPr>
                <w:b/>
                <w:lang w:val="fr-CH"/>
              </w:rPr>
              <w:t>-C</w:t>
            </w:r>
          </w:p>
        </w:tc>
      </w:tr>
      <w:tr w:rsidR="00E24D59" w:rsidRPr="00813E5E" w14:paraId="3F72B618" w14:textId="77777777" w:rsidTr="00E31DCE">
        <w:trPr>
          <w:cantSplit/>
        </w:trPr>
        <w:tc>
          <w:tcPr>
            <w:tcW w:w="3969" w:type="dxa"/>
            <w:vMerge/>
          </w:tcPr>
          <w:p w14:paraId="417F060A"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41178C6B" w14:textId="0C708B1F" w:rsidR="00E24D59" w:rsidRPr="00E85629" w:rsidRDefault="005361D5" w:rsidP="00E31DCE">
            <w:pPr>
              <w:tabs>
                <w:tab w:val="left" w:pos="851"/>
              </w:tabs>
              <w:spacing w:before="0"/>
              <w:jc w:val="right"/>
              <w:rPr>
                <w:b/>
              </w:rPr>
            </w:pPr>
            <w:r>
              <w:rPr>
                <w:rFonts w:hint="eastAsia"/>
                <w:b/>
                <w:lang w:eastAsia="zh-CN"/>
              </w:rPr>
              <w:t>2025</w:t>
            </w:r>
            <w:r>
              <w:rPr>
                <w:rFonts w:hint="eastAsia"/>
                <w:b/>
                <w:lang w:eastAsia="zh-CN"/>
              </w:rPr>
              <w:t>年</w:t>
            </w:r>
            <w:r w:rsidR="00676B64">
              <w:rPr>
                <w:rFonts w:hint="eastAsia"/>
                <w:b/>
                <w:lang w:eastAsia="zh-CN"/>
              </w:rPr>
              <w:t>5</w:t>
            </w:r>
            <w:r>
              <w:rPr>
                <w:rFonts w:hint="eastAsia"/>
                <w:b/>
                <w:lang w:eastAsia="zh-CN"/>
              </w:rPr>
              <w:t>月</w:t>
            </w:r>
            <w:r w:rsidR="00676B64">
              <w:rPr>
                <w:rFonts w:hint="eastAsia"/>
                <w:b/>
                <w:lang w:eastAsia="zh-CN"/>
              </w:rPr>
              <w:t>16</w:t>
            </w:r>
            <w:r>
              <w:rPr>
                <w:rFonts w:hint="eastAsia"/>
                <w:b/>
                <w:lang w:eastAsia="zh-CN"/>
              </w:rPr>
              <w:t>日</w:t>
            </w:r>
          </w:p>
        </w:tc>
      </w:tr>
      <w:tr w:rsidR="00E24D59" w:rsidRPr="00813E5E" w14:paraId="75231DD5" w14:textId="77777777" w:rsidTr="00E31DCE">
        <w:trPr>
          <w:cantSplit/>
          <w:trHeight w:val="23"/>
        </w:trPr>
        <w:tc>
          <w:tcPr>
            <w:tcW w:w="3969" w:type="dxa"/>
            <w:vMerge/>
          </w:tcPr>
          <w:p w14:paraId="2EC08CAA"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BE11659" w14:textId="25882142" w:rsidR="00E24D59" w:rsidRPr="00E85629" w:rsidRDefault="00E24D59" w:rsidP="00E31DCE">
            <w:pPr>
              <w:tabs>
                <w:tab w:val="left" w:pos="851"/>
              </w:tabs>
              <w:spacing w:before="0" w:line="240" w:lineRule="atLeast"/>
              <w:jc w:val="right"/>
              <w:rPr>
                <w:b/>
                <w:lang w:eastAsia="zh-CN"/>
              </w:rPr>
            </w:pPr>
            <w:r w:rsidRPr="00E24D59">
              <w:rPr>
                <w:rFonts w:cstheme="minorHAnsi"/>
                <w:b/>
                <w:bCs/>
                <w:lang w:val="ru-RU"/>
              </w:rPr>
              <w:t>原文：</w:t>
            </w:r>
            <w:r w:rsidR="005361D5">
              <w:rPr>
                <w:rFonts w:cstheme="minorHAnsi" w:hint="eastAsia"/>
                <w:b/>
                <w:bCs/>
                <w:lang w:val="ru-RU" w:eastAsia="zh-CN"/>
              </w:rPr>
              <w:t>英文</w:t>
            </w:r>
          </w:p>
        </w:tc>
      </w:tr>
      <w:tr w:rsidR="00E24D59" w:rsidRPr="00813E5E" w14:paraId="6B373641" w14:textId="77777777" w:rsidTr="00E31DCE">
        <w:trPr>
          <w:cantSplit/>
          <w:trHeight w:val="23"/>
        </w:trPr>
        <w:tc>
          <w:tcPr>
            <w:tcW w:w="3969" w:type="dxa"/>
          </w:tcPr>
          <w:p w14:paraId="5F3C7BD9" w14:textId="77777777" w:rsidR="00E24D59" w:rsidRPr="00813E5E" w:rsidRDefault="00E24D59" w:rsidP="00E31DCE">
            <w:pPr>
              <w:tabs>
                <w:tab w:val="left" w:pos="851"/>
              </w:tabs>
              <w:spacing w:line="240" w:lineRule="atLeast"/>
              <w:rPr>
                <w:b/>
              </w:rPr>
            </w:pPr>
          </w:p>
        </w:tc>
        <w:tc>
          <w:tcPr>
            <w:tcW w:w="5245" w:type="dxa"/>
          </w:tcPr>
          <w:p w14:paraId="2E681D42" w14:textId="77777777" w:rsidR="00E24D59" w:rsidRDefault="00E24D59" w:rsidP="00E31DCE">
            <w:pPr>
              <w:tabs>
                <w:tab w:val="left" w:pos="851"/>
              </w:tabs>
              <w:spacing w:before="0" w:line="240" w:lineRule="atLeast"/>
              <w:jc w:val="right"/>
              <w:rPr>
                <w:b/>
              </w:rPr>
            </w:pPr>
          </w:p>
        </w:tc>
      </w:tr>
      <w:tr w:rsidR="005361D5" w:rsidRPr="00813E5E" w14:paraId="0BA90A37" w14:textId="77777777" w:rsidTr="00E31DCE">
        <w:trPr>
          <w:cantSplit/>
        </w:trPr>
        <w:tc>
          <w:tcPr>
            <w:tcW w:w="9214" w:type="dxa"/>
            <w:gridSpan w:val="2"/>
            <w:tcMar>
              <w:left w:w="0" w:type="dxa"/>
            </w:tcMar>
          </w:tcPr>
          <w:p w14:paraId="40294E2E" w14:textId="648446F4" w:rsidR="005361D5" w:rsidRPr="00E24D59" w:rsidRDefault="005361D5" w:rsidP="005361D5">
            <w:pPr>
              <w:pStyle w:val="Source"/>
              <w:spacing w:before="840"/>
              <w:jc w:val="left"/>
              <w:rPr>
                <w:sz w:val="34"/>
                <w:szCs w:val="34"/>
                <w:lang w:eastAsia="zh-CN"/>
              </w:rPr>
            </w:pPr>
            <w:bookmarkStart w:id="5" w:name="dsource" w:colFirst="0" w:colLast="0"/>
            <w:bookmarkEnd w:id="4"/>
            <w:r w:rsidRPr="008F40E1">
              <w:rPr>
                <w:rFonts w:cstheme="minorHAnsi" w:hint="eastAsia"/>
                <w:sz w:val="32"/>
                <w:szCs w:val="32"/>
                <w:lang w:val="ru-RU" w:eastAsia="zh-CN"/>
              </w:rPr>
              <w:t>秘书长的报告</w:t>
            </w:r>
          </w:p>
        </w:tc>
      </w:tr>
      <w:bookmarkEnd w:id="5"/>
      <w:tr w:rsidR="005361D5" w:rsidRPr="00813E5E" w14:paraId="75FFB3AB" w14:textId="77777777" w:rsidTr="00E31DCE">
        <w:trPr>
          <w:cantSplit/>
        </w:trPr>
        <w:tc>
          <w:tcPr>
            <w:tcW w:w="9214" w:type="dxa"/>
            <w:gridSpan w:val="2"/>
            <w:tcMar>
              <w:left w:w="0" w:type="dxa"/>
            </w:tcMar>
          </w:tcPr>
          <w:p w14:paraId="6EF988BD" w14:textId="23CFC4E3" w:rsidR="005361D5" w:rsidRPr="00477D57" w:rsidRDefault="005361D5" w:rsidP="005361D5">
            <w:pPr>
              <w:pStyle w:val="Subtitle"/>
              <w:framePr w:hSpace="0" w:wrap="auto" w:hAnchor="text" w:xAlign="left" w:yAlign="inline"/>
              <w:rPr>
                <w:rFonts w:eastAsia="SimSun"/>
                <w:lang w:eastAsia="zh-CN"/>
              </w:rPr>
            </w:pPr>
            <w:r w:rsidRPr="008F40E1">
              <w:rPr>
                <w:rFonts w:ascii="SimSun" w:eastAsia="SimSun" w:hAnsi="SimSun" w:cstheme="minorHAnsi" w:hint="eastAsia"/>
                <w:sz w:val="32"/>
                <w:szCs w:val="32"/>
                <w:lang w:eastAsia="zh-CN"/>
              </w:rPr>
              <w:t>国际电联为加强在树立使用信息通信技术的信心和提高安全性方面的作用所开展的活动</w:t>
            </w:r>
          </w:p>
        </w:tc>
      </w:tr>
      <w:tr w:rsidR="00E24D59" w:rsidRPr="00813E5E" w14:paraId="08A6C516" w14:textId="77777777" w:rsidTr="00E31DCE">
        <w:trPr>
          <w:cantSplit/>
        </w:trPr>
        <w:tc>
          <w:tcPr>
            <w:tcW w:w="9214" w:type="dxa"/>
            <w:gridSpan w:val="2"/>
            <w:tcBorders>
              <w:top w:val="single" w:sz="4" w:space="0" w:color="auto"/>
              <w:bottom w:val="single" w:sz="4" w:space="0" w:color="auto"/>
            </w:tcBorders>
            <w:tcMar>
              <w:left w:w="0" w:type="dxa"/>
            </w:tcMar>
          </w:tcPr>
          <w:p w14:paraId="6D9C8E72" w14:textId="0AE1F86E" w:rsidR="003F086E" w:rsidRPr="00477D57" w:rsidRDefault="003F086E" w:rsidP="00477D57">
            <w:pPr>
              <w:rPr>
                <w:b/>
                <w:bCs/>
                <w:lang w:eastAsia="zh-CN"/>
              </w:rPr>
            </w:pPr>
            <w:bookmarkStart w:id="6" w:name="dtitle1" w:colFirst="0" w:colLast="0"/>
            <w:r w:rsidRPr="00477D57">
              <w:rPr>
                <w:b/>
                <w:bCs/>
                <w:lang w:eastAsia="zh-CN"/>
              </w:rPr>
              <w:t>目的</w:t>
            </w:r>
          </w:p>
          <w:p w14:paraId="2A1197D6" w14:textId="29813EB5" w:rsidR="003F086E" w:rsidRPr="00477D57" w:rsidRDefault="005361D5" w:rsidP="005361D5">
            <w:pPr>
              <w:ind w:firstLineChars="200" w:firstLine="480"/>
              <w:rPr>
                <w:rFonts w:asciiTheme="majorEastAsia" w:eastAsiaTheme="majorEastAsia" w:hAnsiTheme="majorEastAsia"/>
                <w:lang w:eastAsia="zh-CN"/>
              </w:rPr>
            </w:pPr>
            <w:r w:rsidRPr="008B24FE">
              <w:rPr>
                <w:rFonts w:hint="eastAsia"/>
                <w:lang w:eastAsia="zh-CN"/>
              </w:rPr>
              <w:t>本报告概述了</w:t>
            </w:r>
            <w:r w:rsidRPr="008B24FE">
              <w:rPr>
                <w:rFonts w:hint="eastAsia"/>
                <w:lang w:eastAsia="zh-CN"/>
              </w:rPr>
              <w:t>202</w:t>
            </w:r>
            <w:r>
              <w:rPr>
                <w:rFonts w:hint="eastAsia"/>
                <w:lang w:eastAsia="zh-CN"/>
              </w:rPr>
              <w:t>4</w:t>
            </w:r>
            <w:r w:rsidRPr="008B24FE">
              <w:rPr>
                <w:rFonts w:hint="eastAsia"/>
                <w:lang w:eastAsia="zh-CN"/>
              </w:rPr>
              <w:t>-202</w:t>
            </w:r>
            <w:r>
              <w:rPr>
                <w:rFonts w:hint="eastAsia"/>
                <w:lang w:eastAsia="zh-CN"/>
              </w:rPr>
              <w:t>5</w:t>
            </w:r>
            <w:r w:rsidRPr="008B24FE">
              <w:rPr>
                <w:rFonts w:hint="eastAsia"/>
                <w:lang w:eastAsia="zh-CN"/>
              </w:rPr>
              <w:t>年国际电联开展的与第</w:t>
            </w:r>
            <w:r w:rsidRPr="008B24FE">
              <w:rPr>
                <w:rFonts w:hint="eastAsia"/>
                <w:lang w:eastAsia="zh-CN"/>
              </w:rPr>
              <w:t>130</w:t>
            </w:r>
            <w:r w:rsidRPr="008B24FE">
              <w:rPr>
                <w:rFonts w:hint="eastAsia"/>
                <w:lang w:eastAsia="zh-CN"/>
              </w:rPr>
              <w:t>号决议（</w:t>
            </w:r>
            <w:r w:rsidRPr="008B24FE">
              <w:rPr>
                <w:rFonts w:hint="eastAsia"/>
                <w:lang w:eastAsia="zh-CN"/>
              </w:rPr>
              <w:t>2022</w:t>
            </w:r>
            <w:r w:rsidRPr="008B24FE">
              <w:rPr>
                <w:rFonts w:hint="eastAsia"/>
                <w:lang w:eastAsia="zh-CN"/>
              </w:rPr>
              <w:t>年，布加勒斯特，修订版）有关的活动，作为信息社会世界峰会（</w:t>
            </w:r>
            <w:r w:rsidRPr="008B24FE">
              <w:rPr>
                <w:rFonts w:hint="eastAsia"/>
                <w:lang w:eastAsia="zh-CN"/>
              </w:rPr>
              <w:t>WSIS</w:t>
            </w:r>
            <w:r w:rsidRPr="008B24FE">
              <w:rPr>
                <w:rFonts w:hint="eastAsia"/>
                <w:lang w:eastAsia="zh-CN"/>
              </w:rPr>
              <w:t>）</w:t>
            </w:r>
            <w:r w:rsidRPr="008B24FE">
              <w:rPr>
                <w:rFonts w:hint="eastAsia"/>
                <w:lang w:eastAsia="zh-CN"/>
              </w:rPr>
              <w:t>C5</w:t>
            </w:r>
            <w:r w:rsidRPr="008B24FE">
              <w:rPr>
                <w:rFonts w:hint="eastAsia"/>
                <w:lang w:eastAsia="zh-CN"/>
              </w:rPr>
              <w:t>行动方面唯一推进方的作用，以及成员就加强国际电联在树立使用信息通信技术（</w:t>
            </w:r>
            <w:r w:rsidRPr="008B24FE">
              <w:rPr>
                <w:rFonts w:hint="eastAsia"/>
                <w:lang w:eastAsia="zh-CN"/>
              </w:rPr>
              <w:t>ICT</w:t>
            </w:r>
            <w:r w:rsidRPr="008B24FE">
              <w:rPr>
                <w:rFonts w:hint="eastAsia"/>
                <w:lang w:eastAsia="zh-CN"/>
              </w:rPr>
              <w:t>）的信心和提高安全性方面的作用所做的其它决定。</w:t>
            </w:r>
          </w:p>
          <w:p w14:paraId="7FFAC049" w14:textId="77777777" w:rsidR="003F086E" w:rsidRPr="00477D57" w:rsidRDefault="003F086E" w:rsidP="00477D57">
            <w:pPr>
              <w:rPr>
                <w:b/>
                <w:bCs/>
                <w:lang w:eastAsia="zh-CN"/>
              </w:rPr>
            </w:pPr>
            <w:r w:rsidRPr="00477D57">
              <w:rPr>
                <w:b/>
                <w:bCs/>
                <w:lang w:eastAsia="zh-CN"/>
              </w:rPr>
              <w:t>理事会需采取的行动</w:t>
            </w:r>
          </w:p>
          <w:p w14:paraId="51AF9EAA" w14:textId="5CA73280" w:rsidR="003F086E" w:rsidRPr="00477D57" w:rsidRDefault="005361D5" w:rsidP="005361D5">
            <w:pPr>
              <w:ind w:firstLineChars="200" w:firstLine="480"/>
              <w:rPr>
                <w:rFonts w:asciiTheme="majorEastAsia" w:eastAsiaTheme="majorEastAsia" w:hAnsiTheme="majorEastAsia"/>
                <w:lang w:eastAsia="zh-CN"/>
              </w:rPr>
            </w:pPr>
            <w:r w:rsidRPr="008B24FE">
              <w:rPr>
                <w:rFonts w:hint="eastAsia"/>
                <w:lang w:eastAsia="zh-CN"/>
              </w:rPr>
              <w:t>请理事会将本报告</w:t>
            </w:r>
            <w:r w:rsidRPr="00CB1812">
              <w:rPr>
                <w:rFonts w:hint="eastAsia"/>
                <w:b/>
                <w:bCs/>
                <w:lang w:eastAsia="zh-CN"/>
              </w:rPr>
              <w:t>记录</w:t>
            </w:r>
            <w:r w:rsidRPr="008B24FE">
              <w:rPr>
                <w:rFonts w:hint="eastAsia"/>
                <w:lang w:eastAsia="zh-CN"/>
              </w:rPr>
              <w:t>在案。</w:t>
            </w:r>
          </w:p>
          <w:p w14:paraId="5966BA32"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5501F338" w14:textId="1B95A19F" w:rsidR="003F086E" w:rsidRPr="00477D57" w:rsidRDefault="005361D5" w:rsidP="005361D5">
            <w:pPr>
              <w:ind w:firstLineChars="200" w:firstLine="480"/>
              <w:rPr>
                <w:rFonts w:asciiTheme="majorEastAsia" w:eastAsiaTheme="majorEastAsia" w:hAnsiTheme="majorEastAsia"/>
                <w:lang w:eastAsia="zh-CN"/>
              </w:rPr>
            </w:pPr>
            <w:r w:rsidRPr="008B24FE">
              <w:rPr>
                <w:rFonts w:hint="eastAsia"/>
                <w:lang w:eastAsia="zh-CN"/>
              </w:rPr>
              <w:t>推进普遍连接；可持续数字化转型</w:t>
            </w:r>
            <w:r>
              <w:rPr>
                <w:rFonts w:hint="eastAsia"/>
                <w:lang w:eastAsia="zh-CN"/>
              </w:rPr>
              <w:t>；</w:t>
            </w:r>
            <w:r w:rsidRPr="008B24FE">
              <w:rPr>
                <w:rFonts w:hint="eastAsia"/>
                <w:lang w:eastAsia="zh-CN"/>
              </w:rPr>
              <w:t>包容和安全的</w:t>
            </w:r>
            <w:r>
              <w:rPr>
                <w:rFonts w:hint="eastAsia"/>
                <w:lang w:eastAsia="zh-CN"/>
              </w:rPr>
              <w:t>电信</w:t>
            </w:r>
            <w:r>
              <w:rPr>
                <w:rFonts w:hint="eastAsia"/>
                <w:lang w:eastAsia="zh-CN"/>
              </w:rPr>
              <w:t>/</w:t>
            </w:r>
            <w:r>
              <w:rPr>
                <w:lang w:eastAsia="zh-CN"/>
              </w:rPr>
              <w:t>ICT</w:t>
            </w:r>
            <w:r w:rsidRPr="008B24FE">
              <w:rPr>
                <w:rFonts w:hint="eastAsia"/>
                <w:lang w:eastAsia="zh-CN"/>
              </w:rPr>
              <w:t>基础设施和服务</w:t>
            </w:r>
            <w:r>
              <w:rPr>
                <w:rFonts w:hint="eastAsia"/>
                <w:lang w:eastAsia="zh-CN"/>
              </w:rPr>
              <w:t>。</w:t>
            </w:r>
          </w:p>
          <w:p w14:paraId="46DC8A21" w14:textId="77777777" w:rsidR="003F086E" w:rsidRPr="00477D57" w:rsidRDefault="003F086E" w:rsidP="00477D57">
            <w:pPr>
              <w:rPr>
                <w:b/>
                <w:bCs/>
                <w:lang w:eastAsia="zh-CN"/>
              </w:rPr>
            </w:pPr>
            <w:r w:rsidRPr="00477D57">
              <w:rPr>
                <w:b/>
                <w:bCs/>
                <w:lang w:eastAsia="zh-CN"/>
              </w:rPr>
              <w:t>财务影响</w:t>
            </w:r>
          </w:p>
          <w:p w14:paraId="15ABE537" w14:textId="12D957DD" w:rsidR="008F64AD" w:rsidRPr="00477D57" w:rsidRDefault="005361D5" w:rsidP="005361D5">
            <w:pPr>
              <w:ind w:firstLineChars="200" w:firstLine="480"/>
              <w:rPr>
                <w:rFonts w:asciiTheme="majorEastAsia" w:eastAsiaTheme="majorEastAsia" w:hAnsiTheme="majorEastAsia"/>
                <w:lang w:eastAsia="zh-CN"/>
              </w:rPr>
            </w:pPr>
            <w:r w:rsidRPr="008B24FE">
              <w:rPr>
                <w:rFonts w:hint="eastAsia"/>
                <w:lang w:eastAsia="zh-CN"/>
              </w:rPr>
              <w:t>在</w:t>
            </w:r>
            <w:r w:rsidRPr="008B24FE">
              <w:rPr>
                <w:rFonts w:hint="eastAsia"/>
                <w:lang w:eastAsia="zh-CN"/>
              </w:rPr>
              <w:t>202</w:t>
            </w:r>
            <w:r w:rsidR="00676B64">
              <w:rPr>
                <w:rFonts w:hint="eastAsia"/>
                <w:lang w:eastAsia="zh-CN"/>
              </w:rPr>
              <w:t>4</w:t>
            </w:r>
            <w:r w:rsidRPr="008B24FE">
              <w:rPr>
                <w:rFonts w:hint="eastAsia"/>
                <w:lang w:eastAsia="zh-CN"/>
              </w:rPr>
              <w:t>-202</w:t>
            </w:r>
            <w:r w:rsidR="00676B64">
              <w:rPr>
                <w:rFonts w:hint="eastAsia"/>
                <w:lang w:eastAsia="zh-CN"/>
              </w:rPr>
              <w:t>5</w:t>
            </w:r>
            <w:r w:rsidRPr="008B24FE">
              <w:rPr>
                <w:rFonts w:hint="eastAsia"/>
                <w:lang w:eastAsia="zh-CN"/>
              </w:rPr>
              <w:t>年划拨预算范围内。</w:t>
            </w:r>
          </w:p>
          <w:p w14:paraId="7E851E8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3F23AE6" w14:textId="77777777" w:rsidR="00E24D59" w:rsidRPr="00477D57" w:rsidRDefault="00E24D59" w:rsidP="00477D57">
            <w:pPr>
              <w:rPr>
                <w:b/>
                <w:bCs/>
                <w:lang w:eastAsia="zh-CN"/>
              </w:rPr>
            </w:pPr>
            <w:r w:rsidRPr="00477D57">
              <w:rPr>
                <w:rFonts w:hint="eastAsia"/>
                <w:b/>
                <w:bCs/>
                <w:lang w:eastAsia="zh-CN"/>
              </w:rPr>
              <w:t>参考文件</w:t>
            </w:r>
          </w:p>
          <w:p w14:paraId="0ECA7993" w14:textId="10C13272" w:rsidR="00E24D59" w:rsidRPr="001517F4" w:rsidRDefault="005361D5" w:rsidP="00477D57">
            <w:pPr>
              <w:spacing w:after="120"/>
              <w:rPr>
                <w:rFonts w:asciiTheme="majorEastAsia" w:eastAsiaTheme="majorEastAsia" w:hAnsiTheme="majorEastAsia"/>
                <w:i/>
                <w:iCs/>
                <w:szCs w:val="24"/>
                <w:lang w:eastAsia="zh-CN"/>
              </w:rPr>
            </w:pPr>
            <w:r w:rsidRPr="001517F4">
              <w:rPr>
                <w:rFonts w:asciiTheme="minorHAnsi" w:eastAsia="STKaiti" w:hAnsiTheme="minorHAnsi" w:cstheme="minorHAnsi"/>
                <w:szCs w:val="24"/>
                <w:lang w:eastAsia="zh-CN"/>
              </w:rPr>
              <w:t>全权代表大会第</w:t>
            </w:r>
            <w:hyperlink r:id="rId8" w:history="1">
              <w:r w:rsidRPr="001517F4">
                <w:rPr>
                  <w:rStyle w:val="Hyperlink"/>
                  <w:rFonts w:asciiTheme="minorHAnsi" w:eastAsia="STKaiti" w:hAnsiTheme="minorHAnsi" w:cstheme="minorHAnsi"/>
                  <w:szCs w:val="24"/>
                  <w:lang w:eastAsia="zh-CN"/>
                </w:rPr>
                <w:t>71</w:t>
              </w:r>
            </w:hyperlink>
            <w:r w:rsidRPr="001517F4">
              <w:rPr>
                <w:rFonts w:asciiTheme="minorHAnsi" w:eastAsia="STKaiti" w:hAnsiTheme="minorHAnsi" w:cstheme="minorHAnsi"/>
                <w:szCs w:val="24"/>
                <w:lang w:eastAsia="zh-CN"/>
              </w:rPr>
              <w:t>、</w:t>
            </w:r>
            <w:hyperlink r:id="rId9" w:history="1">
              <w:r w:rsidRPr="001517F4">
                <w:rPr>
                  <w:rStyle w:val="Hyperlink"/>
                  <w:rFonts w:asciiTheme="minorHAnsi" w:eastAsia="STKaiti" w:hAnsiTheme="minorHAnsi" w:cstheme="minorHAnsi"/>
                  <w:szCs w:val="24"/>
                  <w:lang w:eastAsia="zh-CN"/>
                </w:rPr>
                <w:t>130</w:t>
              </w:r>
            </w:hyperlink>
            <w:r w:rsidRPr="001517F4">
              <w:rPr>
                <w:rFonts w:asciiTheme="minorHAnsi" w:eastAsia="STKaiti" w:hAnsiTheme="minorHAnsi" w:cstheme="minorHAnsi"/>
                <w:szCs w:val="24"/>
                <w:lang w:eastAsia="zh-CN"/>
              </w:rPr>
              <w:t>、</w:t>
            </w:r>
            <w:hyperlink r:id="rId10" w:history="1">
              <w:r w:rsidRPr="001517F4">
                <w:rPr>
                  <w:rStyle w:val="Hyperlink"/>
                  <w:rFonts w:asciiTheme="minorHAnsi" w:eastAsia="STKaiti" w:hAnsiTheme="minorHAnsi" w:cstheme="minorHAnsi"/>
                  <w:szCs w:val="24"/>
                  <w:lang w:eastAsia="zh-CN"/>
                </w:rPr>
                <w:t>140</w:t>
              </w:r>
            </w:hyperlink>
            <w:r w:rsidRPr="001517F4">
              <w:rPr>
                <w:rFonts w:asciiTheme="minorHAnsi" w:eastAsia="STKaiti" w:hAnsiTheme="minorHAnsi" w:cstheme="minorHAnsi"/>
                <w:szCs w:val="24"/>
                <w:lang w:eastAsia="zh-CN"/>
              </w:rPr>
              <w:t>、</w:t>
            </w:r>
            <w:hyperlink r:id="rId11" w:history="1">
              <w:r w:rsidRPr="001517F4">
                <w:rPr>
                  <w:rStyle w:val="Hyperlink"/>
                  <w:rFonts w:asciiTheme="minorHAnsi" w:eastAsia="STKaiti" w:hAnsiTheme="minorHAnsi" w:cstheme="minorHAnsi"/>
                  <w:szCs w:val="24"/>
                  <w:lang w:eastAsia="zh-CN"/>
                </w:rPr>
                <w:t>179</w:t>
              </w:r>
            </w:hyperlink>
            <w:r w:rsidRPr="001517F4">
              <w:rPr>
                <w:rFonts w:asciiTheme="minorHAnsi" w:eastAsia="STKaiti" w:hAnsiTheme="minorHAnsi" w:cstheme="minorHAnsi"/>
                <w:szCs w:val="24"/>
                <w:lang w:eastAsia="zh-CN"/>
              </w:rPr>
              <w:t>号决议（</w:t>
            </w:r>
            <w:r w:rsidRPr="001517F4">
              <w:rPr>
                <w:rFonts w:asciiTheme="minorHAnsi" w:eastAsia="STKaiti" w:hAnsiTheme="minorHAnsi" w:cstheme="minorHAnsi"/>
                <w:szCs w:val="24"/>
                <w:lang w:eastAsia="zh-CN"/>
              </w:rPr>
              <w:t>2022</w:t>
            </w:r>
            <w:r w:rsidRPr="001517F4">
              <w:rPr>
                <w:rFonts w:asciiTheme="minorHAnsi" w:eastAsia="STKaiti" w:hAnsiTheme="minorHAnsi" w:cstheme="minorHAnsi"/>
                <w:szCs w:val="24"/>
                <w:lang w:eastAsia="zh-CN"/>
              </w:rPr>
              <w:t>年，布加勒斯特，修订版）；全权代表大会第</w:t>
            </w:r>
            <w:hyperlink r:id="rId12" w:history="1">
              <w:r w:rsidRPr="001517F4">
                <w:rPr>
                  <w:rStyle w:val="Hyperlink"/>
                  <w:rFonts w:asciiTheme="minorHAnsi" w:eastAsia="STKaiti" w:hAnsiTheme="minorHAnsi" w:cstheme="minorHAnsi"/>
                  <w:szCs w:val="24"/>
                  <w:lang w:eastAsia="zh-CN"/>
                </w:rPr>
                <w:t>174</w:t>
              </w:r>
            </w:hyperlink>
            <w:r w:rsidRPr="001517F4">
              <w:rPr>
                <w:rFonts w:asciiTheme="minorHAnsi" w:eastAsia="STKaiti" w:hAnsiTheme="minorHAnsi" w:cstheme="minorHAnsi"/>
                <w:szCs w:val="24"/>
                <w:lang w:eastAsia="zh-CN"/>
              </w:rPr>
              <w:t>号决议（</w:t>
            </w:r>
            <w:r w:rsidRPr="001517F4">
              <w:rPr>
                <w:rFonts w:asciiTheme="minorHAnsi" w:eastAsia="STKaiti" w:hAnsiTheme="minorHAnsi" w:cstheme="minorHAnsi"/>
                <w:szCs w:val="24"/>
                <w:lang w:eastAsia="zh-CN"/>
              </w:rPr>
              <w:t>201</w:t>
            </w:r>
            <w:r w:rsidR="008B3B26">
              <w:rPr>
                <w:rFonts w:asciiTheme="minorHAnsi" w:eastAsia="STKaiti" w:hAnsiTheme="minorHAnsi" w:cstheme="minorHAnsi"/>
                <w:szCs w:val="24"/>
                <w:lang w:eastAsia="zh-CN"/>
              </w:rPr>
              <w:t>4</w:t>
            </w:r>
            <w:r w:rsidRPr="001517F4">
              <w:rPr>
                <w:rFonts w:asciiTheme="minorHAnsi" w:eastAsia="STKaiti" w:hAnsiTheme="minorHAnsi" w:cstheme="minorHAnsi"/>
                <w:szCs w:val="24"/>
                <w:lang w:eastAsia="zh-CN"/>
              </w:rPr>
              <w:t>年，</w:t>
            </w:r>
            <w:r w:rsidR="008B3B26">
              <w:rPr>
                <w:rFonts w:asciiTheme="minorHAnsi" w:eastAsia="STKaiti" w:hAnsiTheme="minorHAnsi" w:cstheme="minorHAnsi" w:hint="eastAsia"/>
                <w:szCs w:val="24"/>
                <w:lang w:eastAsia="zh-CN"/>
              </w:rPr>
              <w:t>釜山</w:t>
            </w:r>
            <w:r w:rsidRPr="001517F4">
              <w:rPr>
                <w:rFonts w:asciiTheme="minorHAnsi" w:eastAsia="STKaiti" w:hAnsiTheme="minorHAnsi" w:cstheme="minorHAnsi"/>
                <w:szCs w:val="24"/>
                <w:lang w:eastAsia="zh-CN"/>
              </w:rPr>
              <w:t>，修订版）、第</w:t>
            </w:r>
            <w:hyperlink r:id="rId13" w:history="1">
              <w:r w:rsidRPr="001517F4">
                <w:rPr>
                  <w:rStyle w:val="Hyperlink"/>
                  <w:rFonts w:asciiTheme="minorHAnsi" w:eastAsia="STKaiti" w:hAnsiTheme="minorHAnsi" w:cstheme="minorHAnsi"/>
                  <w:szCs w:val="24"/>
                  <w:lang w:eastAsia="zh-CN"/>
                </w:rPr>
                <w:t>181</w:t>
              </w:r>
            </w:hyperlink>
            <w:r w:rsidRPr="001517F4">
              <w:rPr>
                <w:rFonts w:asciiTheme="minorHAnsi" w:eastAsia="STKaiti" w:hAnsiTheme="minorHAnsi" w:cstheme="minorHAnsi"/>
                <w:szCs w:val="24"/>
                <w:lang w:eastAsia="zh-CN"/>
              </w:rPr>
              <w:t>号决议（</w:t>
            </w:r>
            <w:r w:rsidRPr="001517F4">
              <w:rPr>
                <w:rFonts w:asciiTheme="minorHAnsi" w:eastAsia="STKaiti" w:hAnsiTheme="minorHAnsi" w:cstheme="minorHAnsi"/>
                <w:szCs w:val="24"/>
                <w:lang w:eastAsia="zh-CN"/>
              </w:rPr>
              <w:t>2010</w:t>
            </w:r>
            <w:r w:rsidRPr="001517F4">
              <w:rPr>
                <w:rFonts w:asciiTheme="minorHAnsi" w:eastAsia="STKaiti" w:hAnsiTheme="minorHAnsi" w:cstheme="minorHAnsi"/>
                <w:szCs w:val="24"/>
                <w:lang w:eastAsia="zh-CN"/>
              </w:rPr>
              <w:t>年，瓜达拉哈拉）；</w:t>
            </w:r>
            <w:hyperlink r:id="rId14" w:history="1">
              <w:r w:rsidRPr="001517F4">
                <w:rPr>
                  <w:rStyle w:val="Hyperlink"/>
                  <w:rFonts w:asciiTheme="minorHAnsi" w:eastAsia="STKaiti" w:hAnsiTheme="minorHAnsi" w:cstheme="minorHAnsi"/>
                  <w:szCs w:val="24"/>
                  <w:lang w:eastAsia="zh-CN"/>
                </w:rPr>
                <w:t>《国际电信规则》</w:t>
              </w:r>
            </w:hyperlink>
            <w:r w:rsidRPr="001517F4">
              <w:rPr>
                <w:rFonts w:asciiTheme="minorHAnsi" w:eastAsia="STKaiti" w:hAnsiTheme="minorHAnsi" w:cstheme="minorHAnsi"/>
                <w:szCs w:val="24"/>
                <w:lang w:eastAsia="zh-CN"/>
              </w:rPr>
              <w:t>（</w:t>
            </w:r>
            <w:r w:rsidRPr="001517F4">
              <w:rPr>
                <w:rFonts w:asciiTheme="minorHAnsi" w:eastAsia="STKaiti" w:hAnsiTheme="minorHAnsi" w:cstheme="minorHAnsi"/>
                <w:szCs w:val="24"/>
                <w:lang w:eastAsia="zh-CN"/>
              </w:rPr>
              <w:t>2012</w:t>
            </w:r>
            <w:r w:rsidRPr="001517F4">
              <w:rPr>
                <w:rFonts w:asciiTheme="minorHAnsi" w:eastAsia="STKaiti" w:hAnsiTheme="minorHAnsi" w:cstheme="minorHAnsi"/>
                <w:szCs w:val="24"/>
                <w:lang w:eastAsia="zh-CN"/>
              </w:rPr>
              <w:t>年，迪拜，修订版）；理事会第</w:t>
            </w:r>
            <w:hyperlink r:id="rId15" w:history="1">
              <w:r w:rsidRPr="001517F4">
                <w:rPr>
                  <w:rStyle w:val="Hyperlink"/>
                  <w:rFonts w:asciiTheme="minorHAnsi" w:eastAsia="STKaiti" w:hAnsiTheme="minorHAnsi" w:cstheme="minorHAnsi"/>
                  <w:szCs w:val="24"/>
                  <w:lang w:eastAsia="zh-CN"/>
                </w:rPr>
                <w:t>1306</w:t>
              </w:r>
            </w:hyperlink>
            <w:r w:rsidRPr="001517F4">
              <w:rPr>
                <w:rFonts w:asciiTheme="minorHAnsi" w:eastAsia="STKaiti" w:hAnsiTheme="minorHAnsi" w:cstheme="minorHAnsi"/>
                <w:szCs w:val="24"/>
                <w:lang w:eastAsia="zh-CN"/>
              </w:rPr>
              <w:t>号决议；</w:t>
            </w:r>
            <w:hyperlink r:id="rId16" w:history="1">
              <w:r w:rsidRPr="001517F4">
                <w:rPr>
                  <w:rStyle w:val="Hyperlink"/>
                  <w:rFonts w:asciiTheme="minorHAnsi" w:eastAsia="STKaiti" w:hAnsiTheme="minorHAnsi" w:cstheme="minorHAnsi"/>
                  <w:szCs w:val="24"/>
                  <w:lang w:eastAsia="zh-CN"/>
                </w:rPr>
                <w:t>世界电信发展大会第</w:t>
              </w:r>
              <w:r w:rsidRPr="001517F4">
                <w:rPr>
                  <w:rStyle w:val="Hyperlink"/>
                  <w:rFonts w:asciiTheme="minorHAnsi" w:eastAsia="STKaiti" w:hAnsiTheme="minorHAnsi" w:cstheme="minorHAnsi"/>
                  <w:szCs w:val="24"/>
                  <w:lang w:eastAsia="zh-CN"/>
                </w:rPr>
                <w:t>45</w:t>
              </w:r>
              <w:r w:rsidRPr="001517F4">
                <w:rPr>
                  <w:rStyle w:val="Hyperlink"/>
                  <w:rFonts w:asciiTheme="minorHAnsi" w:eastAsia="STKaiti" w:hAnsiTheme="minorHAnsi" w:cstheme="minorHAnsi"/>
                  <w:szCs w:val="24"/>
                  <w:lang w:eastAsia="zh-CN"/>
                </w:rPr>
                <w:t>号决议、第</w:t>
              </w:r>
              <w:r w:rsidRPr="001517F4">
                <w:rPr>
                  <w:rStyle w:val="Hyperlink"/>
                  <w:rFonts w:asciiTheme="minorHAnsi" w:eastAsia="STKaiti" w:hAnsiTheme="minorHAnsi" w:cstheme="minorHAnsi"/>
                  <w:szCs w:val="24"/>
                  <w:lang w:eastAsia="zh-CN"/>
                </w:rPr>
                <w:t>2</w:t>
              </w:r>
              <w:r w:rsidRPr="001517F4">
                <w:rPr>
                  <w:rStyle w:val="Hyperlink"/>
                  <w:rFonts w:asciiTheme="minorHAnsi" w:eastAsia="STKaiti" w:hAnsiTheme="minorHAnsi" w:cstheme="minorHAnsi"/>
                  <w:szCs w:val="24"/>
                  <w:lang w:eastAsia="zh-CN"/>
                </w:rPr>
                <w:t>号决议、第</w:t>
              </w:r>
              <w:r w:rsidRPr="001517F4">
                <w:rPr>
                  <w:rStyle w:val="Hyperlink"/>
                  <w:rFonts w:asciiTheme="minorHAnsi" w:eastAsia="STKaiti" w:hAnsiTheme="minorHAnsi" w:cstheme="minorHAnsi"/>
                  <w:szCs w:val="24"/>
                  <w:lang w:eastAsia="zh-CN"/>
                </w:rPr>
                <w:t>67</w:t>
              </w:r>
              <w:r w:rsidRPr="001517F4">
                <w:rPr>
                  <w:rStyle w:val="Hyperlink"/>
                  <w:rFonts w:asciiTheme="minorHAnsi" w:eastAsia="STKaiti" w:hAnsiTheme="minorHAnsi" w:cstheme="minorHAnsi"/>
                  <w:szCs w:val="24"/>
                  <w:lang w:eastAsia="zh-CN"/>
                </w:rPr>
                <w:t>号决议、第</w:t>
              </w:r>
              <w:r w:rsidRPr="001517F4">
                <w:rPr>
                  <w:rStyle w:val="Hyperlink"/>
                  <w:rFonts w:asciiTheme="minorHAnsi" w:eastAsia="STKaiti" w:hAnsiTheme="minorHAnsi" w:cstheme="minorHAnsi"/>
                  <w:szCs w:val="24"/>
                  <w:lang w:eastAsia="zh-CN"/>
                </w:rPr>
                <w:t>69</w:t>
              </w:r>
              <w:r w:rsidRPr="001517F4">
                <w:rPr>
                  <w:rStyle w:val="Hyperlink"/>
                  <w:rFonts w:asciiTheme="minorHAnsi" w:eastAsia="STKaiti" w:hAnsiTheme="minorHAnsi" w:cstheme="minorHAnsi"/>
                  <w:szCs w:val="24"/>
                  <w:lang w:eastAsia="zh-CN"/>
                </w:rPr>
                <w:t>号决议（</w:t>
              </w:r>
              <w:r w:rsidRPr="001517F4">
                <w:rPr>
                  <w:rStyle w:val="Hyperlink"/>
                  <w:rFonts w:asciiTheme="minorHAnsi" w:eastAsia="STKaiti" w:hAnsiTheme="minorHAnsi" w:cstheme="minorHAnsi"/>
                  <w:szCs w:val="24"/>
                  <w:lang w:eastAsia="zh-CN"/>
                </w:rPr>
                <w:t>2022</w:t>
              </w:r>
              <w:r w:rsidRPr="001517F4">
                <w:rPr>
                  <w:rStyle w:val="Hyperlink"/>
                  <w:rFonts w:asciiTheme="minorHAnsi" w:eastAsia="STKaiti" w:hAnsiTheme="minorHAnsi" w:cstheme="minorHAnsi"/>
                  <w:szCs w:val="24"/>
                  <w:lang w:eastAsia="zh-CN"/>
                </w:rPr>
                <w:t>年，基加利，修订版）</w:t>
              </w:r>
            </w:hyperlink>
            <w:r w:rsidRPr="001517F4">
              <w:rPr>
                <w:rFonts w:asciiTheme="minorHAnsi" w:eastAsia="STKaiti" w:hAnsiTheme="minorHAnsi" w:cstheme="minorHAnsi"/>
                <w:szCs w:val="24"/>
                <w:lang w:eastAsia="zh-CN"/>
              </w:rPr>
              <w:t>；</w:t>
            </w:r>
            <w:r w:rsidRPr="001517F4">
              <w:rPr>
                <w:rFonts w:asciiTheme="minorHAnsi" w:eastAsia="STKaiti" w:hAnsiTheme="minorHAnsi" w:cstheme="minorHAnsi"/>
                <w:szCs w:val="24"/>
                <w:lang w:eastAsia="zh-CN"/>
              </w:rPr>
              <w:t>ITU-D</w:t>
            </w:r>
            <w:r w:rsidRPr="001517F4">
              <w:rPr>
                <w:rFonts w:asciiTheme="minorHAnsi" w:eastAsia="STKaiti" w:hAnsiTheme="minorHAnsi" w:cstheme="minorHAnsi"/>
                <w:szCs w:val="24"/>
                <w:lang w:eastAsia="zh-CN"/>
              </w:rPr>
              <w:t>重点工作（</w:t>
            </w:r>
            <w:hyperlink r:id="rId17" w:history="1">
              <w:r w:rsidRPr="001517F4">
                <w:rPr>
                  <w:rStyle w:val="Hyperlink"/>
                  <w:rFonts w:asciiTheme="minorHAnsi" w:eastAsia="STKaiti" w:hAnsiTheme="minorHAnsi" w:cstheme="minorHAnsi"/>
                  <w:szCs w:val="24"/>
                  <w:lang w:eastAsia="zh-CN"/>
                </w:rPr>
                <w:t>《基加利行动计划》</w:t>
              </w:r>
            </w:hyperlink>
            <w:r w:rsidRPr="001517F4">
              <w:rPr>
                <w:rFonts w:asciiTheme="minorHAnsi" w:eastAsia="STKaiti" w:hAnsiTheme="minorHAnsi" w:cstheme="minorHAnsi"/>
                <w:szCs w:val="24"/>
                <w:lang w:eastAsia="zh-CN"/>
              </w:rPr>
              <w:t>）；世界电信标准化全会</w:t>
            </w:r>
            <w:hyperlink r:id="rId18" w:history="1">
              <w:r w:rsidRPr="001517F4">
                <w:rPr>
                  <w:rStyle w:val="Hyperlink"/>
                  <w:rFonts w:asciiTheme="minorHAnsi" w:eastAsia="STKaiti" w:hAnsiTheme="minorHAnsi" w:cstheme="minorHAnsi"/>
                  <w:szCs w:val="24"/>
                  <w:lang w:eastAsia="zh-CN"/>
                </w:rPr>
                <w:t>第</w:t>
              </w:r>
              <w:r w:rsidRPr="001517F4">
                <w:rPr>
                  <w:rStyle w:val="Hyperlink"/>
                  <w:rFonts w:asciiTheme="minorHAnsi" w:eastAsia="STKaiti" w:hAnsiTheme="minorHAnsi" w:cstheme="minorHAnsi"/>
                  <w:szCs w:val="24"/>
                  <w:lang w:eastAsia="zh-CN"/>
                </w:rPr>
                <w:t>50</w:t>
              </w:r>
              <w:r w:rsidRPr="001517F4">
                <w:rPr>
                  <w:rStyle w:val="Hyperlink"/>
                  <w:rFonts w:asciiTheme="minorHAnsi" w:eastAsia="STKaiti" w:hAnsiTheme="minorHAnsi" w:cstheme="minorHAnsi"/>
                  <w:szCs w:val="24"/>
                  <w:lang w:eastAsia="zh-CN"/>
                </w:rPr>
                <w:t>号决议（</w:t>
              </w:r>
              <w:r w:rsidRPr="001517F4">
                <w:rPr>
                  <w:rStyle w:val="Hyperlink"/>
                  <w:rFonts w:asciiTheme="minorHAnsi" w:eastAsia="STKaiti" w:hAnsiTheme="minorHAnsi" w:cstheme="minorHAnsi"/>
                  <w:szCs w:val="24"/>
                  <w:lang w:eastAsia="zh-CN"/>
                </w:rPr>
                <w:t>2022</w:t>
              </w:r>
              <w:r w:rsidRPr="001517F4">
                <w:rPr>
                  <w:rStyle w:val="Hyperlink"/>
                  <w:rFonts w:asciiTheme="minorHAnsi" w:eastAsia="STKaiti" w:hAnsiTheme="minorHAnsi" w:cstheme="minorHAnsi"/>
                  <w:szCs w:val="24"/>
                  <w:lang w:eastAsia="zh-CN"/>
                </w:rPr>
                <w:t>年，日内瓦，修订版）</w:t>
              </w:r>
            </w:hyperlink>
            <w:r w:rsidRPr="001517F4">
              <w:rPr>
                <w:rFonts w:asciiTheme="minorHAnsi" w:eastAsia="STKaiti" w:hAnsiTheme="minorHAnsi" w:cstheme="minorHAnsi"/>
                <w:szCs w:val="24"/>
                <w:lang w:eastAsia="zh-CN"/>
              </w:rPr>
              <w:t>、</w:t>
            </w:r>
            <w:hyperlink r:id="rId19" w:history="1">
              <w:r w:rsidRPr="001517F4">
                <w:rPr>
                  <w:rStyle w:val="Hyperlink"/>
                  <w:rFonts w:asciiTheme="minorHAnsi" w:eastAsia="STKaiti" w:hAnsiTheme="minorHAnsi" w:cstheme="minorHAnsi"/>
                  <w:szCs w:val="24"/>
                  <w:lang w:eastAsia="zh-CN"/>
                </w:rPr>
                <w:t>第</w:t>
              </w:r>
              <w:r w:rsidRPr="001517F4">
                <w:rPr>
                  <w:rStyle w:val="Hyperlink"/>
                  <w:rFonts w:asciiTheme="minorHAnsi" w:eastAsia="STKaiti" w:hAnsiTheme="minorHAnsi" w:cstheme="minorHAnsi"/>
                  <w:szCs w:val="24"/>
                  <w:lang w:eastAsia="zh-CN"/>
                </w:rPr>
                <w:t>52</w:t>
              </w:r>
              <w:r w:rsidRPr="001517F4">
                <w:rPr>
                  <w:rStyle w:val="Hyperlink"/>
                  <w:rFonts w:asciiTheme="minorHAnsi" w:eastAsia="STKaiti" w:hAnsiTheme="minorHAnsi" w:cstheme="minorHAnsi"/>
                  <w:szCs w:val="24"/>
                  <w:lang w:eastAsia="zh-CN"/>
                </w:rPr>
                <w:t>号决议</w:t>
              </w:r>
            </w:hyperlink>
            <w:r w:rsidRPr="001517F4">
              <w:rPr>
                <w:rFonts w:asciiTheme="minorHAnsi" w:eastAsia="STKaiti" w:hAnsiTheme="minorHAnsi" w:cstheme="minorHAnsi"/>
                <w:szCs w:val="24"/>
                <w:lang w:eastAsia="zh-CN"/>
              </w:rPr>
              <w:t>（</w:t>
            </w:r>
            <w:r w:rsidRPr="001517F4">
              <w:rPr>
                <w:rFonts w:asciiTheme="minorHAnsi" w:eastAsia="STKaiti" w:hAnsiTheme="minorHAnsi" w:cstheme="minorHAnsi"/>
                <w:szCs w:val="24"/>
                <w:lang w:eastAsia="zh-CN"/>
              </w:rPr>
              <w:t>2016</w:t>
            </w:r>
            <w:r w:rsidRPr="001517F4">
              <w:rPr>
                <w:rFonts w:asciiTheme="minorHAnsi" w:eastAsia="STKaiti" w:hAnsiTheme="minorHAnsi" w:cstheme="minorHAnsi"/>
                <w:szCs w:val="24"/>
                <w:lang w:eastAsia="zh-CN"/>
              </w:rPr>
              <w:t>年，哈马马特，修订版）、</w:t>
            </w:r>
            <w:hyperlink r:id="rId20" w:history="1">
              <w:r w:rsidRPr="001517F4">
                <w:rPr>
                  <w:rStyle w:val="Hyperlink"/>
                  <w:rFonts w:asciiTheme="minorHAnsi" w:eastAsia="STKaiti" w:hAnsiTheme="minorHAnsi" w:cstheme="minorHAnsi"/>
                  <w:szCs w:val="24"/>
                  <w:lang w:eastAsia="zh-CN"/>
                </w:rPr>
                <w:t>第</w:t>
              </w:r>
              <w:r w:rsidRPr="001517F4">
                <w:rPr>
                  <w:rStyle w:val="Hyperlink"/>
                  <w:rFonts w:asciiTheme="minorHAnsi" w:eastAsia="STKaiti" w:hAnsiTheme="minorHAnsi" w:cstheme="minorHAnsi"/>
                  <w:szCs w:val="24"/>
                  <w:lang w:eastAsia="zh-CN"/>
                </w:rPr>
                <w:t>75</w:t>
              </w:r>
              <w:r w:rsidRPr="001517F4">
                <w:rPr>
                  <w:rStyle w:val="Hyperlink"/>
                  <w:rFonts w:asciiTheme="minorHAnsi" w:eastAsia="STKaiti" w:hAnsiTheme="minorHAnsi" w:cstheme="minorHAnsi"/>
                  <w:szCs w:val="24"/>
                  <w:lang w:eastAsia="zh-CN"/>
                </w:rPr>
                <w:t>号决议（</w:t>
              </w:r>
              <w:r w:rsidRPr="001517F4">
                <w:rPr>
                  <w:rStyle w:val="Hyperlink"/>
                  <w:rFonts w:asciiTheme="minorHAnsi" w:eastAsia="STKaiti" w:hAnsiTheme="minorHAnsi" w:cstheme="minorHAnsi"/>
                  <w:szCs w:val="24"/>
                  <w:lang w:eastAsia="zh-CN"/>
                </w:rPr>
                <w:t>2022</w:t>
              </w:r>
              <w:r w:rsidRPr="001517F4">
                <w:rPr>
                  <w:rStyle w:val="Hyperlink"/>
                  <w:rFonts w:asciiTheme="minorHAnsi" w:eastAsia="STKaiti" w:hAnsiTheme="minorHAnsi" w:cstheme="minorHAnsi"/>
                  <w:szCs w:val="24"/>
                  <w:lang w:eastAsia="zh-CN"/>
                </w:rPr>
                <w:t>年，日内瓦，修订版）</w:t>
              </w:r>
            </w:hyperlink>
            <w:r w:rsidRPr="001517F4">
              <w:rPr>
                <w:rFonts w:asciiTheme="minorHAnsi" w:eastAsia="STKaiti" w:hAnsiTheme="minorHAnsi" w:cstheme="minorHAnsi"/>
                <w:szCs w:val="24"/>
                <w:lang w:eastAsia="zh-CN"/>
              </w:rPr>
              <w:t>、</w:t>
            </w:r>
            <w:hyperlink r:id="rId21" w:history="1">
              <w:r w:rsidRPr="001517F4">
                <w:rPr>
                  <w:rStyle w:val="Hyperlink"/>
                  <w:rFonts w:asciiTheme="minorHAnsi" w:eastAsia="STKaiti" w:hAnsiTheme="minorHAnsi" w:cstheme="minorHAnsi"/>
                  <w:szCs w:val="24"/>
                  <w:lang w:eastAsia="zh-CN"/>
                </w:rPr>
                <w:t>第</w:t>
              </w:r>
              <w:r w:rsidRPr="001517F4">
                <w:rPr>
                  <w:rStyle w:val="Hyperlink"/>
                  <w:rFonts w:asciiTheme="minorHAnsi" w:eastAsia="STKaiti" w:hAnsiTheme="minorHAnsi" w:cstheme="minorHAnsi"/>
                  <w:szCs w:val="24"/>
                  <w:lang w:eastAsia="zh-CN"/>
                </w:rPr>
                <w:t>58</w:t>
              </w:r>
              <w:r w:rsidRPr="001517F4">
                <w:rPr>
                  <w:rStyle w:val="Hyperlink"/>
                  <w:rFonts w:asciiTheme="minorHAnsi" w:eastAsia="STKaiti" w:hAnsiTheme="minorHAnsi" w:cstheme="minorHAnsi"/>
                  <w:szCs w:val="24"/>
                  <w:lang w:eastAsia="zh-CN"/>
                </w:rPr>
                <w:t>号决议（</w:t>
              </w:r>
              <w:r w:rsidRPr="001517F4">
                <w:rPr>
                  <w:rStyle w:val="Hyperlink"/>
                  <w:rFonts w:asciiTheme="minorHAnsi" w:eastAsia="STKaiti" w:hAnsiTheme="minorHAnsi" w:cstheme="minorHAnsi"/>
                  <w:szCs w:val="24"/>
                  <w:lang w:eastAsia="zh-CN"/>
                </w:rPr>
                <w:t>2022</w:t>
              </w:r>
              <w:r w:rsidRPr="001517F4">
                <w:rPr>
                  <w:rStyle w:val="Hyperlink"/>
                  <w:rFonts w:asciiTheme="minorHAnsi" w:eastAsia="STKaiti" w:hAnsiTheme="minorHAnsi" w:cstheme="minorHAnsi"/>
                  <w:szCs w:val="24"/>
                  <w:lang w:eastAsia="zh-CN"/>
                </w:rPr>
                <w:t>年，日内瓦，修订版）</w:t>
              </w:r>
            </w:hyperlink>
            <w:r w:rsidRPr="001517F4">
              <w:rPr>
                <w:rFonts w:asciiTheme="minorHAnsi" w:eastAsia="STKaiti" w:hAnsiTheme="minorHAnsi" w:cstheme="minorHAnsi"/>
                <w:szCs w:val="24"/>
                <w:lang w:eastAsia="zh-CN"/>
              </w:rPr>
              <w:t>，理事会第</w:t>
            </w:r>
            <w:hyperlink r:id="rId22" w:history="1">
              <w:r w:rsidRPr="001517F4">
                <w:rPr>
                  <w:rStyle w:val="Hyperlink"/>
                  <w:rFonts w:asciiTheme="minorHAnsi" w:eastAsia="STKaiti" w:hAnsiTheme="minorHAnsi" w:cstheme="minorHAnsi"/>
                  <w:szCs w:val="24"/>
                  <w:lang w:eastAsia="zh-CN"/>
                </w:rPr>
                <w:t>C15/18</w:t>
              </w:r>
            </w:hyperlink>
            <w:r w:rsidRPr="001517F4">
              <w:rPr>
                <w:rFonts w:asciiTheme="minorHAnsi" w:eastAsia="STKaiti" w:hAnsiTheme="minorHAnsi" w:cstheme="minorHAnsi"/>
                <w:szCs w:val="24"/>
                <w:lang w:eastAsia="zh-CN"/>
              </w:rPr>
              <w:t>、</w:t>
            </w:r>
            <w:hyperlink r:id="rId23" w:history="1">
              <w:r w:rsidRPr="001517F4">
                <w:rPr>
                  <w:rStyle w:val="Hyperlink"/>
                  <w:rFonts w:asciiTheme="minorHAnsi" w:eastAsia="STKaiti" w:hAnsiTheme="minorHAnsi" w:cstheme="minorHAnsi"/>
                  <w:szCs w:val="24"/>
                  <w:lang w:eastAsia="zh-CN"/>
                </w:rPr>
                <w:t>C16/18</w:t>
              </w:r>
            </w:hyperlink>
            <w:r w:rsidRPr="001517F4">
              <w:rPr>
                <w:rFonts w:asciiTheme="minorHAnsi" w:eastAsia="STKaiti" w:hAnsiTheme="minorHAnsi" w:cstheme="minorHAnsi"/>
                <w:szCs w:val="24"/>
                <w:lang w:eastAsia="zh-CN"/>
              </w:rPr>
              <w:t>、</w:t>
            </w:r>
            <w:hyperlink r:id="rId24" w:history="1">
              <w:r w:rsidRPr="001517F4">
                <w:rPr>
                  <w:rStyle w:val="Hyperlink"/>
                  <w:rFonts w:asciiTheme="minorHAnsi" w:eastAsia="STKaiti" w:hAnsiTheme="minorHAnsi" w:cstheme="minorHAnsi"/>
                  <w:szCs w:val="24"/>
                  <w:lang w:eastAsia="zh-CN"/>
                </w:rPr>
                <w:t>C17/18</w:t>
              </w:r>
            </w:hyperlink>
            <w:r w:rsidRPr="001517F4">
              <w:rPr>
                <w:rFonts w:asciiTheme="minorHAnsi" w:eastAsia="STKaiti" w:hAnsiTheme="minorHAnsi" w:cstheme="minorHAnsi"/>
                <w:szCs w:val="24"/>
                <w:lang w:eastAsia="zh-CN"/>
              </w:rPr>
              <w:t>、</w:t>
            </w:r>
            <w:hyperlink r:id="rId25" w:history="1">
              <w:r w:rsidRPr="001517F4">
                <w:rPr>
                  <w:rStyle w:val="Hyperlink"/>
                  <w:rFonts w:asciiTheme="minorHAnsi" w:eastAsia="STKaiti" w:hAnsiTheme="minorHAnsi" w:cstheme="minorHAnsi"/>
                  <w:szCs w:val="24"/>
                  <w:lang w:eastAsia="zh-CN"/>
                </w:rPr>
                <w:t>C18/18</w:t>
              </w:r>
            </w:hyperlink>
            <w:r w:rsidRPr="001517F4">
              <w:rPr>
                <w:rFonts w:asciiTheme="minorHAnsi" w:eastAsia="STKaiti" w:hAnsiTheme="minorHAnsi" w:cstheme="minorHAnsi"/>
                <w:szCs w:val="24"/>
                <w:lang w:eastAsia="zh-CN"/>
              </w:rPr>
              <w:t>、</w:t>
            </w:r>
            <w:hyperlink r:id="rId26" w:history="1">
              <w:r w:rsidRPr="001517F4">
                <w:rPr>
                  <w:rStyle w:val="Hyperlink"/>
                  <w:rFonts w:asciiTheme="minorHAnsi" w:eastAsia="STKaiti" w:hAnsiTheme="minorHAnsi" w:cstheme="minorHAnsi"/>
                  <w:szCs w:val="24"/>
                  <w:lang w:eastAsia="zh-CN"/>
                </w:rPr>
                <w:t>C19/18</w:t>
              </w:r>
            </w:hyperlink>
            <w:r w:rsidRPr="001517F4">
              <w:rPr>
                <w:rFonts w:asciiTheme="minorHAnsi" w:eastAsia="STKaiti" w:hAnsiTheme="minorHAnsi" w:cstheme="minorHAnsi"/>
                <w:szCs w:val="24"/>
                <w:lang w:eastAsia="zh-CN"/>
              </w:rPr>
              <w:t>、</w:t>
            </w:r>
            <w:hyperlink r:id="rId27" w:history="1">
              <w:r w:rsidRPr="001517F4">
                <w:rPr>
                  <w:rStyle w:val="Hyperlink"/>
                  <w:rFonts w:asciiTheme="minorHAnsi" w:eastAsia="STKaiti" w:hAnsiTheme="minorHAnsi" w:cstheme="minorHAnsi"/>
                  <w:szCs w:val="24"/>
                  <w:lang w:eastAsia="zh-CN"/>
                </w:rPr>
                <w:t>C20/18</w:t>
              </w:r>
            </w:hyperlink>
            <w:r w:rsidRPr="001517F4">
              <w:rPr>
                <w:rFonts w:asciiTheme="minorHAnsi" w:eastAsia="STKaiti" w:hAnsiTheme="minorHAnsi" w:cstheme="minorHAnsi"/>
                <w:szCs w:val="24"/>
                <w:lang w:eastAsia="zh-CN"/>
              </w:rPr>
              <w:t>、</w:t>
            </w:r>
            <w:hyperlink r:id="rId28" w:history="1">
              <w:r w:rsidRPr="001517F4">
                <w:rPr>
                  <w:rStyle w:val="Hyperlink"/>
                  <w:rFonts w:asciiTheme="minorHAnsi" w:eastAsia="STKaiti" w:hAnsiTheme="minorHAnsi" w:cstheme="minorHAnsi"/>
                  <w:szCs w:val="24"/>
                  <w:lang w:eastAsia="zh-CN"/>
                </w:rPr>
                <w:t>C21/18</w:t>
              </w:r>
            </w:hyperlink>
            <w:r w:rsidRPr="001517F4">
              <w:rPr>
                <w:rFonts w:asciiTheme="minorHAnsi" w:eastAsia="STKaiti" w:hAnsiTheme="minorHAnsi" w:cstheme="minorHAnsi"/>
                <w:szCs w:val="24"/>
                <w:lang w:eastAsia="zh-CN"/>
              </w:rPr>
              <w:t>、</w:t>
            </w:r>
            <w:hyperlink r:id="rId29" w:history="1">
              <w:r w:rsidRPr="001517F4">
                <w:rPr>
                  <w:rStyle w:val="Hyperlink"/>
                  <w:rFonts w:asciiTheme="minorHAnsi" w:eastAsia="STKaiti" w:hAnsiTheme="minorHAnsi" w:cstheme="minorHAnsi"/>
                  <w:szCs w:val="24"/>
                  <w:lang w:eastAsia="zh-CN"/>
                </w:rPr>
                <w:t>C22/18</w:t>
              </w:r>
            </w:hyperlink>
            <w:r w:rsidRPr="001517F4">
              <w:rPr>
                <w:rFonts w:asciiTheme="minorHAnsi" w:eastAsia="STKaiti" w:hAnsiTheme="minorHAnsi" w:cstheme="minorHAnsi"/>
                <w:szCs w:val="24"/>
                <w:lang w:eastAsia="zh-CN"/>
              </w:rPr>
              <w:t>、</w:t>
            </w:r>
            <w:hyperlink r:id="rId30" w:history="1">
              <w:r w:rsidRPr="001517F4">
                <w:rPr>
                  <w:rStyle w:val="Hyperlink"/>
                  <w:rFonts w:asciiTheme="minorHAnsi" w:eastAsia="STKaiti" w:hAnsiTheme="minorHAnsi" w:cstheme="minorHAnsi"/>
                  <w:szCs w:val="24"/>
                  <w:lang w:eastAsia="zh-CN"/>
                </w:rPr>
                <w:t>C23/38</w:t>
              </w:r>
            </w:hyperlink>
            <w:r w:rsidRPr="001517F4">
              <w:rPr>
                <w:rFonts w:asciiTheme="minorHAnsi" w:eastAsia="STKaiti" w:hAnsiTheme="minorHAnsi" w:cstheme="minorHAnsi" w:hint="eastAsia"/>
                <w:szCs w:val="24"/>
                <w:lang w:eastAsia="zh-CN"/>
              </w:rPr>
              <w:t>、</w:t>
            </w:r>
            <w:hyperlink r:id="rId31" w:history="1">
              <w:r w:rsidRPr="001517F4">
                <w:rPr>
                  <w:rStyle w:val="Hyperlink"/>
                  <w:rFonts w:eastAsia="SimSun"/>
                  <w:szCs w:val="24"/>
                  <w:lang w:val="en-US" w:eastAsia="zh-CN"/>
                </w:rPr>
                <w:t>C24/18</w:t>
              </w:r>
            </w:hyperlink>
            <w:r w:rsidRPr="001517F4">
              <w:rPr>
                <w:rFonts w:asciiTheme="minorHAnsi" w:eastAsia="STKaiti" w:hAnsiTheme="minorHAnsi" w:cstheme="minorHAnsi"/>
                <w:szCs w:val="24"/>
                <w:lang w:eastAsia="zh-CN"/>
              </w:rPr>
              <w:t>号文件</w:t>
            </w:r>
          </w:p>
        </w:tc>
      </w:tr>
      <w:bookmarkEnd w:id="2"/>
      <w:bookmarkEnd w:id="6"/>
    </w:tbl>
    <w:p w14:paraId="00E397D1"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3643D098"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7B515D1" w14:textId="77777777" w:rsidR="005361D5" w:rsidRDefault="005361D5" w:rsidP="005361D5">
      <w:pPr>
        <w:pageBreakBefore/>
        <w:ind w:firstLineChars="200" w:firstLine="480"/>
        <w:rPr>
          <w:lang w:eastAsia="zh-CN"/>
        </w:rPr>
      </w:pPr>
      <w:r>
        <w:rPr>
          <w:rFonts w:hint="eastAsia"/>
          <w:lang w:eastAsia="zh-CN"/>
        </w:rPr>
        <w:lastRenderedPageBreak/>
        <w:t>本文件报告了国际电联开展的与第</w:t>
      </w:r>
      <w:r>
        <w:rPr>
          <w:rFonts w:hint="eastAsia"/>
          <w:lang w:eastAsia="zh-CN"/>
        </w:rPr>
        <w:t>130</w:t>
      </w:r>
      <w:r>
        <w:rPr>
          <w:rFonts w:hint="eastAsia"/>
          <w:lang w:eastAsia="zh-CN"/>
        </w:rPr>
        <w:t>号决议（</w:t>
      </w:r>
      <w:r>
        <w:rPr>
          <w:rFonts w:hint="eastAsia"/>
          <w:lang w:eastAsia="zh-CN"/>
        </w:rPr>
        <w:t>2022</w:t>
      </w:r>
      <w:r>
        <w:rPr>
          <w:rFonts w:hint="eastAsia"/>
          <w:lang w:eastAsia="zh-CN"/>
        </w:rPr>
        <w:t>年，布加勒斯特，修订版）有关的活动，作为</w:t>
      </w:r>
      <w:r>
        <w:rPr>
          <w:rFonts w:hint="eastAsia"/>
          <w:lang w:eastAsia="zh-CN"/>
        </w:rPr>
        <w:t>WSIS C5</w:t>
      </w:r>
      <w:r>
        <w:rPr>
          <w:rFonts w:hint="eastAsia"/>
          <w:lang w:eastAsia="zh-CN"/>
        </w:rPr>
        <w:t>行动方面主导推进方的作用，以及成员就加强国际电联在树立使用</w:t>
      </w:r>
      <w:r>
        <w:rPr>
          <w:rFonts w:hint="eastAsia"/>
          <w:lang w:eastAsia="zh-CN"/>
        </w:rPr>
        <w:t>ICT</w:t>
      </w:r>
      <w:r>
        <w:rPr>
          <w:rFonts w:hint="eastAsia"/>
          <w:lang w:eastAsia="zh-CN"/>
        </w:rPr>
        <w:t>的信心和提高安全性方面的作用所做的其它决定。</w:t>
      </w:r>
    </w:p>
    <w:p w14:paraId="49129BFC" w14:textId="77777777" w:rsidR="005361D5" w:rsidRDefault="005361D5" w:rsidP="005361D5">
      <w:pPr>
        <w:ind w:firstLineChars="200" w:firstLine="480"/>
        <w:rPr>
          <w:lang w:eastAsia="zh-CN"/>
        </w:rPr>
      </w:pPr>
      <w:r>
        <w:rPr>
          <w:rFonts w:hint="eastAsia"/>
          <w:lang w:eastAsia="zh-CN"/>
        </w:rPr>
        <w:t>本报告围绕《全球网络安全议程》（</w:t>
      </w:r>
      <w:r>
        <w:rPr>
          <w:rFonts w:hint="eastAsia"/>
          <w:lang w:eastAsia="zh-CN"/>
        </w:rPr>
        <w:t>GCA</w:t>
      </w:r>
      <w:r>
        <w:rPr>
          <w:rFonts w:hint="eastAsia"/>
          <w:lang w:eastAsia="zh-CN"/>
        </w:rPr>
        <w:t>）的五个支柱展开，展现国际电联现有工作计划的互补性，包括电信发展局（</w:t>
      </w:r>
      <w:r>
        <w:rPr>
          <w:rFonts w:hint="eastAsia"/>
          <w:lang w:eastAsia="zh-CN"/>
        </w:rPr>
        <w:t>BDT</w:t>
      </w:r>
      <w:r>
        <w:rPr>
          <w:rFonts w:hint="eastAsia"/>
          <w:lang w:eastAsia="zh-CN"/>
        </w:rPr>
        <w:t>）、电信标准化局（</w:t>
      </w:r>
      <w:r>
        <w:rPr>
          <w:rFonts w:hint="eastAsia"/>
          <w:lang w:eastAsia="zh-CN"/>
        </w:rPr>
        <w:t>TSB</w:t>
      </w:r>
      <w:r>
        <w:rPr>
          <w:rFonts w:hint="eastAsia"/>
          <w:lang w:eastAsia="zh-CN"/>
        </w:rPr>
        <w:t>）和无线电通信局（</w:t>
      </w:r>
      <w:r>
        <w:rPr>
          <w:rFonts w:hint="eastAsia"/>
          <w:lang w:eastAsia="zh-CN"/>
        </w:rPr>
        <w:t>BR</w:t>
      </w:r>
      <w:r>
        <w:rPr>
          <w:rFonts w:hint="eastAsia"/>
          <w:lang w:eastAsia="zh-CN"/>
        </w:rPr>
        <w:t>）在此领域的活动。</w:t>
      </w:r>
    </w:p>
    <w:p w14:paraId="69F70110" w14:textId="77777777" w:rsidR="005361D5" w:rsidRDefault="005361D5" w:rsidP="005361D5">
      <w:pPr>
        <w:pStyle w:val="Heading1"/>
        <w:rPr>
          <w:lang w:eastAsia="zh-CN"/>
        </w:rPr>
      </w:pPr>
      <w:r>
        <w:rPr>
          <w:rFonts w:hint="eastAsia"/>
          <w:lang w:eastAsia="zh-CN"/>
        </w:rPr>
        <w:t>1</w:t>
      </w:r>
      <w:r>
        <w:rPr>
          <w:rFonts w:hint="eastAsia"/>
          <w:lang w:eastAsia="zh-CN"/>
        </w:rPr>
        <w:tab/>
      </w:r>
      <w:r>
        <w:rPr>
          <w:rFonts w:hint="eastAsia"/>
          <w:lang w:eastAsia="zh-CN"/>
        </w:rPr>
        <w:t>法律措施</w:t>
      </w:r>
    </w:p>
    <w:p w14:paraId="43F0BFF1" w14:textId="77777777" w:rsidR="005361D5" w:rsidRDefault="005361D5" w:rsidP="005361D5">
      <w:pPr>
        <w:ind w:firstLineChars="200" w:firstLine="480"/>
        <w:rPr>
          <w:lang w:eastAsia="zh-CN"/>
        </w:rPr>
      </w:pPr>
      <w:r>
        <w:rPr>
          <w:rFonts w:hint="eastAsia"/>
          <w:lang w:eastAsia="zh-CN"/>
        </w:rPr>
        <w:t>作为《基加利行动计划》</w:t>
      </w:r>
      <w:r>
        <w:rPr>
          <w:rFonts w:hint="eastAsia"/>
          <w:lang w:eastAsia="zh-CN"/>
        </w:rPr>
        <w:t>ITU-D</w:t>
      </w:r>
      <w:r>
        <w:rPr>
          <w:rFonts w:hint="eastAsia"/>
          <w:lang w:eastAsia="zh-CN"/>
        </w:rPr>
        <w:t>重点工作</w:t>
      </w:r>
      <w:r>
        <w:rPr>
          <w:rFonts w:hint="eastAsia"/>
          <w:lang w:eastAsia="zh-CN"/>
        </w:rPr>
        <w:t>5</w:t>
      </w:r>
      <w:r>
        <w:rPr>
          <w:rFonts w:hint="eastAsia"/>
          <w:lang w:eastAsia="zh-CN"/>
        </w:rPr>
        <w:t>的一部分，同时考虑到</w:t>
      </w:r>
      <w:r>
        <w:rPr>
          <w:rFonts w:hint="eastAsia"/>
          <w:lang w:eastAsia="zh-CN"/>
        </w:rPr>
        <w:t>ITU-D</w:t>
      </w:r>
      <w:r>
        <w:rPr>
          <w:rFonts w:hint="eastAsia"/>
          <w:lang w:eastAsia="zh-CN"/>
        </w:rPr>
        <w:t>第</w:t>
      </w:r>
      <w:r>
        <w:rPr>
          <w:rFonts w:hint="eastAsia"/>
          <w:lang w:eastAsia="zh-CN"/>
        </w:rPr>
        <w:t>3/2</w:t>
      </w:r>
      <w:r>
        <w:rPr>
          <w:rFonts w:hint="eastAsia"/>
          <w:lang w:eastAsia="zh-CN"/>
        </w:rPr>
        <w:t>号课题，国际电联正通过</w:t>
      </w:r>
      <w:hyperlink r:id="rId32" w:history="1">
        <w:r w:rsidRPr="00C362A2">
          <w:rPr>
            <w:rStyle w:val="Hyperlink"/>
            <w:rFonts w:eastAsia="SimSun" w:hint="eastAsia"/>
            <w:lang w:eastAsia="zh-CN"/>
          </w:rPr>
          <w:t>国际电联网络犯罪立法资源</w:t>
        </w:r>
      </w:hyperlink>
      <w:r>
        <w:rPr>
          <w:rFonts w:hint="eastAsia"/>
          <w:lang w:eastAsia="zh-CN"/>
        </w:rPr>
        <w:t>协助成员国了解网络安全的法律方面。国际电联与联合国毒品和犯罪问题办公室（</w:t>
      </w:r>
      <w:r>
        <w:rPr>
          <w:rFonts w:hint="eastAsia"/>
          <w:lang w:eastAsia="zh-CN"/>
        </w:rPr>
        <w:t>UNODC</w:t>
      </w:r>
      <w:r>
        <w:rPr>
          <w:rFonts w:hint="eastAsia"/>
          <w:lang w:eastAsia="zh-CN"/>
        </w:rPr>
        <w:t>）等合作伙伴密切协作。</w:t>
      </w:r>
    </w:p>
    <w:p w14:paraId="0600676E" w14:textId="77777777" w:rsidR="005361D5" w:rsidRDefault="005361D5" w:rsidP="005361D5">
      <w:pPr>
        <w:pStyle w:val="Heading1"/>
        <w:rPr>
          <w:lang w:eastAsia="zh-CN"/>
        </w:rPr>
      </w:pPr>
      <w:r>
        <w:rPr>
          <w:rFonts w:hint="eastAsia"/>
          <w:lang w:eastAsia="zh-CN"/>
        </w:rPr>
        <w:t>2</w:t>
      </w:r>
      <w:r>
        <w:rPr>
          <w:rFonts w:hint="eastAsia"/>
          <w:lang w:eastAsia="zh-CN"/>
        </w:rPr>
        <w:tab/>
      </w:r>
      <w:r>
        <w:rPr>
          <w:rFonts w:hint="eastAsia"/>
          <w:lang w:eastAsia="zh-CN"/>
        </w:rPr>
        <w:t>技术和程序措施</w:t>
      </w:r>
    </w:p>
    <w:p w14:paraId="588CA97F" w14:textId="77777777" w:rsidR="005361D5" w:rsidRDefault="005361D5" w:rsidP="005361D5">
      <w:pPr>
        <w:rPr>
          <w:lang w:eastAsia="zh-CN"/>
        </w:rPr>
      </w:pPr>
      <w:r>
        <w:rPr>
          <w:rFonts w:hint="eastAsia"/>
          <w:lang w:eastAsia="zh-CN"/>
        </w:rPr>
        <w:t>2.1</w:t>
      </w:r>
      <w:r>
        <w:rPr>
          <w:rFonts w:hint="eastAsia"/>
          <w:lang w:eastAsia="zh-CN"/>
        </w:rPr>
        <w:tab/>
      </w:r>
      <w:hyperlink r:id="rId33" w:history="1">
        <w:r w:rsidRPr="00C362A2">
          <w:rPr>
            <w:rStyle w:val="Hyperlink"/>
            <w:rFonts w:eastAsia="SimSun" w:hint="eastAsia"/>
            <w:lang w:eastAsia="zh-CN"/>
          </w:rPr>
          <w:t>ITU-T</w:t>
        </w:r>
        <w:r w:rsidRPr="00C362A2">
          <w:rPr>
            <w:rStyle w:val="Hyperlink"/>
            <w:rFonts w:eastAsia="SimSun" w:hint="eastAsia"/>
            <w:lang w:eastAsia="zh-CN"/>
          </w:rPr>
          <w:t>第</w:t>
        </w:r>
        <w:r w:rsidRPr="00C362A2">
          <w:rPr>
            <w:rStyle w:val="Hyperlink"/>
            <w:rFonts w:eastAsia="SimSun" w:hint="eastAsia"/>
            <w:lang w:eastAsia="zh-CN"/>
          </w:rPr>
          <w:t>17</w:t>
        </w:r>
        <w:r w:rsidRPr="00C362A2">
          <w:rPr>
            <w:rStyle w:val="Hyperlink"/>
            <w:rFonts w:eastAsia="SimSun" w:hint="eastAsia"/>
            <w:lang w:eastAsia="zh-CN"/>
          </w:rPr>
          <w:t>研究组（</w:t>
        </w:r>
        <w:r w:rsidRPr="00C362A2">
          <w:rPr>
            <w:rStyle w:val="Hyperlink"/>
            <w:rFonts w:eastAsia="SimSun" w:hint="eastAsia"/>
            <w:lang w:eastAsia="zh-CN"/>
          </w:rPr>
          <w:t>SG-17</w:t>
        </w:r>
        <w:r w:rsidRPr="00C362A2">
          <w:rPr>
            <w:rStyle w:val="Hyperlink"/>
            <w:rFonts w:eastAsia="SimSun" w:hint="eastAsia"/>
            <w:lang w:eastAsia="zh-CN"/>
          </w:rPr>
          <w:t>）</w:t>
        </w:r>
      </w:hyperlink>
      <w:r>
        <w:rPr>
          <w:rFonts w:hint="eastAsia"/>
          <w:lang w:eastAsia="zh-CN"/>
        </w:rPr>
        <w:t>于</w:t>
      </w:r>
      <w:r>
        <w:rPr>
          <w:rFonts w:hint="eastAsia"/>
          <w:lang w:eastAsia="zh-CN"/>
        </w:rPr>
        <w:t>2024</w:t>
      </w:r>
      <w:r>
        <w:rPr>
          <w:rFonts w:hint="eastAsia"/>
          <w:lang w:eastAsia="zh-CN"/>
        </w:rPr>
        <w:t>年</w:t>
      </w:r>
      <w:r>
        <w:rPr>
          <w:rFonts w:hint="eastAsia"/>
          <w:lang w:eastAsia="zh-CN"/>
        </w:rPr>
        <w:t>9</w:t>
      </w:r>
      <w:r>
        <w:rPr>
          <w:rFonts w:hint="eastAsia"/>
          <w:lang w:eastAsia="zh-CN"/>
        </w:rPr>
        <w:t>月和</w:t>
      </w:r>
      <w:r>
        <w:rPr>
          <w:rFonts w:hint="eastAsia"/>
          <w:lang w:eastAsia="zh-CN"/>
        </w:rPr>
        <w:t>2025</w:t>
      </w:r>
      <w:r>
        <w:rPr>
          <w:rFonts w:hint="eastAsia"/>
          <w:lang w:eastAsia="zh-CN"/>
        </w:rPr>
        <w:t>年</w:t>
      </w:r>
      <w:r>
        <w:rPr>
          <w:rFonts w:hint="eastAsia"/>
          <w:lang w:eastAsia="zh-CN"/>
        </w:rPr>
        <w:t>4</w:t>
      </w:r>
      <w:r>
        <w:rPr>
          <w:rFonts w:hint="eastAsia"/>
          <w:lang w:eastAsia="zh-CN"/>
        </w:rPr>
        <w:t>月举行了两次会议，设立了</w:t>
      </w:r>
      <w:r>
        <w:rPr>
          <w:rFonts w:hint="eastAsia"/>
          <w:lang w:eastAsia="zh-CN"/>
        </w:rPr>
        <w:t>50</w:t>
      </w:r>
      <w:r>
        <w:rPr>
          <w:rFonts w:hint="eastAsia"/>
          <w:lang w:eastAsia="zh-CN"/>
        </w:rPr>
        <w:t>个</w:t>
      </w:r>
      <w:hyperlink r:id="rId34" w:history="1">
        <w:r w:rsidRPr="00F30E52">
          <w:rPr>
            <w:rFonts w:hint="eastAsia"/>
            <w:lang w:eastAsia="zh-CN"/>
          </w:rPr>
          <w:t>新的标准化工作项目，并批准了关于</w:t>
        </w:r>
        <w:r>
          <w:rPr>
            <w:rFonts w:hint="eastAsia"/>
            <w:lang w:eastAsia="zh-CN"/>
          </w:rPr>
          <w:t>人工智能</w:t>
        </w:r>
        <w:r w:rsidRPr="00F30E52">
          <w:rPr>
            <w:rFonts w:hint="eastAsia"/>
            <w:lang w:eastAsia="zh-CN"/>
          </w:rPr>
          <w:t>、</w:t>
        </w:r>
        <w:r>
          <w:rPr>
            <w:rFonts w:hint="eastAsia"/>
            <w:lang w:eastAsia="zh-CN"/>
          </w:rPr>
          <w:t>国际移动通信系统、</w:t>
        </w:r>
        <w:r w:rsidRPr="00F30E52">
          <w:rPr>
            <w:rFonts w:hint="eastAsia"/>
            <w:lang w:eastAsia="zh-CN"/>
          </w:rPr>
          <w:t>云、物联网、</w:t>
        </w:r>
        <w:r>
          <w:rPr>
            <w:rFonts w:hint="eastAsia"/>
            <w:lang w:eastAsia="zh-CN"/>
          </w:rPr>
          <w:t>智能交通系统</w:t>
        </w:r>
        <w:r w:rsidRPr="00F30E52">
          <w:rPr>
            <w:rFonts w:hint="eastAsia"/>
            <w:lang w:eastAsia="zh-CN"/>
          </w:rPr>
          <w:t>、数字孪生</w:t>
        </w:r>
        <w:r>
          <w:rPr>
            <w:rFonts w:hint="eastAsia"/>
            <w:lang w:eastAsia="zh-CN"/>
          </w:rPr>
          <w:t>系统</w:t>
        </w:r>
        <w:r w:rsidRPr="00F30E52">
          <w:rPr>
            <w:rFonts w:hint="eastAsia"/>
            <w:lang w:eastAsia="zh-CN"/>
          </w:rPr>
          <w:t>、量子密钥分发、</w:t>
        </w:r>
        <w:r>
          <w:rPr>
            <w:rFonts w:hint="eastAsia"/>
            <w:lang w:eastAsia="zh-CN"/>
          </w:rPr>
          <w:t>接入控制</w:t>
        </w:r>
        <w:r w:rsidRPr="00F30E52">
          <w:rPr>
            <w:rFonts w:hint="eastAsia"/>
            <w:lang w:eastAsia="zh-CN"/>
          </w:rPr>
          <w:t>、数字金融</w:t>
        </w:r>
        <w:r>
          <w:rPr>
            <w:rFonts w:hint="eastAsia"/>
            <w:lang w:eastAsia="zh-CN"/>
          </w:rPr>
          <w:t>、隐私保留</w:t>
        </w:r>
        <w:r w:rsidRPr="00F30E52">
          <w:rPr>
            <w:rFonts w:hint="eastAsia"/>
            <w:lang w:eastAsia="zh-CN"/>
          </w:rPr>
          <w:t>和其他智慧服务的</w:t>
        </w:r>
        <w:r w:rsidRPr="00F30E52">
          <w:rPr>
            <w:rFonts w:hint="eastAsia"/>
            <w:lang w:eastAsia="zh-CN"/>
          </w:rPr>
          <w:t>36</w:t>
        </w:r>
        <w:r w:rsidRPr="00F30E52">
          <w:rPr>
            <w:rFonts w:hint="eastAsia"/>
            <w:lang w:eastAsia="zh-CN"/>
          </w:rPr>
          <w:t>个新的或经修订的建议书</w:t>
        </w:r>
      </w:hyperlink>
      <w:r>
        <w:rPr>
          <w:rFonts w:hint="eastAsia"/>
          <w:lang w:eastAsia="zh-CN"/>
        </w:rPr>
        <w:t>。</w:t>
      </w:r>
      <w:r>
        <w:rPr>
          <w:rFonts w:hint="eastAsia"/>
          <w:lang w:eastAsia="zh-CN"/>
        </w:rPr>
        <w:t>ITU-T</w:t>
      </w:r>
      <w:r>
        <w:rPr>
          <w:rFonts w:hint="eastAsia"/>
          <w:lang w:eastAsia="zh-CN"/>
        </w:rPr>
        <w:t>第</w:t>
      </w:r>
      <w:r>
        <w:rPr>
          <w:rFonts w:hint="eastAsia"/>
          <w:lang w:eastAsia="zh-CN"/>
        </w:rPr>
        <w:t>5</w:t>
      </w:r>
      <w:r>
        <w:rPr>
          <w:rFonts w:hint="eastAsia"/>
          <w:lang w:eastAsia="zh-CN"/>
        </w:rPr>
        <w:t>、</w:t>
      </w:r>
      <w:r>
        <w:rPr>
          <w:rFonts w:hint="eastAsia"/>
          <w:lang w:eastAsia="zh-CN"/>
        </w:rPr>
        <w:t>11</w:t>
      </w:r>
      <w:r>
        <w:rPr>
          <w:rFonts w:hint="eastAsia"/>
          <w:lang w:eastAsia="zh-CN"/>
        </w:rPr>
        <w:t>、</w:t>
      </w:r>
      <w:r>
        <w:rPr>
          <w:rFonts w:hint="eastAsia"/>
          <w:lang w:eastAsia="zh-CN"/>
        </w:rPr>
        <w:t>13</w:t>
      </w:r>
      <w:r>
        <w:rPr>
          <w:rFonts w:hint="eastAsia"/>
          <w:lang w:eastAsia="zh-CN"/>
        </w:rPr>
        <w:t>、</w:t>
      </w:r>
      <w:r>
        <w:rPr>
          <w:rFonts w:hint="eastAsia"/>
          <w:lang w:eastAsia="zh-CN"/>
        </w:rPr>
        <w:t>15</w:t>
      </w:r>
      <w:r>
        <w:rPr>
          <w:rFonts w:hint="eastAsia"/>
          <w:lang w:eastAsia="zh-CN"/>
        </w:rPr>
        <w:t>、</w:t>
      </w:r>
      <w:r>
        <w:rPr>
          <w:rFonts w:hint="eastAsia"/>
          <w:lang w:eastAsia="zh-CN"/>
        </w:rPr>
        <w:t>20</w:t>
      </w:r>
      <w:r>
        <w:rPr>
          <w:rFonts w:hint="eastAsia"/>
          <w:lang w:eastAsia="zh-CN"/>
        </w:rPr>
        <w:t>和</w:t>
      </w:r>
      <w:r>
        <w:rPr>
          <w:rFonts w:hint="eastAsia"/>
          <w:lang w:eastAsia="zh-CN"/>
        </w:rPr>
        <w:t>21</w:t>
      </w:r>
      <w:r>
        <w:rPr>
          <w:rFonts w:hint="eastAsia"/>
          <w:lang w:eastAsia="zh-CN"/>
        </w:rPr>
        <w:t>研究组亦批准了有关</w:t>
      </w:r>
      <w:r>
        <w:rPr>
          <w:rFonts w:hint="eastAsia"/>
          <w:lang w:eastAsia="zh-CN"/>
        </w:rPr>
        <w:t>ICT</w:t>
      </w:r>
      <w:r>
        <w:rPr>
          <w:rFonts w:hint="eastAsia"/>
          <w:lang w:eastAsia="zh-CN"/>
        </w:rPr>
        <w:t>安全的建议书（见</w:t>
      </w:r>
      <w:hyperlink r:id="rId35" w:history="1">
        <w:r w:rsidRPr="00C362A2">
          <w:rPr>
            <w:rStyle w:val="Hyperlink"/>
            <w:rFonts w:eastAsia="SimSun" w:hint="eastAsia"/>
            <w:lang w:eastAsia="zh-CN"/>
          </w:rPr>
          <w:t>ITU-T</w:t>
        </w:r>
        <w:r w:rsidRPr="00C362A2">
          <w:rPr>
            <w:rStyle w:val="Hyperlink"/>
            <w:rFonts w:eastAsia="SimSun" w:hint="eastAsia"/>
            <w:lang w:eastAsia="zh-CN"/>
          </w:rPr>
          <w:t>建议书目录</w:t>
        </w:r>
      </w:hyperlink>
      <w:r w:rsidRPr="00FA40F3">
        <w:rPr>
          <w:rFonts w:hint="eastAsia"/>
          <w:lang w:eastAsia="zh-CN"/>
        </w:rPr>
        <w:t>），涉及打击假冒和</w:t>
      </w:r>
      <w:r>
        <w:rPr>
          <w:rFonts w:hint="eastAsia"/>
          <w:lang w:eastAsia="zh-CN"/>
        </w:rPr>
        <w:t>失窃</w:t>
      </w:r>
      <w:r w:rsidRPr="00FA40F3">
        <w:rPr>
          <w:rFonts w:hint="eastAsia"/>
          <w:lang w:eastAsia="zh-CN"/>
        </w:rPr>
        <w:t>ICT</w:t>
      </w:r>
      <w:r w:rsidRPr="00FA40F3">
        <w:rPr>
          <w:rFonts w:hint="eastAsia"/>
          <w:lang w:eastAsia="zh-CN"/>
        </w:rPr>
        <w:t>移动设备，</w:t>
      </w:r>
      <w:r w:rsidRPr="00FA40F3">
        <w:rPr>
          <w:rFonts w:hint="eastAsia"/>
          <w:lang w:eastAsia="zh-CN"/>
        </w:rPr>
        <w:t>IMT-2020</w:t>
      </w:r>
      <w:r w:rsidRPr="00FA40F3">
        <w:rPr>
          <w:rFonts w:hint="eastAsia"/>
          <w:lang w:eastAsia="zh-CN"/>
        </w:rPr>
        <w:t>及之后网络的可信度，基础设施（如电网、无源光网络），固定、移动和卫星融合，物联网的安全性，元宇宙和智慧城市，视频</w:t>
      </w:r>
      <w:r w:rsidRPr="00FA40F3">
        <w:rPr>
          <w:rFonts w:hint="eastAsia"/>
          <w:lang w:eastAsia="zh-CN"/>
        </w:rPr>
        <w:t>/</w:t>
      </w:r>
      <w:r w:rsidRPr="00FA40F3">
        <w:rPr>
          <w:rFonts w:hint="eastAsia"/>
          <w:lang w:eastAsia="zh-CN"/>
        </w:rPr>
        <w:t>音频内容分发的数字版权管理，以及多媒体的真实性等广泛问题。</w:t>
      </w:r>
    </w:p>
    <w:p w14:paraId="274F525E" w14:textId="77777777" w:rsidR="005361D5" w:rsidRDefault="005361D5" w:rsidP="005361D5">
      <w:pPr>
        <w:rPr>
          <w:lang w:eastAsia="zh-CN"/>
        </w:rPr>
      </w:pPr>
      <w:r>
        <w:rPr>
          <w:rFonts w:hint="eastAsia"/>
          <w:lang w:eastAsia="zh-CN"/>
        </w:rPr>
        <w:t>2.</w:t>
      </w:r>
      <w:r>
        <w:rPr>
          <w:lang w:eastAsia="zh-CN"/>
        </w:rPr>
        <w:t>2</w:t>
      </w:r>
      <w:r>
        <w:rPr>
          <w:rFonts w:hint="eastAsia"/>
          <w:lang w:eastAsia="zh-CN"/>
        </w:rPr>
        <w:tab/>
      </w:r>
      <w:r>
        <w:rPr>
          <w:rFonts w:hint="eastAsia"/>
          <w:lang w:eastAsia="zh-CN"/>
        </w:rPr>
        <w:t>第</w:t>
      </w:r>
      <w:r>
        <w:rPr>
          <w:rFonts w:hint="eastAsia"/>
          <w:lang w:eastAsia="zh-CN"/>
        </w:rPr>
        <w:t>11</w:t>
      </w:r>
      <w:r>
        <w:rPr>
          <w:rFonts w:hint="eastAsia"/>
          <w:lang w:eastAsia="zh-CN"/>
        </w:rPr>
        <w:t>研究组继续开展</w:t>
      </w:r>
      <w:hyperlink r:id="rId36" w:history="1">
        <w:r w:rsidRPr="00C362A2">
          <w:rPr>
            <w:rStyle w:val="Hyperlink"/>
            <w:rFonts w:eastAsia="SimSun" w:hint="eastAsia"/>
            <w:lang w:eastAsia="zh-CN"/>
          </w:rPr>
          <w:t>信令安全</w:t>
        </w:r>
      </w:hyperlink>
      <w:r>
        <w:rPr>
          <w:rFonts w:hint="eastAsia"/>
          <w:lang w:eastAsia="zh-CN"/>
        </w:rPr>
        <w:t>方面的活动，以打击</w:t>
      </w:r>
      <w:r w:rsidRPr="00FA40F3">
        <w:rPr>
          <w:rFonts w:hint="eastAsia"/>
          <w:lang w:eastAsia="zh-CN"/>
        </w:rPr>
        <w:t>假冒和</w:t>
      </w:r>
      <w:r>
        <w:rPr>
          <w:rFonts w:hint="eastAsia"/>
          <w:lang w:eastAsia="zh-CN"/>
        </w:rPr>
        <w:t>失窃</w:t>
      </w:r>
      <w:r w:rsidRPr="00FA40F3">
        <w:rPr>
          <w:rFonts w:hint="eastAsia"/>
          <w:lang w:eastAsia="zh-CN"/>
        </w:rPr>
        <w:t>ICT</w:t>
      </w:r>
      <w:r w:rsidRPr="00FA40F3">
        <w:rPr>
          <w:rFonts w:hint="eastAsia"/>
          <w:lang w:eastAsia="zh-CN"/>
        </w:rPr>
        <w:t>移动设备</w:t>
      </w:r>
      <w:r>
        <w:rPr>
          <w:rFonts w:hint="eastAsia"/>
          <w:lang w:val="en-US" w:eastAsia="zh-CN"/>
        </w:rPr>
        <w:t>以及</w:t>
      </w:r>
      <w:r>
        <w:rPr>
          <w:rFonts w:hint="eastAsia"/>
          <w:lang w:eastAsia="zh-CN"/>
        </w:rPr>
        <w:t>对电话网络的攻击（如电话垃圾邮件、机器人呼叫、欺骗号码等）。继描述信令交换中数字签名（数字证书）使用的</w:t>
      </w:r>
      <w:r>
        <w:rPr>
          <w:rFonts w:hint="eastAsia"/>
          <w:lang w:eastAsia="zh-CN"/>
        </w:rPr>
        <w:t>ITU-T Q.3057</w:t>
      </w:r>
      <w:r>
        <w:rPr>
          <w:rFonts w:hint="eastAsia"/>
          <w:lang w:eastAsia="zh-CN"/>
        </w:rPr>
        <w:t>（</w:t>
      </w:r>
      <w:r>
        <w:rPr>
          <w:rFonts w:hint="eastAsia"/>
          <w:lang w:eastAsia="zh-CN"/>
        </w:rPr>
        <w:t>2020</w:t>
      </w:r>
      <w:r>
        <w:rPr>
          <w:rFonts w:hint="eastAsia"/>
          <w:lang w:eastAsia="zh-CN"/>
        </w:rPr>
        <w:t>年）、</w:t>
      </w:r>
      <w:r>
        <w:rPr>
          <w:rFonts w:hint="eastAsia"/>
          <w:lang w:eastAsia="zh-CN"/>
        </w:rPr>
        <w:t>Q.3062</w:t>
      </w:r>
      <w:r>
        <w:rPr>
          <w:rFonts w:hint="eastAsia"/>
          <w:lang w:eastAsia="zh-CN"/>
        </w:rPr>
        <w:t>（</w:t>
      </w:r>
      <w:r>
        <w:rPr>
          <w:rFonts w:hint="eastAsia"/>
          <w:lang w:eastAsia="zh-CN"/>
        </w:rPr>
        <w:t>2022</w:t>
      </w:r>
      <w:r>
        <w:rPr>
          <w:rFonts w:hint="eastAsia"/>
          <w:lang w:eastAsia="zh-CN"/>
        </w:rPr>
        <w:t>）“</w:t>
      </w:r>
      <w:r w:rsidRPr="004C240E">
        <w:rPr>
          <w:rFonts w:hint="eastAsia"/>
          <w:lang w:eastAsia="zh-CN"/>
        </w:rPr>
        <w:t>在支持现有和新兴网络的可信网络实体之间实现互连的信令程序和协议</w:t>
      </w:r>
      <w:r>
        <w:rPr>
          <w:rFonts w:hint="eastAsia"/>
          <w:lang w:eastAsia="zh-CN"/>
        </w:rPr>
        <w:t>”以及</w:t>
      </w:r>
      <w:r>
        <w:rPr>
          <w:rFonts w:hint="eastAsia"/>
          <w:lang w:eastAsia="zh-CN"/>
        </w:rPr>
        <w:t>Q.3063</w:t>
      </w:r>
      <w:r>
        <w:rPr>
          <w:rFonts w:hint="eastAsia"/>
          <w:lang w:eastAsia="zh-CN"/>
        </w:rPr>
        <w:t>（</w:t>
      </w:r>
      <w:r>
        <w:rPr>
          <w:rFonts w:hint="eastAsia"/>
          <w:lang w:eastAsia="zh-CN"/>
        </w:rPr>
        <w:t>2022</w:t>
      </w:r>
      <w:r>
        <w:rPr>
          <w:rFonts w:hint="eastAsia"/>
          <w:lang w:eastAsia="zh-CN"/>
        </w:rPr>
        <w:t>）“</w:t>
      </w:r>
      <w:r w:rsidRPr="004C240E">
        <w:rPr>
          <w:rFonts w:hint="eastAsia"/>
          <w:lang w:eastAsia="zh-CN"/>
        </w:rPr>
        <w:t>主叫线路识别认证的信令程序</w:t>
      </w:r>
      <w:r>
        <w:rPr>
          <w:rFonts w:hint="eastAsia"/>
          <w:lang w:eastAsia="zh-CN"/>
        </w:rPr>
        <w:t>”之后，第</w:t>
      </w:r>
      <w:r>
        <w:rPr>
          <w:rFonts w:hint="eastAsia"/>
          <w:lang w:eastAsia="zh-CN"/>
        </w:rPr>
        <w:t>11</w:t>
      </w:r>
      <w:r>
        <w:rPr>
          <w:rFonts w:hint="eastAsia"/>
          <w:lang w:eastAsia="zh-CN"/>
        </w:rPr>
        <w:t>研究组于</w:t>
      </w:r>
      <w:r>
        <w:rPr>
          <w:rFonts w:hint="eastAsia"/>
          <w:lang w:eastAsia="zh-CN"/>
        </w:rPr>
        <w:t>2023</w:t>
      </w:r>
      <w:r>
        <w:rPr>
          <w:rFonts w:hint="eastAsia"/>
          <w:lang w:eastAsia="zh-CN"/>
        </w:rPr>
        <w:t>年批准了对</w:t>
      </w:r>
      <w:r>
        <w:rPr>
          <w:rFonts w:hint="eastAsia"/>
          <w:lang w:eastAsia="zh-CN"/>
        </w:rPr>
        <w:t>SS7</w:t>
      </w:r>
      <w:r>
        <w:rPr>
          <w:rFonts w:hint="eastAsia"/>
          <w:lang w:eastAsia="zh-CN"/>
        </w:rPr>
        <w:t>和</w:t>
      </w:r>
      <w:r>
        <w:rPr>
          <w:rFonts w:hint="eastAsia"/>
          <w:lang w:eastAsia="zh-CN"/>
        </w:rPr>
        <w:t>BICC</w:t>
      </w:r>
      <w:r>
        <w:rPr>
          <w:rFonts w:hint="eastAsia"/>
          <w:lang w:eastAsia="zh-CN"/>
        </w:rPr>
        <w:t>相关标准的修正案，以支持主叫线路识别认证和</w:t>
      </w:r>
      <w:r w:rsidRPr="00FA40F3">
        <w:rPr>
          <w:rFonts w:hint="eastAsia"/>
          <w:lang w:eastAsia="zh-CN"/>
        </w:rPr>
        <w:t>2025</w:t>
      </w:r>
      <w:r w:rsidRPr="00FA40F3">
        <w:rPr>
          <w:rFonts w:hint="eastAsia"/>
          <w:lang w:eastAsia="zh-CN"/>
        </w:rPr>
        <w:t>年</w:t>
      </w:r>
      <w:r>
        <w:rPr>
          <w:rFonts w:hint="eastAsia"/>
          <w:lang w:eastAsia="zh-CN"/>
        </w:rPr>
        <w:t>推出</w:t>
      </w:r>
      <w:r w:rsidRPr="00FA40F3">
        <w:rPr>
          <w:rFonts w:hint="eastAsia"/>
          <w:lang w:eastAsia="zh-CN"/>
        </w:rPr>
        <w:t>的</w:t>
      </w:r>
      <w:r w:rsidRPr="00FA40F3">
        <w:rPr>
          <w:rFonts w:hint="eastAsia"/>
          <w:lang w:eastAsia="zh-CN"/>
        </w:rPr>
        <w:t>Q</w:t>
      </w:r>
      <w:r>
        <w:rPr>
          <w:rFonts w:hint="eastAsia"/>
          <w:lang w:eastAsia="zh-CN"/>
        </w:rPr>
        <w:t>.</w:t>
      </w:r>
      <w:r w:rsidRPr="00FA40F3">
        <w:rPr>
          <w:rFonts w:hint="eastAsia"/>
          <w:lang w:eastAsia="zh-CN"/>
        </w:rPr>
        <w:t>5054</w:t>
      </w:r>
      <w:r w:rsidRPr="00FA40F3">
        <w:rPr>
          <w:rFonts w:hint="eastAsia"/>
          <w:lang w:eastAsia="zh-CN"/>
        </w:rPr>
        <w:t>“以消费者为中心的打击假冒和失窃移动设备框架”</w:t>
      </w:r>
      <w:r>
        <w:rPr>
          <w:rFonts w:hint="eastAsia"/>
          <w:lang w:eastAsia="zh-CN"/>
        </w:rPr>
        <w:t>。</w:t>
      </w:r>
    </w:p>
    <w:p w14:paraId="0ACEB88C" w14:textId="32D6329C" w:rsidR="005361D5" w:rsidRDefault="005361D5" w:rsidP="005361D5">
      <w:pPr>
        <w:rPr>
          <w:lang w:eastAsia="zh-CN"/>
        </w:rPr>
      </w:pPr>
      <w:r>
        <w:rPr>
          <w:rFonts w:hint="eastAsia"/>
          <w:lang w:eastAsia="zh-CN"/>
        </w:rPr>
        <w:t>2.</w:t>
      </w:r>
      <w:r w:rsidR="004E69CF">
        <w:rPr>
          <w:rFonts w:hint="eastAsia"/>
          <w:lang w:eastAsia="zh-CN"/>
        </w:rPr>
        <w:t>3</w:t>
      </w:r>
      <w:r>
        <w:rPr>
          <w:rFonts w:hint="eastAsia"/>
          <w:lang w:eastAsia="zh-CN"/>
        </w:rPr>
        <w:tab/>
        <w:t>ITU-R</w:t>
      </w:r>
      <w:r>
        <w:rPr>
          <w:rFonts w:hint="eastAsia"/>
          <w:lang w:eastAsia="zh-CN"/>
        </w:rPr>
        <w:t>为国际移动通信（</w:t>
      </w:r>
      <w:r>
        <w:rPr>
          <w:rFonts w:hint="eastAsia"/>
          <w:lang w:eastAsia="zh-CN"/>
        </w:rPr>
        <w:t>IMT</w:t>
      </w:r>
      <w:r>
        <w:rPr>
          <w:rFonts w:hint="eastAsia"/>
          <w:lang w:eastAsia="zh-CN"/>
        </w:rPr>
        <w:t>）（</w:t>
      </w:r>
      <w:r>
        <w:rPr>
          <w:rFonts w:hint="eastAsia"/>
          <w:lang w:eastAsia="zh-CN"/>
        </w:rPr>
        <w:t>3G</w:t>
      </w:r>
      <w:r>
        <w:rPr>
          <w:rFonts w:hint="eastAsia"/>
          <w:lang w:eastAsia="zh-CN"/>
        </w:rPr>
        <w:t>、</w:t>
      </w:r>
      <w:r>
        <w:rPr>
          <w:rFonts w:hint="eastAsia"/>
          <w:lang w:eastAsia="zh-CN"/>
        </w:rPr>
        <w:t>4G</w:t>
      </w:r>
      <w:r>
        <w:rPr>
          <w:rFonts w:hint="eastAsia"/>
          <w:lang w:eastAsia="zh-CN"/>
        </w:rPr>
        <w:t>和</w:t>
      </w:r>
      <w:r>
        <w:rPr>
          <w:rFonts w:hint="eastAsia"/>
          <w:lang w:eastAsia="zh-CN"/>
        </w:rPr>
        <w:t>5G</w:t>
      </w:r>
      <w:r>
        <w:rPr>
          <w:rFonts w:hint="eastAsia"/>
          <w:lang w:eastAsia="zh-CN"/>
        </w:rPr>
        <w:t>）网络确立了明确的安全原则。它还就数字卫星系统网络管理架构的安全问题和提高卫星网络传输控制协议的性能发布了建议书（见</w:t>
      </w:r>
      <w:hyperlink r:id="rId37" w:history="1">
        <w:r w:rsidRPr="00C362A2">
          <w:rPr>
            <w:rStyle w:val="Hyperlink"/>
            <w:rFonts w:eastAsia="SimSun" w:hint="eastAsia"/>
            <w:lang w:eastAsia="zh-CN"/>
          </w:rPr>
          <w:t>此处</w:t>
        </w:r>
      </w:hyperlink>
      <w:r>
        <w:rPr>
          <w:rFonts w:hint="eastAsia"/>
          <w:lang w:eastAsia="zh-CN"/>
        </w:rPr>
        <w:t>）。与未来移动技术</w:t>
      </w:r>
      <w:r>
        <w:rPr>
          <w:rFonts w:hint="eastAsia"/>
          <w:lang w:eastAsia="zh-CN"/>
        </w:rPr>
        <w:t xml:space="preserve"> </w:t>
      </w:r>
      <w:r>
        <w:rPr>
          <w:lang w:eastAsia="zh-CN"/>
        </w:rPr>
        <w:t>–</w:t>
      </w:r>
      <w:r>
        <w:rPr>
          <w:rFonts w:hint="eastAsia"/>
          <w:lang w:eastAsia="zh-CN"/>
        </w:rPr>
        <w:t xml:space="preserve"> </w:t>
      </w:r>
      <w:r>
        <w:rPr>
          <w:rFonts w:hint="eastAsia"/>
          <w:lang w:eastAsia="zh-CN"/>
        </w:rPr>
        <w:t>“</w:t>
      </w:r>
      <w:r>
        <w:rPr>
          <w:rFonts w:hint="eastAsia"/>
          <w:lang w:eastAsia="zh-CN"/>
        </w:rPr>
        <w:t>2020</w:t>
      </w:r>
      <w:r>
        <w:rPr>
          <w:rFonts w:hint="eastAsia"/>
          <w:lang w:eastAsia="zh-CN"/>
        </w:rPr>
        <w:t>年及未来的</w:t>
      </w:r>
      <w:r>
        <w:rPr>
          <w:rFonts w:hint="eastAsia"/>
          <w:lang w:eastAsia="zh-CN"/>
        </w:rPr>
        <w:t>IMT</w:t>
      </w:r>
      <w:r>
        <w:rPr>
          <w:rFonts w:hint="eastAsia"/>
          <w:lang w:eastAsia="zh-CN"/>
        </w:rPr>
        <w:t>”相关的信息可在</w:t>
      </w:r>
      <w:hyperlink r:id="rId38" w:history="1">
        <w:r w:rsidRPr="00C362A2">
          <w:rPr>
            <w:rStyle w:val="Hyperlink"/>
            <w:rFonts w:eastAsia="SimSun" w:hint="eastAsia"/>
            <w:lang w:eastAsia="zh-CN"/>
          </w:rPr>
          <w:t>此处</w:t>
        </w:r>
      </w:hyperlink>
      <w:r>
        <w:rPr>
          <w:rFonts w:hint="eastAsia"/>
          <w:lang w:eastAsia="zh-CN"/>
        </w:rPr>
        <w:t>查阅。</w:t>
      </w:r>
    </w:p>
    <w:p w14:paraId="378A8D4E" w14:textId="77777777" w:rsidR="005361D5" w:rsidRDefault="005361D5" w:rsidP="005361D5">
      <w:pPr>
        <w:pStyle w:val="Heading1"/>
        <w:rPr>
          <w:lang w:eastAsia="zh-CN"/>
        </w:rPr>
      </w:pPr>
      <w:r>
        <w:rPr>
          <w:rFonts w:hint="eastAsia"/>
          <w:lang w:eastAsia="zh-CN"/>
        </w:rPr>
        <w:lastRenderedPageBreak/>
        <w:t>3</w:t>
      </w:r>
      <w:r>
        <w:rPr>
          <w:rFonts w:hint="eastAsia"/>
          <w:lang w:eastAsia="zh-CN"/>
        </w:rPr>
        <w:tab/>
      </w:r>
      <w:r>
        <w:rPr>
          <w:rFonts w:hint="eastAsia"/>
          <w:lang w:eastAsia="zh-CN"/>
        </w:rPr>
        <w:t>组织结构</w:t>
      </w:r>
    </w:p>
    <w:p w14:paraId="595BB6E3" w14:textId="4E4635BB" w:rsidR="005361D5" w:rsidRDefault="005361D5" w:rsidP="005361D5">
      <w:pPr>
        <w:keepNext/>
        <w:keepLines/>
        <w:rPr>
          <w:lang w:eastAsia="zh-CN"/>
        </w:rPr>
      </w:pPr>
      <w:r>
        <w:rPr>
          <w:rFonts w:hint="eastAsia"/>
          <w:lang w:eastAsia="zh-CN"/>
        </w:rPr>
        <w:t>3.1</w:t>
      </w:r>
      <w:r>
        <w:rPr>
          <w:rFonts w:hint="eastAsia"/>
          <w:lang w:eastAsia="zh-CN"/>
        </w:rPr>
        <w:tab/>
      </w:r>
      <w:r>
        <w:rPr>
          <w:rFonts w:hint="eastAsia"/>
          <w:lang w:eastAsia="zh-CN"/>
        </w:rPr>
        <w:t>自</w:t>
      </w:r>
      <w:r>
        <w:rPr>
          <w:rFonts w:hint="eastAsia"/>
          <w:lang w:eastAsia="zh-CN"/>
        </w:rPr>
        <w:t>2012</w:t>
      </w:r>
      <w:r>
        <w:rPr>
          <w:rFonts w:hint="eastAsia"/>
          <w:lang w:eastAsia="zh-CN"/>
        </w:rPr>
        <w:t>年以来，国际电联一直在与成员国、合作伙伴和全球组织协作加强网络安全，创建国家和区域性</w:t>
      </w:r>
      <w:hyperlink r:id="rId39" w:history="1">
        <w:r w:rsidRPr="005361D5">
          <w:rPr>
            <w:rStyle w:val="Hyperlink"/>
            <w:rFonts w:eastAsia="SimSun" w:hint="eastAsia"/>
            <w:noProof w:val="0"/>
            <w:lang w:eastAsia="zh-CN"/>
          </w:rPr>
          <w:t>计算机事件响应小组（</w:t>
        </w:r>
        <w:r w:rsidRPr="005361D5">
          <w:rPr>
            <w:rStyle w:val="Hyperlink"/>
            <w:rFonts w:eastAsia="SimSun" w:hint="eastAsia"/>
            <w:noProof w:val="0"/>
            <w:lang w:eastAsia="zh-CN"/>
          </w:rPr>
          <w:t>CIRT</w:t>
        </w:r>
        <w:r w:rsidRPr="005361D5">
          <w:rPr>
            <w:rStyle w:val="Hyperlink"/>
            <w:rFonts w:eastAsia="SimSun" w:hint="eastAsia"/>
            <w:noProof w:val="0"/>
            <w:lang w:eastAsia="zh-CN"/>
          </w:rPr>
          <w:t>）</w:t>
        </w:r>
      </w:hyperlink>
      <w:r>
        <w:rPr>
          <w:rFonts w:hint="eastAsia"/>
          <w:lang w:eastAsia="zh-CN"/>
        </w:rPr>
        <w:t>。此外，国际电联开展了</w:t>
      </w:r>
      <w:r>
        <w:rPr>
          <w:rFonts w:hint="eastAsia"/>
          <w:lang w:eastAsia="zh-CN"/>
        </w:rPr>
        <w:t>CIRT</w:t>
      </w:r>
      <w:r>
        <w:rPr>
          <w:rFonts w:hint="eastAsia"/>
          <w:lang w:eastAsia="zh-CN"/>
        </w:rPr>
        <w:t>成熟度评估，进一步提高</w:t>
      </w:r>
      <w:r>
        <w:rPr>
          <w:rFonts w:hint="eastAsia"/>
          <w:lang w:eastAsia="zh-CN"/>
        </w:rPr>
        <w:t>CIRT</w:t>
      </w:r>
      <w:r>
        <w:rPr>
          <w:rFonts w:hint="eastAsia"/>
          <w:lang w:eastAsia="zh-CN"/>
        </w:rPr>
        <w:t>能力。到目前为止，国际电联已帮助</w:t>
      </w:r>
      <w:r>
        <w:rPr>
          <w:rFonts w:hint="eastAsia"/>
          <w:lang w:eastAsia="zh-CN"/>
        </w:rPr>
        <w:t>85</w:t>
      </w:r>
      <w:r>
        <w:rPr>
          <w:rFonts w:hint="eastAsia"/>
          <w:lang w:eastAsia="zh-CN"/>
        </w:rPr>
        <w:t>个国家评估其网络安全准备情况，建立或完善了国家</w:t>
      </w:r>
      <w:r>
        <w:rPr>
          <w:rFonts w:hint="eastAsia"/>
          <w:lang w:eastAsia="zh-CN"/>
        </w:rPr>
        <w:t>CIRT</w:t>
      </w:r>
      <w:r>
        <w:rPr>
          <w:rFonts w:hint="eastAsia"/>
          <w:lang w:eastAsia="zh-CN"/>
        </w:rPr>
        <w:t>。国际电联目前正在四个国家落实</w:t>
      </w:r>
      <w:r>
        <w:rPr>
          <w:rFonts w:hint="eastAsia"/>
          <w:lang w:eastAsia="zh-CN"/>
        </w:rPr>
        <w:t>CIRT</w:t>
      </w:r>
      <w:r>
        <w:rPr>
          <w:rFonts w:hint="eastAsia"/>
          <w:lang w:eastAsia="zh-CN"/>
        </w:rPr>
        <w:t>。</w:t>
      </w:r>
    </w:p>
    <w:p w14:paraId="2E83FC3B" w14:textId="77777777" w:rsidR="005361D5" w:rsidRDefault="005361D5" w:rsidP="005361D5">
      <w:pPr>
        <w:ind w:firstLineChars="200" w:firstLine="480"/>
        <w:rPr>
          <w:lang w:eastAsia="zh-CN"/>
        </w:rPr>
      </w:pPr>
      <w:r>
        <w:rPr>
          <w:rFonts w:hint="eastAsia"/>
          <w:lang w:eastAsia="zh-CN"/>
        </w:rPr>
        <w:t>国际电联积极与事故响应与安全团队论坛（</w:t>
      </w:r>
      <w:r>
        <w:rPr>
          <w:rFonts w:hint="eastAsia"/>
          <w:lang w:eastAsia="zh-CN"/>
        </w:rPr>
        <w:t>FIRST</w:t>
      </w:r>
      <w:r>
        <w:rPr>
          <w:rFonts w:hint="eastAsia"/>
          <w:lang w:eastAsia="zh-CN"/>
        </w:rPr>
        <w:t>）社区合作，强化计算机安全事件响应小组（</w:t>
      </w:r>
      <w:r>
        <w:rPr>
          <w:rFonts w:hint="eastAsia"/>
          <w:lang w:eastAsia="zh-CN"/>
        </w:rPr>
        <w:t>CSIRT</w:t>
      </w:r>
      <w:r>
        <w:rPr>
          <w:rFonts w:hint="eastAsia"/>
          <w:lang w:eastAsia="zh-CN"/>
        </w:rPr>
        <w:t>）服务框架，并修改培训材料加强能力建设，管理国家</w:t>
      </w:r>
      <w:r>
        <w:rPr>
          <w:rFonts w:hint="eastAsia"/>
          <w:lang w:eastAsia="zh-CN"/>
        </w:rPr>
        <w:t>CIRT</w:t>
      </w:r>
      <w:r>
        <w:rPr>
          <w:rFonts w:hint="eastAsia"/>
          <w:lang w:eastAsia="zh-CN"/>
        </w:rPr>
        <w:t>的运作。</w:t>
      </w:r>
    </w:p>
    <w:p w14:paraId="18702E24" w14:textId="269217E9" w:rsidR="005361D5" w:rsidRDefault="005361D5" w:rsidP="005361D5">
      <w:pPr>
        <w:rPr>
          <w:lang w:eastAsia="zh-CN"/>
        </w:rPr>
      </w:pPr>
      <w:r>
        <w:rPr>
          <w:rFonts w:hint="eastAsia"/>
          <w:lang w:eastAsia="zh-CN"/>
        </w:rPr>
        <w:t>3.2</w:t>
      </w:r>
      <w:r>
        <w:rPr>
          <w:rFonts w:hint="eastAsia"/>
          <w:lang w:eastAsia="zh-CN"/>
        </w:rPr>
        <w:tab/>
      </w:r>
      <w:r>
        <w:rPr>
          <w:rFonts w:hint="eastAsia"/>
          <w:lang w:eastAsia="zh-CN"/>
        </w:rPr>
        <w:t>截至</w:t>
      </w:r>
      <w:r>
        <w:rPr>
          <w:rFonts w:hint="eastAsia"/>
          <w:lang w:eastAsia="zh-CN"/>
        </w:rPr>
        <w:t>2025</w:t>
      </w:r>
      <w:r>
        <w:rPr>
          <w:rFonts w:hint="eastAsia"/>
          <w:lang w:eastAsia="zh-CN"/>
        </w:rPr>
        <w:t>年</w:t>
      </w:r>
      <w:r>
        <w:rPr>
          <w:rFonts w:hint="eastAsia"/>
          <w:lang w:eastAsia="zh-CN"/>
        </w:rPr>
        <w:t>5</w:t>
      </w:r>
      <w:r>
        <w:rPr>
          <w:rFonts w:hint="eastAsia"/>
          <w:lang w:eastAsia="zh-CN"/>
        </w:rPr>
        <w:t>月，国际电联组织了</w:t>
      </w:r>
      <w:r>
        <w:rPr>
          <w:rFonts w:hint="eastAsia"/>
          <w:lang w:eastAsia="zh-CN"/>
        </w:rPr>
        <w:t>55</w:t>
      </w:r>
      <w:r>
        <w:rPr>
          <w:rFonts w:hint="eastAsia"/>
          <w:lang w:eastAsia="zh-CN"/>
        </w:rPr>
        <w:t>余场国际、区域或国家</w:t>
      </w:r>
      <w:hyperlink r:id="rId40" w:history="1">
        <w:r w:rsidRPr="00C362A2">
          <w:rPr>
            <w:rStyle w:val="Hyperlink"/>
            <w:rFonts w:eastAsia="SimSun" w:hint="eastAsia"/>
            <w:lang w:eastAsia="zh-CN"/>
          </w:rPr>
          <w:t>网络演练</w:t>
        </w:r>
      </w:hyperlink>
      <w:r>
        <w:rPr>
          <w:rFonts w:hint="eastAsia"/>
          <w:lang w:eastAsia="zh-CN"/>
        </w:rPr>
        <w:t>（包括</w:t>
      </w:r>
      <w:r>
        <w:rPr>
          <w:rFonts w:hint="eastAsia"/>
          <w:lang w:eastAsia="zh-CN"/>
        </w:rPr>
        <w:t>3</w:t>
      </w:r>
      <w:r>
        <w:rPr>
          <w:rFonts w:hint="eastAsia"/>
          <w:lang w:eastAsia="zh-CN"/>
        </w:rPr>
        <w:t>场全球网络演练），涉及国际电联全部六个区的</w:t>
      </w:r>
      <w:r>
        <w:rPr>
          <w:rFonts w:hint="eastAsia"/>
          <w:lang w:eastAsia="zh-CN"/>
        </w:rPr>
        <w:t>160</w:t>
      </w:r>
      <w:r>
        <w:rPr>
          <w:rFonts w:hint="eastAsia"/>
          <w:lang w:eastAsia="zh-CN"/>
        </w:rPr>
        <w:t>多个国家。第二次面对面的全球网络演习于</w:t>
      </w:r>
      <w:r>
        <w:rPr>
          <w:rFonts w:hint="eastAsia"/>
          <w:lang w:eastAsia="zh-CN"/>
        </w:rPr>
        <w:t>2025</w:t>
      </w:r>
      <w:r>
        <w:rPr>
          <w:rFonts w:hint="eastAsia"/>
          <w:lang w:eastAsia="zh-CN"/>
        </w:rPr>
        <w:t>年</w:t>
      </w:r>
      <w:r>
        <w:rPr>
          <w:rFonts w:hint="eastAsia"/>
          <w:lang w:eastAsia="zh-CN"/>
        </w:rPr>
        <w:t>5</w:t>
      </w:r>
      <w:r>
        <w:rPr>
          <w:rFonts w:hint="eastAsia"/>
          <w:lang w:eastAsia="zh-CN"/>
        </w:rPr>
        <w:t>月举行，由阿拉伯联合酋长国网络安全委员会主办。</w:t>
      </w:r>
    </w:p>
    <w:p w14:paraId="22A6D23A" w14:textId="77777777" w:rsidR="005361D5" w:rsidRDefault="005361D5" w:rsidP="005361D5">
      <w:pPr>
        <w:pStyle w:val="Heading1"/>
        <w:rPr>
          <w:lang w:eastAsia="zh-CN"/>
        </w:rPr>
      </w:pPr>
      <w:r>
        <w:rPr>
          <w:rFonts w:hint="eastAsia"/>
          <w:lang w:eastAsia="zh-CN"/>
        </w:rPr>
        <w:t>4</w:t>
      </w:r>
      <w:r>
        <w:rPr>
          <w:rFonts w:hint="eastAsia"/>
          <w:lang w:eastAsia="zh-CN"/>
        </w:rPr>
        <w:tab/>
      </w:r>
      <w:r>
        <w:rPr>
          <w:rFonts w:hint="eastAsia"/>
          <w:lang w:eastAsia="zh-CN"/>
        </w:rPr>
        <w:t>能力建设</w:t>
      </w:r>
    </w:p>
    <w:p w14:paraId="74DBC8EB" w14:textId="77777777" w:rsidR="005361D5" w:rsidRDefault="005361D5" w:rsidP="005361D5">
      <w:pPr>
        <w:rPr>
          <w:lang w:eastAsia="zh-CN"/>
        </w:rPr>
      </w:pPr>
      <w:r>
        <w:rPr>
          <w:rFonts w:hint="eastAsia"/>
          <w:lang w:eastAsia="zh-CN"/>
        </w:rPr>
        <w:t>4.1</w:t>
      </w:r>
      <w:r>
        <w:rPr>
          <w:rFonts w:hint="eastAsia"/>
          <w:lang w:eastAsia="zh-CN"/>
        </w:rPr>
        <w:tab/>
        <w:t>BDT</w:t>
      </w:r>
      <w:r>
        <w:rPr>
          <w:rFonts w:hint="eastAsia"/>
          <w:lang w:eastAsia="zh-CN"/>
        </w:rPr>
        <w:t>为国际电联所有区域组织了区域性网络安全论坛，以加强能力建设。</w:t>
      </w:r>
    </w:p>
    <w:p w14:paraId="2EB7D503" w14:textId="77777777" w:rsidR="005361D5" w:rsidRDefault="005361D5" w:rsidP="002F6492">
      <w:pPr>
        <w:ind w:firstLineChars="200" w:firstLine="480"/>
        <w:rPr>
          <w:lang w:eastAsia="zh-CN"/>
        </w:rPr>
      </w:pPr>
      <w:r>
        <w:rPr>
          <w:rFonts w:hint="eastAsia"/>
          <w:lang w:eastAsia="zh-CN"/>
        </w:rPr>
        <w:t>在</w:t>
      </w:r>
      <w:r>
        <w:rPr>
          <w:rFonts w:hint="eastAsia"/>
          <w:lang w:eastAsia="zh-CN"/>
        </w:rPr>
        <w:t>2022</w:t>
      </w:r>
      <w:r>
        <w:rPr>
          <w:rFonts w:hint="eastAsia"/>
          <w:lang w:eastAsia="zh-CN"/>
        </w:rPr>
        <w:t>年世界电信发展大会（</w:t>
      </w:r>
      <w:r>
        <w:rPr>
          <w:rFonts w:hint="eastAsia"/>
          <w:lang w:eastAsia="zh-CN"/>
        </w:rPr>
        <w:t>WTDC</w:t>
      </w:r>
      <w:r>
        <w:rPr>
          <w:rFonts w:hint="eastAsia"/>
          <w:lang w:eastAsia="zh-CN"/>
        </w:rPr>
        <w:t>）之后，第</w:t>
      </w:r>
      <w:r>
        <w:rPr>
          <w:rFonts w:hint="eastAsia"/>
          <w:lang w:eastAsia="zh-CN"/>
        </w:rPr>
        <w:t>3/2</w:t>
      </w:r>
      <w:r>
        <w:rPr>
          <w:rFonts w:hint="eastAsia"/>
          <w:lang w:eastAsia="zh-CN"/>
        </w:rPr>
        <w:t>号课题工作继续开展（</w:t>
      </w:r>
      <w:hyperlink r:id="rId41" w:history="1">
        <w:r w:rsidRPr="00C362A2">
          <w:rPr>
            <w:rStyle w:val="Hyperlink"/>
            <w:rFonts w:eastAsia="SimSun" w:hint="eastAsia"/>
            <w:lang w:eastAsia="zh-CN"/>
          </w:rPr>
          <w:t>保障信息和通信网络的安全：培育网络安全文化的最佳做法</w:t>
        </w:r>
      </w:hyperlink>
      <w:r>
        <w:rPr>
          <w:rFonts w:hint="eastAsia"/>
          <w:lang w:eastAsia="zh-CN"/>
        </w:rPr>
        <w:t>）。</w:t>
      </w:r>
    </w:p>
    <w:p w14:paraId="5D738E75" w14:textId="2F9B8E31" w:rsidR="005361D5" w:rsidRDefault="005361D5" w:rsidP="005361D5">
      <w:pPr>
        <w:rPr>
          <w:lang w:eastAsia="zh-CN"/>
        </w:rPr>
      </w:pPr>
      <w:r>
        <w:rPr>
          <w:rFonts w:hint="eastAsia"/>
          <w:lang w:eastAsia="zh-CN"/>
        </w:rPr>
        <w:t>4.2</w:t>
      </w:r>
      <w:r>
        <w:rPr>
          <w:rFonts w:hint="eastAsia"/>
          <w:lang w:eastAsia="zh-CN"/>
        </w:rPr>
        <w:tab/>
      </w:r>
      <w:r w:rsidRPr="00434648">
        <w:rPr>
          <w:rFonts w:hint="eastAsia"/>
          <w:lang w:eastAsia="zh-CN"/>
        </w:rPr>
        <w:t>国际电联正在与</w:t>
      </w:r>
      <w:r w:rsidRPr="00434648">
        <w:rPr>
          <w:rFonts w:hint="eastAsia"/>
          <w:lang w:eastAsia="zh-CN"/>
        </w:rPr>
        <w:t>20</w:t>
      </w:r>
      <w:r w:rsidRPr="00434648">
        <w:rPr>
          <w:rFonts w:hint="eastAsia"/>
          <w:lang w:eastAsia="zh-CN"/>
        </w:rPr>
        <w:t>个国际合作伙伴更新《制定国家网络安全战略（</w:t>
      </w:r>
      <w:r w:rsidRPr="00434648">
        <w:rPr>
          <w:rFonts w:hint="eastAsia"/>
          <w:lang w:eastAsia="zh-CN"/>
        </w:rPr>
        <w:t>NCS</w:t>
      </w:r>
      <w:r w:rsidRPr="00434648">
        <w:rPr>
          <w:rFonts w:hint="eastAsia"/>
          <w:lang w:eastAsia="zh-CN"/>
        </w:rPr>
        <w:t>）指南》。更新后的指南将建立在</w:t>
      </w:r>
      <w:r w:rsidRPr="00434648">
        <w:rPr>
          <w:rFonts w:hint="eastAsia"/>
          <w:lang w:eastAsia="zh-CN"/>
        </w:rPr>
        <w:t>2021</w:t>
      </w:r>
      <w:r w:rsidRPr="00434648">
        <w:rPr>
          <w:rFonts w:hint="eastAsia"/>
          <w:lang w:eastAsia="zh-CN"/>
        </w:rPr>
        <w:t>年出版的</w:t>
      </w:r>
      <w:hyperlink r:id="rId42" w:history="1">
        <w:r w:rsidRPr="005361D5">
          <w:rPr>
            <w:rStyle w:val="Hyperlink"/>
            <w:rFonts w:eastAsia="SimSun" w:hint="eastAsia"/>
            <w:noProof w:val="0"/>
            <w:lang w:eastAsia="zh-CN"/>
          </w:rPr>
          <w:t>第二版</w:t>
        </w:r>
      </w:hyperlink>
      <w:r>
        <w:rPr>
          <w:rFonts w:hint="eastAsia"/>
          <w:lang w:eastAsia="zh-CN"/>
        </w:rPr>
        <w:t>的</w:t>
      </w:r>
      <w:r w:rsidRPr="00434648">
        <w:rPr>
          <w:rFonts w:hint="eastAsia"/>
          <w:lang w:eastAsia="zh-CN"/>
        </w:rPr>
        <w:t>基础</w:t>
      </w:r>
      <w:r>
        <w:rPr>
          <w:rFonts w:hint="eastAsia"/>
          <w:lang w:eastAsia="zh-CN"/>
        </w:rPr>
        <w:t>之</w:t>
      </w:r>
      <w:r w:rsidRPr="00434648">
        <w:rPr>
          <w:rFonts w:hint="eastAsia"/>
          <w:lang w:eastAsia="zh-CN"/>
        </w:rPr>
        <w:t>上，预计将于</w:t>
      </w:r>
      <w:r w:rsidRPr="00434648">
        <w:rPr>
          <w:rFonts w:hint="eastAsia"/>
          <w:lang w:eastAsia="zh-CN"/>
        </w:rPr>
        <w:t>2025</w:t>
      </w:r>
      <w:r w:rsidRPr="00434648">
        <w:rPr>
          <w:rFonts w:hint="eastAsia"/>
          <w:lang w:eastAsia="zh-CN"/>
        </w:rPr>
        <w:t>年第四季度推出。国际电联在与多个国家</w:t>
      </w:r>
      <w:r>
        <w:rPr>
          <w:rFonts w:hint="eastAsia"/>
          <w:lang w:eastAsia="zh-CN"/>
        </w:rPr>
        <w:t>（</w:t>
      </w:r>
      <w:r w:rsidRPr="00434648">
        <w:rPr>
          <w:rFonts w:hint="eastAsia"/>
          <w:lang w:eastAsia="zh-CN"/>
        </w:rPr>
        <w:t>例如与英国和日本的协作</w:t>
      </w:r>
      <w:r>
        <w:rPr>
          <w:rFonts w:hint="eastAsia"/>
          <w:lang w:eastAsia="zh-CN"/>
        </w:rPr>
        <w:t>）</w:t>
      </w:r>
      <w:r w:rsidRPr="00434648">
        <w:rPr>
          <w:rFonts w:hint="eastAsia"/>
          <w:lang w:eastAsia="zh-CN"/>
        </w:rPr>
        <w:t>和地区合作时利用该指南，通过面对面的桌面演习</w:t>
      </w:r>
      <w:r>
        <w:rPr>
          <w:rFonts w:hint="eastAsia"/>
          <w:lang w:eastAsia="zh-CN"/>
        </w:rPr>
        <w:t>和</w:t>
      </w:r>
      <w:r w:rsidRPr="00434648">
        <w:rPr>
          <w:rFonts w:hint="eastAsia"/>
          <w:lang w:eastAsia="zh-CN"/>
        </w:rPr>
        <w:t>行动计划评估</w:t>
      </w:r>
      <w:r>
        <w:rPr>
          <w:rFonts w:hint="eastAsia"/>
          <w:lang w:eastAsia="zh-CN"/>
        </w:rPr>
        <w:t>，</w:t>
      </w:r>
      <w:r w:rsidRPr="00434648">
        <w:rPr>
          <w:rFonts w:hint="eastAsia"/>
          <w:lang w:eastAsia="zh-CN"/>
        </w:rPr>
        <w:t>推进其网络安全战略</w:t>
      </w:r>
      <w:r>
        <w:rPr>
          <w:rFonts w:hint="eastAsia"/>
          <w:lang w:eastAsia="zh-CN"/>
        </w:rPr>
        <w:t>。</w:t>
      </w:r>
    </w:p>
    <w:p w14:paraId="352D0B73" w14:textId="77777777" w:rsidR="005361D5" w:rsidRDefault="005361D5" w:rsidP="005361D5">
      <w:pPr>
        <w:rPr>
          <w:lang w:eastAsia="zh-CN"/>
        </w:rPr>
      </w:pPr>
      <w:r>
        <w:rPr>
          <w:rFonts w:hint="eastAsia"/>
          <w:lang w:eastAsia="zh-CN"/>
        </w:rPr>
        <w:t>4.3</w:t>
      </w:r>
      <w:r>
        <w:rPr>
          <w:rFonts w:hint="eastAsia"/>
          <w:lang w:eastAsia="zh-CN"/>
        </w:rPr>
        <w:tab/>
      </w:r>
      <w:r>
        <w:rPr>
          <w:rFonts w:hint="eastAsia"/>
          <w:lang w:eastAsia="zh-CN"/>
        </w:rPr>
        <w:t>国际电联通过</w:t>
      </w:r>
      <w:hyperlink r:id="rId43" w:history="1">
        <w:r w:rsidRPr="002550A4">
          <w:rPr>
            <w:rStyle w:val="Hyperlink"/>
            <w:rFonts w:eastAsia="SimSun" w:hint="eastAsia"/>
            <w:lang w:eastAsia="zh-CN"/>
          </w:rPr>
          <w:t>国际电联学院</w:t>
        </w:r>
      </w:hyperlink>
      <w:r>
        <w:rPr>
          <w:rFonts w:hint="eastAsia"/>
          <w:lang w:eastAsia="zh-CN"/>
        </w:rPr>
        <w:t>以及国际电联高级培训中心和学院培训中心，继续提供网络安全领域各个方面的培训活动和讲习班。例如</w:t>
      </w:r>
      <w:r>
        <w:rPr>
          <w:rFonts w:hint="eastAsia"/>
          <w:lang w:eastAsia="zh-CN"/>
        </w:rPr>
        <w:t>2021</w:t>
      </w:r>
      <w:r>
        <w:rPr>
          <w:rFonts w:hint="eastAsia"/>
          <w:lang w:eastAsia="zh-CN"/>
        </w:rPr>
        <w:t>年启动了基于该</w:t>
      </w:r>
      <w:r>
        <w:rPr>
          <w:rFonts w:hint="eastAsia"/>
          <w:lang w:eastAsia="zh-CN"/>
        </w:rPr>
        <w:t>NCS</w:t>
      </w:r>
      <w:r>
        <w:rPr>
          <w:rFonts w:hint="eastAsia"/>
          <w:lang w:eastAsia="zh-CN"/>
        </w:rPr>
        <w:t>指南的</w:t>
      </w:r>
      <w:hyperlink r:id="rId44" w:history="1">
        <w:r w:rsidRPr="002550A4">
          <w:rPr>
            <w:rStyle w:val="Hyperlink"/>
            <w:rFonts w:eastAsia="SimSun" w:hint="eastAsia"/>
            <w:lang w:eastAsia="zh-CN"/>
          </w:rPr>
          <w:t>在线自定进度培训</w:t>
        </w:r>
      </w:hyperlink>
      <w:r>
        <w:rPr>
          <w:rFonts w:hint="eastAsia"/>
          <w:lang w:eastAsia="zh-CN"/>
        </w:rPr>
        <w:t>，</w:t>
      </w:r>
      <w:r w:rsidRPr="007C027C">
        <w:rPr>
          <w:rFonts w:hint="eastAsia"/>
          <w:lang w:eastAsia="zh-CN"/>
        </w:rPr>
        <w:t>2023</w:t>
      </w:r>
      <w:r w:rsidRPr="007C027C">
        <w:rPr>
          <w:rFonts w:hint="eastAsia"/>
          <w:lang w:eastAsia="zh-CN"/>
        </w:rPr>
        <w:t>年，来自</w:t>
      </w:r>
      <w:r w:rsidRPr="007C027C">
        <w:rPr>
          <w:rFonts w:hint="eastAsia"/>
          <w:lang w:eastAsia="zh-CN"/>
        </w:rPr>
        <w:t>131</w:t>
      </w:r>
      <w:r w:rsidRPr="007C027C">
        <w:rPr>
          <w:rFonts w:hint="eastAsia"/>
          <w:lang w:eastAsia="zh-CN"/>
        </w:rPr>
        <w:t>个国家的</w:t>
      </w:r>
      <w:r w:rsidRPr="007C027C">
        <w:rPr>
          <w:rFonts w:hint="eastAsia"/>
          <w:lang w:eastAsia="zh-CN"/>
        </w:rPr>
        <w:t>730</w:t>
      </w:r>
      <w:r w:rsidRPr="007C027C">
        <w:rPr>
          <w:rFonts w:hint="eastAsia"/>
          <w:lang w:eastAsia="zh-CN"/>
        </w:rPr>
        <w:t>多人通过国际电联学院参加了培训。</w:t>
      </w:r>
    </w:p>
    <w:p w14:paraId="1C1D18AA" w14:textId="77777777" w:rsidR="005361D5" w:rsidRDefault="005361D5" w:rsidP="005361D5">
      <w:pPr>
        <w:rPr>
          <w:lang w:eastAsia="zh-CN"/>
        </w:rPr>
      </w:pPr>
      <w:r>
        <w:rPr>
          <w:rFonts w:hint="eastAsia"/>
          <w:lang w:eastAsia="zh-CN"/>
        </w:rPr>
        <w:t>4.4</w:t>
      </w:r>
      <w:r>
        <w:rPr>
          <w:rFonts w:hint="eastAsia"/>
          <w:lang w:eastAsia="zh-CN"/>
        </w:rPr>
        <w:tab/>
        <w:t>2024</w:t>
      </w:r>
      <w:r>
        <w:rPr>
          <w:rFonts w:hint="eastAsia"/>
          <w:lang w:eastAsia="zh-CN"/>
        </w:rPr>
        <w:t>年</w:t>
      </w:r>
      <w:r>
        <w:rPr>
          <w:rFonts w:hint="eastAsia"/>
          <w:lang w:eastAsia="zh-CN"/>
        </w:rPr>
        <w:t>9</w:t>
      </w:r>
      <w:r>
        <w:rPr>
          <w:rFonts w:hint="eastAsia"/>
          <w:lang w:eastAsia="zh-CN"/>
        </w:rPr>
        <w:t>月推出的第</w:t>
      </w:r>
      <w:r>
        <w:rPr>
          <w:rFonts w:hint="eastAsia"/>
          <w:lang w:eastAsia="zh-CN"/>
        </w:rPr>
        <w:t>5</w:t>
      </w:r>
      <w:r>
        <w:rPr>
          <w:rFonts w:hint="eastAsia"/>
          <w:lang w:eastAsia="zh-CN"/>
        </w:rPr>
        <w:t>版</w:t>
      </w:r>
      <w:hyperlink r:id="rId45" w:history="1">
        <w:r w:rsidRPr="002550A4">
          <w:rPr>
            <w:rStyle w:val="Hyperlink"/>
            <w:rFonts w:eastAsia="SimSun" w:hint="eastAsia"/>
            <w:lang w:eastAsia="zh-CN"/>
          </w:rPr>
          <w:t>国际电联全球网络安全指数</w:t>
        </w:r>
      </w:hyperlink>
      <w:r>
        <w:rPr>
          <w:rFonts w:hint="eastAsia"/>
          <w:lang w:eastAsia="zh-CN"/>
        </w:rPr>
        <w:t>（</w:t>
      </w:r>
      <w:r>
        <w:rPr>
          <w:rFonts w:hint="eastAsia"/>
          <w:lang w:eastAsia="zh-CN"/>
        </w:rPr>
        <w:t>GCI</w:t>
      </w:r>
      <w:r>
        <w:rPr>
          <w:rFonts w:hint="eastAsia"/>
          <w:lang w:eastAsia="zh-CN"/>
        </w:rPr>
        <w:t>）问卷与</w:t>
      </w:r>
      <w:r>
        <w:rPr>
          <w:rFonts w:hint="eastAsia"/>
          <w:lang w:eastAsia="zh-CN"/>
        </w:rPr>
        <w:t>172</w:t>
      </w:r>
      <w:r>
        <w:rPr>
          <w:rFonts w:hint="eastAsia"/>
          <w:lang w:eastAsia="zh-CN"/>
        </w:rPr>
        <w:t>个国家合作收集数据。</w:t>
      </w:r>
      <w:r w:rsidRPr="00434648">
        <w:rPr>
          <w:rFonts w:hint="eastAsia"/>
          <w:lang w:eastAsia="zh-CN"/>
        </w:rPr>
        <w:t>下一版</w:t>
      </w:r>
      <w:r w:rsidRPr="00434648">
        <w:rPr>
          <w:rFonts w:hint="eastAsia"/>
          <w:lang w:eastAsia="zh-CN"/>
        </w:rPr>
        <w:t>GCI</w:t>
      </w:r>
      <w:r w:rsidRPr="00434648">
        <w:rPr>
          <w:rFonts w:hint="eastAsia"/>
          <w:lang w:eastAsia="zh-CN"/>
        </w:rPr>
        <w:t>预计将于</w:t>
      </w:r>
      <w:r w:rsidRPr="00434648">
        <w:rPr>
          <w:rFonts w:hint="eastAsia"/>
          <w:lang w:eastAsia="zh-CN"/>
        </w:rPr>
        <w:t>2026</w:t>
      </w:r>
      <w:r w:rsidRPr="00434648">
        <w:rPr>
          <w:rFonts w:hint="eastAsia"/>
          <w:lang w:eastAsia="zh-CN"/>
        </w:rPr>
        <w:t>年初开始收集数据</w:t>
      </w:r>
      <w:r>
        <w:rPr>
          <w:rFonts w:hint="eastAsia"/>
          <w:lang w:eastAsia="zh-CN"/>
        </w:rPr>
        <w:t>。</w:t>
      </w:r>
    </w:p>
    <w:p w14:paraId="2347FC17" w14:textId="298112F9" w:rsidR="005361D5" w:rsidRDefault="005361D5" w:rsidP="005361D5">
      <w:pPr>
        <w:rPr>
          <w:lang w:eastAsia="zh-CN"/>
        </w:rPr>
      </w:pPr>
      <w:r>
        <w:rPr>
          <w:rFonts w:hint="eastAsia"/>
          <w:lang w:eastAsia="zh-CN"/>
        </w:rPr>
        <w:t>4.5</w:t>
      </w:r>
      <w:r>
        <w:rPr>
          <w:rFonts w:hint="eastAsia"/>
          <w:lang w:eastAsia="zh-CN"/>
        </w:rPr>
        <w:tab/>
      </w:r>
      <w:r w:rsidRPr="00434648">
        <w:rPr>
          <w:rFonts w:hint="eastAsia"/>
          <w:lang w:eastAsia="zh-CN"/>
        </w:rPr>
        <w:t>在网络技能开发方面，</w:t>
      </w:r>
      <w:r>
        <w:rPr>
          <w:rFonts w:hint="eastAsia"/>
          <w:lang w:eastAsia="zh-CN"/>
        </w:rPr>
        <w:t>2024</w:t>
      </w:r>
      <w:r>
        <w:rPr>
          <w:rFonts w:hint="eastAsia"/>
          <w:lang w:eastAsia="zh-CN"/>
        </w:rPr>
        <w:t>年由德国国际合作机构（</w:t>
      </w:r>
      <w:r>
        <w:rPr>
          <w:rFonts w:hint="eastAsia"/>
          <w:lang w:eastAsia="zh-CN"/>
        </w:rPr>
        <w:t>GIZ</w:t>
      </w:r>
      <w:r>
        <w:rPr>
          <w:rFonts w:hint="eastAsia"/>
          <w:lang w:eastAsia="zh-CN"/>
        </w:rPr>
        <w:t>）和微软支持的“</w:t>
      </w:r>
      <w:hyperlink r:id="rId46" w:history="1">
        <w:r w:rsidRPr="002550A4">
          <w:rPr>
            <w:rStyle w:val="Hyperlink"/>
            <w:rFonts w:eastAsia="SimSun" w:hint="eastAsia"/>
            <w:lang w:eastAsia="zh-CN"/>
          </w:rPr>
          <w:t>妇女网络足迹</w:t>
        </w:r>
      </w:hyperlink>
      <w:r>
        <w:rPr>
          <w:rFonts w:hint="eastAsia"/>
          <w:lang w:eastAsia="zh-CN"/>
        </w:rPr>
        <w:t>”，作为针对女性政策制定者和外交官的成功举措，</w:t>
      </w:r>
      <w:r w:rsidRPr="00434648">
        <w:rPr>
          <w:rFonts w:hint="eastAsia"/>
          <w:lang w:eastAsia="zh-CN"/>
        </w:rPr>
        <w:t>满足了事件响应和网络犯罪方面的需求（与毒品和犯罪问题办公室合作）。</w:t>
      </w:r>
      <w:r w:rsidRPr="00434648">
        <w:rPr>
          <w:rFonts w:hint="eastAsia"/>
          <w:lang w:eastAsia="zh-CN"/>
        </w:rPr>
        <w:t>2025</w:t>
      </w:r>
      <w:r w:rsidRPr="00434648">
        <w:rPr>
          <w:rFonts w:hint="eastAsia"/>
          <w:lang w:eastAsia="zh-CN"/>
        </w:rPr>
        <w:t>年的地理覆盖范围已扩大到包括所有非洲联盟成员国，此外还有</w:t>
      </w:r>
      <w:r w:rsidRPr="00434648">
        <w:rPr>
          <w:rFonts w:hint="eastAsia"/>
          <w:lang w:eastAsia="zh-CN"/>
        </w:rPr>
        <w:t>5</w:t>
      </w:r>
      <w:r w:rsidRPr="00434648">
        <w:rPr>
          <w:rFonts w:hint="eastAsia"/>
          <w:lang w:eastAsia="zh-CN"/>
        </w:rPr>
        <w:t>个美洲国家（与美洲国家组织合作）和以前的欧洲</w:t>
      </w:r>
      <w:r>
        <w:rPr>
          <w:rFonts w:hint="eastAsia"/>
          <w:lang w:eastAsia="zh-CN"/>
        </w:rPr>
        <w:t>对象</w:t>
      </w:r>
      <w:r w:rsidRPr="00434648">
        <w:rPr>
          <w:rFonts w:hint="eastAsia"/>
          <w:lang w:eastAsia="zh-CN"/>
        </w:rPr>
        <w:t>国</w:t>
      </w:r>
      <w:r>
        <w:rPr>
          <w:rFonts w:hint="eastAsia"/>
          <w:lang w:eastAsia="zh-CN"/>
        </w:rPr>
        <w:t>。</w:t>
      </w:r>
    </w:p>
    <w:p w14:paraId="1B9EB907" w14:textId="77777777" w:rsidR="005361D5" w:rsidRDefault="005361D5" w:rsidP="005361D5">
      <w:pPr>
        <w:rPr>
          <w:lang w:eastAsia="zh-CN"/>
        </w:rPr>
      </w:pPr>
      <w:r>
        <w:rPr>
          <w:rFonts w:hint="eastAsia"/>
          <w:lang w:eastAsia="zh-CN"/>
        </w:rPr>
        <w:t>4.6</w:t>
      </w:r>
      <w:r>
        <w:rPr>
          <w:rFonts w:hint="eastAsia"/>
          <w:lang w:eastAsia="zh-CN"/>
        </w:rPr>
        <w:tab/>
      </w:r>
      <w:r>
        <w:rPr>
          <w:rFonts w:hint="eastAsia"/>
          <w:lang w:eastAsia="zh-CN"/>
        </w:rPr>
        <w:t>国际电联在大韩民国的支持下，通过</w:t>
      </w:r>
      <w:hyperlink r:id="rId47" w:history="1">
        <w:r w:rsidRPr="002550A4">
          <w:rPr>
            <w:rStyle w:val="Hyperlink"/>
            <w:rFonts w:eastAsia="SimSun" w:hint="eastAsia"/>
            <w:lang w:eastAsia="zh-CN"/>
          </w:rPr>
          <w:t>网络造福人类</w:t>
        </w:r>
      </w:hyperlink>
      <w:r>
        <w:rPr>
          <w:rFonts w:hint="eastAsia"/>
          <w:lang w:eastAsia="zh-CN"/>
        </w:rPr>
        <w:t>项目与</w:t>
      </w:r>
      <w:r>
        <w:rPr>
          <w:rFonts w:hint="eastAsia"/>
          <w:lang w:eastAsia="zh-CN"/>
        </w:rPr>
        <w:t>30</w:t>
      </w:r>
      <w:r>
        <w:rPr>
          <w:rFonts w:hint="eastAsia"/>
          <w:lang w:eastAsia="zh-CN"/>
        </w:rPr>
        <w:t>个国家开展合作，通过</w:t>
      </w:r>
      <w:r>
        <w:rPr>
          <w:rFonts w:hint="eastAsia"/>
          <w:lang w:eastAsia="zh-CN"/>
        </w:rPr>
        <w:t>5</w:t>
      </w:r>
      <w:r>
        <w:rPr>
          <w:rFonts w:hint="eastAsia"/>
          <w:lang w:eastAsia="zh-CN"/>
        </w:rPr>
        <w:t>个</w:t>
      </w:r>
      <w:r>
        <w:rPr>
          <w:rFonts w:hint="eastAsia"/>
          <w:lang w:eastAsia="zh-CN"/>
        </w:rPr>
        <w:t>ITU-D</w:t>
      </w:r>
      <w:r>
        <w:rPr>
          <w:rFonts w:hint="eastAsia"/>
          <w:lang w:eastAsia="zh-CN"/>
        </w:rPr>
        <w:t>部门成员免费提供工具、培训和服务，其中包括</w:t>
      </w:r>
      <w:r>
        <w:rPr>
          <w:rFonts w:hint="eastAsia"/>
          <w:lang w:eastAsia="zh-CN"/>
        </w:rPr>
        <w:t>NCS</w:t>
      </w:r>
      <w:r>
        <w:rPr>
          <w:rFonts w:hint="eastAsia"/>
          <w:lang w:eastAsia="zh-CN"/>
        </w:rPr>
        <w:t>评估、网络薄弱环节监测工具和网络技能培训。</w:t>
      </w:r>
    </w:p>
    <w:p w14:paraId="332CFDA3" w14:textId="3F7DC17A" w:rsidR="005361D5" w:rsidRDefault="005361D5" w:rsidP="005361D5">
      <w:pPr>
        <w:rPr>
          <w:lang w:eastAsia="zh-CN"/>
        </w:rPr>
      </w:pPr>
      <w:r>
        <w:rPr>
          <w:rFonts w:hint="eastAsia"/>
          <w:lang w:eastAsia="zh-CN"/>
        </w:rPr>
        <w:t>4.7</w:t>
      </w:r>
      <w:r>
        <w:rPr>
          <w:rFonts w:hint="eastAsia"/>
          <w:lang w:eastAsia="zh-CN"/>
        </w:rPr>
        <w:tab/>
      </w:r>
      <w:r>
        <w:rPr>
          <w:rFonts w:hint="eastAsia"/>
          <w:lang w:eastAsia="zh-CN"/>
        </w:rPr>
        <w:t>国际电联与美洲国家组织合作制定了</w:t>
      </w:r>
      <w:hyperlink r:id="rId48" w:history="1">
        <w:r w:rsidRPr="002F6492">
          <w:rPr>
            <w:rStyle w:val="Hyperlink"/>
            <w:rFonts w:eastAsia="SimSun" w:hint="eastAsia"/>
            <w:noProof w:val="0"/>
            <w:lang w:eastAsia="zh-CN"/>
          </w:rPr>
          <w:t>网络安全教育系统方法</w:t>
        </w:r>
      </w:hyperlink>
      <w:r>
        <w:rPr>
          <w:rFonts w:hint="eastAsia"/>
          <w:lang w:eastAsia="zh-CN"/>
        </w:rPr>
        <w:t>，并正在努力制定国家实施指南。</w:t>
      </w:r>
    </w:p>
    <w:p w14:paraId="600B239D" w14:textId="77777777" w:rsidR="005361D5" w:rsidRDefault="005361D5" w:rsidP="005361D5">
      <w:pPr>
        <w:pStyle w:val="Heading1"/>
        <w:rPr>
          <w:lang w:eastAsia="zh-CN"/>
        </w:rPr>
      </w:pPr>
      <w:r>
        <w:rPr>
          <w:rFonts w:hint="eastAsia"/>
          <w:lang w:eastAsia="zh-CN"/>
        </w:rPr>
        <w:lastRenderedPageBreak/>
        <w:t>5</w:t>
      </w:r>
      <w:r>
        <w:rPr>
          <w:rFonts w:hint="eastAsia"/>
          <w:lang w:eastAsia="zh-CN"/>
        </w:rPr>
        <w:tab/>
      </w:r>
      <w:r>
        <w:rPr>
          <w:rFonts w:hint="eastAsia"/>
          <w:lang w:eastAsia="zh-CN"/>
        </w:rPr>
        <w:t>国际合作</w:t>
      </w:r>
    </w:p>
    <w:p w14:paraId="2662303A" w14:textId="77777777" w:rsidR="005361D5" w:rsidRDefault="005361D5" w:rsidP="005361D5">
      <w:pPr>
        <w:rPr>
          <w:lang w:eastAsia="zh-CN"/>
        </w:rPr>
      </w:pPr>
      <w:r>
        <w:rPr>
          <w:rFonts w:hint="eastAsia"/>
          <w:lang w:eastAsia="zh-CN"/>
        </w:rPr>
        <w:t>5.1</w:t>
      </w:r>
      <w:r>
        <w:rPr>
          <w:rFonts w:hint="eastAsia"/>
          <w:lang w:eastAsia="zh-CN"/>
        </w:rPr>
        <w:tab/>
      </w:r>
      <w:r>
        <w:rPr>
          <w:rFonts w:hint="eastAsia"/>
          <w:lang w:eastAsia="zh-CN"/>
        </w:rPr>
        <w:t>国际电联正在建设与各区域性</w:t>
      </w:r>
      <w:r>
        <w:rPr>
          <w:rFonts w:hint="eastAsia"/>
          <w:lang w:eastAsia="zh-CN"/>
        </w:rPr>
        <w:t>/</w:t>
      </w:r>
      <w:r>
        <w:rPr>
          <w:rFonts w:hint="eastAsia"/>
          <w:lang w:eastAsia="zh-CN"/>
        </w:rPr>
        <w:t>国际组织及举措的关系和</w:t>
      </w:r>
      <w:hyperlink r:id="rId49" w:history="1">
        <w:r w:rsidRPr="003E5AC7">
          <w:rPr>
            <w:rStyle w:val="Hyperlink"/>
            <w:rFonts w:eastAsia="SimSun" w:hint="eastAsia"/>
            <w:lang w:eastAsia="zh-CN"/>
          </w:rPr>
          <w:t>伙伴关系</w:t>
        </w:r>
      </w:hyperlink>
      <w:r>
        <w:rPr>
          <w:rFonts w:hint="eastAsia"/>
          <w:lang w:eastAsia="zh-CN"/>
        </w:rPr>
        <w:t>，其中包括美洲国家组织（</w:t>
      </w:r>
      <w:r>
        <w:rPr>
          <w:rFonts w:hint="eastAsia"/>
          <w:lang w:eastAsia="zh-CN"/>
        </w:rPr>
        <w:t>OAS</w:t>
      </w:r>
      <w:r>
        <w:rPr>
          <w:rFonts w:hint="eastAsia"/>
          <w:lang w:eastAsia="zh-CN"/>
        </w:rPr>
        <w:t>）、欧洲网络与信息安全署（</w:t>
      </w:r>
      <w:r>
        <w:rPr>
          <w:rFonts w:hint="eastAsia"/>
          <w:lang w:eastAsia="zh-CN"/>
        </w:rPr>
        <w:t>ENISA</w:t>
      </w:r>
      <w:r>
        <w:rPr>
          <w:rFonts w:hint="eastAsia"/>
          <w:lang w:eastAsia="zh-CN"/>
        </w:rPr>
        <w:t>）、国际刑警组织（</w:t>
      </w:r>
      <w:r>
        <w:rPr>
          <w:rFonts w:hint="eastAsia"/>
          <w:lang w:eastAsia="zh-CN"/>
        </w:rPr>
        <w:t>INTERPOL</w:t>
      </w:r>
      <w:r>
        <w:rPr>
          <w:rFonts w:hint="eastAsia"/>
          <w:lang w:eastAsia="zh-CN"/>
        </w:rPr>
        <w:t>）、西非国家经济共同体（</w:t>
      </w:r>
      <w:r>
        <w:rPr>
          <w:rFonts w:hint="eastAsia"/>
          <w:lang w:eastAsia="zh-CN"/>
        </w:rPr>
        <w:t>ECOWAS</w:t>
      </w:r>
      <w:r>
        <w:rPr>
          <w:rFonts w:hint="eastAsia"/>
          <w:lang w:eastAsia="zh-CN"/>
        </w:rPr>
        <w:t>）、世界银行、事故响应与安全团队论坛（</w:t>
      </w:r>
      <w:r>
        <w:rPr>
          <w:rFonts w:hint="eastAsia"/>
          <w:lang w:eastAsia="zh-CN"/>
        </w:rPr>
        <w:t>FIRST</w:t>
      </w:r>
      <w:r>
        <w:rPr>
          <w:rFonts w:hint="eastAsia"/>
          <w:lang w:eastAsia="zh-CN"/>
        </w:rPr>
        <w:t>）、全球网络专业知识论坛（</w:t>
      </w:r>
      <w:r>
        <w:rPr>
          <w:rFonts w:hint="eastAsia"/>
          <w:lang w:eastAsia="zh-CN"/>
        </w:rPr>
        <w:t>GFCE</w:t>
      </w:r>
      <w:r>
        <w:rPr>
          <w:rFonts w:hint="eastAsia"/>
          <w:lang w:eastAsia="zh-CN"/>
        </w:rPr>
        <w:t>），以及亚太计算机应急响应团队（</w:t>
      </w:r>
      <w:r>
        <w:rPr>
          <w:rFonts w:hint="eastAsia"/>
          <w:lang w:eastAsia="zh-CN"/>
        </w:rPr>
        <w:t>AP CERT</w:t>
      </w:r>
      <w:r>
        <w:rPr>
          <w:rFonts w:hint="eastAsia"/>
          <w:lang w:eastAsia="zh-CN"/>
        </w:rPr>
        <w:t>）、非洲计算机应急响应团队（</w:t>
      </w:r>
      <w:r>
        <w:rPr>
          <w:rFonts w:hint="eastAsia"/>
          <w:lang w:eastAsia="zh-CN"/>
        </w:rPr>
        <w:t>AFRICA CERT</w:t>
      </w:r>
      <w:r>
        <w:rPr>
          <w:rFonts w:hint="eastAsia"/>
          <w:lang w:eastAsia="zh-CN"/>
        </w:rPr>
        <w:t>）和伊斯兰合作组织计算机应急响应团队（</w:t>
      </w:r>
      <w:r>
        <w:rPr>
          <w:rFonts w:hint="eastAsia"/>
          <w:lang w:eastAsia="zh-CN"/>
        </w:rPr>
        <w:t>OIC CERT</w:t>
      </w:r>
      <w:r>
        <w:rPr>
          <w:rFonts w:hint="eastAsia"/>
          <w:lang w:eastAsia="zh-CN"/>
        </w:rPr>
        <w:t>）等区域性计算机安全事故响应团队（</w:t>
      </w:r>
      <w:r>
        <w:rPr>
          <w:rFonts w:hint="eastAsia"/>
          <w:lang w:eastAsia="zh-CN"/>
        </w:rPr>
        <w:t>CSIRT</w:t>
      </w:r>
      <w:r>
        <w:rPr>
          <w:rFonts w:hint="eastAsia"/>
          <w:lang w:eastAsia="zh-CN"/>
        </w:rPr>
        <w:t>）</w:t>
      </w:r>
      <w:r>
        <w:rPr>
          <w:rFonts w:hint="eastAsia"/>
          <w:lang w:eastAsia="zh-CN"/>
        </w:rPr>
        <w:t>/</w:t>
      </w:r>
      <w:r>
        <w:rPr>
          <w:rFonts w:hint="eastAsia"/>
          <w:lang w:eastAsia="zh-CN"/>
        </w:rPr>
        <w:t>计算机应急响应团队（</w:t>
      </w:r>
      <w:r>
        <w:rPr>
          <w:rFonts w:hint="eastAsia"/>
          <w:lang w:eastAsia="zh-CN"/>
        </w:rPr>
        <w:t>CERT</w:t>
      </w:r>
      <w:r>
        <w:rPr>
          <w:rFonts w:hint="eastAsia"/>
          <w:lang w:eastAsia="zh-CN"/>
        </w:rPr>
        <w:t>）。</w:t>
      </w:r>
    </w:p>
    <w:p w14:paraId="1FE0F405" w14:textId="4D6D08E7" w:rsidR="005361D5" w:rsidRDefault="005361D5" w:rsidP="005361D5">
      <w:pPr>
        <w:rPr>
          <w:lang w:eastAsia="zh-CN"/>
        </w:rPr>
      </w:pPr>
      <w:r>
        <w:rPr>
          <w:rFonts w:hint="eastAsia"/>
          <w:lang w:eastAsia="zh-CN"/>
        </w:rPr>
        <w:t>5.2</w:t>
      </w:r>
      <w:r>
        <w:rPr>
          <w:rFonts w:hint="eastAsia"/>
          <w:lang w:eastAsia="zh-CN"/>
        </w:rPr>
        <w:tab/>
      </w:r>
      <w:r>
        <w:rPr>
          <w:rFonts w:hint="eastAsia"/>
          <w:lang w:eastAsia="zh-CN"/>
        </w:rPr>
        <w:t>根据</w:t>
      </w:r>
      <w:hyperlink r:id="rId50" w:history="1">
        <w:r w:rsidRPr="003E5AC7">
          <w:rPr>
            <w:rStyle w:val="Hyperlink"/>
            <w:rFonts w:eastAsia="SimSun" w:hint="eastAsia"/>
            <w:lang w:eastAsia="zh-CN"/>
          </w:rPr>
          <w:t>第</w:t>
        </w:r>
        <w:r w:rsidRPr="003E5AC7">
          <w:rPr>
            <w:rStyle w:val="Hyperlink"/>
            <w:rFonts w:eastAsia="SimSun" w:hint="eastAsia"/>
            <w:lang w:eastAsia="zh-CN"/>
          </w:rPr>
          <w:t>630</w:t>
        </w:r>
        <w:r w:rsidRPr="003E5AC7">
          <w:rPr>
            <w:rStyle w:val="Hyperlink"/>
            <w:rFonts w:eastAsia="SimSun" w:hint="eastAsia"/>
            <w:lang w:eastAsia="zh-CN"/>
          </w:rPr>
          <w:t>号决定（理事会</w:t>
        </w:r>
        <w:r w:rsidRPr="003E5AC7">
          <w:rPr>
            <w:rStyle w:val="Hyperlink"/>
            <w:rFonts w:eastAsia="SimSun" w:hint="eastAsia"/>
            <w:lang w:eastAsia="zh-CN"/>
          </w:rPr>
          <w:t>2023</w:t>
        </w:r>
        <w:r w:rsidRPr="003E5AC7">
          <w:rPr>
            <w:rStyle w:val="Hyperlink"/>
            <w:rFonts w:eastAsia="SimSun" w:hint="eastAsia"/>
            <w:lang w:eastAsia="zh-CN"/>
          </w:rPr>
          <w:t>年会议）</w:t>
        </w:r>
      </w:hyperlink>
      <w:r>
        <w:rPr>
          <w:rFonts w:hint="eastAsia"/>
          <w:lang w:eastAsia="zh-CN"/>
        </w:rPr>
        <w:t>，国际电联基于成员国的响应开发了</w:t>
      </w:r>
      <w:hyperlink r:id="rId51" w:history="1">
        <w:r w:rsidRPr="003E5AC7">
          <w:rPr>
            <w:rStyle w:val="Hyperlink"/>
            <w:rFonts w:eastAsia="SimSun" w:hint="eastAsia"/>
            <w:lang w:eastAsia="zh-CN"/>
          </w:rPr>
          <w:t>信息资源</w:t>
        </w:r>
      </w:hyperlink>
      <w:r>
        <w:rPr>
          <w:rFonts w:hint="eastAsia"/>
          <w:lang w:eastAsia="zh-CN"/>
        </w:rPr>
        <w:t>，帮助成员国建设网络安全和网络复原能力。九（</w:t>
      </w:r>
      <w:r>
        <w:rPr>
          <w:rFonts w:hint="eastAsia"/>
          <w:lang w:eastAsia="zh-CN"/>
        </w:rPr>
        <w:t>9</w:t>
      </w:r>
      <w:r>
        <w:rPr>
          <w:rFonts w:hint="eastAsia"/>
          <w:lang w:eastAsia="zh-CN"/>
        </w:rPr>
        <w:t>）个成员国为开发此资源做出了贡献。</w:t>
      </w:r>
    </w:p>
    <w:p w14:paraId="13FE1A38" w14:textId="7DDB353F" w:rsidR="005361D5" w:rsidRDefault="005361D5" w:rsidP="005361D5">
      <w:pPr>
        <w:rPr>
          <w:lang w:eastAsia="zh-CN"/>
        </w:rPr>
      </w:pPr>
      <w:r>
        <w:rPr>
          <w:rFonts w:hint="eastAsia"/>
          <w:lang w:eastAsia="zh-CN"/>
        </w:rPr>
        <w:t>5.3</w:t>
      </w:r>
      <w:r>
        <w:rPr>
          <w:rFonts w:hint="eastAsia"/>
          <w:lang w:eastAsia="zh-CN"/>
        </w:rPr>
        <w:tab/>
      </w:r>
      <w:r>
        <w:rPr>
          <w:rFonts w:hint="eastAsia"/>
          <w:lang w:eastAsia="zh-CN"/>
        </w:rPr>
        <w:t>作为</w:t>
      </w:r>
      <w:r>
        <w:rPr>
          <w:rFonts w:hint="eastAsia"/>
          <w:lang w:eastAsia="zh-CN"/>
        </w:rPr>
        <w:t>WSIS C5</w:t>
      </w:r>
      <w:r>
        <w:rPr>
          <w:rFonts w:hint="eastAsia"/>
          <w:lang w:eastAsia="zh-CN"/>
        </w:rPr>
        <w:t>行动方面的主要推进方，国际电联在</w:t>
      </w:r>
      <w:hyperlink r:id="rId52" w:history="1">
        <w:r w:rsidRPr="005361D5">
          <w:rPr>
            <w:rStyle w:val="Hyperlink"/>
            <w:rFonts w:eastAsia="SimSun" w:hint="eastAsia"/>
            <w:lang w:eastAsia="zh-CN"/>
          </w:rPr>
          <w:t>2024</w:t>
        </w:r>
        <w:r w:rsidRPr="005361D5">
          <w:rPr>
            <w:rStyle w:val="Hyperlink"/>
            <w:rFonts w:eastAsia="SimSun" w:hint="eastAsia"/>
            <w:lang w:eastAsia="zh-CN"/>
          </w:rPr>
          <w:t>年</w:t>
        </w:r>
        <w:r w:rsidRPr="005361D5">
          <w:rPr>
            <w:rStyle w:val="Hyperlink"/>
            <w:rFonts w:eastAsia="SimSun" w:hint="eastAsia"/>
            <w:lang w:eastAsia="zh-CN"/>
          </w:rPr>
          <w:t>WSIS</w:t>
        </w:r>
        <w:r w:rsidRPr="005361D5">
          <w:rPr>
            <w:rStyle w:val="Hyperlink"/>
            <w:rFonts w:eastAsia="SimSun" w:hint="eastAsia"/>
            <w:lang w:eastAsia="zh-CN"/>
          </w:rPr>
          <w:t>论坛</w:t>
        </w:r>
      </w:hyperlink>
      <w:r>
        <w:rPr>
          <w:rFonts w:hint="eastAsia"/>
          <w:lang w:eastAsia="zh-CN"/>
        </w:rPr>
        <w:t>期间组织了一次</w:t>
      </w:r>
      <w:r>
        <w:rPr>
          <w:rFonts w:hint="eastAsia"/>
          <w:lang w:eastAsia="zh-CN"/>
        </w:rPr>
        <w:t>C5</w:t>
      </w:r>
      <w:r>
        <w:rPr>
          <w:rFonts w:hint="eastAsia"/>
          <w:lang w:eastAsia="zh-CN"/>
        </w:rPr>
        <w:t>行动方面推进方会议“</w:t>
      </w:r>
      <w:hyperlink r:id="rId53" w:history="1">
        <w:r w:rsidRPr="005361D5">
          <w:rPr>
            <w:rStyle w:val="Hyperlink"/>
            <w:rFonts w:eastAsia="SimSun" w:hint="eastAsia"/>
            <w:noProof w:val="0"/>
            <w:lang w:eastAsia="zh-CN"/>
          </w:rPr>
          <w:t>海浪之下：通过安全的海底网络保障全球连通性</w:t>
        </w:r>
      </w:hyperlink>
      <w:r>
        <w:rPr>
          <w:rFonts w:hint="eastAsia"/>
          <w:lang w:eastAsia="zh-CN"/>
        </w:rPr>
        <w:t>”，该会议还举行了几场分会讨论与人工智能、量子等新兴技术相关领域的信任和信心问题，以及保护上网妇女和儿童。</w:t>
      </w:r>
      <w:r w:rsidRPr="00870C4F">
        <w:rPr>
          <w:rFonts w:hint="eastAsia"/>
          <w:lang w:eastAsia="zh-CN"/>
        </w:rPr>
        <w:t>国际电联计划在</w:t>
      </w:r>
      <w:hyperlink r:id="rId54" w:history="1">
        <w:r w:rsidRPr="005361D5">
          <w:rPr>
            <w:rStyle w:val="Hyperlink"/>
            <w:rFonts w:eastAsia="SimSun" w:hint="eastAsia"/>
            <w:noProof w:val="0"/>
            <w:lang w:eastAsia="zh-CN"/>
          </w:rPr>
          <w:t>2025</w:t>
        </w:r>
        <w:r w:rsidRPr="005361D5">
          <w:rPr>
            <w:rStyle w:val="Hyperlink"/>
            <w:rFonts w:eastAsia="SimSun" w:hint="eastAsia"/>
            <w:noProof w:val="0"/>
            <w:lang w:eastAsia="zh-CN"/>
          </w:rPr>
          <w:t>年</w:t>
        </w:r>
        <w:r w:rsidRPr="005361D5">
          <w:rPr>
            <w:rStyle w:val="Hyperlink"/>
            <w:rFonts w:eastAsia="SimSun" w:hint="eastAsia"/>
            <w:noProof w:val="0"/>
            <w:lang w:eastAsia="zh-CN"/>
          </w:rPr>
          <w:t>WSIS</w:t>
        </w:r>
        <w:r w:rsidRPr="005361D5">
          <w:rPr>
            <w:rStyle w:val="Hyperlink"/>
            <w:rFonts w:eastAsia="SimSun" w:hint="eastAsia"/>
            <w:noProof w:val="0"/>
            <w:lang w:eastAsia="zh-CN"/>
          </w:rPr>
          <w:t>论坛</w:t>
        </w:r>
      </w:hyperlink>
      <w:r w:rsidRPr="00870C4F">
        <w:rPr>
          <w:rFonts w:hint="eastAsia"/>
          <w:lang w:eastAsia="zh-CN"/>
        </w:rPr>
        <w:t>期间举行一次与</w:t>
      </w:r>
      <w:r w:rsidRPr="00870C4F">
        <w:rPr>
          <w:rFonts w:hint="eastAsia"/>
          <w:lang w:eastAsia="zh-CN"/>
        </w:rPr>
        <w:t>C5</w:t>
      </w:r>
      <w:r w:rsidRPr="00870C4F">
        <w:rPr>
          <w:rFonts w:hint="eastAsia"/>
          <w:lang w:eastAsia="zh-CN"/>
        </w:rPr>
        <w:t>行动方面有关的会议</w:t>
      </w:r>
      <w:r>
        <w:rPr>
          <w:rFonts w:hint="eastAsia"/>
          <w:lang w:eastAsia="zh-CN"/>
        </w:rPr>
        <w:t>。</w:t>
      </w:r>
    </w:p>
    <w:p w14:paraId="164084E1" w14:textId="0822D1A6" w:rsidR="005361D5" w:rsidRDefault="005361D5" w:rsidP="005361D5">
      <w:pPr>
        <w:rPr>
          <w:lang w:eastAsia="zh-CN"/>
        </w:rPr>
      </w:pPr>
      <w:r>
        <w:rPr>
          <w:rFonts w:hint="eastAsia"/>
          <w:lang w:eastAsia="zh-CN"/>
        </w:rPr>
        <w:t>5.4</w:t>
      </w:r>
      <w:r>
        <w:rPr>
          <w:rFonts w:hint="eastAsia"/>
          <w:lang w:eastAsia="zh-CN"/>
        </w:rPr>
        <w:tab/>
      </w:r>
      <w:r>
        <w:rPr>
          <w:rFonts w:hint="eastAsia"/>
          <w:lang w:eastAsia="zh-CN"/>
        </w:rPr>
        <w:t>国际电联继续与</w:t>
      </w:r>
      <w:hyperlink r:id="rId55" w:history="1">
        <w:r w:rsidRPr="005361D5">
          <w:rPr>
            <w:rStyle w:val="Hyperlink"/>
            <w:rFonts w:eastAsia="SimSun" w:hint="eastAsia"/>
            <w:noProof w:val="0"/>
            <w:lang w:eastAsia="zh-CN"/>
          </w:rPr>
          <w:t>ICT</w:t>
        </w:r>
        <w:r w:rsidRPr="005361D5">
          <w:rPr>
            <w:rStyle w:val="Hyperlink"/>
            <w:rFonts w:eastAsia="SimSun" w:hint="eastAsia"/>
            <w:noProof w:val="0"/>
            <w:lang w:eastAsia="zh-CN"/>
          </w:rPr>
          <w:t>安全和使用不限成员名额工作组（</w:t>
        </w:r>
        <w:r w:rsidRPr="005361D5">
          <w:rPr>
            <w:rStyle w:val="Hyperlink"/>
            <w:rFonts w:eastAsia="SimSun" w:hint="eastAsia"/>
            <w:noProof w:val="0"/>
            <w:lang w:eastAsia="zh-CN"/>
          </w:rPr>
          <w:t>OEWG</w:t>
        </w:r>
        <w:r w:rsidRPr="005361D5">
          <w:rPr>
            <w:rStyle w:val="Hyperlink"/>
            <w:rFonts w:eastAsia="SimSun" w:hint="eastAsia"/>
            <w:noProof w:val="0"/>
            <w:lang w:eastAsia="zh-CN"/>
          </w:rPr>
          <w:t>）</w:t>
        </w:r>
      </w:hyperlink>
      <w:r>
        <w:rPr>
          <w:rFonts w:hint="eastAsia"/>
          <w:lang w:eastAsia="zh-CN"/>
        </w:rPr>
        <w:t>利益攸关方接触，为其建设对照工作能力提供意见，根据全球网络安全指数了解当前网络安全需求并展示妇女网络足迹举措的影响。</w:t>
      </w:r>
    </w:p>
    <w:p w14:paraId="4436577F" w14:textId="389EF935" w:rsidR="005361D5" w:rsidRDefault="005361D5" w:rsidP="005361D5">
      <w:pPr>
        <w:rPr>
          <w:lang w:eastAsia="zh-CN"/>
        </w:rPr>
      </w:pPr>
      <w:r>
        <w:rPr>
          <w:rFonts w:hint="eastAsia"/>
          <w:lang w:eastAsia="zh-CN"/>
        </w:rPr>
        <w:t>5.5</w:t>
      </w:r>
      <w:r>
        <w:rPr>
          <w:rFonts w:hint="eastAsia"/>
          <w:lang w:eastAsia="zh-CN"/>
        </w:rPr>
        <w:tab/>
      </w:r>
      <w:r w:rsidRPr="00C57B58">
        <w:rPr>
          <w:rFonts w:hint="eastAsia"/>
          <w:lang w:eastAsia="zh-CN"/>
        </w:rPr>
        <w:t>2024</w:t>
      </w:r>
      <w:r w:rsidRPr="00C57B58">
        <w:rPr>
          <w:rFonts w:hint="eastAsia"/>
          <w:lang w:eastAsia="zh-CN"/>
        </w:rPr>
        <w:t>年</w:t>
      </w:r>
      <w:r w:rsidRPr="00C57B58">
        <w:rPr>
          <w:rFonts w:hint="eastAsia"/>
          <w:lang w:eastAsia="zh-CN"/>
        </w:rPr>
        <w:t>11</w:t>
      </w:r>
      <w:r w:rsidRPr="00C57B58">
        <w:rPr>
          <w:rFonts w:hint="eastAsia"/>
          <w:lang w:eastAsia="zh-CN"/>
        </w:rPr>
        <w:t>月，国际电联还与国际电缆保护委员会（</w:t>
      </w:r>
      <w:r w:rsidRPr="00C57B58">
        <w:rPr>
          <w:rFonts w:hint="eastAsia"/>
          <w:lang w:eastAsia="zh-CN"/>
        </w:rPr>
        <w:t>ICPC</w:t>
      </w:r>
      <w:r w:rsidRPr="00C57B58">
        <w:rPr>
          <w:rFonts w:hint="eastAsia"/>
          <w:lang w:eastAsia="zh-CN"/>
        </w:rPr>
        <w:t>）合作，成立了</w:t>
      </w:r>
      <w:hyperlink r:id="rId56" w:history="1">
        <w:r w:rsidRPr="005361D5">
          <w:rPr>
            <w:rStyle w:val="Hyperlink"/>
            <w:rFonts w:eastAsia="SimSun" w:hint="eastAsia"/>
            <w:noProof w:val="0"/>
            <w:lang w:eastAsia="zh-CN"/>
          </w:rPr>
          <w:t>海底电缆复原力国际咨询机构</w:t>
        </w:r>
      </w:hyperlink>
      <w:r w:rsidRPr="00C57B58">
        <w:rPr>
          <w:rFonts w:hint="eastAsia"/>
          <w:lang w:eastAsia="zh-CN"/>
        </w:rPr>
        <w:t>，</w:t>
      </w:r>
      <w:r>
        <w:rPr>
          <w:rFonts w:hint="eastAsia"/>
          <w:lang w:eastAsia="zh-CN"/>
        </w:rPr>
        <w:t>该机构</w:t>
      </w:r>
      <w:r w:rsidRPr="00C57B58">
        <w:rPr>
          <w:rFonts w:hint="eastAsia"/>
          <w:lang w:eastAsia="zh-CN"/>
        </w:rPr>
        <w:t>由来自公共和私营部门的</w:t>
      </w:r>
      <w:r w:rsidRPr="00C57B58">
        <w:rPr>
          <w:rFonts w:hint="eastAsia"/>
          <w:lang w:eastAsia="zh-CN"/>
        </w:rPr>
        <w:t>40</w:t>
      </w:r>
      <w:r w:rsidRPr="00C57B58">
        <w:rPr>
          <w:rFonts w:hint="eastAsia"/>
          <w:lang w:eastAsia="zh-CN"/>
        </w:rPr>
        <w:t>名领导人和专家组成，</w:t>
      </w:r>
      <w:r>
        <w:rPr>
          <w:rFonts w:hint="eastAsia"/>
          <w:lang w:eastAsia="zh-CN"/>
        </w:rPr>
        <w:t>其目的是通过对话和协作探讨提高</w:t>
      </w:r>
      <w:r w:rsidRPr="00C57B58">
        <w:rPr>
          <w:rFonts w:hint="eastAsia"/>
          <w:lang w:eastAsia="zh-CN"/>
        </w:rPr>
        <w:t>基础设</w:t>
      </w:r>
      <w:r>
        <w:rPr>
          <w:rFonts w:hint="eastAsia"/>
          <w:lang w:eastAsia="zh-CN"/>
        </w:rPr>
        <w:t>复原力</w:t>
      </w:r>
      <w:r w:rsidRPr="00C57B58">
        <w:rPr>
          <w:rFonts w:hint="eastAsia"/>
          <w:lang w:eastAsia="zh-CN"/>
        </w:rPr>
        <w:t>的潜在途径和方法</w:t>
      </w:r>
      <w:r>
        <w:rPr>
          <w:rFonts w:hint="eastAsia"/>
          <w:lang w:eastAsia="zh-CN"/>
        </w:rPr>
        <w:t>，因为这些重要基础设施</w:t>
      </w:r>
      <w:r w:rsidRPr="00C57B58">
        <w:rPr>
          <w:rFonts w:hint="eastAsia"/>
          <w:lang w:eastAsia="zh-CN"/>
        </w:rPr>
        <w:t>为全球通信和数字经济提供</w:t>
      </w:r>
      <w:r>
        <w:rPr>
          <w:rFonts w:hint="eastAsia"/>
          <w:lang w:eastAsia="zh-CN"/>
        </w:rPr>
        <w:t>了</w:t>
      </w:r>
      <w:r w:rsidRPr="00C57B58">
        <w:rPr>
          <w:rFonts w:hint="eastAsia"/>
          <w:lang w:eastAsia="zh-CN"/>
        </w:rPr>
        <w:t>动力。</w:t>
      </w:r>
      <w:r w:rsidRPr="005361D5">
        <w:rPr>
          <w:rStyle w:val="Hyperlink"/>
          <w:rFonts w:eastAsia="SimSun" w:hint="eastAsia"/>
          <w:noProof w:val="0"/>
          <w:lang w:eastAsia="zh-CN"/>
        </w:rPr>
        <w:t>2</w:t>
      </w:r>
      <w:hyperlink r:id="rId57" w:history="1">
        <w:r w:rsidRPr="005361D5">
          <w:rPr>
            <w:rStyle w:val="Hyperlink"/>
            <w:rFonts w:eastAsia="SimSun" w:hint="eastAsia"/>
            <w:noProof w:val="0"/>
            <w:lang w:eastAsia="zh-CN"/>
          </w:rPr>
          <w:t>025</w:t>
        </w:r>
        <w:r w:rsidRPr="005361D5">
          <w:rPr>
            <w:rStyle w:val="Hyperlink"/>
            <w:rFonts w:eastAsia="SimSun" w:hint="eastAsia"/>
            <w:noProof w:val="0"/>
            <w:lang w:eastAsia="zh-CN"/>
          </w:rPr>
          <w:t>年国际海底电缆复原力峰会（</w:t>
        </w:r>
        <w:r w:rsidRPr="005361D5">
          <w:rPr>
            <w:rStyle w:val="Hyperlink"/>
            <w:rFonts w:eastAsia="SimSun" w:hint="eastAsia"/>
            <w:noProof w:val="0"/>
            <w:lang w:eastAsia="zh-CN"/>
          </w:rPr>
          <w:t>2025</w:t>
        </w:r>
        <w:r w:rsidRPr="005361D5">
          <w:rPr>
            <w:rStyle w:val="Hyperlink"/>
            <w:rFonts w:eastAsia="SimSun" w:hint="eastAsia"/>
            <w:noProof w:val="0"/>
            <w:lang w:eastAsia="zh-CN"/>
          </w:rPr>
          <w:t>年</w:t>
        </w:r>
        <w:r w:rsidRPr="005361D5">
          <w:rPr>
            <w:rStyle w:val="Hyperlink"/>
            <w:rFonts w:eastAsia="SimSun" w:hint="eastAsia"/>
            <w:noProof w:val="0"/>
            <w:lang w:eastAsia="zh-CN"/>
          </w:rPr>
          <w:t>2</w:t>
        </w:r>
        <w:r w:rsidRPr="005361D5">
          <w:rPr>
            <w:rStyle w:val="Hyperlink"/>
            <w:rFonts w:eastAsia="SimSun" w:hint="eastAsia"/>
            <w:noProof w:val="0"/>
            <w:lang w:eastAsia="zh-CN"/>
          </w:rPr>
          <w:t>月</w:t>
        </w:r>
        <w:r w:rsidRPr="005361D5">
          <w:rPr>
            <w:rStyle w:val="Hyperlink"/>
            <w:rFonts w:eastAsia="SimSun" w:hint="eastAsia"/>
            <w:noProof w:val="0"/>
            <w:lang w:eastAsia="zh-CN"/>
          </w:rPr>
          <w:t>26-27</w:t>
        </w:r>
        <w:r w:rsidRPr="005361D5">
          <w:rPr>
            <w:rStyle w:val="Hyperlink"/>
            <w:rFonts w:eastAsia="SimSun" w:hint="eastAsia"/>
            <w:noProof w:val="0"/>
            <w:lang w:eastAsia="zh-CN"/>
          </w:rPr>
          <w:t>日，尼日利亚，阿布贾）</w:t>
        </w:r>
      </w:hyperlink>
      <w:r>
        <w:rPr>
          <w:rFonts w:hint="eastAsia"/>
          <w:lang w:eastAsia="zh-CN"/>
        </w:rPr>
        <w:t>期间该组织召开了首次面对面会议</w:t>
      </w:r>
      <w:r w:rsidRPr="00C57B58">
        <w:rPr>
          <w:rFonts w:hint="eastAsia"/>
          <w:lang w:eastAsia="zh-CN"/>
        </w:rPr>
        <w:t>，各国政府、行业领袖和国际组织齐聚一堂，共同应对海底电缆面临的重大挑战</w:t>
      </w:r>
      <w:r>
        <w:rPr>
          <w:rFonts w:hint="eastAsia"/>
          <w:lang w:eastAsia="zh-CN"/>
        </w:rPr>
        <w:t>。</w:t>
      </w:r>
    </w:p>
    <w:p w14:paraId="47854F52" w14:textId="77777777" w:rsidR="005361D5" w:rsidRDefault="005361D5" w:rsidP="005361D5">
      <w:pPr>
        <w:pStyle w:val="Heading1"/>
        <w:rPr>
          <w:lang w:eastAsia="zh-CN"/>
        </w:rPr>
      </w:pPr>
      <w:r>
        <w:rPr>
          <w:rFonts w:hint="eastAsia"/>
          <w:lang w:eastAsia="zh-CN"/>
        </w:rPr>
        <w:t>6</w:t>
      </w:r>
      <w:r>
        <w:rPr>
          <w:rFonts w:hint="eastAsia"/>
          <w:lang w:eastAsia="zh-CN"/>
        </w:rPr>
        <w:tab/>
      </w:r>
      <w:r>
        <w:rPr>
          <w:rFonts w:hint="eastAsia"/>
          <w:lang w:eastAsia="zh-CN"/>
        </w:rPr>
        <w:t>保护上网儿童（</w:t>
      </w:r>
      <w:r>
        <w:rPr>
          <w:rFonts w:hint="eastAsia"/>
          <w:lang w:eastAsia="zh-CN"/>
        </w:rPr>
        <w:t>COP</w:t>
      </w:r>
      <w:r>
        <w:rPr>
          <w:rFonts w:hint="eastAsia"/>
          <w:lang w:eastAsia="zh-CN"/>
        </w:rPr>
        <w:t>）</w:t>
      </w:r>
    </w:p>
    <w:p w14:paraId="232F1391" w14:textId="5F34D30F" w:rsidR="00676B64" w:rsidRDefault="00676B64" w:rsidP="00676B64">
      <w:pPr>
        <w:rPr>
          <w:lang w:eastAsia="zh-CN"/>
        </w:rPr>
      </w:pPr>
      <w:r>
        <w:rPr>
          <w:rFonts w:hint="eastAsia"/>
          <w:lang w:eastAsia="zh-CN"/>
        </w:rPr>
        <w:t>6.1</w:t>
      </w:r>
      <w:r>
        <w:rPr>
          <w:lang w:eastAsia="zh-CN"/>
        </w:rPr>
        <w:tab/>
      </w:r>
      <w:r>
        <w:rPr>
          <w:rFonts w:hint="eastAsia"/>
          <w:lang w:eastAsia="zh-CN"/>
        </w:rPr>
        <w:t>截至</w:t>
      </w:r>
      <w:r>
        <w:rPr>
          <w:rFonts w:hint="eastAsia"/>
          <w:lang w:eastAsia="zh-CN"/>
        </w:rPr>
        <w:t>2025</w:t>
      </w:r>
      <w:r>
        <w:rPr>
          <w:rFonts w:hint="eastAsia"/>
          <w:lang w:eastAsia="zh-CN"/>
        </w:rPr>
        <w:t>年</w:t>
      </w:r>
      <w:r>
        <w:rPr>
          <w:rFonts w:hint="eastAsia"/>
          <w:lang w:eastAsia="zh-CN"/>
        </w:rPr>
        <w:t>4</w:t>
      </w:r>
      <w:r>
        <w:rPr>
          <w:rFonts w:hint="eastAsia"/>
          <w:lang w:eastAsia="zh-CN"/>
        </w:rPr>
        <w:t>月，国际电联已</w:t>
      </w:r>
      <w:r w:rsidR="00797EDC">
        <w:rPr>
          <w:rFonts w:hint="eastAsia"/>
          <w:lang w:eastAsia="zh-CN"/>
        </w:rPr>
        <w:t>为</w:t>
      </w:r>
      <w:r>
        <w:rPr>
          <w:rFonts w:hint="eastAsia"/>
          <w:lang w:eastAsia="zh-CN"/>
        </w:rPr>
        <w:t>13</w:t>
      </w:r>
      <w:r>
        <w:rPr>
          <w:rFonts w:hint="eastAsia"/>
          <w:lang w:eastAsia="zh-CN"/>
        </w:rPr>
        <w:t>个国家制定国家</w:t>
      </w:r>
      <w:r>
        <w:rPr>
          <w:rFonts w:hint="eastAsia"/>
          <w:lang w:eastAsia="zh-CN"/>
        </w:rPr>
        <w:t>COP</w:t>
      </w:r>
      <w:r>
        <w:rPr>
          <w:rFonts w:hint="eastAsia"/>
          <w:lang w:eastAsia="zh-CN"/>
        </w:rPr>
        <w:t>框架或开展相关评估</w:t>
      </w:r>
      <w:r w:rsidR="00797EDC">
        <w:rPr>
          <w:rFonts w:hint="eastAsia"/>
          <w:lang w:eastAsia="zh-CN"/>
        </w:rPr>
        <w:t>提供支持</w:t>
      </w:r>
      <w:r>
        <w:rPr>
          <w:rFonts w:hint="eastAsia"/>
          <w:lang w:eastAsia="zh-CN"/>
        </w:rPr>
        <w:t>：阿尔巴尼亚、亚美尼亚、巴哈马、不丹、玻利维亚、厄瓜多尔、哈萨克斯坦、马拉维、蒙古、巴基斯坦、秘鲁、苏里南和泰国。目前正进一步为安道尔、斯威士兰和黎巴嫩提供政策援助。这些框架内嵌入了符合国际标准以及国家儿童保护优先事项的法律和监管措施。</w:t>
      </w:r>
    </w:p>
    <w:p w14:paraId="600E7272" w14:textId="5D0BABB7" w:rsidR="00676B64" w:rsidRDefault="00676B64" w:rsidP="00676B64">
      <w:pPr>
        <w:rPr>
          <w:lang w:eastAsia="zh-CN"/>
        </w:rPr>
      </w:pPr>
      <w:r>
        <w:rPr>
          <w:rFonts w:hint="eastAsia"/>
          <w:lang w:eastAsia="zh-CN"/>
        </w:rPr>
        <w:t>6.2</w:t>
      </w:r>
      <w:r>
        <w:rPr>
          <w:lang w:eastAsia="zh-CN"/>
        </w:rPr>
        <w:tab/>
      </w:r>
      <w:r>
        <w:rPr>
          <w:rFonts w:hint="eastAsia"/>
          <w:lang w:eastAsia="zh-CN"/>
        </w:rPr>
        <w:t>实用工具和数字</w:t>
      </w:r>
      <w:r w:rsidR="00797EDC">
        <w:rPr>
          <w:rFonts w:hint="eastAsia"/>
          <w:lang w:eastAsia="zh-CN"/>
        </w:rPr>
        <w:t>化</w:t>
      </w:r>
      <w:r>
        <w:rPr>
          <w:rFonts w:hint="eastAsia"/>
          <w:lang w:eastAsia="zh-CN"/>
        </w:rPr>
        <w:t>学习资源一直是国际电联</w:t>
      </w:r>
      <w:r>
        <w:rPr>
          <w:rFonts w:hint="eastAsia"/>
          <w:lang w:eastAsia="zh-CN"/>
        </w:rPr>
        <w:t>COP</w:t>
      </w:r>
      <w:r>
        <w:rPr>
          <w:rFonts w:hint="eastAsia"/>
          <w:lang w:eastAsia="zh-CN"/>
        </w:rPr>
        <w:t>工作的核心。为了支持在国家层面整合儿童保护原则，</w:t>
      </w:r>
      <w:r>
        <w:rPr>
          <w:rFonts w:hint="eastAsia"/>
          <w:lang w:eastAsia="zh-CN"/>
        </w:rPr>
        <w:t>26</w:t>
      </w:r>
      <w:r>
        <w:rPr>
          <w:rFonts w:hint="eastAsia"/>
          <w:lang w:eastAsia="zh-CN"/>
        </w:rPr>
        <w:t>国已将国际电联</w:t>
      </w:r>
      <w:r>
        <w:rPr>
          <w:rFonts w:hint="eastAsia"/>
          <w:lang w:eastAsia="zh-CN"/>
        </w:rPr>
        <w:t>COP</w:t>
      </w:r>
      <w:r>
        <w:rPr>
          <w:rFonts w:hint="eastAsia"/>
          <w:lang w:eastAsia="zh-CN"/>
        </w:rPr>
        <w:t>导则翻译成当地语言，包括最近在</w:t>
      </w:r>
      <w:r>
        <w:rPr>
          <w:rFonts w:hint="eastAsia"/>
          <w:lang w:eastAsia="zh-CN"/>
        </w:rPr>
        <w:t>2024-2025</w:t>
      </w:r>
      <w:r>
        <w:rPr>
          <w:rFonts w:hint="eastAsia"/>
          <w:lang w:eastAsia="zh-CN"/>
        </w:rPr>
        <w:t>年期间将该导则翻译成克丘亚语（厄瓜多尔）、艾马拉语（玻利维亚）、荷兰语（苏里南）和马耳他语。</w:t>
      </w:r>
    </w:p>
    <w:p w14:paraId="25497846" w14:textId="184242E7" w:rsidR="00676B64" w:rsidRDefault="00676B64" w:rsidP="002F6492">
      <w:pPr>
        <w:keepNext/>
        <w:keepLines/>
        <w:rPr>
          <w:lang w:eastAsia="zh-CN"/>
        </w:rPr>
      </w:pPr>
      <w:r>
        <w:rPr>
          <w:rFonts w:hint="eastAsia"/>
          <w:lang w:eastAsia="zh-CN"/>
        </w:rPr>
        <w:lastRenderedPageBreak/>
        <w:t>6.3</w:t>
      </w:r>
      <w:r>
        <w:rPr>
          <w:lang w:eastAsia="zh-CN"/>
        </w:rPr>
        <w:tab/>
      </w:r>
      <w:r>
        <w:rPr>
          <w:rFonts w:hint="eastAsia"/>
          <w:lang w:eastAsia="zh-CN"/>
        </w:rPr>
        <w:t>现已开发并通过国际电联学院提供了十门自定进度的在线培训课程，包括</w:t>
      </w:r>
      <w:r>
        <w:rPr>
          <w:rFonts w:hint="eastAsia"/>
          <w:lang w:eastAsia="zh-CN"/>
        </w:rPr>
        <w:t>2024</w:t>
      </w:r>
      <w:r>
        <w:rPr>
          <w:rFonts w:hint="eastAsia"/>
          <w:lang w:eastAsia="zh-CN"/>
        </w:rPr>
        <w:t>年与联合国儿童基金会合作推出的针对</w:t>
      </w:r>
      <w:r>
        <w:rPr>
          <w:rFonts w:hint="eastAsia"/>
          <w:lang w:eastAsia="zh-CN"/>
        </w:rPr>
        <w:t>ICT</w:t>
      </w:r>
      <w:r>
        <w:rPr>
          <w:rFonts w:hint="eastAsia"/>
          <w:lang w:eastAsia="zh-CN"/>
        </w:rPr>
        <w:t>行业具体部门</w:t>
      </w:r>
      <w:r w:rsidR="00797EDC">
        <w:rPr>
          <w:rFonts w:hint="eastAsia"/>
          <w:lang w:eastAsia="zh-CN"/>
        </w:rPr>
        <w:t>的</w:t>
      </w:r>
      <w:r>
        <w:rPr>
          <w:rFonts w:hint="eastAsia"/>
          <w:lang w:eastAsia="zh-CN"/>
        </w:rPr>
        <w:t>课程。与此同时，在</w:t>
      </w:r>
      <w:r>
        <w:rPr>
          <w:rFonts w:hint="eastAsia"/>
          <w:lang w:eastAsia="zh-CN"/>
        </w:rPr>
        <w:t>2025</w:t>
      </w:r>
      <w:r>
        <w:rPr>
          <w:rFonts w:hint="eastAsia"/>
          <w:lang w:eastAsia="zh-CN"/>
        </w:rPr>
        <w:t>年的安全互联网日，以联合国所有六种正式语文发布了与儿童共同开发的针对三个不同年龄组的在线培训。</w:t>
      </w:r>
    </w:p>
    <w:p w14:paraId="0E97EEBF" w14:textId="5D68FA25" w:rsidR="00676B64" w:rsidRDefault="00676B64" w:rsidP="00676B64">
      <w:pPr>
        <w:rPr>
          <w:lang w:eastAsia="zh-CN"/>
        </w:rPr>
      </w:pPr>
      <w:r>
        <w:rPr>
          <w:rFonts w:hint="eastAsia"/>
          <w:lang w:eastAsia="zh-CN"/>
        </w:rPr>
        <w:t>6.4</w:t>
      </w:r>
      <w:r>
        <w:rPr>
          <w:lang w:eastAsia="zh-CN"/>
        </w:rPr>
        <w:tab/>
      </w:r>
      <w:r w:rsidR="00797EDC">
        <w:rPr>
          <w:rFonts w:hint="eastAsia"/>
          <w:lang w:eastAsia="zh-CN"/>
        </w:rPr>
        <w:t>国际电联</w:t>
      </w:r>
      <w:r>
        <w:rPr>
          <w:rFonts w:hint="eastAsia"/>
          <w:lang w:eastAsia="zh-CN"/>
        </w:rPr>
        <w:t>编制了包括手册和教育视频在内的其他</w:t>
      </w:r>
      <w:r w:rsidR="00797EDC">
        <w:rPr>
          <w:rFonts w:hint="eastAsia"/>
          <w:lang w:eastAsia="zh-CN"/>
        </w:rPr>
        <w:t>旨在</w:t>
      </w:r>
      <w:r>
        <w:rPr>
          <w:rFonts w:hint="eastAsia"/>
          <w:lang w:eastAsia="zh-CN"/>
        </w:rPr>
        <w:t>提高认识</w:t>
      </w:r>
      <w:r w:rsidR="00797EDC">
        <w:rPr>
          <w:rFonts w:hint="eastAsia"/>
          <w:lang w:eastAsia="zh-CN"/>
        </w:rPr>
        <w:t>的</w:t>
      </w:r>
      <w:r>
        <w:rPr>
          <w:rFonts w:hint="eastAsia"/>
          <w:lang w:eastAsia="zh-CN"/>
        </w:rPr>
        <w:t>材料，并在一些国家发放，例如</w:t>
      </w:r>
      <w:r>
        <w:rPr>
          <w:rFonts w:hint="eastAsia"/>
          <w:lang w:eastAsia="zh-CN"/>
        </w:rPr>
        <w:t>2025</w:t>
      </w:r>
      <w:r>
        <w:rPr>
          <w:rFonts w:hint="eastAsia"/>
          <w:lang w:eastAsia="zh-CN"/>
        </w:rPr>
        <w:t>年为支持在摩洛哥开展全国性提高认识活动提供了相关材料。国际电联为塞尔维亚</w:t>
      </w:r>
      <w:r w:rsidR="00797EDC">
        <w:rPr>
          <w:rFonts w:hint="eastAsia"/>
          <w:lang w:eastAsia="zh-CN"/>
        </w:rPr>
        <w:t>在</w:t>
      </w:r>
      <w:r>
        <w:rPr>
          <w:rFonts w:hint="eastAsia"/>
          <w:lang w:eastAsia="zh-CN"/>
        </w:rPr>
        <w:t>2024</w:t>
      </w:r>
      <w:r>
        <w:rPr>
          <w:rFonts w:hint="eastAsia"/>
          <w:lang w:eastAsia="zh-CN"/>
        </w:rPr>
        <w:t>年</w:t>
      </w:r>
      <w:r>
        <w:rPr>
          <w:rFonts w:hint="eastAsia"/>
          <w:lang w:eastAsia="zh-CN"/>
        </w:rPr>
        <w:t>2</w:t>
      </w:r>
      <w:r>
        <w:rPr>
          <w:rFonts w:hint="eastAsia"/>
          <w:lang w:eastAsia="zh-CN"/>
        </w:rPr>
        <w:t>月推出《保护上网儿童导则》提供了进一步支持。</w:t>
      </w:r>
      <w:r w:rsidR="00A23B84">
        <w:rPr>
          <w:rFonts w:hint="eastAsia"/>
          <w:lang w:eastAsia="zh-CN"/>
        </w:rPr>
        <w:t>此次</w:t>
      </w:r>
      <w:r>
        <w:rPr>
          <w:rFonts w:hint="eastAsia"/>
          <w:lang w:eastAsia="zh-CN"/>
        </w:rPr>
        <w:t>活动</w:t>
      </w:r>
      <w:r w:rsidR="00A23B84">
        <w:rPr>
          <w:rFonts w:hint="eastAsia"/>
          <w:lang w:eastAsia="zh-CN"/>
        </w:rPr>
        <w:t>的内容</w:t>
      </w:r>
      <w:r>
        <w:rPr>
          <w:rFonts w:hint="eastAsia"/>
          <w:lang w:eastAsia="zh-CN"/>
        </w:rPr>
        <w:t>包括</w:t>
      </w:r>
      <w:r w:rsidR="00A23B84">
        <w:rPr>
          <w:rFonts w:hint="eastAsia"/>
          <w:lang w:eastAsia="zh-CN"/>
        </w:rPr>
        <w:t>开展</w:t>
      </w:r>
      <w:r>
        <w:rPr>
          <w:rFonts w:hint="eastAsia"/>
          <w:lang w:eastAsia="zh-CN"/>
        </w:rPr>
        <w:t>宣传和</w:t>
      </w:r>
      <w:r w:rsidR="00A23B84">
        <w:rPr>
          <w:rFonts w:hint="eastAsia"/>
          <w:lang w:eastAsia="zh-CN"/>
        </w:rPr>
        <w:t>介绍刚刚翻译成该</w:t>
      </w:r>
      <w:r>
        <w:rPr>
          <w:rFonts w:hint="eastAsia"/>
          <w:lang w:eastAsia="zh-CN"/>
        </w:rPr>
        <w:t>国语言的材料</w:t>
      </w:r>
      <w:r w:rsidR="00A23B84">
        <w:rPr>
          <w:rFonts w:hint="eastAsia"/>
          <w:lang w:eastAsia="zh-CN"/>
        </w:rPr>
        <w:t>。</w:t>
      </w:r>
      <w:r>
        <w:rPr>
          <w:rFonts w:hint="eastAsia"/>
          <w:lang w:eastAsia="zh-CN"/>
        </w:rPr>
        <w:t>活动</w:t>
      </w:r>
      <w:r w:rsidR="00A23B84">
        <w:rPr>
          <w:rFonts w:hint="eastAsia"/>
          <w:lang w:eastAsia="zh-CN"/>
        </w:rPr>
        <w:t>对象为</w:t>
      </w:r>
      <w:r>
        <w:rPr>
          <w:rFonts w:hint="eastAsia"/>
          <w:lang w:eastAsia="zh-CN"/>
        </w:rPr>
        <w:t>957</w:t>
      </w:r>
      <w:r w:rsidR="00A23B84">
        <w:rPr>
          <w:rFonts w:hint="eastAsia"/>
          <w:lang w:eastAsia="zh-CN"/>
        </w:rPr>
        <w:t>位</w:t>
      </w:r>
      <w:r>
        <w:rPr>
          <w:rFonts w:hint="eastAsia"/>
          <w:lang w:eastAsia="zh-CN"/>
        </w:rPr>
        <w:t>儿童以及</w:t>
      </w:r>
      <w:r>
        <w:rPr>
          <w:rFonts w:hint="eastAsia"/>
          <w:lang w:eastAsia="zh-CN"/>
        </w:rPr>
        <w:t>60</w:t>
      </w:r>
      <w:r>
        <w:rPr>
          <w:rFonts w:hint="eastAsia"/>
          <w:lang w:eastAsia="zh-CN"/>
        </w:rPr>
        <w:t>名教师、教育</w:t>
      </w:r>
      <w:r w:rsidR="00A23B84">
        <w:rPr>
          <w:rFonts w:hint="eastAsia"/>
          <w:lang w:eastAsia="zh-CN"/>
        </w:rPr>
        <w:t>家</w:t>
      </w:r>
      <w:r>
        <w:rPr>
          <w:rFonts w:hint="eastAsia"/>
          <w:lang w:eastAsia="zh-CN"/>
        </w:rPr>
        <w:t>和心理学家</w:t>
      </w:r>
      <w:r w:rsidR="00A23B84">
        <w:rPr>
          <w:rFonts w:hint="eastAsia"/>
          <w:lang w:eastAsia="zh-CN"/>
        </w:rPr>
        <w:t>。</w:t>
      </w:r>
    </w:p>
    <w:p w14:paraId="75AEDCA4" w14:textId="4520049D" w:rsidR="00676B64" w:rsidRDefault="00676B64" w:rsidP="00676B64">
      <w:pPr>
        <w:rPr>
          <w:lang w:eastAsia="zh-CN"/>
        </w:rPr>
      </w:pPr>
      <w:r>
        <w:rPr>
          <w:rFonts w:hint="eastAsia"/>
          <w:lang w:eastAsia="zh-CN"/>
        </w:rPr>
        <w:t>6.5</w:t>
      </w:r>
      <w:r>
        <w:rPr>
          <w:lang w:eastAsia="zh-CN"/>
        </w:rPr>
        <w:tab/>
      </w:r>
      <w:r w:rsidR="00A23B84">
        <w:rPr>
          <w:rFonts w:hint="eastAsia"/>
          <w:lang w:eastAsia="zh-CN"/>
        </w:rPr>
        <w:t>目前</w:t>
      </w:r>
      <w:r>
        <w:rPr>
          <w:rFonts w:hint="eastAsia"/>
          <w:lang w:eastAsia="zh-CN"/>
        </w:rPr>
        <w:t>共有约</w:t>
      </w:r>
      <w:r>
        <w:rPr>
          <w:rFonts w:hint="eastAsia"/>
          <w:lang w:eastAsia="zh-CN"/>
        </w:rPr>
        <w:t>170</w:t>
      </w:r>
      <w:r w:rsidR="002F6492">
        <w:rPr>
          <w:lang w:eastAsia="zh-CN"/>
        </w:rPr>
        <w:t> </w:t>
      </w:r>
      <w:r>
        <w:rPr>
          <w:rFonts w:hint="eastAsia"/>
          <w:lang w:eastAsia="zh-CN"/>
        </w:rPr>
        <w:t>000</w:t>
      </w:r>
      <w:r>
        <w:rPr>
          <w:rFonts w:hint="eastAsia"/>
          <w:lang w:eastAsia="zh-CN"/>
        </w:rPr>
        <w:t>名儿童参加了</w:t>
      </w:r>
      <w:r w:rsidR="00A23B84">
        <w:rPr>
          <w:rFonts w:hint="eastAsia"/>
          <w:lang w:eastAsia="zh-CN"/>
        </w:rPr>
        <w:t>有关</w:t>
      </w:r>
      <w:r>
        <w:rPr>
          <w:rFonts w:hint="eastAsia"/>
          <w:lang w:eastAsia="zh-CN"/>
        </w:rPr>
        <w:t>上网安全的教育和赋权活动，</w:t>
      </w:r>
      <w:r>
        <w:rPr>
          <w:rFonts w:hint="eastAsia"/>
          <w:lang w:eastAsia="zh-CN"/>
        </w:rPr>
        <w:t>2</w:t>
      </w:r>
      <w:r w:rsidR="002F6492">
        <w:rPr>
          <w:lang w:eastAsia="zh-CN"/>
        </w:rPr>
        <w:t> </w:t>
      </w:r>
      <w:r>
        <w:rPr>
          <w:rFonts w:hint="eastAsia"/>
          <w:lang w:eastAsia="zh-CN"/>
        </w:rPr>
        <w:t>500</w:t>
      </w:r>
      <w:r w:rsidR="00A23B84">
        <w:rPr>
          <w:rFonts w:hint="eastAsia"/>
          <w:lang w:eastAsia="zh-CN"/>
        </w:rPr>
        <w:t>位</w:t>
      </w:r>
      <w:r>
        <w:rPr>
          <w:rFonts w:hint="eastAsia"/>
          <w:lang w:eastAsia="zh-CN"/>
        </w:rPr>
        <w:t>家长和教育工作者以及</w:t>
      </w:r>
      <w:r>
        <w:rPr>
          <w:rFonts w:hint="eastAsia"/>
          <w:lang w:eastAsia="zh-CN"/>
        </w:rPr>
        <w:t>1</w:t>
      </w:r>
      <w:r w:rsidR="002F6492">
        <w:rPr>
          <w:lang w:eastAsia="zh-CN"/>
        </w:rPr>
        <w:t> </w:t>
      </w:r>
      <w:r>
        <w:rPr>
          <w:rFonts w:hint="eastAsia"/>
          <w:lang w:eastAsia="zh-CN"/>
        </w:rPr>
        <w:t>000</w:t>
      </w:r>
      <w:r>
        <w:rPr>
          <w:rFonts w:hint="eastAsia"/>
          <w:lang w:eastAsia="zh-CN"/>
        </w:rPr>
        <w:t>名政府利益攸关方通过讲习班、培训师培训</w:t>
      </w:r>
      <w:r w:rsidR="00A23B84">
        <w:rPr>
          <w:rFonts w:hint="eastAsia"/>
          <w:lang w:eastAsia="zh-CN"/>
        </w:rPr>
        <w:t>（</w:t>
      </w:r>
      <w:r w:rsidR="00A23B84">
        <w:rPr>
          <w:rFonts w:hint="eastAsia"/>
          <w:lang w:eastAsia="zh-CN"/>
        </w:rPr>
        <w:t>ToT</w:t>
      </w:r>
      <w:r w:rsidR="00A23B84">
        <w:rPr>
          <w:rFonts w:hint="eastAsia"/>
          <w:lang w:eastAsia="zh-CN"/>
        </w:rPr>
        <w:t>）</w:t>
      </w:r>
      <w:r>
        <w:rPr>
          <w:rFonts w:hint="eastAsia"/>
          <w:lang w:eastAsia="zh-CN"/>
        </w:rPr>
        <w:t>课程和电子学习计划接受了培训。这些能力建设工作已在国际电联所有区域实施，</w:t>
      </w:r>
      <w:r w:rsidR="00A23B84">
        <w:rPr>
          <w:rFonts w:hint="eastAsia"/>
          <w:lang w:eastAsia="zh-CN"/>
        </w:rPr>
        <w:t>并</w:t>
      </w:r>
      <w:r>
        <w:rPr>
          <w:rFonts w:hint="eastAsia"/>
          <w:lang w:eastAsia="zh-CN"/>
        </w:rPr>
        <w:t>在巴哈马</w:t>
      </w:r>
      <w:r w:rsidR="00A23B84">
        <w:rPr>
          <w:rFonts w:hint="eastAsia"/>
          <w:lang w:eastAsia="zh-CN"/>
        </w:rPr>
        <w:t>、</w:t>
      </w:r>
      <w:r>
        <w:rPr>
          <w:rFonts w:hint="eastAsia"/>
          <w:lang w:eastAsia="zh-CN"/>
        </w:rPr>
        <w:t>哥斯达黎加、厄瓜多尔、吉尔吉斯斯坦、马尔代夫、马拉维、马耳他、密克罗尼西亚、摩洛哥和苏里南</w:t>
      </w:r>
      <w:r w:rsidR="00A23B84">
        <w:rPr>
          <w:rFonts w:hint="eastAsia"/>
          <w:lang w:eastAsia="zh-CN"/>
        </w:rPr>
        <w:t>等国开展了</w:t>
      </w:r>
      <w:r w:rsidR="00A23B84">
        <w:rPr>
          <w:rFonts w:hint="eastAsia"/>
          <w:lang w:eastAsia="zh-CN"/>
        </w:rPr>
        <w:t>ToT</w:t>
      </w:r>
      <w:r w:rsidR="00A23B84">
        <w:rPr>
          <w:rFonts w:hint="eastAsia"/>
          <w:lang w:eastAsia="zh-CN"/>
        </w:rPr>
        <w:t>计划。</w:t>
      </w:r>
      <w:r w:rsidR="00A23B84" w:rsidRPr="00A23B84">
        <w:rPr>
          <w:rFonts w:hint="eastAsia"/>
          <w:lang w:eastAsia="zh-CN"/>
        </w:rPr>
        <w:t>更多国家层面的工作进一步扩大了</w:t>
      </w:r>
      <w:r w:rsidR="00A23B84" w:rsidRPr="00A23B84">
        <w:rPr>
          <w:rFonts w:hint="eastAsia"/>
          <w:lang w:eastAsia="zh-CN"/>
        </w:rPr>
        <w:t>COP</w:t>
      </w:r>
      <w:r w:rsidR="00A23B84" w:rsidRPr="00A23B84">
        <w:rPr>
          <w:rFonts w:hint="eastAsia"/>
          <w:lang w:eastAsia="zh-CN"/>
        </w:rPr>
        <w:t>能力建设的范围</w:t>
      </w:r>
      <w:r w:rsidR="00A23B84">
        <w:rPr>
          <w:rFonts w:hint="eastAsia"/>
          <w:lang w:eastAsia="zh-CN"/>
        </w:rPr>
        <w:t>。</w:t>
      </w:r>
      <w:r w:rsidR="00797EDC">
        <w:rPr>
          <w:rFonts w:hint="eastAsia"/>
          <w:lang w:eastAsia="zh-CN"/>
        </w:rPr>
        <w:t>国际电联</w:t>
      </w:r>
      <w:r>
        <w:rPr>
          <w:rFonts w:hint="eastAsia"/>
          <w:lang w:eastAsia="zh-CN"/>
        </w:rPr>
        <w:t>在厄瓜多尔与</w:t>
      </w:r>
      <w:r>
        <w:rPr>
          <w:rFonts w:hint="eastAsia"/>
          <w:lang w:eastAsia="zh-CN"/>
        </w:rPr>
        <w:t>Scort</w:t>
      </w:r>
      <w:r>
        <w:rPr>
          <w:rFonts w:hint="eastAsia"/>
          <w:lang w:eastAsia="zh-CN"/>
        </w:rPr>
        <w:t>基金会合作，为年轻体育教练举办了一场培训网络研讨会，以提高</w:t>
      </w:r>
      <w:r w:rsidR="00797EDC">
        <w:rPr>
          <w:rFonts w:hint="eastAsia"/>
          <w:lang w:eastAsia="zh-CN"/>
        </w:rPr>
        <w:t>其</w:t>
      </w:r>
      <w:r>
        <w:rPr>
          <w:rFonts w:hint="eastAsia"/>
          <w:lang w:eastAsia="zh-CN"/>
        </w:rPr>
        <w:t>对</w:t>
      </w:r>
      <w:r w:rsidR="00A23B84">
        <w:rPr>
          <w:rFonts w:hint="eastAsia"/>
          <w:lang w:eastAsia="zh-CN"/>
        </w:rPr>
        <w:t>体育领域</w:t>
      </w:r>
      <w:r>
        <w:rPr>
          <w:rFonts w:hint="eastAsia"/>
          <w:lang w:eastAsia="zh-CN"/>
        </w:rPr>
        <w:t>COP</w:t>
      </w:r>
      <w:r>
        <w:rPr>
          <w:rFonts w:hint="eastAsia"/>
          <w:lang w:eastAsia="zh-CN"/>
        </w:rPr>
        <w:t>的认识</w:t>
      </w:r>
      <w:r w:rsidR="00A23B84">
        <w:rPr>
          <w:rFonts w:hint="eastAsia"/>
          <w:lang w:eastAsia="zh-CN"/>
        </w:rPr>
        <w:t>。</w:t>
      </w:r>
      <w:r w:rsidR="00054FAB" w:rsidRPr="00054FAB">
        <w:rPr>
          <w:rFonts w:hint="eastAsia"/>
          <w:lang w:eastAsia="zh-CN"/>
        </w:rPr>
        <w:t>此外，还为厄瓜多尔的决策者、</w:t>
      </w:r>
      <w:r w:rsidR="00054FAB" w:rsidRPr="00054FAB">
        <w:rPr>
          <w:rFonts w:hint="eastAsia"/>
          <w:lang w:eastAsia="zh-CN"/>
        </w:rPr>
        <w:t>ICT</w:t>
      </w:r>
      <w:r w:rsidR="00054FAB" w:rsidRPr="00054FAB">
        <w:rPr>
          <w:rFonts w:hint="eastAsia"/>
          <w:lang w:eastAsia="zh-CN"/>
        </w:rPr>
        <w:t>行业和民间团体举办了培训班</w:t>
      </w:r>
      <w:r w:rsidR="00054FAB">
        <w:rPr>
          <w:rFonts w:hint="eastAsia"/>
          <w:lang w:eastAsia="zh-CN"/>
        </w:rPr>
        <w:t>。</w:t>
      </w:r>
    </w:p>
    <w:p w14:paraId="505375D0" w14:textId="447948A7" w:rsidR="00676B64" w:rsidRDefault="00676B64" w:rsidP="00676B64">
      <w:pPr>
        <w:rPr>
          <w:lang w:eastAsia="zh-CN"/>
        </w:rPr>
      </w:pPr>
      <w:r>
        <w:rPr>
          <w:rFonts w:hint="eastAsia"/>
          <w:lang w:eastAsia="zh-CN"/>
        </w:rPr>
        <w:t>6.6</w:t>
      </w:r>
      <w:r>
        <w:rPr>
          <w:lang w:eastAsia="zh-CN"/>
        </w:rPr>
        <w:tab/>
      </w:r>
      <w:r w:rsidR="00054FAB">
        <w:rPr>
          <w:rFonts w:hint="eastAsia"/>
          <w:lang w:eastAsia="zh-CN"/>
        </w:rPr>
        <w:t>由</w:t>
      </w:r>
      <w:r>
        <w:rPr>
          <w:rFonts w:hint="eastAsia"/>
          <w:lang w:eastAsia="zh-CN"/>
        </w:rPr>
        <w:t>国际电联和联合国</w:t>
      </w:r>
      <w:r w:rsidR="00797EDC">
        <w:rPr>
          <w:rFonts w:hint="eastAsia"/>
          <w:lang w:eastAsia="zh-CN"/>
        </w:rPr>
        <w:t>秘书长</w:t>
      </w:r>
      <w:r>
        <w:rPr>
          <w:rFonts w:hint="eastAsia"/>
          <w:lang w:eastAsia="zh-CN"/>
        </w:rPr>
        <w:t>暴力侵害儿童问题特别代表共同领导的</w:t>
      </w:r>
      <w:r w:rsidR="00797EDC">
        <w:rPr>
          <w:rFonts w:hint="eastAsia"/>
          <w:lang w:eastAsia="zh-CN"/>
        </w:rPr>
        <w:t>“</w:t>
      </w:r>
      <w:r>
        <w:rPr>
          <w:rFonts w:hint="eastAsia"/>
          <w:lang w:eastAsia="zh-CN"/>
        </w:rPr>
        <w:t>通过在线参与提供保护（</w:t>
      </w:r>
      <w:r>
        <w:rPr>
          <w:rFonts w:hint="eastAsia"/>
          <w:lang w:eastAsia="zh-CN"/>
        </w:rPr>
        <w:t>PoP</w:t>
      </w:r>
      <w:r>
        <w:rPr>
          <w:rFonts w:hint="eastAsia"/>
          <w:lang w:eastAsia="zh-CN"/>
        </w:rPr>
        <w:t>）举措</w:t>
      </w:r>
      <w:r w:rsidR="00797EDC">
        <w:rPr>
          <w:rFonts w:hint="eastAsia"/>
          <w:lang w:eastAsia="zh-CN"/>
        </w:rPr>
        <w:t>”</w:t>
      </w:r>
      <w:r w:rsidR="00054FAB">
        <w:rPr>
          <w:rFonts w:hint="eastAsia"/>
          <w:lang w:eastAsia="zh-CN"/>
        </w:rPr>
        <w:t>，</w:t>
      </w:r>
      <w:r>
        <w:rPr>
          <w:rFonts w:hint="eastAsia"/>
          <w:lang w:eastAsia="zh-CN"/>
        </w:rPr>
        <w:t>汇集了来自</w:t>
      </w:r>
      <w:r w:rsidR="00054FAB">
        <w:rPr>
          <w:rFonts w:hint="eastAsia"/>
          <w:lang w:eastAsia="zh-CN"/>
        </w:rPr>
        <w:t>全</w:t>
      </w:r>
      <w:r>
        <w:rPr>
          <w:rFonts w:hint="eastAsia"/>
          <w:lang w:eastAsia="zh-CN"/>
        </w:rPr>
        <w:t>联合国系统、技术平台、民间</w:t>
      </w:r>
      <w:r w:rsidR="00054FAB">
        <w:rPr>
          <w:rFonts w:hint="eastAsia"/>
          <w:lang w:eastAsia="zh-CN"/>
        </w:rPr>
        <w:t>团体</w:t>
      </w:r>
      <w:r>
        <w:rPr>
          <w:rFonts w:hint="eastAsia"/>
          <w:lang w:eastAsia="zh-CN"/>
        </w:rPr>
        <w:t>组织和学术界的</w:t>
      </w:r>
      <w:r>
        <w:rPr>
          <w:rFonts w:hint="eastAsia"/>
          <w:lang w:eastAsia="zh-CN"/>
        </w:rPr>
        <w:t>30</w:t>
      </w:r>
      <w:r>
        <w:rPr>
          <w:rFonts w:hint="eastAsia"/>
          <w:lang w:eastAsia="zh-CN"/>
        </w:rPr>
        <w:t>多个合作伙伴。</w:t>
      </w:r>
      <w:r w:rsidR="00054FAB">
        <w:rPr>
          <w:rFonts w:hint="eastAsia"/>
          <w:lang w:eastAsia="zh-CN"/>
        </w:rPr>
        <w:t>这项</w:t>
      </w:r>
      <w:r>
        <w:rPr>
          <w:rFonts w:hint="eastAsia"/>
          <w:lang w:eastAsia="zh-CN"/>
        </w:rPr>
        <w:t>举措</w:t>
      </w:r>
      <w:r w:rsidR="00054FAB">
        <w:rPr>
          <w:rFonts w:hint="eastAsia"/>
          <w:lang w:eastAsia="zh-CN"/>
        </w:rPr>
        <w:t>正在</w:t>
      </w:r>
      <w:r>
        <w:rPr>
          <w:rFonts w:hint="eastAsia"/>
          <w:lang w:eastAsia="zh-CN"/>
        </w:rPr>
        <w:t>为决策者、儿童帮助热线和技术平台制定指导原则，</w:t>
      </w:r>
      <w:r w:rsidR="00054FAB">
        <w:rPr>
          <w:rFonts w:hint="eastAsia"/>
          <w:lang w:eastAsia="zh-CN"/>
        </w:rPr>
        <w:t>该导则拟于</w:t>
      </w:r>
      <w:r>
        <w:rPr>
          <w:rFonts w:hint="eastAsia"/>
          <w:lang w:eastAsia="zh-CN"/>
        </w:rPr>
        <w:t>2025</w:t>
      </w:r>
      <w:r>
        <w:rPr>
          <w:rFonts w:hint="eastAsia"/>
          <w:lang w:eastAsia="zh-CN"/>
        </w:rPr>
        <w:t>年发布</w:t>
      </w:r>
      <w:r w:rsidR="00054FAB">
        <w:rPr>
          <w:rFonts w:hint="eastAsia"/>
          <w:lang w:eastAsia="zh-CN"/>
        </w:rPr>
        <w:t>。与此同时，</w:t>
      </w:r>
      <w:r>
        <w:rPr>
          <w:rFonts w:hint="eastAsia"/>
          <w:lang w:eastAsia="zh-CN"/>
        </w:rPr>
        <w:t>国际电联正在与儿童权利委员会、联合国儿童基金会</w:t>
      </w:r>
      <w:r w:rsidR="00054FAB">
        <w:rPr>
          <w:rFonts w:hint="eastAsia"/>
          <w:lang w:eastAsia="zh-CN"/>
        </w:rPr>
        <w:t>以及其它</w:t>
      </w:r>
      <w:r>
        <w:rPr>
          <w:rFonts w:hint="eastAsia"/>
          <w:lang w:eastAsia="zh-CN"/>
        </w:rPr>
        <w:t>十多个</w:t>
      </w:r>
      <w:r w:rsidR="00054FAB">
        <w:rPr>
          <w:rFonts w:hint="eastAsia"/>
          <w:lang w:eastAsia="zh-CN"/>
        </w:rPr>
        <w:t>联合</w:t>
      </w:r>
      <w:r>
        <w:rPr>
          <w:rFonts w:hint="eastAsia"/>
          <w:lang w:eastAsia="zh-CN"/>
        </w:rPr>
        <w:t>签</w:t>
      </w:r>
      <w:r w:rsidR="00054FAB">
        <w:rPr>
          <w:rFonts w:hint="eastAsia"/>
          <w:lang w:eastAsia="zh-CN"/>
        </w:rPr>
        <w:t>约</w:t>
      </w:r>
      <w:r>
        <w:rPr>
          <w:rFonts w:hint="eastAsia"/>
          <w:lang w:eastAsia="zh-CN"/>
        </w:rPr>
        <w:t>机构合作，</w:t>
      </w:r>
      <w:r w:rsidR="00054FAB">
        <w:rPr>
          <w:rFonts w:hint="eastAsia"/>
          <w:lang w:eastAsia="zh-CN"/>
        </w:rPr>
        <w:t>最终确定</w:t>
      </w:r>
      <w:r>
        <w:rPr>
          <w:rFonts w:hint="eastAsia"/>
          <w:lang w:eastAsia="zh-CN"/>
        </w:rPr>
        <w:t>一份关于人工智能和保护上网儿童的机构间联合声明</w:t>
      </w:r>
      <w:r w:rsidR="00054FAB">
        <w:rPr>
          <w:rFonts w:hint="eastAsia"/>
          <w:lang w:eastAsia="zh-CN"/>
        </w:rPr>
        <w:t>。该声明</w:t>
      </w:r>
      <w:r>
        <w:rPr>
          <w:rFonts w:hint="eastAsia"/>
          <w:lang w:eastAsia="zh-CN"/>
        </w:rPr>
        <w:t>预计将于</w:t>
      </w:r>
      <w:r>
        <w:rPr>
          <w:rFonts w:hint="eastAsia"/>
          <w:lang w:eastAsia="zh-CN"/>
        </w:rPr>
        <w:t>2025</w:t>
      </w:r>
      <w:r>
        <w:rPr>
          <w:rFonts w:hint="eastAsia"/>
          <w:lang w:eastAsia="zh-CN"/>
        </w:rPr>
        <w:t>年</w:t>
      </w:r>
      <w:r w:rsidR="00054FAB">
        <w:rPr>
          <w:rFonts w:hint="eastAsia"/>
          <w:lang w:eastAsia="zh-CN"/>
        </w:rPr>
        <w:t>由</w:t>
      </w:r>
      <w:r>
        <w:rPr>
          <w:rFonts w:hint="eastAsia"/>
          <w:lang w:eastAsia="zh-CN"/>
        </w:rPr>
        <w:t>委员会通过</w:t>
      </w:r>
      <w:r w:rsidR="00054FAB">
        <w:rPr>
          <w:rFonts w:hint="eastAsia"/>
          <w:lang w:eastAsia="zh-CN"/>
        </w:rPr>
        <w:t>。</w:t>
      </w:r>
    </w:p>
    <w:p w14:paraId="6CF6DDA0" w14:textId="5372C98C" w:rsidR="00676B64" w:rsidRDefault="00676B64" w:rsidP="00676B64">
      <w:pPr>
        <w:rPr>
          <w:lang w:eastAsia="zh-CN"/>
        </w:rPr>
      </w:pPr>
      <w:r>
        <w:rPr>
          <w:rFonts w:hint="eastAsia"/>
          <w:lang w:eastAsia="zh-CN"/>
        </w:rPr>
        <w:t>6.7</w:t>
      </w:r>
      <w:r>
        <w:rPr>
          <w:lang w:eastAsia="zh-CN"/>
        </w:rPr>
        <w:tab/>
      </w:r>
      <w:r>
        <w:rPr>
          <w:rFonts w:hint="eastAsia"/>
          <w:lang w:eastAsia="zh-CN"/>
        </w:rPr>
        <w:t>在研究和创新方面，</w:t>
      </w:r>
      <w:r>
        <w:rPr>
          <w:rFonts w:hint="eastAsia"/>
          <w:lang w:eastAsia="zh-CN"/>
        </w:rPr>
        <w:t>PoP</w:t>
      </w:r>
      <w:r>
        <w:rPr>
          <w:rFonts w:hint="eastAsia"/>
          <w:lang w:eastAsia="zh-CN"/>
        </w:rPr>
        <w:t>举措的调查结果（包括与儿童帮助热线、数字平台</w:t>
      </w:r>
      <w:r w:rsidR="00054FAB">
        <w:rPr>
          <w:rFonts w:hint="eastAsia"/>
          <w:lang w:eastAsia="zh-CN"/>
        </w:rPr>
        <w:t>、</w:t>
      </w:r>
      <w:r>
        <w:rPr>
          <w:rFonts w:hint="eastAsia"/>
          <w:lang w:eastAsia="zh-CN"/>
        </w:rPr>
        <w:t>服务提供商以及儿童和青年的接触）凸显</w:t>
      </w:r>
      <w:r w:rsidR="00054FAB">
        <w:rPr>
          <w:rFonts w:hint="eastAsia"/>
          <w:lang w:eastAsia="zh-CN"/>
        </w:rPr>
        <w:t>出</w:t>
      </w:r>
      <w:r>
        <w:rPr>
          <w:rFonts w:hint="eastAsia"/>
          <w:lang w:eastAsia="zh-CN"/>
        </w:rPr>
        <w:t>数字环境的双重性质</w:t>
      </w:r>
      <w:r w:rsidR="00054FAB">
        <w:rPr>
          <w:rFonts w:hint="eastAsia"/>
          <w:lang w:eastAsia="zh-CN"/>
        </w:rPr>
        <w:t>：既是存在</w:t>
      </w:r>
      <w:r>
        <w:rPr>
          <w:rFonts w:hint="eastAsia"/>
          <w:lang w:eastAsia="zh-CN"/>
        </w:rPr>
        <w:t>潜在危害的空间</w:t>
      </w:r>
      <w:r w:rsidR="00054FAB">
        <w:rPr>
          <w:rFonts w:hint="eastAsia"/>
          <w:lang w:eastAsia="zh-CN"/>
        </w:rPr>
        <w:t>又是</w:t>
      </w:r>
      <w:r>
        <w:rPr>
          <w:rFonts w:hint="eastAsia"/>
          <w:lang w:eastAsia="zh-CN"/>
        </w:rPr>
        <w:t>获得支持的关键渠道。国际电联已于</w:t>
      </w:r>
      <w:r>
        <w:rPr>
          <w:rFonts w:hint="eastAsia"/>
          <w:lang w:eastAsia="zh-CN"/>
        </w:rPr>
        <w:t>2024</w:t>
      </w:r>
      <w:r>
        <w:rPr>
          <w:rFonts w:hint="eastAsia"/>
          <w:lang w:eastAsia="zh-CN"/>
        </w:rPr>
        <w:t>年底与世界卫生组织（</w:t>
      </w:r>
      <w:r>
        <w:rPr>
          <w:rFonts w:hint="eastAsia"/>
          <w:lang w:eastAsia="zh-CN"/>
        </w:rPr>
        <w:t>WHO</w:t>
      </w:r>
      <w:r>
        <w:rPr>
          <w:rFonts w:hint="eastAsia"/>
          <w:lang w:eastAsia="zh-CN"/>
        </w:rPr>
        <w:t>）启动了全球研究合作，以建立一个全球在线安全预防教育和资源网络</w:t>
      </w:r>
      <w:r w:rsidR="002E08E0">
        <w:rPr>
          <w:rFonts w:hint="eastAsia"/>
          <w:lang w:eastAsia="zh-CN"/>
        </w:rPr>
        <w:t>。</w:t>
      </w:r>
      <w:r>
        <w:rPr>
          <w:rFonts w:hint="eastAsia"/>
          <w:lang w:eastAsia="zh-CN"/>
        </w:rPr>
        <w:t>国际电联认识到儿童参与的重要性，</w:t>
      </w:r>
      <w:r w:rsidR="00797EDC">
        <w:rPr>
          <w:rFonts w:hint="eastAsia"/>
          <w:lang w:eastAsia="zh-CN"/>
        </w:rPr>
        <w:t>并于</w:t>
      </w:r>
      <w:r w:rsidR="00797EDC">
        <w:rPr>
          <w:rFonts w:hint="eastAsia"/>
          <w:lang w:eastAsia="zh-CN"/>
        </w:rPr>
        <w:t>2024</w:t>
      </w:r>
      <w:r w:rsidR="00797EDC">
        <w:rPr>
          <w:rFonts w:hint="eastAsia"/>
          <w:lang w:eastAsia="zh-CN"/>
        </w:rPr>
        <w:t>年和</w:t>
      </w:r>
      <w:r w:rsidR="00797EDC">
        <w:rPr>
          <w:rFonts w:hint="eastAsia"/>
          <w:lang w:eastAsia="zh-CN"/>
        </w:rPr>
        <w:t>2025</w:t>
      </w:r>
      <w:r w:rsidR="00797EDC">
        <w:rPr>
          <w:rFonts w:hint="eastAsia"/>
          <w:lang w:eastAsia="zh-CN"/>
        </w:rPr>
        <w:t>年</w:t>
      </w:r>
      <w:r>
        <w:rPr>
          <w:rFonts w:hint="eastAsia"/>
          <w:lang w:eastAsia="zh-CN"/>
        </w:rPr>
        <w:t>在印度尼西亚、马拉维和黎巴嫩建立了儿童任务组，使儿童能够直接为国家</w:t>
      </w:r>
      <w:r>
        <w:rPr>
          <w:rFonts w:hint="eastAsia"/>
          <w:lang w:eastAsia="zh-CN"/>
        </w:rPr>
        <w:t>COP</w:t>
      </w:r>
      <w:r>
        <w:rPr>
          <w:rFonts w:hint="eastAsia"/>
          <w:lang w:eastAsia="zh-CN"/>
        </w:rPr>
        <w:t>战略的制定做出贡献</w:t>
      </w:r>
      <w:r w:rsidR="002E08E0">
        <w:rPr>
          <w:rFonts w:hint="eastAsia"/>
          <w:lang w:eastAsia="zh-CN"/>
        </w:rPr>
        <w:t>。</w:t>
      </w:r>
    </w:p>
    <w:p w14:paraId="09EAD505" w14:textId="77777777" w:rsidR="002F6492" w:rsidRDefault="002F6492" w:rsidP="00676B64">
      <w:pPr>
        <w:jc w:val="center"/>
        <w:rPr>
          <w:lang w:eastAsia="zh-CN"/>
        </w:rPr>
      </w:pPr>
    </w:p>
    <w:p w14:paraId="16EBBA34" w14:textId="1F513855" w:rsidR="00E323D0" w:rsidRPr="00E323D0" w:rsidRDefault="00E323D0" w:rsidP="00676B64">
      <w:pPr>
        <w:jc w:val="center"/>
        <w:rPr>
          <w:lang w:eastAsia="zh-CN"/>
        </w:rPr>
      </w:pPr>
      <w:r>
        <w:rPr>
          <w:lang w:eastAsia="zh-CN"/>
        </w:rPr>
        <w:t>______________</w:t>
      </w:r>
    </w:p>
    <w:sectPr w:rsidR="00E323D0" w:rsidRPr="00E323D0" w:rsidSect="00E24D59">
      <w:footerReference w:type="default" r:id="rId58"/>
      <w:headerReference w:type="first" r:id="rId59"/>
      <w:footerReference w:type="first" r:id="rId6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D57C2" w14:textId="77777777" w:rsidR="005361D5" w:rsidRDefault="005361D5">
      <w:r>
        <w:separator/>
      </w:r>
    </w:p>
  </w:endnote>
  <w:endnote w:type="continuationSeparator" w:id="0">
    <w:p w14:paraId="64604AE3" w14:textId="77777777" w:rsidR="005361D5" w:rsidRDefault="0053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52A73BD1" w14:textId="77777777" w:rsidTr="00E31DCE">
      <w:trPr>
        <w:jc w:val="center"/>
      </w:trPr>
      <w:tc>
        <w:tcPr>
          <w:tcW w:w="1803" w:type="dxa"/>
          <w:vAlign w:val="center"/>
        </w:tcPr>
        <w:p w14:paraId="118DA59E" w14:textId="4E742054" w:rsidR="00E24D59" w:rsidRPr="005361D5"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5361D5">
            <w:rPr>
              <w:rFonts w:eastAsiaTheme="minorEastAsia" w:hint="eastAsia"/>
              <w:noProof/>
              <w:color w:val="808080" w:themeColor="background1" w:themeShade="80"/>
              <w:lang w:eastAsia="zh-CN"/>
            </w:rPr>
            <w:t>2501097</w:t>
          </w:r>
        </w:p>
      </w:tc>
      <w:tc>
        <w:tcPr>
          <w:tcW w:w="8261" w:type="dxa"/>
        </w:tcPr>
        <w:p w14:paraId="02174B0F" w14:textId="4ADB9CF2"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5361D5">
            <w:rPr>
              <w:rFonts w:eastAsiaTheme="minorEastAsia" w:hint="eastAsia"/>
              <w:bCs/>
              <w:color w:val="808080" w:themeColor="background1" w:themeShade="80"/>
              <w:lang w:eastAsia="zh-CN"/>
            </w:rPr>
            <w:t>18</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74AE91B3"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35BE4B55" w14:textId="77777777" w:rsidTr="00E31DCE">
      <w:trPr>
        <w:jc w:val="center"/>
      </w:trPr>
      <w:tc>
        <w:tcPr>
          <w:tcW w:w="1803" w:type="dxa"/>
          <w:vAlign w:val="center"/>
        </w:tcPr>
        <w:p w14:paraId="7BD50C27"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7403858" w14:textId="03EA1AC0"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5361D5">
            <w:rPr>
              <w:rFonts w:eastAsiaTheme="minorEastAsia" w:hint="eastAsia"/>
              <w:bCs/>
              <w:color w:val="808080" w:themeColor="background1" w:themeShade="80"/>
              <w:lang w:eastAsia="zh-CN"/>
            </w:rPr>
            <w:t>18</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605CBAA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D90A" w14:textId="77777777" w:rsidR="005361D5" w:rsidRDefault="005361D5">
      <w:r>
        <w:t>____________________</w:t>
      </w:r>
    </w:p>
  </w:footnote>
  <w:footnote w:type="continuationSeparator" w:id="0">
    <w:p w14:paraId="4F028DB2" w14:textId="77777777" w:rsidR="005361D5" w:rsidRDefault="00536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2C49AED9" w14:textId="77777777" w:rsidTr="00E31DCE">
      <w:trPr>
        <w:trHeight w:val="1104"/>
        <w:jc w:val="center"/>
      </w:trPr>
      <w:tc>
        <w:tcPr>
          <w:tcW w:w="4390" w:type="dxa"/>
          <w:vAlign w:val="center"/>
        </w:tcPr>
        <w:p w14:paraId="0B95304B"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5F000EFE" wp14:editId="204C1DB6">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756A7553" w14:textId="77777777" w:rsidR="00E24D59" w:rsidRDefault="00E24D59" w:rsidP="00E24D59">
          <w:pPr>
            <w:pStyle w:val="Header"/>
            <w:jc w:val="right"/>
            <w:rPr>
              <w:rFonts w:ascii="Arial" w:hAnsi="Arial" w:cs="Arial"/>
              <w:b/>
              <w:bCs/>
              <w:color w:val="009CD6"/>
              <w:szCs w:val="18"/>
            </w:rPr>
          </w:pPr>
        </w:p>
        <w:p w14:paraId="1023E751" w14:textId="77777777" w:rsidR="00E24D59" w:rsidRDefault="00E24D59" w:rsidP="00E24D59">
          <w:pPr>
            <w:pStyle w:val="Header"/>
            <w:jc w:val="right"/>
            <w:rPr>
              <w:rFonts w:ascii="Arial" w:hAnsi="Arial" w:cs="Arial"/>
              <w:b/>
              <w:bCs/>
              <w:color w:val="009CD6"/>
              <w:szCs w:val="18"/>
            </w:rPr>
          </w:pPr>
        </w:p>
        <w:p w14:paraId="4C6DD322"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21C5791A"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31C9720" wp14:editId="1ADE6F75">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8D8B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D5"/>
    <w:rsid w:val="00001B77"/>
    <w:rsid w:val="0000517A"/>
    <w:rsid w:val="00031E72"/>
    <w:rsid w:val="000404D2"/>
    <w:rsid w:val="00054FAB"/>
    <w:rsid w:val="000646BD"/>
    <w:rsid w:val="00073689"/>
    <w:rsid w:val="000853C0"/>
    <w:rsid w:val="00093DD9"/>
    <w:rsid w:val="0009409E"/>
    <w:rsid w:val="000A1C21"/>
    <w:rsid w:val="000C0BC5"/>
    <w:rsid w:val="000C6F53"/>
    <w:rsid w:val="000D15EA"/>
    <w:rsid w:val="000D7012"/>
    <w:rsid w:val="00100D84"/>
    <w:rsid w:val="00124C9D"/>
    <w:rsid w:val="001305DE"/>
    <w:rsid w:val="001517F4"/>
    <w:rsid w:val="0015333E"/>
    <w:rsid w:val="00157773"/>
    <w:rsid w:val="0018251A"/>
    <w:rsid w:val="00190272"/>
    <w:rsid w:val="00193244"/>
    <w:rsid w:val="00195C6C"/>
    <w:rsid w:val="00195FED"/>
    <w:rsid w:val="001A4BD6"/>
    <w:rsid w:val="001B6E2B"/>
    <w:rsid w:val="001D5A18"/>
    <w:rsid w:val="00215132"/>
    <w:rsid w:val="00224449"/>
    <w:rsid w:val="002470A1"/>
    <w:rsid w:val="00280EB8"/>
    <w:rsid w:val="002A6670"/>
    <w:rsid w:val="002C3F32"/>
    <w:rsid w:val="002E08E0"/>
    <w:rsid w:val="002F6492"/>
    <w:rsid w:val="00303502"/>
    <w:rsid w:val="00325C25"/>
    <w:rsid w:val="00372C8F"/>
    <w:rsid w:val="00380ECE"/>
    <w:rsid w:val="00393DDF"/>
    <w:rsid w:val="00397F55"/>
    <w:rsid w:val="003B4454"/>
    <w:rsid w:val="003C2E37"/>
    <w:rsid w:val="003F086E"/>
    <w:rsid w:val="003F1415"/>
    <w:rsid w:val="0040144C"/>
    <w:rsid w:val="00403EB7"/>
    <w:rsid w:val="004178E6"/>
    <w:rsid w:val="00430BF0"/>
    <w:rsid w:val="004672E6"/>
    <w:rsid w:val="00474ED1"/>
    <w:rsid w:val="00477D57"/>
    <w:rsid w:val="004805A1"/>
    <w:rsid w:val="00491BA9"/>
    <w:rsid w:val="00492BC9"/>
    <w:rsid w:val="00493085"/>
    <w:rsid w:val="004A36EC"/>
    <w:rsid w:val="004D163F"/>
    <w:rsid w:val="004E4BFF"/>
    <w:rsid w:val="004E69CF"/>
    <w:rsid w:val="004F2598"/>
    <w:rsid w:val="0051624F"/>
    <w:rsid w:val="005361D5"/>
    <w:rsid w:val="005403F7"/>
    <w:rsid w:val="00540632"/>
    <w:rsid w:val="00541CF4"/>
    <w:rsid w:val="005451E8"/>
    <w:rsid w:val="005507F2"/>
    <w:rsid w:val="005759CC"/>
    <w:rsid w:val="005A72E1"/>
    <w:rsid w:val="005C6632"/>
    <w:rsid w:val="005D1C9E"/>
    <w:rsid w:val="00630DD5"/>
    <w:rsid w:val="00637584"/>
    <w:rsid w:val="00646FD4"/>
    <w:rsid w:val="00654257"/>
    <w:rsid w:val="0065435A"/>
    <w:rsid w:val="00670D8A"/>
    <w:rsid w:val="00676B64"/>
    <w:rsid w:val="006A2DD3"/>
    <w:rsid w:val="006A5113"/>
    <w:rsid w:val="006A5AF8"/>
    <w:rsid w:val="006C36CD"/>
    <w:rsid w:val="00700D1F"/>
    <w:rsid w:val="007205CB"/>
    <w:rsid w:val="0072138B"/>
    <w:rsid w:val="00726073"/>
    <w:rsid w:val="00734FE8"/>
    <w:rsid w:val="007360CE"/>
    <w:rsid w:val="0077110E"/>
    <w:rsid w:val="00772315"/>
    <w:rsid w:val="00775157"/>
    <w:rsid w:val="007813AE"/>
    <w:rsid w:val="00797EDC"/>
    <w:rsid w:val="007A33A1"/>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B3B26"/>
    <w:rsid w:val="008F64AD"/>
    <w:rsid w:val="00911230"/>
    <w:rsid w:val="00911867"/>
    <w:rsid w:val="009164A9"/>
    <w:rsid w:val="009258CB"/>
    <w:rsid w:val="0093362E"/>
    <w:rsid w:val="00944563"/>
    <w:rsid w:val="00953160"/>
    <w:rsid w:val="009625D8"/>
    <w:rsid w:val="00983878"/>
    <w:rsid w:val="0098459B"/>
    <w:rsid w:val="00997185"/>
    <w:rsid w:val="009C2458"/>
    <w:rsid w:val="009C4A7B"/>
    <w:rsid w:val="009C6123"/>
    <w:rsid w:val="009F1E3E"/>
    <w:rsid w:val="00A1213C"/>
    <w:rsid w:val="00A13406"/>
    <w:rsid w:val="00A23B84"/>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9445B"/>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214D"/>
    <w:rsid w:val="00D453EE"/>
    <w:rsid w:val="00D5666C"/>
    <w:rsid w:val="00D666BC"/>
    <w:rsid w:val="00D73FE4"/>
    <w:rsid w:val="00D83542"/>
    <w:rsid w:val="00D92F45"/>
    <w:rsid w:val="00D94637"/>
    <w:rsid w:val="00D9725C"/>
    <w:rsid w:val="00DA0E66"/>
    <w:rsid w:val="00DA4704"/>
    <w:rsid w:val="00DA7006"/>
    <w:rsid w:val="00DB3621"/>
    <w:rsid w:val="00DC1593"/>
    <w:rsid w:val="00DC6427"/>
    <w:rsid w:val="00DD62F5"/>
    <w:rsid w:val="00DD66A1"/>
    <w:rsid w:val="00DE196D"/>
    <w:rsid w:val="00DF6B49"/>
    <w:rsid w:val="00E067C5"/>
    <w:rsid w:val="00E24D59"/>
    <w:rsid w:val="00E265BF"/>
    <w:rsid w:val="00E323D0"/>
    <w:rsid w:val="00E34C96"/>
    <w:rsid w:val="00E378D8"/>
    <w:rsid w:val="00E43A12"/>
    <w:rsid w:val="00E67C67"/>
    <w:rsid w:val="00E77476"/>
    <w:rsid w:val="00E8228B"/>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 w:val="00FC57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86021"/>
  <w15:docId w15:val="{7A7E734B-7846-403E-9288-60C79780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5361D5"/>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181-C.pdf" TargetMode="External"/><Relationship Id="rId18" Type="http://schemas.openxmlformats.org/officeDocument/2006/relationships/hyperlink" Target="https://www.itu.int/pub/T-RES-T.50-2022" TargetMode="External"/><Relationship Id="rId26" Type="http://schemas.openxmlformats.org/officeDocument/2006/relationships/hyperlink" Target="https://www.itu.int/md/S19-CL-C-0018/en" TargetMode="External"/><Relationship Id="rId39" Type="http://schemas.openxmlformats.org/officeDocument/2006/relationships/hyperlink" Target="https://www.itu.int/en/ITU-D/Cybersecurity/Pages/national-CIRT.aspx" TargetMode="External"/><Relationship Id="rId21" Type="http://schemas.openxmlformats.org/officeDocument/2006/relationships/hyperlink" Target="https://www.itu.int/pub/T-RES-T.58-2022" TargetMode="External"/><Relationship Id="rId34" Type="http://schemas.openxmlformats.org/officeDocument/2006/relationships/hyperlink" Target="https://www.itu.int/itu-t/workprog/wp_search.aspx?sg=17" TargetMode="External"/><Relationship Id="rId42" Type="http://schemas.openxmlformats.org/officeDocument/2006/relationships/hyperlink" Target="https://ncsguide.org/" TargetMode="External"/><Relationship Id="rId47" Type="http://schemas.openxmlformats.org/officeDocument/2006/relationships/hyperlink" Target="https://www.itu.int/en/ITU-D/Cybersecurity/Pages/Cyber4Good/Cyber4Good.aspx" TargetMode="External"/><Relationship Id="rId50" Type="http://schemas.openxmlformats.org/officeDocument/2006/relationships/hyperlink" Target="https://www.itu.int/md/S23-CL-C-0124/en" TargetMode="External"/><Relationship Id="rId55" Type="http://schemas.openxmlformats.org/officeDocument/2006/relationships/hyperlink" Target="https://meetings.unoda.org/meeting/5787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dms_pub/itu-d/opb/tdc/D-TDC-WTDC-2022-PDF-C.pdf" TargetMode="External"/><Relationship Id="rId29" Type="http://schemas.openxmlformats.org/officeDocument/2006/relationships/hyperlink" Target="https://www.itu.int/md/S22-CL-C-0018/en" TargetMode="External"/><Relationship Id="rId11" Type="http://schemas.openxmlformats.org/officeDocument/2006/relationships/hyperlink" Target="https://www.itu.int/en/council/Documents/basic-texts-2023/RES-179-C.pdf" TargetMode="External"/><Relationship Id="rId24" Type="http://schemas.openxmlformats.org/officeDocument/2006/relationships/hyperlink" Target="https://www.itu.int/md/S17-CL-C-0018/en" TargetMode="External"/><Relationship Id="rId32" Type="http://schemas.openxmlformats.org/officeDocument/2006/relationships/hyperlink" Target="http://www.itu.int/en/ITU-D/Cybersecurity/Pages/Legal-Measures.aspx" TargetMode="External"/><Relationship Id="rId37" Type="http://schemas.openxmlformats.org/officeDocument/2006/relationships/hyperlink" Target="https://www.itu.int/pub/R-REC/zh" TargetMode="External"/><Relationship Id="rId40" Type="http://schemas.openxmlformats.org/officeDocument/2006/relationships/hyperlink" Target="https://www.itu.int/en/ITU-D/Cybersecurity/Pages/cyberdrills.aspx" TargetMode="External"/><Relationship Id="rId45" Type="http://schemas.openxmlformats.org/officeDocument/2006/relationships/hyperlink" Target="https://www.itu.int/en/ITU-D/Cybersecurity/Pages/global-cybersecurity-index.aspx" TargetMode="External"/><Relationship Id="rId53" Type="http://schemas.openxmlformats.org/officeDocument/2006/relationships/hyperlink" Target="https://www.itu.int/net4/wsis/forum/2024/Agenda/Session/170"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itu.int/pub/T-RES-T.52-2022" TargetMode="External"/><Relationship Id="rId14" Type="http://schemas.openxmlformats.org/officeDocument/2006/relationships/hyperlink" Target="http://www.itu.int/pub/S-CONF-WCIT-2012/en" TargetMode="External"/><Relationship Id="rId22" Type="http://schemas.openxmlformats.org/officeDocument/2006/relationships/hyperlink" Target="http://www.itu.int/md/S15-CL-C-0018/en" TargetMode="External"/><Relationship Id="rId27" Type="http://schemas.openxmlformats.org/officeDocument/2006/relationships/hyperlink" Target="https://www.itu.int/md/S20-CL-C-0018/en" TargetMode="External"/><Relationship Id="rId30" Type="http://schemas.openxmlformats.org/officeDocument/2006/relationships/hyperlink" Target="https://www.itu.int/md/S23-CL-C-0038/en" TargetMode="External"/><Relationship Id="rId35" Type="http://schemas.openxmlformats.org/officeDocument/2006/relationships/hyperlink" Target="https://www.itu.int/zh/ITU-T/publications/Pages/recs.aspx" TargetMode="External"/><Relationship Id="rId43"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48" Type="http://schemas.openxmlformats.org/officeDocument/2006/relationships/hyperlink" Target="https://www.itu.int/hub/publication/d-phcb-cyb_educ-2024/" TargetMode="External"/><Relationship Id="rId56" Type="http://schemas.openxmlformats.org/officeDocument/2006/relationships/hyperlink" Target="https://www.itu.int/digital-resilience/submarine-cables/advisory-body/" TargetMode="External"/><Relationship Id="rId8" Type="http://schemas.openxmlformats.org/officeDocument/2006/relationships/hyperlink" Target="https://www.itu.int/en/council/Documents/basic-texts-2023/RES-071-C.pdf" TargetMode="External"/><Relationship Id="rId51" Type="http://schemas.openxmlformats.org/officeDocument/2006/relationships/hyperlink" Target="https://www.itu.int/en/ITU-D/Cybersecurity/Pages/Council/CD630/Global-Cybersecurity-Knowledgebase.aspx" TargetMode="External"/><Relationship Id="rId3" Type="http://schemas.openxmlformats.org/officeDocument/2006/relationships/styles" Target="styles.xml"/><Relationship Id="rId12" Type="http://schemas.openxmlformats.org/officeDocument/2006/relationships/hyperlink" Target="https://www.itu.int/en/council/Documents/basic-texts-2023/RES-174-C.pdf" TargetMode="External"/><Relationship Id="rId17" Type="http://schemas.openxmlformats.org/officeDocument/2006/relationships/hyperlink" Target="https://www.itu.int/md/D14-WTDC17-C-0115/en" TargetMode="External"/><Relationship Id="rId25" Type="http://schemas.openxmlformats.org/officeDocument/2006/relationships/hyperlink" Target="https://www.itu.int/md/S18-CL-C-0018/en" TargetMode="External"/><Relationship Id="rId33" Type="http://schemas.openxmlformats.org/officeDocument/2006/relationships/hyperlink" Target="https://www.itu.int/zh/ITU-T/studygroups/2022-2024/17/Pages/default.aspx" TargetMode="External"/><Relationship Id="rId38" Type="http://schemas.openxmlformats.org/officeDocument/2006/relationships/hyperlink" Target="https://www.itu.int/en/ITU-R/study-groups/rsg5/rwp5d/imt-2020/Pages/default.aspx" TargetMode="External"/><Relationship Id="rId46" Type="http://schemas.openxmlformats.org/officeDocument/2006/relationships/hyperlink" Target="https://www.itu.int/en/ITU-D/Cybersecurity/Pages/Women-in-Cyber/HerCyberTracks/Her-CyberTracks.aspx" TargetMode="External"/><Relationship Id="rId59" Type="http://schemas.openxmlformats.org/officeDocument/2006/relationships/header" Target="header1.xml"/><Relationship Id="rId20" Type="http://schemas.openxmlformats.org/officeDocument/2006/relationships/hyperlink" Target="https://www.itu.int/pub/T-RES-T.75-2022" TargetMode="External"/><Relationship Id="rId41" Type="http://schemas.openxmlformats.org/officeDocument/2006/relationships/hyperlink" Target="https://www.itu.int/net4/ITU-D/CDS/sg/rgqlist.asp?lg=5&amp;sp=2014&amp;rgq=D14-SG02-RGQ03.2&amp;stg=2" TargetMode="External"/><Relationship Id="rId54" Type="http://schemas.openxmlformats.org/officeDocument/2006/relationships/hyperlink" Target="https://www.itu.int/net4/wsis/forum/202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CL-C-0109/en" TargetMode="External"/><Relationship Id="rId23" Type="http://schemas.openxmlformats.org/officeDocument/2006/relationships/hyperlink" Target="https://www.itu.int/md/S16-CL-C-0018/en" TargetMode="External"/><Relationship Id="rId28" Type="http://schemas.openxmlformats.org/officeDocument/2006/relationships/hyperlink" Target="https://www.itu.int/md/S21-CL-C-0018/en" TargetMode="External"/><Relationship Id="rId36" Type="http://schemas.openxmlformats.org/officeDocument/2006/relationships/hyperlink" Target="https://itu.int/go/SIG-SECURITY" TargetMode="External"/><Relationship Id="rId49" Type="http://schemas.openxmlformats.org/officeDocument/2006/relationships/hyperlink" Target="http://www.itu.int/en/ITU-D/Cybersecurity/Pages/partnership.aspx" TargetMode="External"/><Relationship Id="rId57" Type="http://schemas.openxmlformats.org/officeDocument/2006/relationships/hyperlink" Target="https://www.itu.int/digital-resilience/submarine-cables/events/about-nigeria-summit/" TargetMode="External"/><Relationship Id="rId10" Type="http://schemas.openxmlformats.org/officeDocument/2006/relationships/hyperlink" Target="https://www.itu.int/en/council/Documents/basic-texts-2023/RES-140-C.pdf" TargetMode="External"/><Relationship Id="rId31" Type="http://schemas.openxmlformats.org/officeDocument/2006/relationships/hyperlink" Target="https://www.itu.int/md/S24-CL-C-0018/en" TargetMode="External"/><Relationship Id="rId44" Type="http://schemas.openxmlformats.org/officeDocument/2006/relationships/hyperlink" Target="https://www.itu.int/en/ITU-D/Cybersecurity/Pages/cybersecurity-national-strategies.aspx" TargetMode="External"/><Relationship Id="rId52" Type="http://schemas.openxmlformats.org/officeDocument/2006/relationships/hyperlink" Target="https://www.itu.int/net4/wsis/forum/2024/en"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2023/RES-130-C.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0</TotalTime>
  <Pages>5</Pages>
  <Words>4361</Words>
  <Characters>4543</Characters>
  <Application>Microsoft Office Word</Application>
  <DocSecurity>0</DocSecurity>
  <Lines>151</Lines>
  <Paragraphs>93</Paragraphs>
  <ScaleCrop>false</ScaleCrop>
  <HeadingPairs>
    <vt:vector size="2" baseType="variant">
      <vt:variant>
        <vt:lpstr>Title</vt:lpstr>
      </vt:variant>
      <vt:variant>
        <vt:i4>1</vt:i4>
      </vt:variant>
    </vt:vector>
  </HeadingPairs>
  <TitlesOfParts>
    <vt:vector size="1" baseType="lpstr">
      <vt:lpstr>ITU activities on strengthening the role of ITU in building confidence and security in the use of Information and Communication Technologies</vt:lpstr>
    </vt:vector>
  </TitlesOfParts>
  <Manager>General Secretariat - Pool</Manager>
  <Company>International Telecommunication Union (ITU)</Company>
  <LinksUpToDate>false</LinksUpToDate>
  <CharactersWithSpaces>8811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Information and Communication Technologies</dc:title>
  <dc:subject>ITU Council 2025</dc:subject>
  <cp:keywords>C2025, C25, Council-25</cp:keywords>
  <dc:description/>
  <cp:lastPrinted>2015-02-24T13:23:00Z</cp:lastPrinted>
  <dcterms:created xsi:type="dcterms:W3CDTF">2025-05-23T15:02:00Z</dcterms:created>
  <dcterms:modified xsi:type="dcterms:W3CDTF">2025-05-23T15:02:00Z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