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1" w:rightFromText="181" w:vertAnchor="page" w:horzAnchor="page" w:tblpX="1821" w:tblpY="2314"/>
        <w:tblW w:w="9214" w:type="dxa"/>
        <w:tblLayout w:type="fixed"/>
        <w:tblLook w:val="0000" w:firstRow="0" w:lastRow="0" w:firstColumn="0" w:lastColumn="0" w:noHBand="0" w:noVBand="0"/>
      </w:tblPr>
      <w:tblGrid>
        <w:gridCol w:w="3969"/>
        <w:gridCol w:w="5245"/>
      </w:tblGrid>
      <w:tr w:rsidR="00FE57F6" w:rsidRPr="00BB6FD8" w14:paraId="09A4E25B" w14:textId="77777777" w:rsidTr="00C538FC">
        <w:trPr>
          <w:cantSplit/>
          <w:trHeight w:val="23"/>
        </w:trPr>
        <w:tc>
          <w:tcPr>
            <w:tcW w:w="3969" w:type="dxa"/>
            <w:vMerge w:val="restart"/>
            <w:tcMar>
              <w:left w:w="0" w:type="dxa"/>
            </w:tcMar>
          </w:tcPr>
          <w:p w14:paraId="679A0B6B" w14:textId="2288EC45" w:rsidR="00FE57F6" w:rsidRPr="00BB6FD8" w:rsidRDefault="00130ECE" w:rsidP="00C538FC">
            <w:pPr>
              <w:tabs>
                <w:tab w:val="left" w:pos="851"/>
              </w:tabs>
              <w:spacing w:before="0" w:line="240" w:lineRule="atLeast"/>
              <w:rPr>
                <w:b/>
              </w:rPr>
            </w:pPr>
            <w:bookmarkStart w:id="0" w:name="_Hlk133421839"/>
            <w:r>
              <w:rPr>
                <w:b/>
              </w:rPr>
              <w:t>Punto del o</w:t>
            </w:r>
            <w:r w:rsidR="00BB6FD8" w:rsidRPr="00BB6FD8">
              <w:rPr>
                <w:b/>
              </w:rPr>
              <w:t>rden del día</w:t>
            </w:r>
            <w:r w:rsidR="00FE57F6" w:rsidRPr="00BB6FD8">
              <w:rPr>
                <w:b/>
              </w:rPr>
              <w:t xml:space="preserve">: </w:t>
            </w:r>
            <w:r w:rsidR="00F90DA8">
              <w:rPr>
                <w:b/>
              </w:rPr>
              <w:t>ADM 1</w:t>
            </w:r>
          </w:p>
        </w:tc>
        <w:tc>
          <w:tcPr>
            <w:tcW w:w="5245" w:type="dxa"/>
          </w:tcPr>
          <w:p w14:paraId="1BB4FEEF" w14:textId="3390BEC6" w:rsidR="00FE57F6" w:rsidRPr="00BB6FD8" w:rsidRDefault="00FE57F6" w:rsidP="00C538FC">
            <w:pPr>
              <w:tabs>
                <w:tab w:val="left" w:pos="851"/>
              </w:tabs>
              <w:spacing w:before="0" w:line="240" w:lineRule="atLeast"/>
              <w:jc w:val="right"/>
              <w:rPr>
                <w:b/>
              </w:rPr>
            </w:pPr>
            <w:r w:rsidRPr="00BB6FD8">
              <w:rPr>
                <w:b/>
              </w:rPr>
              <w:t>Document</w:t>
            </w:r>
            <w:r w:rsidR="00F24B71" w:rsidRPr="00BB6FD8">
              <w:rPr>
                <w:b/>
              </w:rPr>
              <w:t>o</w:t>
            </w:r>
            <w:r w:rsidRPr="00BB6FD8">
              <w:rPr>
                <w:b/>
              </w:rPr>
              <w:t xml:space="preserve"> C2</w:t>
            </w:r>
            <w:r w:rsidR="00BB6FD8" w:rsidRPr="00BB6FD8">
              <w:rPr>
                <w:b/>
              </w:rPr>
              <w:t>5</w:t>
            </w:r>
            <w:r w:rsidRPr="00BB6FD8">
              <w:rPr>
                <w:b/>
              </w:rPr>
              <w:t>/</w:t>
            </w:r>
            <w:r w:rsidR="00130ECE">
              <w:rPr>
                <w:b/>
              </w:rPr>
              <w:t>16</w:t>
            </w:r>
            <w:r w:rsidRPr="00BB6FD8">
              <w:rPr>
                <w:b/>
              </w:rPr>
              <w:t>-</w:t>
            </w:r>
            <w:r w:rsidR="00F24B71" w:rsidRPr="00BB6FD8">
              <w:rPr>
                <w:b/>
              </w:rPr>
              <w:t>S</w:t>
            </w:r>
          </w:p>
        </w:tc>
      </w:tr>
      <w:tr w:rsidR="00FE57F6" w:rsidRPr="00666D09" w14:paraId="4098E831" w14:textId="77777777" w:rsidTr="00C538FC">
        <w:trPr>
          <w:cantSplit/>
        </w:trPr>
        <w:tc>
          <w:tcPr>
            <w:tcW w:w="3969" w:type="dxa"/>
            <w:vMerge/>
          </w:tcPr>
          <w:p w14:paraId="158C7422" w14:textId="77777777" w:rsidR="00FE57F6" w:rsidRPr="00BB6FD8" w:rsidRDefault="00FE57F6" w:rsidP="00C538FC">
            <w:pPr>
              <w:tabs>
                <w:tab w:val="left" w:pos="851"/>
              </w:tabs>
              <w:spacing w:line="240" w:lineRule="atLeast"/>
              <w:rPr>
                <w:b/>
              </w:rPr>
            </w:pPr>
          </w:p>
        </w:tc>
        <w:tc>
          <w:tcPr>
            <w:tcW w:w="5245" w:type="dxa"/>
          </w:tcPr>
          <w:p w14:paraId="4850033C" w14:textId="7EB2D65F" w:rsidR="00FE57F6" w:rsidRPr="00666D09" w:rsidRDefault="00E354E8" w:rsidP="00C538FC">
            <w:pPr>
              <w:tabs>
                <w:tab w:val="left" w:pos="851"/>
              </w:tabs>
              <w:spacing w:before="0"/>
              <w:jc w:val="right"/>
              <w:rPr>
                <w:b/>
                <w:lang w:val="en-GB"/>
              </w:rPr>
            </w:pPr>
            <w:r>
              <w:rPr>
                <w:b/>
              </w:rPr>
              <w:t>17</w:t>
            </w:r>
            <w:r w:rsidR="00130ECE">
              <w:rPr>
                <w:b/>
              </w:rPr>
              <w:t xml:space="preserve"> de </w:t>
            </w:r>
            <w:r>
              <w:rPr>
                <w:b/>
              </w:rPr>
              <w:t xml:space="preserve">abril </w:t>
            </w:r>
            <w:r w:rsidR="00130ECE">
              <w:rPr>
                <w:b/>
              </w:rPr>
              <w:t>de 2025</w:t>
            </w:r>
          </w:p>
        </w:tc>
      </w:tr>
      <w:tr w:rsidR="00FE57F6" w:rsidRPr="00BB6FD8" w14:paraId="4C4F4B58" w14:textId="77777777" w:rsidTr="00C538FC">
        <w:trPr>
          <w:cantSplit/>
          <w:trHeight w:val="23"/>
        </w:trPr>
        <w:tc>
          <w:tcPr>
            <w:tcW w:w="3969" w:type="dxa"/>
            <w:vMerge/>
          </w:tcPr>
          <w:p w14:paraId="45108002" w14:textId="77777777" w:rsidR="00FE57F6" w:rsidRPr="00666D09" w:rsidRDefault="00FE57F6" w:rsidP="00C538FC">
            <w:pPr>
              <w:tabs>
                <w:tab w:val="left" w:pos="851"/>
              </w:tabs>
              <w:spacing w:line="240" w:lineRule="atLeast"/>
              <w:rPr>
                <w:b/>
                <w:lang w:val="en-GB"/>
              </w:rPr>
            </w:pPr>
          </w:p>
        </w:tc>
        <w:tc>
          <w:tcPr>
            <w:tcW w:w="5245" w:type="dxa"/>
          </w:tcPr>
          <w:p w14:paraId="250BAF42" w14:textId="77777777" w:rsidR="00FE57F6" w:rsidRPr="00BB6FD8" w:rsidRDefault="00F24B71" w:rsidP="00C538FC">
            <w:pPr>
              <w:tabs>
                <w:tab w:val="left" w:pos="851"/>
              </w:tabs>
              <w:spacing w:before="0" w:line="240" w:lineRule="atLeast"/>
              <w:jc w:val="right"/>
              <w:rPr>
                <w:b/>
                <w:bCs/>
              </w:rPr>
            </w:pPr>
            <w:r w:rsidRPr="00BB6FD8">
              <w:rPr>
                <w:rFonts w:cstheme="minorHAnsi"/>
                <w:b/>
                <w:bCs/>
              </w:rPr>
              <w:t>Original: inglés</w:t>
            </w:r>
          </w:p>
        </w:tc>
      </w:tr>
      <w:tr w:rsidR="00FE57F6" w:rsidRPr="00BB6FD8" w14:paraId="425D38E1" w14:textId="77777777" w:rsidTr="00C538FC">
        <w:trPr>
          <w:cantSplit/>
          <w:trHeight w:val="23"/>
        </w:trPr>
        <w:tc>
          <w:tcPr>
            <w:tcW w:w="3969" w:type="dxa"/>
          </w:tcPr>
          <w:p w14:paraId="190A5D0B" w14:textId="77777777" w:rsidR="00FE57F6" w:rsidRPr="00BB6FD8" w:rsidRDefault="00FE57F6" w:rsidP="00C538FC">
            <w:pPr>
              <w:tabs>
                <w:tab w:val="left" w:pos="851"/>
              </w:tabs>
              <w:spacing w:line="240" w:lineRule="atLeast"/>
              <w:rPr>
                <w:b/>
              </w:rPr>
            </w:pPr>
          </w:p>
        </w:tc>
        <w:tc>
          <w:tcPr>
            <w:tcW w:w="5245" w:type="dxa"/>
          </w:tcPr>
          <w:p w14:paraId="3DA01BF4" w14:textId="77777777" w:rsidR="00FE57F6" w:rsidRPr="00BB6FD8" w:rsidRDefault="00FE57F6" w:rsidP="00C538FC">
            <w:pPr>
              <w:tabs>
                <w:tab w:val="left" w:pos="851"/>
              </w:tabs>
              <w:spacing w:before="0" w:line="240" w:lineRule="atLeast"/>
              <w:jc w:val="right"/>
              <w:rPr>
                <w:b/>
              </w:rPr>
            </w:pPr>
          </w:p>
        </w:tc>
      </w:tr>
      <w:tr w:rsidR="00FE57F6" w:rsidRPr="00BB6FD8" w14:paraId="1C082E53" w14:textId="77777777" w:rsidTr="00C538FC">
        <w:trPr>
          <w:cantSplit/>
        </w:trPr>
        <w:tc>
          <w:tcPr>
            <w:tcW w:w="9214" w:type="dxa"/>
            <w:gridSpan w:val="2"/>
            <w:tcMar>
              <w:left w:w="0" w:type="dxa"/>
            </w:tcMar>
          </w:tcPr>
          <w:p w14:paraId="0D5BF665" w14:textId="77777777" w:rsidR="00FE57F6" w:rsidRPr="00BB6FD8" w:rsidRDefault="00157AC4" w:rsidP="00C538FC">
            <w:pPr>
              <w:pStyle w:val="Source"/>
              <w:jc w:val="left"/>
              <w:rPr>
                <w:sz w:val="34"/>
                <w:szCs w:val="34"/>
              </w:rPr>
            </w:pPr>
            <w:r>
              <w:rPr>
                <w:rFonts w:cstheme="minorHAnsi"/>
                <w:sz w:val="34"/>
                <w:szCs w:val="34"/>
              </w:rPr>
              <w:t>Informe de la Secretaria General</w:t>
            </w:r>
          </w:p>
        </w:tc>
      </w:tr>
      <w:tr w:rsidR="00FE57F6" w:rsidRPr="00BB6FD8" w14:paraId="1069FE2B" w14:textId="77777777" w:rsidTr="00C538FC">
        <w:trPr>
          <w:cantSplit/>
        </w:trPr>
        <w:tc>
          <w:tcPr>
            <w:tcW w:w="9214" w:type="dxa"/>
            <w:gridSpan w:val="2"/>
            <w:tcMar>
              <w:left w:w="0" w:type="dxa"/>
            </w:tcMar>
          </w:tcPr>
          <w:p w14:paraId="00E5F162" w14:textId="3341BCF5" w:rsidR="00FE57F6" w:rsidRPr="00F92BED" w:rsidRDefault="00130ECE" w:rsidP="00F92BED">
            <w:pPr>
              <w:pStyle w:val="Subtitle"/>
              <w:framePr w:hSpace="0" w:wrap="auto" w:vAnchor="margin" w:hAnchor="text" w:xAlign="left" w:yAlign="inline"/>
            </w:pPr>
            <w:bookmarkStart w:id="1" w:name="_Hlk195780325"/>
            <w:r>
              <w:t xml:space="preserve">APLICACIÓN DE LA </w:t>
            </w:r>
            <w:r w:rsidRPr="001D325D">
              <w:t>RECUPERACIÓN DE COSTES A LA TRAMITACIÓN DE NOTIFICACIONES DE REDES DE SATÉLITES</w:t>
            </w:r>
            <w:bookmarkEnd w:id="1"/>
          </w:p>
        </w:tc>
      </w:tr>
      <w:tr w:rsidR="00FE57F6" w:rsidRPr="00BB6FD8" w14:paraId="4C3DA22D" w14:textId="77777777" w:rsidTr="00C538FC">
        <w:trPr>
          <w:cantSplit/>
        </w:trPr>
        <w:tc>
          <w:tcPr>
            <w:tcW w:w="9214" w:type="dxa"/>
            <w:gridSpan w:val="2"/>
            <w:tcBorders>
              <w:top w:val="single" w:sz="4" w:space="0" w:color="auto"/>
              <w:bottom w:val="single" w:sz="4" w:space="0" w:color="auto"/>
            </w:tcBorders>
            <w:tcMar>
              <w:left w:w="0" w:type="dxa"/>
            </w:tcMar>
          </w:tcPr>
          <w:p w14:paraId="4D4868A0" w14:textId="77777777" w:rsidR="00FE57F6" w:rsidRPr="00BB6FD8" w:rsidRDefault="00F24B71" w:rsidP="00C538FC">
            <w:pPr>
              <w:spacing w:before="160"/>
              <w:rPr>
                <w:b/>
                <w:bCs/>
                <w:sz w:val="26"/>
                <w:szCs w:val="26"/>
              </w:rPr>
            </w:pPr>
            <w:r w:rsidRPr="00BB6FD8">
              <w:rPr>
                <w:b/>
                <w:bCs/>
                <w:sz w:val="26"/>
                <w:szCs w:val="26"/>
              </w:rPr>
              <w:t>Finalidad</w:t>
            </w:r>
          </w:p>
          <w:p w14:paraId="6DE29F85" w14:textId="3328E71D" w:rsidR="00FE57F6" w:rsidRPr="00BB6FD8" w:rsidRDefault="00130ECE" w:rsidP="00C538FC">
            <w:r w:rsidRPr="001D325D">
              <w:t>E</w:t>
            </w:r>
            <w:r>
              <w:t>l presente</w:t>
            </w:r>
            <w:r w:rsidRPr="001D325D">
              <w:t xml:space="preserve"> documento </w:t>
            </w:r>
            <w:r>
              <w:t>contiene</w:t>
            </w:r>
            <w:r w:rsidRPr="001D325D">
              <w:t xml:space="preserve"> el informe anual relativo a la aplicación de la recuperación de costes a la tramitación de notificaciones de redes de satélites, con arreglo al Acuerdo 482 (C01, modificado por última vez C24) del Consejo de la UIT.</w:t>
            </w:r>
          </w:p>
          <w:p w14:paraId="2A0EAE4C" w14:textId="77777777" w:rsidR="00FE57F6" w:rsidRPr="00BB6FD8" w:rsidRDefault="00F24B71" w:rsidP="00C538FC">
            <w:pPr>
              <w:spacing w:before="160"/>
              <w:rPr>
                <w:b/>
                <w:bCs/>
                <w:sz w:val="26"/>
                <w:szCs w:val="26"/>
              </w:rPr>
            </w:pPr>
            <w:r w:rsidRPr="00BB6FD8">
              <w:rPr>
                <w:b/>
                <w:bCs/>
                <w:sz w:val="26"/>
                <w:szCs w:val="26"/>
              </w:rPr>
              <w:t xml:space="preserve">Acción solicitada </w:t>
            </w:r>
            <w:r w:rsidR="00677A97" w:rsidRPr="00BB6FD8">
              <w:rPr>
                <w:b/>
                <w:bCs/>
                <w:sz w:val="26"/>
                <w:szCs w:val="26"/>
              </w:rPr>
              <w:t>al</w:t>
            </w:r>
            <w:r w:rsidRPr="00BB6FD8">
              <w:rPr>
                <w:b/>
                <w:bCs/>
                <w:sz w:val="26"/>
                <w:szCs w:val="26"/>
              </w:rPr>
              <w:t xml:space="preserve"> Consejo</w:t>
            </w:r>
          </w:p>
          <w:p w14:paraId="1041728D" w14:textId="7C3011B7" w:rsidR="00F92BED" w:rsidRPr="00F92BED" w:rsidRDefault="00130ECE" w:rsidP="00F92BED">
            <w:pPr>
              <w:spacing w:before="160"/>
              <w:rPr>
                <w:szCs w:val="24"/>
                <w:lang w:val="es-ES"/>
              </w:rPr>
            </w:pPr>
            <w:r w:rsidRPr="001D325D">
              <w:t xml:space="preserve">Se invita al Consejo a </w:t>
            </w:r>
            <w:r w:rsidRPr="001D325D">
              <w:rPr>
                <w:b/>
                <w:bCs/>
              </w:rPr>
              <w:t xml:space="preserve">tomar nota </w:t>
            </w:r>
            <w:r w:rsidRPr="001D325D">
              <w:t>del presente informe.</w:t>
            </w:r>
          </w:p>
          <w:p w14:paraId="39D45600" w14:textId="77777777" w:rsidR="00F92BED" w:rsidRPr="00F24B71" w:rsidRDefault="00F92BED" w:rsidP="00F92BED">
            <w:pPr>
              <w:spacing w:before="160"/>
              <w:rPr>
                <w:b/>
                <w:bCs/>
                <w:sz w:val="26"/>
                <w:szCs w:val="26"/>
                <w:lang w:val="es-ES"/>
              </w:rPr>
            </w:pPr>
            <w:r w:rsidRPr="00F24B71">
              <w:rPr>
                <w:b/>
                <w:bCs/>
                <w:sz w:val="26"/>
                <w:szCs w:val="26"/>
                <w:lang w:val="es-ES"/>
              </w:rPr>
              <w:t>Vínculo</w:t>
            </w:r>
            <w:r>
              <w:rPr>
                <w:b/>
                <w:bCs/>
                <w:sz w:val="26"/>
                <w:szCs w:val="26"/>
                <w:lang w:val="es-ES"/>
              </w:rPr>
              <w:t>(</w:t>
            </w:r>
            <w:r w:rsidRPr="00F24B71">
              <w:rPr>
                <w:b/>
                <w:bCs/>
                <w:sz w:val="26"/>
                <w:szCs w:val="26"/>
                <w:lang w:val="es-ES"/>
              </w:rPr>
              <w:t>s</w:t>
            </w:r>
            <w:r>
              <w:rPr>
                <w:b/>
                <w:bCs/>
                <w:sz w:val="26"/>
                <w:szCs w:val="26"/>
                <w:lang w:val="es-ES"/>
              </w:rPr>
              <w:t>)</w:t>
            </w:r>
            <w:r w:rsidRPr="00F24B71">
              <w:rPr>
                <w:b/>
                <w:bCs/>
                <w:sz w:val="26"/>
                <w:szCs w:val="26"/>
                <w:lang w:val="es-ES"/>
              </w:rPr>
              <w:t xml:space="preserve"> pertinente</w:t>
            </w:r>
            <w:r>
              <w:rPr>
                <w:b/>
                <w:bCs/>
                <w:sz w:val="26"/>
                <w:szCs w:val="26"/>
                <w:lang w:val="es-ES"/>
              </w:rPr>
              <w:t>(</w:t>
            </w:r>
            <w:r w:rsidRPr="00F24B71">
              <w:rPr>
                <w:b/>
                <w:bCs/>
                <w:sz w:val="26"/>
                <w:szCs w:val="26"/>
                <w:lang w:val="es-ES"/>
              </w:rPr>
              <w:t>s</w:t>
            </w:r>
            <w:r>
              <w:rPr>
                <w:b/>
                <w:bCs/>
                <w:sz w:val="26"/>
                <w:szCs w:val="26"/>
                <w:lang w:val="es-ES"/>
              </w:rPr>
              <w:t>)</w:t>
            </w:r>
            <w:r w:rsidRPr="00F24B71">
              <w:rPr>
                <w:b/>
                <w:bCs/>
                <w:sz w:val="26"/>
                <w:szCs w:val="26"/>
                <w:lang w:val="es-ES"/>
              </w:rPr>
              <w:t xml:space="preserve"> con el Plan Estratégico</w:t>
            </w:r>
          </w:p>
          <w:p w14:paraId="21F4227B" w14:textId="09F7D7F1" w:rsidR="00F92BED" w:rsidRPr="00F24B71" w:rsidRDefault="00130ECE" w:rsidP="00F92BED">
            <w:pPr>
              <w:rPr>
                <w:lang w:val="es-ES"/>
              </w:rPr>
            </w:pPr>
            <w:r w:rsidRPr="001D325D">
              <w:t xml:space="preserve">Utilización del espectro para servicios espaciales y terrenales; ofertas de productos y servicios; </w:t>
            </w:r>
            <w:r>
              <w:t>a</w:t>
            </w:r>
            <w:r w:rsidRPr="001D325D">
              <w:t>tribución y gestión de recursos</w:t>
            </w:r>
            <w:r>
              <w:t>.</w:t>
            </w:r>
          </w:p>
          <w:p w14:paraId="2DDB926A" w14:textId="77777777" w:rsidR="00F92BED" w:rsidRDefault="00F92BED" w:rsidP="00F92BED">
            <w:pPr>
              <w:spacing w:before="160"/>
              <w:rPr>
                <w:b/>
                <w:bCs/>
                <w:sz w:val="26"/>
                <w:szCs w:val="26"/>
              </w:rPr>
            </w:pPr>
            <w:r w:rsidRPr="00F24B71">
              <w:rPr>
                <w:b/>
                <w:bCs/>
                <w:sz w:val="26"/>
                <w:szCs w:val="26"/>
              </w:rPr>
              <w:t>Repercusiones financieras</w:t>
            </w:r>
          </w:p>
          <w:p w14:paraId="2E388643" w14:textId="77777777" w:rsidR="00130ECE" w:rsidRPr="001D325D" w:rsidRDefault="00130ECE" w:rsidP="00130ECE">
            <w:pPr>
              <w:spacing w:before="100"/>
            </w:pPr>
            <w:r w:rsidRPr="001D325D">
              <w:t>En 2024, se emitieron facturas en concepto de tramitación de notificaciones de redes de satélites por valor de 9 679 754 CHF.</w:t>
            </w:r>
          </w:p>
          <w:p w14:paraId="5B8CBC28" w14:textId="186AE4A5" w:rsidR="00F92BED" w:rsidRPr="00BB6FD8" w:rsidRDefault="00130ECE" w:rsidP="00130ECE">
            <w:r w:rsidRPr="001D325D">
              <w:t>En 2024, los costes de tramitación de todas las notificaciones de redes de satélites ascendieron a 22 810 478 CHF, a lo</w:t>
            </w:r>
            <w:r>
              <w:t>s</w:t>
            </w:r>
            <w:r w:rsidRPr="001D325D">
              <w:t xml:space="preserve"> que hay que sumar los gastos adicionales correspondientes al desarrollo de </w:t>
            </w:r>
            <w:r w:rsidRPr="00B744B3">
              <w:rPr>
                <w:i/>
                <w:iCs/>
              </w:rPr>
              <w:t>software</w:t>
            </w:r>
            <w:r w:rsidRPr="001D325D">
              <w:t xml:space="preserve"> específico para los servicios espaciales que sufragará la UIT.</w:t>
            </w:r>
          </w:p>
          <w:p w14:paraId="411B2798" w14:textId="77777777" w:rsidR="00FE57F6" w:rsidRPr="00BB6FD8" w:rsidRDefault="00FE57F6" w:rsidP="00C538FC">
            <w:pPr>
              <w:spacing w:before="160"/>
              <w:rPr>
                <w:caps/>
                <w:sz w:val="22"/>
              </w:rPr>
            </w:pPr>
            <w:r w:rsidRPr="00BB6FD8">
              <w:rPr>
                <w:sz w:val="22"/>
              </w:rPr>
              <w:t>__________________</w:t>
            </w:r>
          </w:p>
          <w:p w14:paraId="49CABC9F" w14:textId="77777777" w:rsidR="00FE57F6" w:rsidRPr="00BB6FD8" w:rsidRDefault="00F24B71" w:rsidP="00C538FC">
            <w:pPr>
              <w:spacing w:before="160"/>
              <w:rPr>
                <w:b/>
                <w:bCs/>
                <w:sz w:val="26"/>
                <w:szCs w:val="26"/>
              </w:rPr>
            </w:pPr>
            <w:r w:rsidRPr="00BB6FD8">
              <w:rPr>
                <w:b/>
                <w:bCs/>
                <w:sz w:val="26"/>
                <w:szCs w:val="26"/>
              </w:rPr>
              <w:t>Referencia</w:t>
            </w:r>
            <w:r w:rsidR="00F92BED">
              <w:rPr>
                <w:b/>
                <w:bCs/>
                <w:sz w:val="26"/>
                <w:szCs w:val="26"/>
              </w:rPr>
              <w:t>s</w:t>
            </w:r>
            <w:r w:rsidR="00D375E0" w:rsidRPr="00BB6FD8">
              <w:rPr>
                <w:sz w:val="26"/>
                <w:szCs w:val="26"/>
              </w:rPr>
              <w:t xml:space="preserve"> </w:t>
            </w:r>
          </w:p>
          <w:p w14:paraId="01B307C4" w14:textId="082E7CED" w:rsidR="00FE57F6" w:rsidRPr="00E354E8" w:rsidRDefault="00130ECE" w:rsidP="00C538FC">
            <w:pPr>
              <w:spacing w:after="160"/>
              <w:rPr>
                <w:i/>
                <w:iCs/>
                <w:sz w:val="22"/>
                <w:szCs w:val="22"/>
              </w:rPr>
            </w:pPr>
            <w:hyperlink r:id="rId6" w:history="1">
              <w:r w:rsidRPr="00E354E8">
                <w:rPr>
                  <w:rStyle w:val="Hyperlink"/>
                  <w:i/>
                  <w:iCs/>
                  <w:sz w:val="22"/>
                  <w:szCs w:val="22"/>
                </w:rPr>
                <w:t>Resolución 91 (Rev. Guadalajara, 2010)</w:t>
              </w:r>
            </w:hyperlink>
            <w:r w:rsidRPr="00E354E8">
              <w:rPr>
                <w:i/>
                <w:iCs/>
                <w:sz w:val="22"/>
                <w:szCs w:val="22"/>
              </w:rPr>
              <w:t xml:space="preserve"> de la Conferencia de Plenipotenciarios;</w:t>
            </w:r>
            <w:r w:rsidRPr="00E354E8">
              <w:rPr>
                <w:sz w:val="22"/>
                <w:szCs w:val="22"/>
              </w:rPr>
              <w:t xml:space="preserve"> </w:t>
            </w:r>
            <w:r w:rsidRPr="00E354E8">
              <w:rPr>
                <w:i/>
                <w:iCs/>
                <w:sz w:val="22"/>
                <w:szCs w:val="22"/>
              </w:rPr>
              <w:t xml:space="preserve">Acuerdos </w:t>
            </w:r>
            <w:hyperlink r:id="rId7" w:history="1">
              <w:r w:rsidRPr="00E354E8">
                <w:rPr>
                  <w:rStyle w:val="Hyperlink"/>
                  <w:i/>
                  <w:iCs/>
                  <w:sz w:val="22"/>
                  <w:szCs w:val="22"/>
                </w:rPr>
                <w:t>632 (C23)</w:t>
              </w:r>
            </w:hyperlink>
            <w:r w:rsidRPr="00E354E8">
              <w:rPr>
                <w:i/>
                <w:iCs/>
                <w:sz w:val="22"/>
                <w:szCs w:val="22"/>
              </w:rPr>
              <w:t xml:space="preserve"> y </w:t>
            </w:r>
            <w:hyperlink r:id="rId8" w:history="1">
              <w:r w:rsidRPr="00E354E8">
                <w:rPr>
                  <w:rStyle w:val="Hyperlink"/>
                  <w:i/>
                  <w:iCs/>
                  <w:sz w:val="22"/>
                  <w:szCs w:val="22"/>
                </w:rPr>
                <w:t>482 (C01, modificado por última vez C24)</w:t>
              </w:r>
            </w:hyperlink>
            <w:r w:rsidRPr="00E354E8">
              <w:rPr>
                <w:sz w:val="22"/>
                <w:szCs w:val="22"/>
              </w:rPr>
              <w:t xml:space="preserve"> </w:t>
            </w:r>
            <w:r w:rsidRPr="00E354E8">
              <w:rPr>
                <w:i/>
                <w:iCs/>
                <w:sz w:val="22"/>
                <w:szCs w:val="22"/>
              </w:rPr>
              <w:t xml:space="preserve">del Consejo; Documentos </w:t>
            </w:r>
            <w:hyperlink r:id="rId9" w:history="1">
              <w:r w:rsidRPr="00E354E8">
                <w:rPr>
                  <w:rStyle w:val="Hyperlink"/>
                  <w:i/>
                  <w:iCs/>
                  <w:sz w:val="22"/>
                  <w:szCs w:val="22"/>
                </w:rPr>
                <w:t>C24/11</w:t>
              </w:r>
            </w:hyperlink>
            <w:r w:rsidRPr="00E354E8">
              <w:rPr>
                <w:i/>
                <w:iCs/>
                <w:sz w:val="22"/>
                <w:szCs w:val="22"/>
              </w:rPr>
              <w:t xml:space="preserve"> y </w:t>
            </w:r>
            <w:hyperlink r:id="rId10" w:history="1">
              <w:r w:rsidRPr="00E354E8">
                <w:rPr>
                  <w:rStyle w:val="Hyperlink"/>
                  <w:i/>
                  <w:iCs/>
                  <w:sz w:val="22"/>
                  <w:szCs w:val="22"/>
                </w:rPr>
                <w:t>C24/16</w:t>
              </w:r>
            </w:hyperlink>
            <w:r w:rsidRPr="00E354E8">
              <w:rPr>
                <w:sz w:val="22"/>
                <w:szCs w:val="22"/>
              </w:rPr>
              <w:t xml:space="preserve"> </w:t>
            </w:r>
            <w:r w:rsidRPr="00E354E8">
              <w:rPr>
                <w:i/>
                <w:iCs/>
                <w:sz w:val="22"/>
                <w:szCs w:val="22"/>
              </w:rPr>
              <w:t>del Consejo.</w:t>
            </w:r>
          </w:p>
        </w:tc>
      </w:tr>
      <w:bookmarkEnd w:id="0"/>
    </w:tbl>
    <w:p w14:paraId="12F1B8F0" w14:textId="77777777" w:rsidR="001559F5" w:rsidRPr="00BB6FD8" w:rsidRDefault="001559F5">
      <w:pPr>
        <w:tabs>
          <w:tab w:val="clear" w:pos="567"/>
          <w:tab w:val="clear" w:pos="1134"/>
          <w:tab w:val="clear" w:pos="1701"/>
          <w:tab w:val="clear" w:pos="2268"/>
          <w:tab w:val="clear" w:pos="2835"/>
        </w:tabs>
        <w:overflowPunct/>
        <w:autoSpaceDE/>
        <w:autoSpaceDN/>
        <w:adjustRightInd/>
        <w:spacing w:before="0"/>
        <w:textAlignment w:val="auto"/>
      </w:pPr>
      <w:r w:rsidRPr="00BB6FD8">
        <w:br w:type="page"/>
      </w:r>
    </w:p>
    <w:p w14:paraId="250FAA82" w14:textId="43D97E3F" w:rsidR="00130ECE" w:rsidRPr="001D325D" w:rsidRDefault="00130ECE" w:rsidP="00A005A8">
      <w:pPr>
        <w:jc w:val="both"/>
      </w:pPr>
      <w:r w:rsidRPr="001D325D">
        <w:lastRenderedPageBreak/>
        <w:t>1</w:t>
      </w:r>
      <w:r w:rsidRPr="001D325D">
        <w:tab/>
        <w:t xml:space="preserve">En su reunión de 2024, el Consejo aprobó una modificación del </w:t>
      </w:r>
      <w:hyperlink r:id="rId11" w:history="1">
        <w:r w:rsidRPr="001D325D">
          <w:rPr>
            <w:rStyle w:val="Hyperlink"/>
          </w:rPr>
          <w:t>Acuerdo 482</w:t>
        </w:r>
      </w:hyperlink>
      <w:r w:rsidRPr="001D325D">
        <w:t>, que entró en vigor el 1 de julio de ese mismo año.</w:t>
      </w:r>
    </w:p>
    <w:p w14:paraId="650D120B" w14:textId="77777777" w:rsidR="00130ECE" w:rsidRPr="001D325D" w:rsidRDefault="00130ECE" w:rsidP="00130ECE">
      <w:pPr>
        <w:pStyle w:val="Headingb"/>
        <w:tabs>
          <w:tab w:val="clear" w:pos="567"/>
          <w:tab w:val="left" w:pos="0"/>
        </w:tabs>
        <w:ind w:left="0" w:firstLine="0"/>
      </w:pPr>
      <w:r w:rsidRPr="001D325D">
        <w:t xml:space="preserve">Informe </w:t>
      </w:r>
      <w:r w:rsidRPr="00130ECE">
        <w:t>sobre</w:t>
      </w:r>
      <w:r w:rsidRPr="001D325D">
        <w:t xml:space="preserve"> la aplicación del Acuerdo 482 (C01, modificado por última vez C24) en 2023 y 2024</w:t>
      </w:r>
    </w:p>
    <w:p w14:paraId="417A2183" w14:textId="183EA151" w:rsidR="00130ECE" w:rsidRPr="001D325D" w:rsidRDefault="00130ECE" w:rsidP="00A005A8">
      <w:pPr>
        <w:jc w:val="both"/>
      </w:pPr>
      <w:r w:rsidRPr="001D325D">
        <w:t>2</w:t>
      </w:r>
      <w:r w:rsidRPr="001D325D">
        <w:tab/>
        <w:t xml:space="preserve">En el Cuadro 1 </w:t>
      </w:r>
      <w:r w:rsidRPr="001D325D">
        <w:rPr>
          <w:i/>
          <w:iCs/>
        </w:rPr>
        <w:t>infra</w:t>
      </w:r>
      <w:r w:rsidRPr="001D325D">
        <w:t xml:space="preserve"> se facilita información pertinente en relación con la aplicación del</w:t>
      </w:r>
      <w:r>
        <w:t> </w:t>
      </w:r>
      <w:r w:rsidRPr="001D325D">
        <w:t>Acuerdo 482 (C01, modificado por última vez C24) en 2023 y 2024, incluido el porcentaje de facturas emitidas en 2023 y 2024 que se abonaron a tiempo.</w:t>
      </w:r>
    </w:p>
    <w:p w14:paraId="05647F8D" w14:textId="77777777" w:rsidR="00130ECE" w:rsidRPr="001D325D" w:rsidRDefault="00130ECE" w:rsidP="00130ECE">
      <w:pPr>
        <w:pStyle w:val="TableNo"/>
      </w:pPr>
      <w:r w:rsidRPr="001D325D">
        <w:t xml:space="preserve">Cuadro 1 </w:t>
      </w:r>
    </w:p>
    <w:p w14:paraId="7B7DF958" w14:textId="77777777" w:rsidR="00130ECE" w:rsidRPr="001D325D" w:rsidRDefault="00130ECE" w:rsidP="00130ECE">
      <w:pPr>
        <w:pStyle w:val="Tabletitle"/>
      </w:pPr>
      <w:r>
        <w:t>A</w:t>
      </w:r>
      <w:r w:rsidRPr="001D325D">
        <w:t>plicación del Acuerdo 482 en 2023 y 2024</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95"/>
        <w:gridCol w:w="1030"/>
        <w:gridCol w:w="2471"/>
        <w:gridCol w:w="2265"/>
      </w:tblGrid>
      <w:tr w:rsidR="00130ECE" w:rsidRPr="001D325D" w14:paraId="3A5579BD" w14:textId="77777777" w:rsidTr="008153BD">
        <w:trPr>
          <w:jc w:val="center"/>
        </w:trPr>
        <w:tc>
          <w:tcPr>
            <w:tcW w:w="3295" w:type="dxa"/>
          </w:tcPr>
          <w:p w14:paraId="2AD39CDB" w14:textId="77777777" w:rsidR="00130ECE" w:rsidRPr="001D325D" w:rsidRDefault="00130ECE" w:rsidP="008153BD">
            <w:pPr>
              <w:pStyle w:val="Tablehead"/>
            </w:pPr>
          </w:p>
        </w:tc>
        <w:tc>
          <w:tcPr>
            <w:tcW w:w="1030" w:type="dxa"/>
          </w:tcPr>
          <w:p w14:paraId="13354904" w14:textId="77777777" w:rsidR="00130ECE" w:rsidRPr="001D325D" w:rsidRDefault="00130ECE" w:rsidP="008153BD">
            <w:pPr>
              <w:pStyle w:val="Tablehead"/>
            </w:pPr>
          </w:p>
        </w:tc>
        <w:tc>
          <w:tcPr>
            <w:tcW w:w="2471" w:type="dxa"/>
          </w:tcPr>
          <w:p w14:paraId="7E3ECE8E" w14:textId="77777777" w:rsidR="00130ECE" w:rsidRPr="00A005A8" w:rsidRDefault="00130ECE" w:rsidP="008153BD">
            <w:pPr>
              <w:pStyle w:val="Tablehead"/>
            </w:pPr>
            <w:r w:rsidRPr="00A005A8">
              <w:t>2023</w:t>
            </w:r>
          </w:p>
        </w:tc>
        <w:tc>
          <w:tcPr>
            <w:tcW w:w="2265" w:type="dxa"/>
          </w:tcPr>
          <w:p w14:paraId="4A870EF4" w14:textId="77777777" w:rsidR="00130ECE" w:rsidRPr="00A005A8" w:rsidRDefault="00130ECE" w:rsidP="008153BD">
            <w:pPr>
              <w:pStyle w:val="Tablehead"/>
            </w:pPr>
            <w:r w:rsidRPr="00A005A8">
              <w:t>2024</w:t>
            </w:r>
          </w:p>
        </w:tc>
      </w:tr>
      <w:tr w:rsidR="00130ECE" w:rsidRPr="001D325D" w14:paraId="31CB1F30" w14:textId="77777777" w:rsidTr="008153BD">
        <w:trPr>
          <w:jc w:val="center"/>
        </w:trPr>
        <w:tc>
          <w:tcPr>
            <w:tcW w:w="3295" w:type="dxa"/>
            <w:vAlign w:val="center"/>
          </w:tcPr>
          <w:p w14:paraId="7C2C0BFE" w14:textId="77777777" w:rsidR="00130ECE" w:rsidRPr="001D325D" w:rsidRDefault="00130ECE" w:rsidP="008153BD">
            <w:pPr>
              <w:pStyle w:val="Tabletext"/>
            </w:pPr>
            <w:r w:rsidRPr="001D325D">
              <w:t>Importe presupuestado</w:t>
            </w:r>
          </w:p>
        </w:tc>
        <w:tc>
          <w:tcPr>
            <w:tcW w:w="1030" w:type="dxa"/>
            <w:vAlign w:val="center"/>
          </w:tcPr>
          <w:p w14:paraId="40D5024A" w14:textId="77777777" w:rsidR="00130ECE" w:rsidRPr="001D325D" w:rsidRDefault="00130ECE" w:rsidP="008153BD">
            <w:pPr>
              <w:pStyle w:val="Tabletext"/>
              <w:jc w:val="center"/>
            </w:pPr>
            <w:r w:rsidRPr="001D325D">
              <w:t>CHF</w:t>
            </w:r>
          </w:p>
        </w:tc>
        <w:tc>
          <w:tcPr>
            <w:tcW w:w="2471" w:type="dxa"/>
            <w:vAlign w:val="center"/>
          </w:tcPr>
          <w:p w14:paraId="46C5A3D4" w14:textId="10CFF82D" w:rsidR="00130ECE" w:rsidRPr="001D325D" w:rsidRDefault="00130ECE" w:rsidP="008153BD">
            <w:pPr>
              <w:pStyle w:val="Tabletext"/>
              <w:jc w:val="center"/>
            </w:pPr>
            <w:r w:rsidRPr="001D325D">
              <w:t>18 000 000</w:t>
            </w:r>
            <w:r w:rsidRPr="001D325D">
              <w:br/>
              <w:t>(Resolución 1405 del</w:t>
            </w:r>
            <w:r>
              <w:t> </w:t>
            </w:r>
            <w:r w:rsidRPr="001D325D">
              <w:t>Consejo (C21))</w:t>
            </w:r>
          </w:p>
        </w:tc>
        <w:tc>
          <w:tcPr>
            <w:tcW w:w="2265" w:type="dxa"/>
            <w:vAlign w:val="center"/>
          </w:tcPr>
          <w:p w14:paraId="272AD8C7" w14:textId="1CFC0BF1" w:rsidR="00130ECE" w:rsidRPr="001D325D" w:rsidRDefault="00130ECE" w:rsidP="008153BD">
            <w:pPr>
              <w:pStyle w:val="Tabletext"/>
              <w:jc w:val="center"/>
            </w:pPr>
            <w:r w:rsidRPr="001D325D">
              <w:t>14 000 000</w:t>
            </w:r>
            <w:r w:rsidRPr="001D325D">
              <w:br/>
              <w:t>(Resolución 1417 del</w:t>
            </w:r>
            <w:r>
              <w:t> </w:t>
            </w:r>
            <w:r w:rsidRPr="001D325D">
              <w:t>Consejo (C23))</w:t>
            </w:r>
          </w:p>
        </w:tc>
      </w:tr>
      <w:tr w:rsidR="00130ECE" w:rsidRPr="001D325D" w14:paraId="2BB420A8" w14:textId="77777777" w:rsidTr="00130ECE">
        <w:trPr>
          <w:jc w:val="center"/>
        </w:trPr>
        <w:tc>
          <w:tcPr>
            <w:tcW w:w="3295" w:type="dxa"/>
            <w:vAlign w:val="center"/>
          </w:tcPr>
          <w:p w14:paraId="5878468F" w14:textId="77777777" w:rsidR="00130ECE" w:rsidRPr="001D325D" w:rsidRDefault="00130ECE" w:rsidP="008153BD">
            <w:pPr>
              <w:pStyle w:val="Tabletext"/>
            </w:pPr>
            <w:proofErr w:type="gramStart"/>
            <w:r w:rsidRPr="001D325D">
              <w:t>Total</w:t>
            </w:r>
            <w:proofErr w:type="gramEnd"/>
            <w:r w:rsidRPr="001D325D">
              <w:t xml:space="preserve"> de facturas emitidas* (menos las publicaciones gratuitas)</w:t>
            </w:r>
          </w:p>
        </w:tc>
        <w:tc>
          <w:tcPr>
            <w:tcW w:w="1030" w:type="dxa"/>
            <w:vAlign w:val="center"/>
          </w:tcPr>
          <w:p w14:paraId="1937B8CA" w14:textId="77777777" w:rsidR="00130ECE" w:rsidRPr="001D325D" w:rsidRDefault="00130ECE" w:rsidP="008153BD">
            <w:pPr>
              <w:pStyle w:val="Tabletext"/>
              <w:jc w:val="center"/>
            </w:pPr>
            <w:r w:rsidRPr="001D325D">
              <w:t>CHF</w:t>
            </w:r>
          </w:p>
        </w:tc>
        <w:tc>
          <w:tcPr>
            <w:tcW w:w="2471" w:type="dxa"/>
            <w:vAlign w:val="center"/>
          </w:tcPr>
          <w:p w14:paraId="09B8D2E3" w14:textId="77777777" w:rsidR="00130ECE" w:rsidRPr="001D325D" w:rsidRDefault="00130ECE" w:rsidP="008153BD">
            <w:pPr>
              <w:pStyle w:val="Tabletext"/>
              <w:jc w:val="center"/>
            </w:pPr>
            <w:r w:rsidRPr="001D325D">
              <w:t>11 215 321</w:t>
            </w:r>
          </w:p>
        </w:tc>
        <w:tc>
          <w:tcPr>
            <w:tcW w:w="2265" w:type="dxa"/>
            <w:vAlign w:val="center"/>
          </w:tcPr>
          <w:p w14:paraId="127EF61B" w14:textId="4D6DE930" w:rsidR="00130ECE" w:rsidRPr="001D325D" w:rsidRDefault="00130ECE" w:rsidP="008153BD">
            <w:pPr>
              <w:pStyle w:val="Tabletext"/>
              <w:jc w:val="center"/>
            </w:pPr>
            <w:r w:rsidRPr="001D325D">
              <w:t>9</w:t>
            </w:r>
            <w:r>
              <w:t> </w:t>
            </w:r>
            <w:r w:rsidRPr="001D325D">
              <w:t>679</w:t>
            </w:r>
            <w:r>
              <w:t> </w:t>
            </w:r>
            <w:r w:rsidRPr="001D325D">
              <w:t>754</w:t>
            </w:r>
          </w:p>
        </w:tc>
      </w:tr>
      <w:tr w:rsidR="00130ECE" w:rsidRPr="001D325D" w14:paraId="43347060" w14:textId="77777777" w:rsidTr="008153BD">
        <w:trPr>
          <w:jc w:val="center"/>
        </w:trPr>
        <w:tc>
          <w:tcPr>
            <w:tcW w:w="3295" w:type="dxa"/>
            <w:vAlign w:val="center"/>
          </w:tcPr>
          <w:p w14:paraId="3855A55F" w14:textId="77777777" w:rsidR="00130ECE" w:rsidRPr="001D325D" w:rsidRDefault="00130ECE" w:rsidP="008153BD">
            <w:pPr>
              <w:pStyle w:val="Tabletext"/>
            </w:pPr>
            <w:r w:rsidRPr="001D325D">
              <w:t>Publicación gratuita</w:t>
            </w:r>
          </w:p>
        </w:tc>
        <w:tc>
          <w:tcPr>
            <w:tcW w:w="1030" w:type="dxa"/>
            <w:vAlign w:val="center"/>
          </w:tcPr>
          <w:p w14:paraId="48B60D45" w14:textId="77777777" w:rsidR="00130ECE" w:rsidRPr="001D325D" w:rsidRDefault="00130ECE" w:rsidP="008153BD">
            <w:pPr>
              <w:pStyle w:val="Tabletext"/>
              <w:jc w:val="center"/>
            </w:pPr>
            <w:r w:rsidRPr="001D325D">
              <w:t>CHF</w:t>
            </w:r>
          </w:p>
        </w:tc>
        <w:tc>
          <w:tcPr>
            <w:tcW w:w="2471" w:type="dxa"/>
            <w:vAlign w:val="center"/>
          </w:tcPr>
          <w:p w14:paraId="0B27EF27" w14:textId="77777777" w:rsidR="00130ECE" w:rsidRPr="001D325D" w:rsidRDefault="00130ECE" w:rsidP="008153BD">
            <w:pPr>
              <w:pStyle w:val="Tabletext"/>
              <w:jc w:val="center"/>
            </w:pPr>
            <w:r w:rsidRPr="001D325D">
              <w:t>1 396 871</w:t>
            </w:r>
          </w:p>
        </w:tc>
        <w:tc>
          <w:tcPr>
            <w:tcW w:w="2265" w:type="dxa"/>
          </w:tcPr>
          <w:p w14:paraId="160E71E7" w14:textId="74E773F5" w:rsidR="00130ECE" w:rsidRPr="001D325D" w:rsidRDefault="00130ECE" w:rsidP="008153BD">
            <w:pPr>
              <w:pStyle w:val="Tabletext"/>
              <w:jc w:val="center"/>
            </w:pPr>
            <w:r w:rsidRPr="001D325D">
              <w:t>1</w:t>
            </w:r>
            <w:r>
              <w:t> </w:t>
            </w:r>
            <w:r w:rsidRPr="001D325D">
              <w:t>209</w:t>
            </w:r>
            <w:r>
              <w:t> </w:t>
            </w:r>
            <w:r w:rsidRPr="001D325D">
              <w:t>753</w:t>
            </w:r>
          </w:p>
        </w:tc>
      </w:tr>
      <w:tr w:rsidR="00130ECE" w:rsidRPr="001D325D" w14:paraId="37AE3E0E" w14:textId="77777777" w:rsidTr="008153BD">
        <w:trPr>
          <w:jc w:val="center"/>
        </w:trPr>
        <w:tc>
          <w:tcPr>
            <w:tcW w:w="3295" w:type="dxa"/>
            <w:tcBorders>
              <w:bottom w:val="single" w:sz="12" w:space="0" w:color="auto"/>
            </w:tcBorders>
            <w:vAlign w:val="center"/>
          </w:tcPr>
          <w:p w14:paraId="4DC7FB53" w14:textId="77777777" w:rsidR="00130ECE" w:rsidRPr="001D325D" w:rsidRDefault="00130ECE" w:rsidP="008153BD">
            <w:pPr>
              <w:pStyle w:val="Tabletext"/>
            </w:pPr>
            <w:r w:rsidRPr="001D325D">
              <w:t>Pagos recibidos**</w:t>
            </w:r>
          </w:p>
        </w:tc>
        <w:tc>
          <w:tcPr>
            <w:tcW w:w="1030" w:type="dxa"/>
            <w:tcBorders>
              <w:bottom w:val="single" w:sz="12" w:space="0" w:color="auto"/>
            </w:tcBorders>
            <w:vAlign w:val="center"/>
          </w:tcPr>
          <w:p w14:paraId="0C0180F0" w14:textId="77777777" w:rsidR="00130ECE" w:rsidRPr="001D325D" w:rsidRDefault="00130ECE" w:rsidP="008153BD">
            <w:pPr>
              <w:pStyle w:val="Tabletext"/>
              <w:jc w:val="center"/>
            </w:pPr>
            <w:r w:rsidRPr="001D325D">
              <w:t>CHF</w:t>
            </w:r>
          </w:p>
        </w:tc>
        <w:tc>
          <w:tcPr>
            <w:tcW w:w="2471" w:type="dxa"/>
            <w:tcBorders>
              <w:bottom w:val="single" w:sz="12" w:space="0" w:color="auto"/>
            </w:tcBorders>
            <w:vAlign w:val="center"/>
          </w:tcPr>
          <w:p w14:paraId="30BC2C3D" w14:textId="77777777" w:rsidR="00130ECE" w:rsidRPr="001D325D" w:rsidRDefault="00130ECE" w:rsidP="008153BD">
            <w:pPr>
              <w:pStyle w:val="Tabletext"/>
              <w:jc w:val="center"/>
            </w:pPr>
            <w:r w:rsidRPr="001D325D">
              <w:t>9 884 817</w:t>
            </w:r>
          </w:p>
        </w:tc>
        <w:tc>
          <w:tcPr>
            <w:tcW w:w="2265" w:type="dxa"/>
            <w:tcBorders>
              <w:bottom w:val="single" w:sz="12" w:space="0" w:color="auto"/>
            </w:tcBorders>
          </w:tcPr>
          <w:p w14:paraId="3DF9EAB7" w14:textId="21ECCD20" w:rsidR="00130ECE" w:rsidRPr="001D325D" w:rsidRDefault="00130ECE" w:rsidP="008153BD">
            <w:pPr>
              <w:pStyle w:val="Tabletext"/>
              <w:jc w:val="center"/>
            </w:pPr>
            <w:r w:rsidRPr="001D325D">
              <w:t>9</w:t>
            </w:r>
            <w:r>
              <w:t> </w:t>
            </w:r>
            <w:r w:rsidRPr="001D325D">
              <w:t>707</w:t>
            </w:r>
            <w:r>
              <w:t> </w:t>
            </w:r>
            <w:r w:rsidRPr="001D325D">
              <w:t>718</w:t>
            </w:r>
          </w:p>
        </w:tc>
      </w:tr>
      <w:tr w:rsidR="00130ECE" w:rsidRPr="001D325D" w14:paraId="44D3C96C" w14:textId="77777777" w:rsidTr="00E354E8">
        <w:trPr>
          <w:jc w:val="center"/>
        </w:trPr>
        <w:tc>
          <w:tcPr>
            <w:tcW w:w="6796" w:type="dxa"/>
            <w:gridSpan w:val="3"/>
            <w:tcBorders>
              <w:top w:val="single" w:sz="12" w:space="0" w:color="auto"/>
              <w:left w:val="single" w:sz="2" w:space="0" w:color="auto"/>
              <w:bottom w:val="single" w:sz="4" w:space="0" w:color="auto"/>
              <w:right w:val="single" w:sz="2" w:space="0" w:color="auto"/>
            </w:tcBorders>
            <w:vAlign w:val="center"/>
          </w:tcPr>
          <w:p w14:paraId="328F752E" w14:textId="0BA02CF3" w:rsidR="00130ECE" w:rsidRPr="001D325D" w:rsidRDefault="00130ECE" w:rsidP="008153BD">
            <w:pPr>
              <w:pStyle w:val="Tabletext"/>
            </w:pPr>
            <w:r w:rsidRPr="001D325D">
              <w:t>Porcentaje de facturas emitidas en 2023 y 2024 que vencían el</w:t>
            </w:r>
            <w:r>
              <w:t> </w:t>
            </w:r>
            <w:r w:rsidRPr="001D325D">
              <w:t>31/12/2024 y han sido pagadas</w:t>
            </w:r>
          </w:p>
        </w:tc>
        <w:tc>
          <w:tcPr>
            <w:tcW w:w="2265" w:type="dxa"/>
            <w:tcBorders>
              <w:top w:val="single" w:sz="12" w:space="0" w:color="auto"/>
              <w:left w:val="single" w:sz="2" w:space="0" w:color="auto"/>
              <w:bottom w:val="single" w:sz="4" w:space="0" w:color="auto"/>
              <w:right w:val="single" w:sz="2" w:space="0" w:color="auto"/>
            </w:tcBorders>
            <w:vAlign w:val="center"/>
          </w:tcPr>
          <w:p w14:paraId="448F343C" w14:textId="0C62E78F" w:rsidR="00130ECE" w:rsidRPr="001D325D" w:rsidRDefault="00130ECE" w:rsidP="008153BD">
            <w:pPr>
              <w:pStyle w:val="Tabletext"/>
              <w:jc w:val="center"/>
            </w:pPr>
            <w:r w:rsidRPr="001D325D">
              <w:t>&gt;99</w:t>
            </w:r>
            <w:r>
              <w:t> </w:t>
            </w:r>
            <w:r w:rsidRPr="001D325D">
              <w:t>%</w:t>
            </w:r>
          </w:p>
        </w:tc>
      </w:tr>
      <w:tr w:rsidR="00E354E8" w:rsidRPr="00A005A8" w14:paraId="02C8BB37" w14:textId="77777777" w:rsidTr="00E354E8">
        <w:trPr>
          <w:jc w:val="center"/>
        </w:trPr>
        <w:tc>
          <w:tcPr>
            <w:tcW w:w="9061" w:type="dxa"/>
            <w:gridSpan w:val="4"/>
            <w:tcBorders>
              <w:top w:val="single" w:sz="4" w:space="0" w:color="auto"/>
              <w:left w:val="nil"/>
              <w:bottom w:val="nil"/>
              <w:right w:val="nil"/>
            </w:tcBorders>
            <w:vAlign w:val="center"/>
          </w:tcPr>
          <w:p w14:paraId="21438448" w14:textId="77777777" w:rsidR="00E354E8" w:rsidRPr="00A005A8" w:rsidRDefault="00E354E8" w:rsidP="00A005A8">
            <w:pPr>
              <w:pStyle w:val="Tablelegend"/>
            </w:pPr>
            <w:r w:rsidRPr="00A005A8">
              <w:t>*</w:t>
            </w:r>
            <w:r w:rsidRPr="00A005A8">
              <w:tab/>
              <w:t>El pago de las facturas es exigible en un plazo de seis meses desde la fecha de emisión.</w:t>
            </w:r>
          </w:p>
          <w:p w14:paraId="1E7828FA" w14:textId="3636856A" w:rsidR="00E354E8" w:rsidRPr="00A005A8" w:rsidRDefault="00E354E8" w:rsidP="00A005A8">
            <w:pPr>
              <w:pStyle w:val="Tablelegend"/>
            </w:pPr>
            <w:r w:rsidRPr="00A005A8">
              <w:t>**</w:t>
            </w:r>
            <w:r w:rsidRPr="00A005A8">
              <w:tab/>
              <w:t>Los pagos recibidos incluyen las facturas emitidas en ejercicios anteriores.</w:t>
            </w:r>
            <w:r w:rsidRPr="00A005A8">
              <w:rPr>
                <w:rFonts w:ascii="Times New Roman" w:hAnsi="Times New Roman"/>
                <w:lang w:eastAsia="en-GB"/>
              </w:rPr>
              <w:t xml:space="preserve"> </w:t>
            </w:r>
            <w:r w:rsidRPr="00A005A8">
              <w:t>Este importe, si bien representa la suma de todos los pagos recibidos por la UIT durante el año civil 2024, difiere de los ingresos contabilizados, ya que los pagos en cuestión se tienen en cuenta en los ingresos posteriores a la publicación de las secciones especiales correspondientes.</w:t>
            </w:r>
          </w:p>
        </w:tc>
      </w:tr>
    </w:tbl>
    <w:p w14:paraId="0BE31618" w14:textId="00A1D741" w:rsidR="00130ECE" w:rsidRPr="001D325D" w:rsidRDefault="00130ECE" w:rsidP="00A005A8">
      <w:pPr>
        <w:pStyle w:val="Tablefin"/>
      </w:pPr>
    </w:p>
    <w:p w14:paraId="21D352BD" w14:textId="4B677A29" w:rsidR="00130ECE" w:rsidRPr="001D325D" w:rsidRDefault="00130ECE" w:rsidP="008B0BDA">
      <w:pPr>
        <w:pStyle w:val="Normalaftertitle"/>
        <w:jc w:val="both"/>
      </w:pPr>
      <w:r w:rsidRPr="001D325D">
        <w:t>3</w:t>
      </w:r>
      <w:r w:rsidRPr="001D325D">
        <w:tab/>
        <w:t>En el Documento </w:t>
      </w:r>
      <w:hyperlink r:id="rId12" w:history="1">
        <w:r w:rsidRPr="001D325D">
          <w:rPr>
            <w:rStyle w:val="Hyperlink"/>
          </w:rPr>
          <w:t>C25/11</w:t>
        </w:r>
      </w:hyperlink>
      <w:r w:rsidRPr="001D325D">
        <w:t xml:space="preserve"> del Consejo se proporciona información sobre la situación de los atrasos y las cuentas especiales de atrasos a fecha de 31 de diciembre de 2024, incluidos conceptos relacionados con las notificaciones de redes de satélites.</w:t>
      </w:r>
    </w:p>
    <w:p w14:paraId="4319E318" w14:textId="07B8B30D" w:rsidR="00130ECE" w:rsidRPr="001D325D" w:rsidRDefault="00130ECE" w:rsidP="008B0BDA">
      <w:pPr>
        <w:jc w:val="both"/>
      </w:pPr>
      <w:r w:rsidRPr="001D325D">
        <w:t>4</w:t>
      </w:r>
      <w:r w:rsidRPr="001D325D">
        <w:tab/>
        <w:t xml:space="preserve">La diferencia entre los importes presupuestados para la recuperación de costes y los importes realmente facturados se debe a un reequilibrio entre las notificaciones de redes de satélites geoestacionarios y de sistemas de satélites no geoestacionarios. Las notificaciones de redes de satélites geoestacionarios están generalmente sujetas a cánones más elevados que las de los sistemas de satélites no geoestacionarios. A fin de subsanar esta diferencia, en la reunión de 2023 del Consejo se aprobó el </w:t>
      </w:r>
      <w:hyperlink r:id="rId13" w:history="1">
        <w:r w:rsidRPr="001D325D">
          <w:rPr>
            <w:rStyle w:val="Hyperlink"/>
          </w:rPr>
          <w:t>Acuerdo 632 (</w:t>
        </w:r>
        <w:proofErr w:type="spellStart"/>
        <w:r w:rsidRPr="001D325D">
          <w:rPr>
            <w:rStyle w:val="Hyperlink"/>
          </w:rPr>
          <w:t>C23</w:t>
        </w:r>
        <w:proofErr w:type="spellEnd"/>
        <w:r w:rsidRPr="001D325D">
          <w:rPr>
            <w:rStyle w:val="Hyperlink"/>
          </w:rPr>
          <w:t>)</w:t>
        </w:r>
      </w:hyperlink>
      <w:r w:rsidR="008B0BDA">
        <w:t xml:space="preserve">, </w:t>
      </w:r>
      <w:r w:rsidRPr="001D325D">
        <w:t>por el que se establece un</w:t>
      </w:r>
      <w:r w:rsidR="00B744B3">
        <w:t> </w:t>
      </w:r>
      <w:r w:rsidRPr="001D325D">
        <w:t xml:space="preserve">Grupo de Expertos encargado de examinar, sobre la base de los principios y las directrices que figuran en la Resolución 91 (Rev. Guadalajara, 2010), en particular en el </w:t>
      </w:r>
      <w:r w:rsidRPr="001D325D">
        <w:rPr>
          <w:i/>
          <w:iCs/>
        </w:rPr>
        <w:t>resuelve</w:t>
      </w:r>
      <w:r w:rsidRPr="001D325D">
        <w:t> 4 vi), la conveniencia o la posibilidad de modificar diversos temas relacionados con el Acuerdo 482. El</w:t>
      </w:r>
      <w:r w:rsidR="00B765EE">
        <w:t> </w:t>
      </w:r>
      <w:r w:rsidRPr="001D325D">
        <w:t>Grupo de Expertos someterá sus conclusiones al Consejo en su reunión de 2025.</w:t>
      </w:r>
    </w:p>
    <w:p w14:paraId="5329DFAB" w14:textId="77777777" w:rsidR="00130ECE" w:rsidRPr="001D325D" w:rsidRDefault="00130ECE" w:rsidP="008B0BDA">
      <w:pPr>
        <w:jc w:val="both"/>
      </w:pPr>
      <w:r w:rsidRPr="001D325D">
        <w:lastRenderedPageBreak/>
        <w:t>5</w:t>
      </w:r>
      <w:r w:rsidRPr="001D325D">
        <w:tab/>
        <w:t xml:space="preserve">De conformidad con </w:t>
      </w:r>
      <w:proofErr w:type="spellStart"/>
      <w:r w:rsidRPr="001D325D">
        <w:t>el</w:t>
      </w:r>
      <w:proofErr w:type="spellEnd"/>
      <w:r w:rsidRPr="001D325D">
        <w:t xml:space="preserve"> </w:t>
      </w:r>
      <w:r w:rsidRPr="001D325D">
        <w:rPr>
          <w:i/>
          <w:iCs/>
        </w:rPr>
        <w:t>encarga al Director de la Oficina de Radiocomunicaciones</w:t>
      </w:r>
      <w:r w:rsidRPr="001D325D">
        <w:t xml:space="preserve"> 2 </w:t>
      </w:r>
      <w:r w:rsidRPr="00B744B3">
        <w:rPr>
          <w:i/>
          <w:iCs/>
        </w:rPr>
        <w:t>a)</w:t>
      </w:r>
      <w:r w:rsidRPr="001D325D">
        <w:t xml:space="preserve"> del Acuerdo 482, el Cuadro 2 </w:t>
      </w:r>
      <w:r w:rsidRPr="001D325D">
        <w:rPr>
          <w:i/>
          <w:iCs/>
        </w:rPr>
        <w:t>infra</w:t>
      </w:r>
      <w:r w:rsidRPr="001D325D">
        <w:t xml:space="preserve"> </w:t>
      </w:r>
      <w:r>
        <w:t>refleja</w:t>
      </w:r>
      <w:r w:rsidRPr="001D325D">
        <w:t xml:space="preserve"> los costes asociados a la tramitación de notificaciones relacionadas con satélites en 2023 y 2024.</w:t>
      </w:r>
    </w:p>
    <w:p w14:paraId="087675B2" w14:textId="77777777" w:rsidR="00130ECE" w:rsidRPr="001D325D" w:rsidRDefault="00130ECE" w:rsidP="00F5264F">
      <w:pPr>
        <w:pStyle w:val="TableNo"/>
      </w:pPr>
      <w:r w:rsidRPr="001D325D">
        <w:t>Cuadro 2</w:t>
      </w:r>
    </w:p>
    <w:p w14:paraId="438DE795" w14:textId="77777777" w:rsidR="00130ECE" w:rsidRPr="001D325D" w:rsidRDefault="00130ECE" w:rsidP="00F5264F">
      <w:pPr>
        <w:pStyle w:val="Tabletitle"/>
      </w:pPr>
      <w:r w:rsidRPr="001D325D">
        <w:t xml:space="preserve">Costes asociados a la tramitación de notificaciones </w:t>
      </w:r>
      <w:r w:rsidRPr="001D325D">
        <w:br/>
        <w:t>relacionadas con satélites en 2023 y 2024</w:t>
      </w:r>
    </w:p>
    <w:tbl>
      <w:tblPr>
        <w:tblW w:w="5000" w:type="pct"/>
        <w:jc w:val="center"/>
        <w:tblLayout w:type="fixed"/>
        <w:tblLook w:val="04A0" w:firstRow="1" w:lastRow="0" w:firstColumn="1" w:lastColumn="0" w:noHBand="0" w:noVBand="1"/>
      </w:tblPr>
      <w:tblGrid>
        <w:gridCol w:w="5455"/>
        <w:gridCol w:w="783"/>
        <w:gridCol w:w="1400"/>
        <w:gridCol w:w="1423"/>
      </w:tblGrid>
      <w:tr w:rsidR="00130ECE" w:rsidRPr="001D325D" w14:paraId="15DE4D4A" w14:textId="77777777" w:rsidTr="008153BD">
        <w:trPr>
          <w:trHeight w:val="300"/>
          <w:jc w:val="center"/>
        </w:trPr>
        <w:tc>
          <w:tcPr>
            <w:tcW w:w="545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FA28A1" w14:textId="77777777" w:rsidR="00130ECE" w:rsidRPr="001D325D" w:rsidRDefault="00130ECE" w:rsidP="008153BD">
            <w:pPr>
              <w:pStyle w:val="Tablehead"/>
            </w:pPr>
          </w:p>
        </w:tc>
        <w:tc>
          <w:tcPr>
            <w:tcW w:w="783" w:type="dxa"/>
            <w:tcBorders>
              <w:top w:val="single" w:sz="4" w:space="0" w:color="auto"/>
              <w:left w:val="nil"/>
              <w:bottom w:val="single" w:sz="4" w:space="0" w:color="auto"/>
              <w:right w:val="single" w:sz="4" w:space="0" w:color="auto"/>
            </w:tcBorders>
            <w:vAlign w:val="center"/>
          </w:tcPr>
          <w:p w14:paraId="58F578BC" w14:textId="77777777" w:rsidR="00130ECE" w:rsidRPr="001D325D" w:rsidRDefault="00130ECE" w:rsidP="008153BD">
            <w:pPr>
              <w:pStyle w:val="Tablehead"/>
            </w:pPr>
          </w:p>
        </w:tc>
        <w:tc>
          <w:tcPr>
            <w:tcW w:w="14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25B2BD" w14:textId="77777777" w:rsidR="00130ECE" w:rsidRPr="001D325D" w:rsidRDefault="00130ECE" w:rsidP="008153BD">
            <w:pPr>
              <w:pStyle w:val="Tablehead"/>
            </w:pPr>
            <w:r w:rsidRPr="001D325D">
              <w:t>2023</w:t>
            </w:r>
          </w:p>
        </w:tc>
        <w:tc>
          <w:tcPr>
            <w:tcW w:w="1423" w:type="dxa"/>
            <w:tcBorders>
              <w:top w:val="single" w:sz="4" w:space="0" w:color="auto"/>
              <w:left w:val="nil"/>
              <w:bottom w:val="single" w:sz="4" w:space="0" w:color="auto"/>
              <w:right w:val="single" w:sz="4" w:space="0" w:color="auto"/>
            </w:tcBorders>
            <w:shd w:val="clear" w:color="auto" w:fill="auto"/>
            <w:vAlign w:val="center"/>
          </w:tcPr>
          <w:p w14:paraId="2D46F2D3" w14:textId="77777777" w:rsidR="00130ECE" w:rsidRPr="001D325D" w:rsidRDefault="00130ECE" w:rsidP="008153BD">
            <w:pPr>
              <w:pStyle w:val="Tablehead"/>
            </w:pPr>
            <w:r w:rsidRPr="001D325D">
              <w:t>2024</w:t>
            </w:r>
          </w:p>
        </w:tc>
      </w:tr>
      <w:tr w:rsidR="00130ECE" w:rsidRPr="001D325D" w14:paraId="5329B521" w14:textId="77777777" w:rsidTr="008153BD">
        <w:trPr>
          <w:trHeight w:val="300"/>
          <w:jc w:val="center"/>
        </w:trPr>
        <w:tc>
          <w:tcPr>
            <w:tcW w:w="5455" w:type="dxa"/>
            <w:tcBorders>
              <w:top w:val="nil"/>
              <w:left w:val="single" w:sz="4" w:space="0" w:color="auto"/>
              <w:bottom w:val="single" w:sz="4" w:space="0" w:color="auto"/>
              <w:right w:val="single" w:sz="4" w:space="0" w:color="auto"/>
            </w:tcBorders>
            <w:shd w:val="clear" w:color="auto" w:fill="auto"/>
            <w:noWrap/>
            <w:vAlign w:val="center"/>
            <w:hideMark/>
          </w:tcPr>
          <w:p w14:paraId="0C47D20C" w14:textId="77777777" w:rsidR="00130ECE" w:rsidRPr="001D325D" w:rsidRDefault="00130ECE" w:rsidP="008153BD">
            <w:pPr>
              <w:pStyle w:val="Tabletext"/>
              <w:rPr>
                <w:bCs/>
              </w:rPr>
            </w:pPr>
            <w:r w:rsidRPr="001D325D">
              <w:t>Costes de la BR sobre la base de un estudio de tiempos</w:t>
            </w:r>
          </w:p>
        </w:tc>
        <w:tc>
          <w:tcPr>
            <w:tcW w:w="783" w:type="dxa"/>
            <w:tcBorders>
              <w:top w:val="single" w:sz="4" w:space="0" w:color="auto"/>
              <w:left w:val="nil"/>
              <w:bottom w:val="single" w:sz="4" w:space="0" w:color="auto"/>
              <w:right w:val="single" w:sz="4" w:space="0" w:color="auto"/>
            </w:tcBorders>
            <w:vAlign w:val="center"/>
          </w:tcPr>
          <w:p w14:paraId="3A51D8BF" w14:textId="77777777" w:rsidR="00130ECE" w:rsidRPr="001D325D" w:rsidRDefault="00130ECE" w:rsidP="008153BD">
            <w:pPr>
              <w:pStyle w:val="Tabletext"/>
              <w:jc w:val="center"/>
              <w:rPr>
                <w:bCs/>
              </w:rPr>
            </w:pPr>
            <w:r w:rsidRPr="001D325D">
              <w:t>CHF</w:t>
            </w:r>
          </w:p>
        </w:tc>
        <w:tc>
          <w:tcPr>
            <w:tcW w:w="1400" w:type="dxa"/>
            <w:tcBorders>
              <w:top w:val="nil"/>
              <w:left w:val="single" w:sz="4" w:space="0" w:color="auto"/>
              <w:bottom w:val="single" w:sz="4" w:space="0" w:color="auto"/>
              <w:right w:val="single" w:sz="4" w:space="0" w:color="auto"/>
            </w:tcBorders>
            <w:shd w:val="clear" w:color="auto" w:fill="auto"/>
            <w:noWrap/>
            <w:hideMark/>
          </w:tcPr>
          <w:p w14:paraId="70F4EEAD" w14:textId="7B235521" w:rsidR="00130ECE" w:rsidRPr="001D325D" w:rsidRDefault="00130ECE" w:rsidP="008153BD">
            <w:pPr>
              <w:pStyle w:val="Tabletext"/>
              <w:jc w:val="center"/>
              <w:rPr>
                <w:bCs/>
              </w:rPr>
            </w:pPr>
            <w:r w:rsidRPr="001D325D">
              <w:t>10</w:t>
            </w:r>
            <w:r w:rsidR="00F5264F">
              <w:t> </w:t>
            </w:r>
            <w:r w:rsidRPr="001D325D">
              <w:t>254</w:t>
            </w:r>
            <w:r w:rsidR="00F5264F">
              <w:t> </w:t>
            </w:r>
            <w:r w:rsidRPr="001D325D">
              <w:t>511</w:t>
            </w:r>
          </w:p>
        </w:tc>
        <w:tc>
          <w:tcPr>
            <w:tcW w:w="1423" w:type="dxa"/>
            <w:tcBorders>
              <w:top w:val="nil"/>
              <w:left w:val="nil"/>
              <w:bottom w:val="single" w:sz="4" w:space="0" w:color="auto"/>
              <w:right w:val="single" w:sz="4" w:space="0" w:color="auto"/>
            </w:tcBorders>
          </w:tcPr>
          <w:p w14:paraId="7F755423" w14:textId="40454F71" w:rsidR="00130ECE" w:rsidRPr="001D325D" w:rsidRDefault="00130ECE" w:rsidP="008153BD">
            <w:pPr>
              <w:pStyle w:val="Tabletext"/>
              <w:jc w:val="center"/>
              <w:rPr>
                <w:bCs/>
              </w:rPr>
            </w:pPr>
            <w:r w:rsidRPr="001D325D">
              <w:t>12</w:t>
            </w:r>
            <w:r w:rsidR="00F5264F">
              <w:t> </w:t>
            </w:r>
            <w:r w:rsidRPr="001D325D">
              <w:t>144</w:t>
            </w:r>
            <w:r w:rsidR="00F5264F">
              <w:t> </w:t>
            </w:r>
            <w:r w:rsidRPr="001D325D">
              <w:t>478</w:t>
            </w:r>
          </w:p>
        </w:tc>
      </w:tr>
      <w:tr w:rsidR="00130ECE" w:rsidRPr="001D325D" w14:paraId="2D773572" w14:textId="77777777" w:rsidTr="008153BD">
        <w:trPr>
          <w:trHeight w:val="300"/>
          <w:jc w:val="center"/>
        </w:trPr>
        <w:tc>
          <w:tcPr>
            <w:tcW w:w="5455" w:type="dxa"/>
            <w:tcBorders>
              <w:top w:val="nil"/>
              <w:left w:val="single" w:sz="4" w:space="0" w:color="auto"/>
              <w:bottom w:val="single" w:sz="4" w:space="0" w:color="auto"/>
              <w:right w:val="single" w:sz="4" w:space="0" w:color="auto"/>
            </w:tcBorders>
            <w:shd w:val="clear" w:color="auto" w:fill="auto"/>
            <w:noWrap/>
            <w:vAlign w:val="center"/>
            <w:hideMark/>
          </w:tcPr>
          <w:p w14:paraId="02169AEB" w14:textId="77777777" w:rsidR="00130ECE" w:rsidRPr="001D325D" w:rsidRDefault="00130ECE" w:rsidP="008153BD">
            <w:pPr>
              <w:pStyle w:val="Tabletext"/>
              <w:rPr>
                <w:bCs/>
              </w:rPr>
            </w:pPr>
            <w:r w:rsidRPr="001D325D">
              <w:t>Costes de los servicios administrativos y de apoyo de la SG</w:t>
            </w:r>
          </w:p>
        </w:tc>
        <w:tc>
          <w:tcPr>
            <w:tcW w:w="783" w:type="dxa"/>
            <w:tcBorders>
              <w:top w:val="single" w:sz="4" w:space="0" w:color="auto"/>
              <w:left w:val="nil"/>
              <w:bottom w:val="single" w:sz="4" w:space="0" w:color="auto"/>
              <w:right w:val="single" w:sz="4" w:space="0" w:color="auto"/>
            </w:tcBorders>
            <w:vAlign w:val="center"/>
          </w:tcPr>
          <w:p w14:paraId="3841DA60" w14:textId="77777777" w:rsidR="00130ECE" w:rsidRPr="001D325D" w:rsidRDefault="00130ECE" w:rsidP="008153BD">
            <w:pPr>
              <w:pStyle w:val="Tabletext"/>
              <w:jc w:val="center"/>
              <w:rPr>
                <w:bCs/>
              </w:rPr>
            </w:pPr>
            <w:r w:rsidRPr="001D325D">
              <w:t>CHF</w:t>
            </w:r>
          </w:p>
        </w:tc>
        <w:tc>
          <w:tcPr>
            <w:tcW w:w="1400" w:type="dxa"/>
            <w:tcBorders>
              <w:top w:val="nil"/>
              <w:left w:val="single" w:sz="4" w:space="0" w:color="auto"/>
              <w:bottom w:val="single" w:sz="4" w:space="0" w:color="auto"/>
              <w:right w:val="single" w:sz="4" w:space="0" w:color="auto"/>
            </w:tcBorders>
            <w:shd w:val="clear" w:color="auto" w:fill="auto"/>
            <w:noWrap/>
            <w:hideMark/>
          </w:tcPr>
          <w:p w14:paraId="516366C6" w14:textId="5B7105D0" w:rsidR="00130ECE" w:rsidRPr="001D325D" w:rsidRDefault="00130ECE" w:rsidP="008153BD">
            <w:pPr>
              <w:pStyle w:val="Tabletext"/>
              <w:jc w:val="center"/>
              <w:rPr>
                <w:bCs/>
              </w:rPr>
            </w:pPr>
            <w:r w:rsidRPr="001D325D">
              <w:t>9</w:t>
            </w:r>
            <w:r w:rsidR="00F5264F">
              <w:t> </w:t>
            </w:r>
            <w:r w:rsidRPr="001D325D">
              <w:t>183</w:t>
            </w:r>
            <w:r w:rsidR="00F5264F">
              <w:t> </w:t>
            </w:r>
            <w:r w:rsidRPr="001D325D">
              <w:t>890</w:t>
            </w:r>
          </w:p>
        </w:tc>
        <w:tc>
          <w:tcPr>
            <w:tcW w:w="1423" w:type="dxa"/>
            <w:tcBorders>
              <w:top w:val="nil"/>
              <w:left w:val="nil"/>
              <w:bottom w:val="single" w:sz="4" w:space="0" w:color="auto"/>
              <w:right w:val="single" w:sz="4" w:space="0" w:color="auto"/>
            </w:tcBorders>
          </w:tcPr>
          <w:p w14:paraId="6D6A98DD" w14:textId="67F18643" w:rsidR="00130ECE" w:rsidRPr="001D325D" w:rsidRDefault="00130ECE" w:rsidP="008153BD">
            <w:pPr>
              <w:pStyle w:val="Tabletext"/>
              <w:jc w:val="center"/>
              <w:rPr>
                <w:bCs/>
              </w:rPr>
            </w:pPr>
            <w:r w:rsidRPr="001D325D">
              <w:t>10</w:t>
            </w:r>
            <w:r w:rsidR="00F5264F">
              <w:t> </w:t>
            </w:r>
            <w:r w:rsidRPr="001D325D">
              <w:t>666</w:t>
            </w:r>
            <w:r w:rsidR="00F5264F">
              <w:t> </w:t>
            </w:r>
            <w:r w:rsidRPr="001D325D">
              <w:t>000</w:t>
            </w:r>
          </w:p>
        </w:tc>
      </w:tr>
      <w:tr w:rsidR="00130ECE" w:rsidRPr="001D325D" w14:paraId="73693FB9" w14:textId="77777777" w:rsidTr="008B0BDA">
        <w:trPr>
          <w:trHeight w:val="300"/>
          <w:jc w:val="center"/>
        </w:trPr>
        <w:tc>
          <w:tcPr>
            <w:tcW w:w="5455" w:type="dxa"/>
            <w:tcBorders>
              <w:top w:val="nil"/>
              <w:left w:val="single" w:sz="4" w:space="0" w:color="auto"/>
              <w:bottom w:val="single" w:sz="4" w:space="0" w:color="auto"/>
              <w:right w:val="single" w:sz="4" w:space="0" w:color="auto"/>
            </w:tcBorders>
            <w:shd w:val="clear" w:color="auto" w:fill="auto"/>
            <w:noWrap/>
            <w:vAlign w:val="center"/>
            <w:hideMark/>
          </w:tcPr>
          <w:p w14:paraId="514A2444" w14:textId="77777777" w:rsidR="00130ECE" w:rsidRPr="001D325D" w:rsidRDefault="00130ECE" w:rsidP="008153BD">
            <w:pPr>
              <w:pStyle w:val="Tabletext"/>
              <w:rPr>
                <w:bCs/>
              </w:rPr>
            </w:pPr>
            <w:r w:rsidRPr="001D325D">
              <w:t>Costes totales</w:t>
            </w:r>
          </w:p>
        </w:tc>
        <w:tc>
          <w:tcPr>
            <w:tcW w:w="783" w:type="dxa"/>
            <w:tcBorders>
              <w:top w:val="single" w:sz="4" w:space="0" w:color="auto"/>
              <w:left w:val="nil"/>
              <w:bottom w:val="single" w:sz="4" w:space="0" w:color="auto"/>
              <w:right w:val="single" w:sz="4" w:space="0" w:color="auto"/>
            </w:tcBorders>
            <w:vAlign w:val="center"/>
          </w:tcPr>
          <w:p w14:paraId="245E13FB" w14:textId="77777777" w:rsidR="00130ECE" w:rsidRPr="001D325D" w:rsidRDefault="00130ECE" w:rsidP="008153BD">
            <w:pPr>
              <w:pStyle w:val="Tabletext"/>
              <w:jc w:val="center"/>
              <w:rPr>
                <w:bCs/>
              </w:rPr>
            </w:pPr>
            <w:r w:rsidRPr="001D325D">
              <w:t>CHF</w:t>
            </w:r>
          </w:p>
        </w:tc>
        <w:tc>
          <w:tcPr>
            <w:tcW w:w="1400" w:type="dxa"/>
            <w:tcBorders>
              <w:top w:val="nil"/>
              <w:left w:val="single" w:sz="4" w:space="0" w:color="auto"/>
              <w:bottom w:val="single" w:sz="4" w:space="0" w:color="auto"/>
              <w:right w:val="single" w:sz="4" w:space="0" w:color="auto"/>
            </w:tcBorders>
            <w:shd w:val="clear" w:color="auto" w:fill="auto"/>
            <w:noWrap/>
            <w:hideMark/>
          </w:tcPr>
          <w:p w14:paraId="48313E67" w14:textId="590A9C96" w:rsidR="00130ECE" w:rsidRPr="001D325D" w:rsidRDefault="00130ECE" w:rsidP="008153BD">
            <w:pPr>
              <w:pStyle w:val="Tabletext"/>
              <w:jc w:val="center"/>
              <w:rPr>
                <w:bCs/>
              </w:rPr>
            </w:pPr>
            <w:r w:rsidRPr="001D325D">
              <w:t>19</w:t>
            </w:r>
            <w:r w:rsidR="00F5264F">
              <w:t> </w:t>
            </w:r>
            <w:r w:rsidRPr="001D325D">
              <w:t>438</w:t>
            </w:r>
            <w:r w:rsidR="00F5264F">
              <w:t> </w:t>
            </w:r>
            <w:r w:rsidRPr="001D325D">
              <w:t>401</w:t>
            </w:r>
          </w:p>
        </w:tc>
        <w:tc>
          <w:tcPr>
            <w:tcW w:w="1423" w:type="dxa"/>
            <w:tcBorders>
              <w:top w:val="nil"/>
              <w:left w:val="nil"/>
              <w:bottom w:val="single" w:sz="4" w:space="0" w:color="auto"/>
              <w:right w:val="single" w:sz="4" w:space="0" w:color="auto"/>
            </w:tcBorders>
          </w:tcPr>
          <w:p w14:paraId="2433D46E" w14:textId="4DDF2DE2" w:rsidR="00130ECE" w:rsidRPr="001D325D" w:rsidRDefault="00130ECE" w:rsidP="008153BD">
            <w:pPr>
              <w:pStyle w:val="Tabletext"/>
              <w:jc w:val="center"/>
              <w:rPr>
                <w:bCs/>
              </w:rPr>
            </w:pPr>
            <w:r w:rsidRPr="001D325D">
              <w:t>22</w:t>
            </w:r>
            <w:r w:rsidR="00F5264F">
              <w:t> </w:t>
            </w:r>
            <w:r w:rsidRPr="001D325D">
              <w:t>810</w:t>
            </w:r>
            <w:r w:rsidR="00F5264F">
              <w:t> </w:t>
            </w:r>
            <w:r w:rsidRPr="001D325D">
              <w:t>478</w:t>
            </w:r>
          </w:p>
        </w:tc>
      </w:tr>
      <w:tr w:rsidR="008B0BDA" w:rsidRPr="001D325D" w14:paraId="26A93EB4" w14:textId="77777777" w:rsidTr="008B0BDA">
        <w:trPr>
          <w:trHeight w:val="300"/>
          <w:jc w:val="center"/>
        </w:trPr>
        <w:tc>
          <w:tcPr>
            <w:tcW w:w="9061" w:type="dxa"/>
            <w:gridSpan w:val="4"/>
            <w:tcBorders>
              <w:top w:val="single" w:sz="4" w:space="0" w:color="auto"/>
            </w:tcBorders>
            <w:shd w:val="clear" w:color="auto" w:fill="auto"/>
            <w:noWrap/>
            <w:vAlign w:val="center"/>
          </w:tcPr>
          <w:p w14:paraId="48775FF6" w14:textId="30EFE76D" w:rsidR="008B0BDA" w:rsidRPr="001D325D" w:rsidRDefault="008B0BDA" w:rsidP="008B0BDA">
            <w:pPr>
              <w:pStyle w:val="Tablelegend"/>
            </w:pPr>
            <w:r w:rsidRPr="001D325D">
              <w:t xml:space="preserve">NOTA – La UIT asume los gastos adicionales correspondientes al desarrollo de </w:t>
            </w:r>
            <w:r w:rsidRPr="00B744B3">
              <w:rPr>
                <w:i/>
                <w:iCs/>
              </w:rPr>
              <w:t>software</w:t>
            </w:r>
            <w:r w:rsidRPr="001D325D">
              <w:t xml:space="preserve"> específico para los servicios espaciales.</w:t>
            </w:r>
          </w:p>
        </w:tc>
      </w:tr>
    </w:tbl>
    <w:p w14:paraId="27BE8C27" w14:textId="7F00C3FD" w:rsidR="00130ECE" w:rsidRPr="001D325D" w:rsidRDefault="00130ECE" w:rsidP="008B0BDA">
      <w:pPr>
        <w:pStyle w:val="Tablefin"/>
      </w:pPr>
    </w:p>
    <w:p w14:paraId="54137607" w14:textId="77777777" w:rsidR="00130ECE" w:rsidRPr="001D325D" w:rsidRDefault="00130ECE" w:rsidP="008B0BDA">
      <w:pPr>
        <w:jc w:val="both"/>
      </w:pPr>
      <w:r w:rsidRPr="001D325D">
        <w:t>6</w:t>
      </w:r>
      <w:r w:rsidRPr="001D325D">
        <w:tab/>
        <w:t xml:space="preserve">La aplicación del Acuerdo 482 por parte de la Oficina de Radiocomunicaciones no ha planteado ninguna dificultad administrativa </w:t>
      </w:r>
      <w:r>
        <w:t>u</w:t>
      </w:r>
      <w:r w:rsidRPr="001D325D">
        <w:t xml:space="preserve"> operacional notable, ni a nivel interno ni con las Administraciones notificantes de las redes de satélites.</w:t>
      </w:r>
    </w:p>
    <w:p w14:paraId="09A3DDC9" w14:textId="77777777" w:rsidR="00130ECE" w:rsidRPr="001D325D" w:rsidRDefault="00130ECE" w:rsidP="00130ECE">
      <w:pPr>
        <w:pStyle w:val="Headingb"/>
      </w:pPr>
      <w:r w:rsidRPr="001D325D">
        <w:t>Conclusión</w:t>
      </w:r>
    </w:p>
    <w:p w14:paraId="45C250C1" w14:textId="556C79DB" w:rsidR="00130ECE" w:rsidRPr="001D325D" w:rsidRDefault="00130ECE" w:rsidP="008B0BDA">
      <w:pPr>
        <w:jc w:val="both"/>
      </w:pPr>
      <w:r w:rsidRPr="001D325D">
        <w:t>7</w:t>
      </w:r>
      <w:r w:rsidRPr="001D325D">
        <w:tab/>
        <w:t xml:space="preserve">Se invita al Consejo a </w:t>
      </w:r>
      <w:r w:rsidRPr="001D325D">
        <w:rPr>
          <w:b/>
          <w:bCs/>
        </w:rPr>
        <w:t>tomar nota</w:t>
      </w:r>
      <w:r w:rsidRPr="001D325D">
        <w:t xml:space="preserve"> del presente informe de situación sobre la aplicación de la recuperación de costes a la tramitación de notificaciones de redes de satélites. </w:t>
      </w:r>
    </w:p>
    <w:p w14:paraId="78F293B9" w14:textId="77777777" w:rsidR="00F92BED" w:rsidRDefault="00F92BED" w:rsidP="0032202E">
      <w:pPr>
        <w:pStyle w:val="Reasons"/>
      </w:pPr>
    </w:p>
    <w:p w14:paraId="0D1A1DCA" w14:textId="77777777" w:rsidR="00F92BED" w:rsidRPr="00F92BED" w:rsidRDefault="00F92BED" w:rsidP="00F92BED">
      <w:pPr>
        <w:jc w:val="center"/>
      </w:pPr>
      <w:r>
        <w:t>______________</w:t>
      </w:r>
    </w:p>
    <w:sectPr w:rsidR="00F92BED" w:rsidRPr="00F92BED" w:rsidSect="00C538FC">
      <w:footerReference w:type="default" r:id="rId14"/>
      <w:headerReference w:type="first" r:id="rId15"/>
      <w:footerReference w:type="first" r:id="rId16"/>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175624" w14:textId="77777777" w:rsidR="00006DB7" w:rsidRDefault="00006DB7">
      <w:r>
        <w:separator/>
      </w:r>
    </w:p>
  </w:endnote>
  <w:endnote w:type="continuationSeparator" w:id="0">
    <w:p w14:paraId="384FD5EF" w14:textId="77777777" w:rsidR="00006DB7" w:rsidRDefault="00006D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3273A4" w:rsidRPr="00784011" w14:paraId="0CA43615" w14:textId="77777777" w:rsidTr="00E31DCE">
      <w:trPr>
        <w:jc w:val="center"/>
      </w:trPr>
      <w:tc>
        <w:tcPr>
          <w:tcW w:w="1803" w:type="dxa"/>
          <w:vAlign w:val="center"/>
        </w:tcPr>
        <w:p w14:paraId="26DBAFB0" w14:textId="7E070405" w:rsidR="003273A4" w:rsidRDefault="002946E2" w:rsidP="003273A4">
          <w:pPr>
            <w:pStyle w:val="Header"/>
            <w:jc w:val="left"/>
            <w:rPr>
              <w:noProof/>
            </w:rPr>
          </w:pPr>
          <w:r>
            <w:rPr>
              <w:noProof/>
            </w:rPr>
            <w:t xml:space="preserve">gDoc </w:t>
          </w:r>
          <w:r w:rsidR="00E354E8" w:rsidRPr="00E354E8">
            <w:rPr>
              <w:noProof/>
            </w:rPr>
            <w:t>R2500965</w:t>
          </w:r>
        </w:p>
      </w:tc>
      <w:tc>
        <w:tcPr>
          <w:tcW w:w="8261" w:type="dxa"/>
        </w:tcPr>
        <w:p w14:paraId="54EFBFF6" w14:textId="4E59A6BC" w:rsidR="003273A4" w:rsidRPr="00E06FD5" w:rsidRDefault="003273A4" w:rsidP="00B060DF">
          <w:pPr>
            <w:pStyle w:val="Header"/>
            <w:tabs>
              <w:tab w:val="left" w:pos="6731"/>
              <w:tab w:val="right" w:pos="8505"/>
              <w:tab w:val="right" w:pos="9639"/>
            </w:tabs>
            <w:jc w:val="left"/>
            <w:rPr>
              <w:rFonts w:ascii="Arial" w:hAnsi="Arial" w:cs="Arial"/>
              <w:b/>
              <w:bCs/>
              <w:szCs w:val="18"/>
            </w:rPr>
          </w:pPr>
          <w:r>
            <w:rPr>
              <w:bCs/>
            </w:rPr>
            <w:tab/>
          </w:r>
          <w:r w:rsidRPr="00623AE3">
            <w:rPr>
              <w:bCs/>
            </w:rPr>
            <w:t>C</w:t>
          </w:r>
          <w:r>
            <w:rPr>
              <w:bCs/>
            </w:rPr>
            <w:t>2</w:t>
          </w:r>
          <w:r w:rsidR="00BB6FD8">
            <w:rPr>
              <w:bCs/>
            </w:rPr>
            <w:t>5</w:t>
          </w:r>
          <w:r w:rsidRPr="00623AE3">
            <w:rPr>
              <w:bCs/>
            </w:rPr>
            <w:t>/</w:t>
          </w:r>
          <w:r w:rsidR="00130ECE">
            <w:rPr>
              <w:bCs/>
            </w:rPr>
            <w:t>16</w:t>
          </w:r>
          <w:r w:rsidRPr="00623AE3">
            <w:rPr>
              <w:bCs/>
            </w:rPr>
            <w:t>-</w:t>
          </w:r>
          <w:r>
            <w:rPr>
              <w:bCs/>
            </w:rPr>
            <w:t>S</w:t>
          </w:r>
          <w:r>
            <w:rPr>
              <w:bCs/>
            </w:rPr>
            <w:tab/>
          </w:r>
          <w:r>
            <w:fldChar w:fldCharType="begin"/>
          </w:r>
          <w:r>
            <w:instrText>PAGE</w:instrText>
          </w:r>
          <w:r>
            <w:fldChar w:fldCharType="separate"/>
          </w:r>
          <w:r>
            <w:t>1</w:t>
          </w:r>
          <w:r>
            <w:rPr>
              <w:noProof/>
            </w:rPr>
            <w:fldChar w:fldCharType="end"/>
          </w:r>
        </w:p>
      </w:tc>
    </w:tr>
  </w:tbl>
  <w:p w14:paraId="12BB84D2" w14:textId="77777777" w:rsidR="00760F1C" w:rsidRPr="003273A4" w:rsidRDefault="00760F1C" w:rsidP="003273A4">
    <w:pPr>
      <w:pStyle w:val="Footer"/>
      <w:rPr>
        <w:b/>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F24B71" w:rsidRPr="00784011" w14:paraId="23B63262" w14:textId="77777777" w:rsidTr="00E31DCE">
      <w:trPr>
        <w:jc w:val="center"/>
      </w:trPr>
      <w:tc>
        <w:tcPr>
          <w:tcW w:w="1803" w:type="dxa"/>
          <w:vAlign w:val="center"/>
        </w:tcPr>
        <w:p w14:paraId="2253B87B" w14:textId="77777777" w:rsidR="00F24B71" w:rsidRPr="002946E2" w:rsidRDefault="002946E2" w:rsidP="00F24B71">
          <w:pPr>
            <w:pStyle w:val="Header"/>
            <w:jc w:val="left"/>
            <w:rPr>
              <w:noProof/>
            </w:rPr>
          </w:pPr>
          <w:hyperlink r:id="rId1" w:history="1">
            <w:r w:rsidRPr="002946E2">
              <w:rPr>
                <w:rStyle w:val="Hyperlink"/>
                <w:noProof/>
                <w:color w:val="4F81BD" w:themeColor="accent1"/>
                <w:u w:val="none"/>
              </w:rPr>
              <w:t>council.itu.int/2025</w:t>
            </w:r>
          </w:hyperlink>
          <w:r w:rsidRPr="002946E2">
            <w:rPr>
              <w:noProof/>
            </w:rPr>
            <w:t xml:space="preserve"> </w:t>
          </w:r>
        </w:p>
      </w:tc>
      <w:tc>
        <w:tcPr>
          <w:tcW w:w="8261" w:type="dxa"/>
        </w:tcPr>
        <w:p w14:paraId="00D9198F" w14:textId="7B4FD587" w:rsidR="00F24B71" w:rsidRPr="00E06FD5" w:rsidRDefault="00F24B71" w:rsidP="00B060DF">
          <w:pPr>
            <w:pStyle w:val="Header"/>
            <w:tabs>
              <w:tab w:val="left" w:pos="6731"/>
              <w:tab w:val="right" w:pos="8505"/>
              <w:tab w:val="right" w:pos="9639"/>
            </w:tabs>
            <w:jc w:val="left"/>
            <w:rPr>
              <w:rFonts w:ascii="Arial" w:hAnsi="Arial" w:cs="Arial"/>
              <w:b/>
              <w:bCs/>
              <w:szCs w:val="18"/>
            </w:rPr>
          </w:pPr>
          <w:r>
            <w:rPr>
              <w:bCs/>
            </w:rPr>
            <w:tab/>
          </w:r>
          <w:r w:rsidRPr="00623AE3">
            <w:rPr>
              <w:bCs/>
            </w:rPr>
            <w:t>C</w:t>
          </w:r>
          <w:r>
            <w:rPr>
              <w:bCs/>
            </w:rPr>
            <w:t>2</w:t>
          </w:r>
          <w:r w:rsidR="00BB6FD8">
            <w:rPr>
              <w:bCs/>
            </w:rPr>
            <w:t>5</w:t>
          </w:r>
          <w:r w:rsidRPr="00623AE3">
            <w:rPr>
              <w:bCs/>
            </w:rPr>
            <w:t>/</w:t>
          </w:r>
          <w:r w:rsidR="00130ECE">
            <w:rPr>
              <w:bCs/>
            </w:rPr>
            <w:t>16</w:t>
          </w:r>
          <w:r w:rsidRPr="00623AE3">
            <w:rPr>
              <w:bCs/>
            </w:rPr>
            <w:t>-</w:t>
          </w:r>
          <w:r w:rsidR="003273A4">
            <w:rPr>
              <w:bCs/>
            </w:rPr>
            <w:t>S</w:t>
          </w:r>
          <w:r>
            <w:rPr>
              <w:bCs/>
            </w:rPr>
            <w:tab/>
          </w:r>
          <w:r>
            <w:fldChar w:fldCharType="begin"/>
          </w:r>
          <w:r>
            <w:instrText>PAGE</w:instrText>
          </w:r>
          <w:r>
            <w:fldChar w:fldCharType="separate"/>
          </w:r>
          <w:r>
            <w:t>1</w:t>
          </w:r>
          <w:r>
            <w:rPr>
              <w:noProof/>
            </w:rPr>
            <w:fldChar w:fldCharType="end"/>
          </w:r>
        </w:p>
      </w:tc>
    </w:tr>
  </w:tbl>
  <w:p w14:paraId="1FB78C42" w14:textId="77777777" w:rsidR="00760F1C" w:rsidRPr="00F24B71" w:rsidRDefault="00760F1C" w:rsidP="00F24B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D709D9" w14:textId="77777777" w:rsidR="00006DB7" w:rsidRDefault="00006DB7">
      <w:r>
        <w:t>____________________</w:t>
      </w:r>
    </w:p>
  </w:footnote>
  <w:footnote w:type="continuationSeparator" w:id="0">
    <w:p w14:paraId="5010211E" w14:textId="77777777" w:rsidR="00006DB7" w:rsidRDefault="00006D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98"/>
      <w:gridCol w:w="4022"/>
    </w:tblGrid>
    <w:tr w:rsidR="00666D09" w:rsidRPr="00784011" w14:paraId="0E265D45" w14:textId="77777777" w:rsidTr="00666D09">
      <w:trPr>
        <w:trHeight w:val="1104"/>
        <w:jc w:val="center"/>
      </w:trPr>
      <w:tc>
        <w:tcPr>
          <w:tcW w:w="5998" w:type="dxa"/>
          <w:vAlign w:val="center"/>
        </w:tcPr>
        <w:p w14:paraId="2A6EB211" w14:textId="77777777" w:rsidR="00666D09" w:rsidRDefault="00666D09" w:rsidP="001559F5">
          <w:pPr>
            <w:pStyle w:val="Header"/>
            <w:jc w:val="left"/>
            <w:rPr>
              <w:rFonts w:ascii="Arial" w:hAnsi="Arial" w:cs="Arial"/>
              <w:b/>
              <w:bCs/>
              <w:noProof/>
              <w:color w:val="009CD6"/>
              <w:sz w:val="36"/>
              <w:szCs w:val="36"/>
            </w:rPr>
          </w:pPr>
          <w:r>
            <w:rPr>
              <w:rFonts w:ascii="Arial" w:hAnsi="Arial" w:cs="Arial"/>
              <w:b/>
              <w:bCs/>
              <w:noProof/>
              <w:color w:val="009CD6"/>
              <w:sz w:val="36"/>
              <w:szCs w:val="36"/>
            </w:rPr>
            <w:drawing>
              <wp:inline distT="0" distB="0" distL="0" distR="0" wp14:anchorId="0D67A8F1" wp14:editId="5CC8EE28">
                <wp:extent cx="3672000" cy="612867"/>
                <wp:effectExtent l="0" t="0" r="0" b="0"/>
                <wp:docPr id="1200703869" name="Picture 1" descr="A black background with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0703869" name="Picture 1" descr="A black background with blue text&#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3672000" cy="612867"/>
                        </a:xfrm>
                        <a:prstGeom prst="rect">
                          <a:avLst/>
                        </a:prstGeom>
                      </pic:spPr>
                    </pic:pic>
                  </a:graphicData>
                </a:graphic>
              </wp:inline>
            </w:drawing>
          </w:r>
        </w:p>
      </w:tc>
      <w:tc>
        <w:tcPr>
          <w:tcW w:w="4022" w:type="dxa"/>
        </w:tcPr>
        <w:p w14:paraId="73B1FC3B" w14:textId="77777777" w:rsidR="00666D09" w:rsidRDefault="00666D09" w:rsidP="001559F5">
          <w:pPr>
            <w:pStyle w:val="Header"/>
            <w:jc w:val="right"/>
            <w:rPr>
              <w:rFonts w:ascii="Arial" w:hAnsi="Arial" w:cs="Arial"/>
              <w:b/>
              <w:bCs/>
              <w:color w:val="009CD6"/>
              <w:szCs w:val="18"/>
            </w:rPr>
          </w:pPr>
        </w:p>
      </w:tc>
    </w:tr>
  </w:tbl>
  <w:p w14:paraId="70D4E107" w14:textId="77777777" w:rsidR="001559F5" w:rsidRDefault="001559F5">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23654EBF" wp14:editId="008AC38B">
              <wp:simplePos x="0" y="0"/>
              <wp:positionH relativeFrom="page">
                <wp:posOffset>13005</wp:posOffset>
              </wp:positionH>
              <wp:positionV relativeFrom="topMargin">
                <wp:posOffset>659765</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7B8E0D" id="Rectangle 5" o:spid="_x0000_s1026" style="position:absolute;margin-left:1pt;margin-top:51.9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" fillcolor="#009cd5" stroked="f">
              <w10:wrap anchorx="page" anchory="margin"/>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2C2"/>
    <w:rsid w:val="000007D1"/>
    <w:rsid w:val="00006DB7"/>
    <w:rsid w:val="0006007D"/>
    <w:rsid w:val="00093EEB"/>
    <w:rsid w:val="000B0D00"/>
    <w:rsid w:val="000B7C15"/>
    <w:rsid w:val="000D1D0F"/>
    <w:rsid w:val="000E3F07"/>
    <w:rsid w:val="000F5290"/>
    <w:rsid w:val="0010165C"/>
    <w:rsid w:val="00130ECE"/>
    <w:rsid w:val="00146BFB"/>
    <w:rsid w:val="001559F5"/>
    <w:rsid w:val="00157AC4"/>
    <w:rsid w:val="0016169C"/>
    <w:rsid w:val="001B6E2B"/>
    <w:rsid w:val="001F14A2"/>
    <w:rsid w:val="002801AA"/>
    <w:rsid w:val="002946E2"/>
    <w:rsid w:val="002C3F32"/>
    <w:rsid w:val="002C4676"/>
    <w:rsid w:val="002C70B0"/>
    <w:rsid w:val="002F3CC4"/>
    <w:rsid w:val="003032E2"/>
    <w:rsid w:val="0031300A"/>
    <w:rsid w:val="003273A4"/>
    <w:rsid w:val="0034796E"/>
    <w:rsid w:val="00473962"/>
    <w:rsid w:val="004B5D49"/>
    <w:rsid w:val="004D3A3C"/>
    <w:rsid w:val="00513630"/>
    <w:rsid w:val="00560125"/>
    <w:rsid w:val="005732C2"/>
    <w:rsid w:val="00585553"/>
    <w:rsid w:val="005B34D9"/>
    <w:rsid w:val="005D0CCF"/>
    <w:rsid w:val="005F3BCB"/>
    <w:rsid w:val="005F410F"/>
    <w:rsid w:val="0060149A"/>
    <w:rsid w:val="00601924"/>
    <w:rsid w:val="006447EA"/>
    <w:rsid w:val="0064481D"/>
    <w:rsid w:val="0064731F"/>
    <w:rsid w:val="00664572"/>
    <w:rsid w:val="00666D09"/>
    <w:rsid w:val="006710F6"/>
    <w:rsid w:val="00677A97"/>
    <w:rsid w:val="006C1B56"/>
    <w:rsid w:val="006C7B5D"/>
    <w:rsid w:val="006D4761"/>
    <w:rsid w:val="00726872"/>
    <w:rsid w:val="00760F1C"/>
    <w:rsid w:val="007657F0"/>
    <w:rsid w:val="0077110E"/>
    <w:rsid w:val="0077252D"/>
    <w:rsid w:val="007955DA"/>
    <w:rsid w:val="007E5DD3"/>
    <w:rsid w:val="007F350B"/>
    <w:rsid w:val="00820BE4"/>
    <w:rsid w:val="008451E8"/>
    <w:rsid w:val="008B0BDA"/>
    <w:rsid w:val="008F6ABC"/>
    <w:rsid w:val="00913B9C"/>
    <w:rsid w:val="00927F93"/>
    <w:rsid w:val="00956E77"/>
    <w:rsid w:val="009A338E"/>
    <w:rsid w:val="009F4811"/>
    <w:rsid w:val="00A005A8"/>
    <w:rsid w:val="00A40C94"/>
    <w:rsid w:val="00A94438"/>
    <w:rsid w:val="00AA390C"/>
    <w:rsid w:val="00B0200A"/>
    <w:rsid w:val="00B060DF"/>
    <w:rsid w:val="00B574DB"/>
    <w:rsid w:val="00B744B3"/>
    <w:rsid w:val="00B765EE"/>
    <w:rsid w:val="00B826C2"/>
    <w:rsid w:val="00B8298E"/>
    <w:rsid w:val="00BB6FD8"/>
    <w:rsid w:val="00BD0723"/>
    <w:rsid w:val="00BD2518"/>
    <w:rsid w:val="00BF1D1C"/>
    <w:rsid w:val="00C20C59"/>
    <w:rsid w:val="00C2727F"/>
    <w:rsid w:val="00C538FC"/>
    <w:rsid w:val="00C55B1F"/>
    <w:rsid w:val="00CB30E2"/>
    <w:rsid w:val="00CF1A67"/>
    <w:rsid w:val="00D2750E"/>
    <w:rsid w:val="00D375E0"/>
    <w:rsid w:val="00D50A36"/>
    <w:rsid w:val="00D62446"/>
    <w:rsid w:val="00D7458F"/>
    <w:rsid w:val="00DA4EA2"/>
    <w:rsid w:val="00DC3D3E"/>
    <w:rsid w:val="00DE2C90"/>
    <w:rsid w:val="00DE3B24"/>
    <w:rsid w:val="00DE7863"/>
    <w:rsid w:val="00E06947"/>
    <w:rsid w:val="00E11319"/>
    <w:rsid w:val="00E21444"/>
    <w:rsid w:val="00E34072"/>
    <w:rsid w:val="00E354E8"/>
    <w:rsid w:val="00E3592D"/>
    <w:rsid w:val="00E50D76"/>
    <w:rsid w:val="00E8018B"/>
    <w:rsid w:val="00E92DE8"/>
    <w:rsid w:val="00EB1212"/>
    <w:rsid w:val="00ED65AB"/>
    <w:rsid w:val="00F12850"/>
    <w:rsid w:val="00F24B71"/>
    <w:rsid w:val="00F33BF4"/>
    <w:rsid w:val="00F5264F"/>
    <w:rsid w:val="00F7105E"/>
    <w:rsid w:val="00F75F57"/>
    <w:rsid w:val="00F82FEE"/>
    <w:rsid w:val="00F90DA8"/>
    <w:rsid w:val="00F92BED"/>
    <w:rsid w:val="00FD57D3"/>
    <w:rsid w:val="00FE57F6"/>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2C8C78"/>
  <w15:docId w15:val="{67169161-64FA-460F-ADF2-5B5DC95BC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32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E354E8"/>
    <w:rPr>
      <w:color w:val="0070C0"/>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A005A8"/>
    <w:pPr>
      <w:tabs>
        <w:tab w:val="left" w:pos="284"/>
        <w:tab w:val="left" w:pos="567"/>
      </w:tabs>
      <w:spacing w:before="40" w:after="40"/>
    </w:pPr>
    <w:rPr>
      <w:sz w:val="20"/>
    </w:r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fin">
    <w:name w:val="Table_fin"/>
    <w:basedOn w:val="Tabletext"/>
    <w:rsid w:val="00A005A8"/>
    <w:pPr>
      <w:spacing w:before="0" w:after="0"/>
    </w:pPr>
  </w:style>
  <w:style w:type="paragraph" w:customStyle="1" w:styleId="Subtitle">
    <w:name w:val="Sub_title"/>
    <w:basedOn w:val="Title1"/>
    <w:qFormat/>
    <w:rsid w:val="00F92BED"/>
    <w:pPr>
      <w:framePr w:hSpace="181" w:wrap="around" w:vAnchor="page" w:hAnchor="page" w:x="1821" w:y="2314"/>
      <w:spacing w:before="120" w:after="160"/>
      <w:jc w:val="left"/>
    </w:pPr>
    <w:rPr>
      <w:rFonts w:cstheme="minorHAnsi"/>
      <w:caps w:val="0"/>
      <w:sz w:val="32"/>
      <w:szCs w:val="32"/>
    </w:rPr>
  </w:style>
  <w:style w:type="character" w:customStyle="1" w:styleId="HeaderChar">
    <w:name w:val="Header Char"/>
    <w:basedOn w:val="DefaultParagraphFont"/>
    <w:link w:val="Header"/>
    <w:uiPriority w:val="99"/>
    <w:rsid w:val="001559F5"/>
    <w:rPr>
      <w:rFonts w:ascii="Calibri" w:hAnsi="Calibri"/>
      <w:sz w:val="18"/>
      <w:lang w:val="es-ES_tradnl" w:eastAsia="en-US"/>
    </w:rPr>
  </w:style>
  <w:style w:type="table" w:styleId="TableGrid">
    <w:name w:val="Table Grid"/>
    <w:basedOn w:val="TableNormal"/>
    <w:uiPriority w:val="39"/>
    <w:rsid w:val="001559F5"/>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B6FD8"/>
    <w:rPr>
      <w:color w:val="666666"/>
    </w:rPr>
  </w:style>
  <w:style w:type="character" w:styleId="UnresolvedMention">
    <w:name w:val="Unresolved Mention"/>
    <w:basedOn w:val="DefaultParagraphFont"/>
    <w:uiPriority w:val="99"/>
    <w:semiHidden/>
    <w:unhideWhenUsed/>
    <w:rsid w:val="002946E2"/>
    <w:rPr>
      <w:color w:val="605E5C"/>
      <w:shd w:val="clear" w:color="auto" w:fill="E1DFDD"/>
    </w:rPr>
  </w:style>
  <w:style w:type="paragraph" w:customStyle="1" w:styleId="TableNotitle">
    <w:name w:val="Table_No &amp; title"/>
    <w:basedOn w:val="Normal"/>
    <w:next w:val="Tablehead"/>
    <w:rsid w:val="00130ECE"/>
    <w:pPr>
      <w:keepNext/>
      <w:keepLines/>
      <w:tabs>
        <w:tab w:val="clear" w:pos="567"/>
        <w:tab w:val="clear" w:pos="1134"/>
        <w:tab w:val="clear" w:pos="1701"/>
        <w:tab w:val="clear" w:pos="2268"/>
        <w:tab w:val="clear" w:pos="2835"/>
        <w:tab w:val="left" w:pos="794"/>
        <w:tab w:val="left" w:pos="1191"/>
        <w:tab w:val="left" w:pos="1588"/>
        <w:tab w:val="left" w:pos="1985"/>
      </w:tabs>
      <w:spacing w:before="360" w:after="120"/>
      <w:jc w:val="center"/>
    </w:pPr>
    <w:rPr>
      <w:rFonts w:asciiTheme="minorHAnsi" w:hAnsiTheme="minorHAnsi"/>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24-CL-C-0135/es" TargetMode="External"/><Relationship Id="rId13" Type="http://schemas.openxmlformats.org/officeDocument/2006/relationships/hyperlink" Target="https://www.itu.int/md/S23-CL-C-0126/es"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itu.int/md/S23-CL-C-0126/es" TargetMode="External"/><Relationship Id="rId12" Type="http://schemas.openxmlformats.org/officeDocument/2006/relationships/hyperlink" Target="https://www.itu.int/md/S25-CL-C-0011/es"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2.xml"/><Relationship Id="rId1" Type="http://schemas.openxmlformats.org/officeDocument/2006/relationships/styles" Target="styles.xml"/><Relationship Id="rId6" Type="http://schemas.openxmlformats.org/officeDocument/2006/relationships/hyperlink" Target="https://www.itu.int/en/council/Documents/basic-texts-2023/RES-091-S.pdf" TargetMode="External"/><Relationship Id="rId11" Type="http://schemas.openxmlformats.org/officeDocument/2006/relationships/hyperlink" Target="https://www.itu.int/md/S24-CL-C-0135/es" TargetMode="External"/><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hyperlink" Target="https://www.itu.int/md/S24-CL-C-0016/es" TargetMode="External"/><Relationship Id="rId4" Type="http://schemas.openxmlformats.org/officeDocument/2006/relationships/footnotes" Target="footnotes.xml"/><Relationship Id="rId9" Type="http://schemas.openxmlformats.org/officeDocument/2006/relationships/hyperlink" Target="https://www.itu.int/md/S24-CL-C-0011/es"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s://council.itu.int/2025/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llaescusa\Desktop\UIT\AA-Actuales\PS_Council2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PS_Council25.dotx</Template>
  <TotalTime>2</TotalTime>
  <Pages>3</Pages>
  <Words>830</Words>
  <Characters>4211</Characters>
  <Application>Microsoft Office Word</Application>
  <DocSecurity>0</DocSecurity>
  <Lines>122</Lines>
  <Paragraphs>69</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International Telecommunication Union</Company>
  <LinksUpToDate>false</LinksUpToDate>
  <CharactersWithSpaces>4977</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Aplicación de la recuperación de costes a la tramitación de notificaciones de redes de satélites</dc:title>
  <dc:subject>Consejo 2025 de la UIT</dc:subject>
  <cp:keywords>C2025; Council-25; C25</cp:keywords>
  <dc:description/>
  <cp:lastPrinted>2006-03-24T09:51:00Z</cp:lastPrinted>
  <dcterms:created xsi:type="dcterms:W3CDTF">2025-04-17T09:07:00Z</dcterms:created>
  <dcterms:modified xsi:type="dcterms:W3CDTF">2025-04-17T09:07:00Z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y fmtid="{D5CDD505-2E9C-101B-9397-08002B2CF9AE}" pid="8" name="GrammarlyDocumentId">
    <vt:lpwstr>5c03a5c9b91678b956e25536f0296632c716f66cf9a10e87f22af88ff3e788b1</vt:lpwstr>
  </property>
</Properties>
</file>