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B639F" w14:paraId="157F1C0B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0CDE1BB" w14:textId="23848776" w:rsidR="00796BD3" w:rsidRPr="00BB639F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BB639F">
              <w:rPr>
                <w:b/>
                <w:lang w:val="ru-RU"/>
              </w:rPr>
              <w:t>Пункт повестки дня:</w:t>
            </w:r>
            <w:r w:rsidR="00240E9F" w:rsidRPr="00BB639F">
              <w:rPr>
                <w:b/>
                <w:lang w:val="ru-RU"/>
              </w:rPr>
              <w:t xml:space="preserve"> </w:t>
            </w:r>
            <w:proofErr w:type="spellStart"/>
            <w:r w:rsidR="00240E9F" w:rsidRPr="00BB639F">
              <w:rPr>
                <w:b/>
                <w:lang w:val="ru-RU"/>
              </w:rPr>
              <w:t>ADM</w:t>
            </w:r>
            <w:proofErr w:type="spellEnd"/>
            <w:r w:rsidR="00240E9F" w:rsidRPr="00BB639F">
              <w:rPr>
                <w:b/>
                <w:lang w:val="ru-RU"/>
              </w:rPr>
              <w:t xml:space="preserve"> 1</w:t>
            </w:r>
          </w:p>
        </w:tc>
        <w:tc>
          <w:tcPr>
            <w:tcW w:w="5245" w:type="dxa"/>
          </w:tcPr>
          <w:p w14:paraId="45597F8D" w14:textId="7F4E1A51" w:rsidR="00796BD3" w:rsidRPr="00BB639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B639F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BB639F">
              <w:rPr>
                <w:b/>
                <w:lang w:val="ru-RU"/>
              </w:rPr>
              <w:t>C2</w:t>
            </w:r>
            <w:r w:rsidR="00D631AA" w:rsidRPr="00BB639F">
              <w:rPr>
                <w:b/>
                <w:lang w:val="ru-RU"/>
              </w:rPr>
              <w:t>5</w:t>
            </w:r>
            <w:proofErr w:type="spellEnd"/>
            <w:r w:rsidR="00796BD3" w:rsidRPr="00BB639F">
              <w:rPr>
                <w:b/>
                <w:lang w:val="ru-RU"/>
              </w:rPr>
              <w:t>/</w:t>
            </w:r>
            <w:r w:rsidR="00240E9F" w:rsidRPr="00BB639F">
              <w:rPr>
                <w:b/>
                <w:lang w:val="ru-RU"/>
              </w:rPr>
              <w:t>16</w:t>
            </w:r>
            <w:r w:rsidR="00796BD3" w:rsidRPr="00BB639F">
              <w:rPr>
                <w:b/>
                <w:lang w:val="ru-RU"/>
              </w:rPr>
              <w:t>-R</w:t>
            </w:r>
          </w:p>
        </w:tc>
      </w:tr>
      <w:tr w:rsidR="00796BD3" w:rsidRPr="00BB639F" w14:paraId="3F48DC70" w14:textId="77777777" w:rsidTr="00DA770A">
        <w:trPr>
          <w:cantSplit/>
        </w:trPr>
        <w:tc>
          <w:tcPr>
            <w:tcW w:w="3969" w:type="dxa"/>
            <w:vMerge/>
          </w:tcPr>
          <w:p w14:paraId="486380FA" w14:textId="77777777" w:rsidR="00796BD3" w:rsidRPr="00BB639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C57CC64" w14:textId="4474C719" w:rsidR="00796BD3" w:rsidRPr="00BB639F" w:rsidRDefault="00240E9F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B639F">
              <w:rPr>
                <w:b/>
                <w:lang w:val="ru-RU"/>
              </w:rPr>
              <w:t>24 марта 2025 года</w:t>
            </w:r>
          </w:p>
        </w:tc>
      </w:tr>
      <w:tr w:rsidR="00796BD3" w:rsidRPr="00BB639F" w14:paraId="70C9B3A3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693D92CC" w14:textId="77777777" w:rsidR="00796BD3" w:rsidRPr="00BB639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A357B57" w14:textId="77777777" w:rsidR="00796BD3" w:rsidRPr="00BB639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B639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BB639F" w14:paraId="221AA54E" w14:textId="77777777" w:rsidTr="00DA770A">
        <w:trPr>
          <w:cantSplit/>
          <w:trHeight w:val="23"/>
        </w:trPr>
        <w:tc>
          <w:tcPr>
            <w:tcW w:w="3969" w:type="dxa"/>
          </w:tcPr>
          <w:p w14:paraId="04FD57F3" w14:textId="77777777" w:rsidR="00796BD3" w:rsidRPr="00BB639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623AFC4" w14:textId="77777777" w:rsidR="00796BD3" w:rsidRPr="00BB639F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B639F" w14:paraId="2484070A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3447687" w14:textId="77777777" w:rsidR="00796BD3" w:rsidRPr="00BB639F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B639F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37698" w14:paraId="6C5A5EE8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0ED6FB" w14:textId="5EB01D48" w:rsidR="00796BD3" w:rsidRPr="00BB639F" w:rsidRDefault="00240E9F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BB639F">
              <w:rPr>
                <w:rFonts w:cstheme="minorHAnsi"/>
                <w:sz w:val="32"/>
                <w:szCs w:val="32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</w:tr>
      <w:tr w:rsidR="00796BD3" w:rsidRPr="00637698" w14:paraId="2E2AF3F0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F7D0B5" w14:textId="77777777" w:rsidR="00796BD3" w:rsidRPr="00BB639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B639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B0E9547" w14:textId="2DAB1A65" w:rsidR="00796BD3" w:rsidRPr="00BB639F" w:rsidRDefault="00240E9F" w:rsidP="00240E9F">
            <w:pPr>
              <w:rPr>
                <w:lang w:val="ru-RU"/>
              </w:rPr>
            </w:pPr>
            <w:r w:rsidRPr="00BB639F">
              <w:rPr>
                <w:lang w:val="ru-RU"/>
              </w:rPr>
              <w:t>В настоящем документе представлен ежегодный отчет об осуществлении возмещения затрат на обработку ‎заявок на регистрацию спутниковых сетей в соответствии с Решением 482 Совета МСЭ (</w:t>
            </w:r>
            <w:proofErr w:type="spellStart"/>
            <w:r w:rsidRPr="00BB639F">
              <w:rPr>
                <w:lang w:val="ru-RU"/>
              </w:rPr>
              <w:t>C01</w:t>
            </w:r>
            <w:proofErr w:type="spellEnd"/>
            <w:r w:rsidRPr="00BB639F">
              <w:rPr>
                <w:lang w:val="ru-RU"/>
              </w:rPr>
              <w:t xml:space="preserve">, последнее изменение </w:t>
            </w:r>
            <w:proofErr w:type="spellStart"/>
            <w:r w:rsidRPr="00BB639F">
              <w:rPr>
                <w:lang w:val="ru-RU"/>
              </w:rPr>
              <w:t>C24</w:t>
            </w:r>
            <w:proofErr w:type="spellEnd"/>
            <w:r w:rsidRPr="00BB639F">
              <w:rPr>
                <w:lang w:val="ru-RU"/>
              </w:rPr>
              <w:t>).</w:t>
            </w:r>
          </w:p>
          <w:p w14:paraId="7981C9B6" w14:textId="77777777" w:rsidR="00796BD3" w:rsidRPr="00BB639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B639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3245451" w14:textId="4C592DD5" w:rsidR="00796BD3" w:rsidRPr="00BB639F" w:rsidRDefault="00240E9F" w:rsidP="00240E9F">
            <w:pPr>
              <w:rPr>
                <w:lang w:val="ru-RU"/>
              </w:rPr>
            </w:pPr>
            <w:r w:rsidRPr="00BB639F">
              <w:rPr>
                <w:lang w:val="ru-RU"/>
              </w:rPr>
              <w:t xml:space="preserve">Совету предлагается </w:t>
            </w:r>
            <w:r w:rsidRPr="00BB639F">
              <w:rPr>
                <w:b/>
                <w:bCs/>
                <w:lang w:val="ru-RU"/>
              </w:rPr>
              <w:t>принять к сведению</w:t>
            </w:r>
            <w:r w:rsidRPr="00BB639F">
              <w:rPr>
                <w:lang w:val="ru-RU"/>
              </w:rPr>
              <w:t xml:space="preserve"> настоящий отчет.</w:t>
            </w:r>
          </w:p>
          <w:p w14:paraId="23C34B05" w14:textId="77777777" w:rsidR="00796BD3" w:rsidRPr="00BB639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B639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1621BD03" w14:textId="7975B5F6" w:rsidR="00796BD3" w:rsidRPr="00BB639F" w:rsidRDefault="00240E9F" w:rsidP="00240E9F">
            <w:pPr>
              <w:rPr>
                <w:lang w:val="ru-RU"/>
              </w:rPr>
            </w:pPr>
            <w:r w:rsidRPr="00BB639F">
              <w:rPr>
                <w:lang w:val="ru-RU"/>
              </w:rPr>
              <w:t>Использование спектра для космических и наземных служб; предлагаемые продукты и услуги; распределение ресурсов и управление ими.</w:t>
            </w:r>
          </w:p>
          <w:p w14:paraId="275CDD6E" w14:textId="77777777" w:rsidR="00796BD3" w:rsidRPr="00BB639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B639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636484AB" w14:textId="2E31D51B" w:rsidR="00240E9F" w:rsidRPr="00BB639F" w:rsidRDefault="00240E9F" w:rsidP="00240E9F">
            <w:pPr>
              <w:rPr>
                <w:lang w:val="ru-RU"/>
              </w:rPr>
            </w:pPr>
            <w:r w:rsidRPr="00BB639F">
              <w:rPr>
                <w:lang w:val="ru-RU"/>
              </w:rPr>
              <w:t>9 679 754 швейцарских франка в рамках счетов за обработку заявок на регистрацию спутниковых сетей в 2024 году.</w:t>
            </w:r>
          </w:p>
          <w:p w14:paraId="30A7876C" w14:textId="2F480893" w:rsidR="00345D2A" w:rsidRPr="00BB639F" w:rsidRDefault="00240E9F" w:rsidP="00240E9F">
            <w:pPr>
              <w:rPr>
                <w:lang w:val="ru-RU"/>
              </w:rPr>
            </w:pPr>
            <w:r w:rsidRPr="00BB639F">
              <w:rPr>
                <w:lang w:val="ru-RU"/>
              </w:rPr>
              <w:t>22 810 478 швейцарских франков в качестве общих затрат на обработку всех заявок на регистрацию спутниковых сетей в 2024 году, при этом МСЭ несет дополнительные расходы на разработку конкретного программного обеспечения для космических служб.</w:t>
            </w:r>
          </w:p>
          <w:p w14:paraId="2603187F" w14:textId="77777777" w:rsidR="00796BD3" w:rsidRPr="00BB639F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B639F">
              <w:rPr>
                <w:sz w:val="20"/>
                <w:szCs w:val="18"/>
                <w:lang w:val="ru-RU"/>
              </w:rPr>
              <w:t>__________________</w:t>
            </w:r>
          </w:p>
          <w:p w14:paraId="5FCF86F1" w14:textId="77777777" w:rsidR="00796BD3" w:rsidRPr="00BB639F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B639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778BE57" w14:textId="336303FA" w:rsidR="00796BD3" w:rsidRPr="00BB639F" w:rsidRDefault="00240E9F" w:rsidP="00240E9F">
            <w:pPr>
              <w:spacing w:after="120"/>
              <w:rPr>
                <w:i/>
                <w:iCs/>
                <w:lang w:val="ru-RU"/>
              </w:rPr>
            </w:pPr>
            <w:hyperlink r:id="rId7" w:history="1"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Резолюция 91 (</w:t>
              </w:r>
              <w:proofErr w:type="spellStart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Пересм</w:t>
              </w:r>
              <w:proofErr w:type="spellEnd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. Гвадалахара, 2010 г.)</w:t>
              </w:r>
            </w:hyperlink>
            <w:r w:rsidRPr="00BB639F"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  <w:t xml:space="preserve"> </w:t>
            </w:r>
            <w:r w:rsidRPr="00BB639F">
              <w:rPr>
                <w:i/>
                <w:iCs/>
                <w:lang w:val="ru-RU"/>
              </w:rPr>
              <w:t>Полномочной</w:t>
            </w:r>
            <w:r w:rsidRPr="00BB639F"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  <w:t xml:space="preserve"> </w:t>
            </w:r>
            <w:r w:rsidRPr="00BB639F">
              <w:rPr>
                <w:i/>
                <w:iCs/>
                <w:lang w:val="ru-RU"/>
              </w:rPr>
              <w:t>конференции</w:t>
            </w:r>
            <w:r w:rsidRPr="00BB639F"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  <w:t xml:space="preserve">; Решения </w:t>
            </w:r>
            <w:hyperlink r:id="rId8" w:history="1"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632 (</w:t>
              </w:r>
              <w:proofErr w:type="spellStart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С23</w:t>
              </w:r>
              <w:proofErr w:type="spellEnd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)</w:t>
              </w:r>
            </w:hyperlink>
            <w:r w:rsidRPr="00BB639F"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  <w:t xml:space="preserve"> и </w:t>
            </w:r>
            <w:hyperlink r:id="rId9" w:history="1"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482 (</w:t>
              </w:r>
              <w:proofErr w:type="spellStart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C01</w:t>
              </w:r>
              <w:proofErr w:type="spellEnd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 xml:space="preserve">, последнее изменение </w:t>
              </w:r>
              <w:proofErr w:type="spellStart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C24</w:t>
              </w:r>
              <w:proofErr w:type="spellEnd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)</w:t>
              </w:r>
            </w:hyperlink>
            <w:r w:rsidRPr="00BB639F"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  <w:t xml:space="preserve"> Совета; Документы </w:t>
            </w:r>
            <w:hyperlink r:id="rId10" w:history="1">
              <w:proofErr w:type="spellStart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C24</w:t>
              </w:r>
              <w:proofErr w:type="spellEnd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/11</w:t>
              </w:r>
            </w:hyperlink>
            <w:r w:rsidRPr="00BB639F"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  <w:t xml:space="preserve"> и </w:t>
            </w:r>
            <w:hyperlink r:id="rId11" w:history="1">
              <w:proofErr w:type="spellStart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C24</w:t>
              </w:r>
              <w:proofErr w:type="spellEnd"/>
              <w:r w:rsidRPr="00BB639F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/16</w:t>
              </w:r>
            </w:hyperlink>
            <w:r w:rsidRPr="00BB639F">
              <w:rPr>
                <w:rFonts w:asciiTheme="minorHAnsi" w:hAnsiTheme="minorHAnsi" w:cstheme="minorHAnsi"/>
                <w:i/>
                <w:iCs/>
                <w:color w:val="000000"/>
                <w:lang w:val="ru-RU"/>
              </w:rPr>
              <w:t xml:space="preserve"> Совета.</w:t>
            </w:r>
          </w:p>
        </w:tc>
      </w:tr>
      <w:bookmarkEnd w:id="2"/>
      <w:bookmarkEnd w:id="6"/>
    </w:tbl>
    <w:p w14:paraId="786EEA12" w14:textId="77777777" w:rsidR="00165D06" w:rsidRPr="00BB639F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B639F">
        <w:rPr>
          <w:lang w:val="ru-RU"/>
        </w:rPr>
        <w:br w:type="page"/>
      </w:r>
    </w:p>
    <w:p w14:paraId="2B09C29F" w14:textId="77777777" w:rsidR="00240E9F" w:rsidRPr="00BB639F" w:rsidRDefault="00240E9F" w:rsidP="00637698">
      <w:pPr>
        <w:jc w:val="both"/>
        <w:rPr>
          <w:lang w:val="ru-RU"/>
        </w:rPr>
      </w:pPr>
      <w:r w:rsidRPr="00BB639F">
        <w:rPr>
          <w:lang w:val="ru-RU"/>
        </w:rPr>
        <w:lastRenderedPageBreak/>
        <w:t>1</w:t>
      </w:r>
      <w:r w:rsidRPr="00BB639F">
        <w:rPr>
          <w:lang w:val="ru-RU"/>
        </w:rPr>
        <w:tab/>
        <w:t xml:space="preserve">Совет на своей сессии 2024 года утвердил поправки к </w:t>
      </w:r>
      <w:hyperlink r:id="rId12" w:history="1">
        <w:r w:rsidRPr="00BB639F">
          <w:rPr>
            <w:rStyle w:val="Hyperlink"/>
            <w:rFonts w:asciiTheme="minorHAnsi" w:hAnsiTheme="minorHAnsi" w:cstheme="minorHAnsi"/>
            <w:lang w:val="ru-RU"/>
          </w:rPr>
          <w:t>Решению 482</w:t>
        </w:r>
      </w:hyperlink>
      <w:r w:rsidRPr="00BB639F">
        <w:rPr>
          <w:lang w:val="ru-RU"/>
        </w:rPr>
        <w:t>, которые вступили в силу 1 июля 2024 года.</w:t>
      </w:r>
    </w:p>
    <w:p w14:paraId="307C16BE" w14:textId="77777777" w:rsidR="00240E9F" w:rsidRPr="00BB639F" w:rsidRDefault="00240E9F" w:rsidP="00637698">
      <w:pPr>
        <w:pStyle w:val="Headingb"/>
        <w:jc w:val="both"/>
        <w:rPr>
          <w:lang w:val="ru-RU"/>
        </w:rPr>
      </w:pPr>
      <w:r w:rsidRPr="00BB639F">
        <w:rPr>
          <w:lang w:val="ru-RU"/>
        </w:rPr>
        <w:t>Отчет о выполнении Решения 482 (</w:t>
      </w:r>
      <w:proofErr w:type="spellStart"/>
      <w:r w:rsidRPr="00BB639F">
        <w:rPr>
          <w:lang w:val="ru-RU"/>
        </w:rPr>
        <w:t>C01</w:t>
      </w:r>
      <w:proofErr w:type="spellEnd"/>
      <w:r w:rsidRPr="00BB639F">
        <w:rPr>
          <w:lang w:val="ru-RU"/>
        </w:rPr>
        <w:t xml:space="preserve">, последнее изменение </w:t>
      </w:r>
      <w:proofErr w:type="spellStart"/>
      <w:r w:rsidRPr="00BB639F">
        <w:rPr>
          <w:lang w:val="ru-RU"/>
        </w:rPr>
        <w:t>C24</w:t>
      </w:r>
      <w:proofErr w:type="spellEnd"/>
      <w:r w:rsidRPr="00BB639F">
        <w:rPr>
          <w:lang w:val="ru-RU"/>
        </w:rPr>
        <w:t>) в 2023 и 2024 годах</w:t>
      </w:r>
    </w:p>
    <w:p w14:paraId="23814DB8" w14:textId="57DBBA3C" w:rsidR="00240E9F" w:rsidRPr="00BB639F" w:rsidRDefault="00240E9F" w:rsidP="00637698">
      <w:pPr>
        <w:jc w:val="both"/>
        <w:rPr>
          <w:lang w:val="ru-RU"/>
        </w:rPr>
      </w:pPr>
      <w:r w:rsidRPr="00BB639F">
        <w:rPr>
          <w:lang w:val="ru-RU"/>
        </w:rPr>
        <w:t>2</w:t>
      </w:r>
      <w:r w:rsidRPr="00BB639F">
        <w:rPr>
          <w:lang w:val="ru-RU"/>
        </w:rPr>
        <w:tab/>
        <w:t>В приведенной ниже Таблице 1 представлена соответствующая информация о</w:t>
      </w:r>
      <w:r w:rsidR="00BB639F">
        <w:rPr>
          <w:lang w:val="ru-RU"/>
        </w:rPr>
        <w:t> </w:t>
      </w:r>
      <w:r w:rsidRPr="00BB639F">
        <w:rPr>
          <w:lang w:val="ru-RU"/>
        </w:rPr>
        <w:t>применении Решения 482 (</w:t>
      </w:r>
      <w:proofErr w:type="spellStart"/>
      <w:r w:rsidRPr="00BB639F">
        <w:rPr>
          <w:lang w:val="ru-RU"/>
        </w:rPr>
        <w:t>C01</w:t>
      </w:r>
      <w:proofErr w:type="spellEnd"/>
      <w:r w:rsidRPr="00BB639F">
        <w:rPr>
          <w:lang w:val="ru-RU"/>
        </w:rPr>
        <w:t xml:space="preserve">, последнее изменение </w:t>
      </w:r>
      <w:proofErr w:type="spellStart"/>
      <w:r w:rsidRPr="00BB639F">
        <w:rPr>
          <w:lang w:val="ru-RU"/>
        </w:rPr>
        <w:t>C24</w:t>
      </w:r>
      <w:proofErr w:type="spellEnd"/>
      <w:r w:rsidRPr="00BB639F">
        <w:rPr>
          <w:lang w:val="ru-RU"/>
        </w:rPr>
        <w:t>) в 2023 и 2024 годах, в частности, указана процентная доля своевременно оплаченных счетов, выставленных в 2023 и 2024 годах.</w:t>
      </w:r>
    </w:p>
    <w:p w14:paraId="328F4564" w14:textId="77777777" w:rsidR="00240E9F" w:rsidRPr="00BB639F" w:rsidRDefault="00240E9F" w:rsidP="00240E9F">
      <w:pPr>
        <w:pStyle w:val="TableNo"/>
        <w:rPr>
          <w:lang w:val="ru-RU"/>
        </w:rPr>
      </w:pPr>
      <w:bookmarkStart w:id="7" w:name="_Hlk162508169"/>
      <w:r w:rsidRPr="00BB639F">
        <w:rPr>
          <w:lang w:val="ru-RU"/>
        </w:rPr>
        <w:t>Таблица 1</w:t>
      </w:r>
    </w:p>
    <w:p w14:paraId="3D65D3FC" w14:textId="77777777" w:rsidR="00240E9F" w:rsidRPr="00BB639F" w:rsidRDefault="00240E9F" w:rsidP="00240E9F">
      <w:pPr>
        <w:pStyle w:val="Tabletitle"/>
        <w:rPr>
          <w:lang w:val="ru-RU"/>
        </w:rPr>
      </w:pPr>
      <w:r w:rsidRPr="00BB639F">
        <w:rPr>
          <w:lang w:val="ru-RU"/>
        </w:rPr>
        <w:t>Состояние дел с выполнением Решения 482 в 2023 и 2024 годах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1029"/>
        <w:gridCol w:w="2334"/>
        <w:gridCol w:w="2403"/>
      </w:tblGrid>
      <w:tr w:rsidR="00240E9F" w:rsidRPr="00BB639F" w14:paraId="2E6DA3C4" w14:textId="77777777" w:rsidTr="006269DC">
        <w:trPr>
          <w:jc w:val="center"/>
        </w:trPr>
        <w:tc>
          <w:tcPr>
            <w:tcW w:w="1818" w:type="pct"/>
          </w:tcPr>
          <w:p w14:paraId="06824F67" w14:textId="77777777" w:rsidR="00240E9F" w:rsidRPr="00BB639F" w:rsidRDefault="00240E9F" w:rsidP="00240E9F">
            <w:pPr>
              <w:pStyle w:val="Tablehead"/>
              <w:rPr>
                <w:lang w:val="ru-RU"/>
              </w:rPr>
            </w:pPr>
          </w:p>
        </w:tc>
        <w:tc>
          <w:tcPr>
            <w:tcW w:w="568" w:type="pct"/>
          </w:tcPr>
          <w:p w14:paraId="502CE8A0" w14:textId="77777777" w:rsidR="00240E9F" w:rsidRPr="00BB639F" w:rsidRDefault="00240E9F" w:rsidP="00240E9F">
            <w:pPr>
              <w:pStyle w:val="Tablehead"/>
              <w:rPr>
                <w:lang w:val="ru-RU"/>
              </w:rPr>
            </w:pPr>
          </w:p>
        </w:tc>
        <w:tc>
          <w:tcPr>
            <w:tcW w:w="1288" w:type="pct"/>
          </w:tcPr>
          <w:p w14:paraId="65E52388" w14:textId="77777777" w:rsidR="00240E9F" w:rsidRPr="00BB639F" w:rsidRDefault="00240E9F" w:rsidP="00240E9F">
            <w:pPr>
              <w:pStyle w:val="Tablehead"/>
              <w:rPr>
                <w:lang w:val="ru-RU"/>
              </w:rPr>
            </w:pPr>
            <w:r w:rsidRPr="00BB639F">
              <w:rPr>
                <w:lang w:val="ru-RU"/>
              </w:rPr>
              <w:t>2023 г</w:t>
            </w:r>
            <w:r w:rsidRPr="00BB639F">
              <w:rPr>
                <w:b w:val="0"/>
                <w:bCs/>
                <w:lang w:val="ru-RU"/>
              </w:rPr>
              <w:t>.</w:t>
            </w:r>
          </w:p>
        </w:tc>
        <w:tc>
          <w:tcPr>
            <w:tcW w:w="1326" w:type="pct"/>
          </w:tcPr>
          <w:p w14:paraId="2290F758" w14:textId="77777777" w:rsidR="00240E9F" w:rsidRPr="00BB639F" w:rsidRDefault="00240E9F" w:rsidP="00240E9F">
            <w:pPr>
              <w:pStyle w:val="Tablehead"/>
              <w:rPr>
                <w:lang w:val="ru-RU"/>
              </w:rPr>
            </w:pPr>
            <w:r w:rsidRPr="00BB639F">
              <w:rPr>
                <w:lang w:val="ru-RU"/>
              </w:rPr>
              <w:t>2024 г</w:t>
            </w:r>
            <w:r w:rsidRPr="00BB639F">
              <w:rPr>
                <w:b w:val="0"/>
                <w:bCs/>
                <w:lang w:val="ru-RU"/>
              </w:rPr>
              <w:t>.</w:t>
            </w:r>
          </w:p>
        </w:tc>
      </w:tr>
      <w:tr w:rsidR="006269DC" w:rsidRPr="00BB639F" w14:paraId="110BEAE7" w14:textId="77777777" w:rsidTr="006269DC">
        <w:trPr>
          <w:jc w:val="center"/>
        </w:trPr>
        <w:tc>
          <w:tcPr>
            <w:tcW w:w="1818" w:type="pct"/>
            <w:vAlign w:val="center"/>
          </w:tcPr>
          <w:p w14:paraId="3F3063E7" w14:textId="77777777" w:rsidR="00240E9F" w:rsidRPr="00BB639F" w:rsidRDefault="00240E9F" w:rsidP="006269DC">
            <w:pPr>
              <w:pStyle w:val="Tabletext"/>
              <w:rPr>
                <w:lang w:val="ru-RU"/>
              </w:rPr>
            </w:pPr>
            <w:r w:rsidRPr="00BB639F">
              <w:rPr>
                <w:lang w:val="ru-RU"/>
              </w:rPr>
              <w:t>Заложенная в бюджете сумма</w:t>
            </w:r>
          </w:p>
        </w:tc>
        <w:tc>
          <w:tcPr>
            <w:tcW w:w="568" w:type="pct"/>
            <w:vAlign w:val="center"/>
          </w:tcPr>
          <w:p w14:paraId="3E757C9F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B639F">
              <w:rPr>
                <w:lang w:val="ru-RU"/>
              </w:rPr>
              <w:t>шв</w:t>
            </w:r>
            <w:proofErr w:type="spellEnd"/>
            <w:r w:rsidRPr="00BB639F">
              <w:rPr>
                <w:lang w:val="ru-RU"/>
              </w:rPr>
              <w:t>. фр.</w:t>
            </w:r>
          </w:p>
        </w:tc>
        <w:tc>
          <w:tcPr>
            <w:tcW w:w="1288" w:type="pct"/>
            <w:vAlign w:val="center"/>
          </w:tcPr>
          <w:p w14:paraId="3C3AA239" w14:textId="795E720B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r w:rsidRPr="00BB639F">
              <w:rPr>
                <w:lang w:val="ru-RU"/>
              </w:rPr>
              <w:t>18 000 000</w:t>
            </w:r>
            <w:r w:rsidR="006269DC" w:rsidRPr="00BB639F">
              <w:rPr>
                <w:lang w:val="ru-RU"/>
              </w:rPr>
              <w:br/>
            </w:r>
            <w:r w:rsidRPr="00BB639F">
              <w:rPr>
                <w:lang w:val="ru-RU"/>
              </w:rPr>
              <w:t>(Резолюция 1405 Совета</w:t>
            </w:r>
            <w:r w:rsidR="006269DC" w:rsidRPr="00BB639F">
              <w:rPr>
                <w:lang w:val="ru-RU"/>
              </w:rPr>
              <w:t> </w:t>
            </w:r>
            <w:r w:rsidRPr="00BB639F">
              <w:rPr>
                <w:lang w:val="ru-RU"/>
              </w:rPr>
              <w:t>(</w:t>
            </w:r>
            <w:proofErr w:type="spellStart"/>
            <w:r w:rsidRPr="00BB639F">
              <w:rPr>
                <w:lang w:val="ru-RU"/>
              </w:rPr>
              <w:t>C21</w:t>
            </w:r>
            <w:proofErr w:type="spellEnd"/>
            <w:r w:rsidRPr="00BB639F">
              <w:rPr>
                <w:lang w:val="ru-RU"/>
              </w:rPr>
              <w:t>))</w:t>
            </w:r>
          </w:p>
        </w:tc>
        <w:tc>
          <w:tcPr>
            <w:tcW w:w="1326" w:type="pct"/>
            <w:vAlign w:val="center"/>
          </w:tcPr>
          <w:p w14:paraId="306E42F8" w14:textId="4F305F53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r w:rsidRPr="00BB639F">
              <w:rPr>
                <w:lang w:val="ru-RU"/>
              </w:rPr>
              <w:t>14 000 000</w:t>
            </w:r>
            <w:r w:rsidR="006269DC" w:rsidRPr="00BB639F">
              <w:rPr>
                <w:lang w:val="ru-RU"/>
              </w:rPr>
              <w:br/>
            </w:r>
            <w:r w:rsidRPr="00BB639F">
              <w:rPr>
                <w:lang w:val="ru-RU"/>
              </w:rPr>
              <w:t>(Резолюция 1417 Совета</w:t>
            </w:r>
            <w:r w:rsidR="006269DC" w:rsidRPr="00BB639F">
              <w:rPr>
                <w:lang w:val="ru-RU"/>
              </w:rPr>
              <w:t> </w:t>
            </w:r>
            <w:r w:rsidRPr="00BB639F">
              <w:rPr>
                <w:lang w:val="ru-RU"/>
              </w:rPr>
              <w:t>(</w:t>
            </w:r>
            <w:proofErr w:type="spellStart"/>
            <w:r w:rsidRPr="00BB639F">
              <w:rPr>
                <w:lang w:val="ru-RU"/>
              </w:rPr>
              <w:t>C23</w:t>
            </w:r>
            <w:proofErr w:type="spellEnd"/>
            <w:r w:rsidRPr="00BB639F">
              <w:rPr>
                <w:lang w:val="ru-RU"/>
              </w:rPr>
              <w:t>))</w:t>
            </w:r>
          </w:p>
        </w:tc>
      </w:tr>
      <w:tr w:rsidR="00240E9F" w:rsidRPr="00BB639F" w14:paraId="65ED2D07" w14:textId="77777777" w:rsidTr="006269DC">
        <w:trPr>
          <w:jc w:val="center"/>
        </w:trPr>
        <w:tc>
          <w:tcPr>
            <w:tcW w:w="1818" w:type="pct"/>
            <w:vAlign w:val="center"/>
          </w:tcPr>
          <w:p w14:paraId="113F6C59" w14:textId="673DADCE" w:rsidR="00240E9F" w:rsidRPr="00BB639F" w:rsidRDefault="00240E9F" w:rsidP="006269DC">
            <w:pPr>
              <w:pStyle w:val="Tabletext"/>
              <w:rPr>
                <w:lang w:val="ru-RU"/>
              </w:rPr>
            </w:pPr>
            <w:r w:rsidRPr="00BB639F">
              <w:rPr>
                <w:lang w:val="ru-RU"/>
              </w:rPr>
              <w:t>Общее количество выставленных счетов</w:t>
            </w:r>
            <w:r w:rsidRPr="00BB639F">
              <w:rPr>
                <w:rStyle w:val="FootnoteReference"/>
                <w:lang w:val="ru-RU"/>
              </w:rPr>
              <w:t>*</w:t>
            </w:r>
            <w:r w:rsidRPr="00BB639F">
              <w:rPr>
                <w:lang w:val="ru-RU"/>
              </w:rPr>
              <w:t xml:space="preserve"> </w:t>
            </w:r>
            <w:r w:rsidR="00BB639F">
              <w:rPr>
                <w:lang w:val="ru-RU"/>
              </w:rPr>
              <w:br/>
            </w:r>
            <w:r w:rsidRPr="00BB639F">
              <w:rPr>
                <w:lang w:val="ru-RU"/>
              </w:rPr>
              <w:t>(за исключением случаев с</w:t>
            </w:r>
            <w:r w:rsidR="006269DC" w:rsidRPr="00BB639F">
              <w:rPr>
                <w:lang w:val="ru-RU"/>
              </w:rPr>
              <w:t> </w:t>
            </w:r>
            <w:r w:rsidRPr="00BB639F">
              <w:rPr>
                <w:lang w:val="ru-RU"/>
              </w:rPr>
              <w:t>правом на бесплатную публикацию)</w:t>
            </w:r>
          </w:p>
        </w:tc>
        <w:tc>
          <w:tcPr>
            <w:tcW w:w="568" w:type="pct"/>
            <w:vAlign w:val="center"/>
          </w:tcPr>
          <w:p w14:paraId="492C504C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B639F">
              <w:rPr>
                <w:lang w:val="ru-RU"/>
              </w:rPr>
              <w:t>шв</w:t>
            </w:r>
            <w:proofErr w:type="spellEnd"/>
            <w:r w:rsidRPr="00BB639F">
              <w:rPr>
                <w:lang w:val="ru-RU"/>
              </w:rPr>
              <w:t>. фр.</w:t>
            </w:r>
          </w:p>
        </w:tc>
        <w:tc>
          <w:tcPr>
            <w:tcW w:w="1288" w:type="pct"/>
            <w:vAlign w:val="center"/>
          </w:tcPr>
          <w:p w14:paraId="441155C4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r w:rsidRPr="00BB639F">
              <w:rPr>
                <w:lang w:val="ru-RU"/>
              </w:rPr>
              <w:t>11 215 321</w:t>
            </w:r>
          </w:p>
        </w:tc>
        <w:tc>
          <w:tcPr>
            <w:tcW w:w="1326" w:type="pct"/>
            <w:vAlign w:val="center"/>
          </w:tcPr>
          <w:p w14:paraId="68141818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r w:rsidRPr="00BB639F">
              <w:rPr>
                <w:lang w:val="ru-RU"/>
              </w:rPr>
              <w:t>9 679 754</w:t>
            </w:r>
          </w:p>
        </w:tc>
      </w:tr>
      <w:tr w:rsidR="00240E9F" w:rsidRPr="00BB639F" w14:paraId="768DFF4D" w14:textId="77777777" w:rsidTr="006269DC">
        <w:trPr>
          <w:jc w:val="center"/>
        </w:trPr>
        <w:tc>
          <w:tcPr>
            <w:tcW w:w="1818" w:type="pct"/>
            <w:vAlign w:val="center"/>
          </w:tcPr>
          <w:p w14:paraId="56E55D5A" w14:textId="77777777" w:rsidR="00240E9F" w:rsidRPr="00BB639F" w:rsidRDefault="00240E9F" w:rsidP="006269DC">
            <w:pPr>
              <w:pStyle w:val="Tabletext"/>
              <w:rPr>
                <w:lang w:val="ru-RU"/>
              </w:rPr>
            </w:pPr>
            <w:r w:rsidRPr="00BB639F">
              <w:rPr>
                <w:lang w:val="ru-RU"/>
              </w:rPr>
              <w:t>Право на бесплатную публикацию</w:t>
            </w:r>
          </w:p>
        </w:tc>
        <w:tc>
          <w:tcPr>
            <w:tcW w:w="568" w:type="pct"/>
            <w:vAlign w:val="center"/>
          </w:tcPr>
          <w:p w14:paraId="383B308B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B639F">
              <w:rPr>
                <w:lang w:val="ru-RU"/>
              </w:rPr>
              <w:t>шв</w:t>
            </w:r>
            <w:proofErr w:type="spellEnd"/>
            <w:r w:rsidRPr="00BB639F">
              <w:rPr>
                <w:lang w:val="ru-RU"/>
              </w:rPr>
              <w:t>. фр.</w:t>
            </w:r>
          </w:p>
        </w:tc>
        <w:tc>
          <w:tcPr>
            <w:tcW w:w="1288" w:type="pct"/>
            <w:vAlign w:val="center"/>
          </w:tcPr>
          <w:p w14:paraId="51C21F15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r w:rsidRPr="00BB639F">
              <w:rPr>
                <w:lang w:val="ru-RU"/>
              </w:rPr>
              <w:t>1 396 871</w:t>
            </w:r>
          </w:p>
        </w:tc>
        <w:tc>
          <w:tcPr>
            <w:tcW w:w="1326" w:type="pct"/>
            <w:vAlign w:val="center"/>
          </w:tcPr>
          <w:p w14:paraId="1F2F59A0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r w:rsidRPr="00BB639F">
              <w:rPr>
                <w:lang w:val="ru-RU"/>
              </w:rPr>
              <w:t>1 209 753</w:t>
            </w:r>
          </w:p>
        </w:tc>
      </w:tr>
      <w:tr w:rsidR="00240E9F" w:rsidRPr="00BB639F" w14:paraId="5C6E9618" w14:textId="77777777" w:rsidTr="006269DC">
        <w:trPr>
          <w:jc w:val="center"/>
        </w:trPr>
        <w:tc>
          <w:tcPr>
            <w:tcW w:w="1818" w:type="pct"/>
            <w:tcBorders>
              <w:bottom w:val="single" w:sz="12" w:space="0" w:color="auto"/>
            </w:tcBorders>
            <w:vAlign w:val="center"/>
          </w:tcPr>
          <w:p w14:paraId="4088254F" w14:textId="77777777" w:rsidR="00240E9F" w:rsidRPr="00BB639F" w:rsidRDefault="00240E9F" w:rsidP="006269DC">
            <w:pPr>
              <w:pStyle w:val="Tabletext"/>
              <w:rPr>
                <w:lang w:val="ru-RU"/>
              </w:rPr>
            </w:pPr>
            <w:r w:rsidRPr="00BB639F">
              <w:rPr>
                <w:lang w:val="ru-RU"/>
              </w:rPr>
              <w:t>Полученные платежи</w:t>
            </w:r>
            <w:r w:rsidRPr="00BB639F">
              <w:rPr>
                <w:rStyle w:val="FootnoteReference"/>
                <w:lang w:val="ru-RU"/>
              </w:rPr>
              <w:t>**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14:paraId="420C16C0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B639F">
              <w:rPr>
                <w:lang w:val="ru-RU"/>
              </w:rPr>
              <w:t>шв</w:t>
            </w:r>
            <w:proofErr w:type="spellEnd"/>
            <w:r w:rsidRPr="00BB639F">
              <w:rPr>
                <w:lang w:val="ru-RU"/>
              </w:rPr>
              <w:t>. фр.</w:t>
            </w:r>
          </w:p>
        </w:tc>
        <w:tc>
          <w:tcPr>
            <w:tcW w:w="1288" w:type="pct"/>
            <w:tcBorders>
              <w:bottom w:val="single" w:sz="12" w:space="0" w:color="auto"/>
            </w:tcBorders>
            <w:vAlign w:val="center"/>
          </w:tcPr>
          <w:p w14:paraId="64D18F6D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r w:rsidRPr="00BB639F">
              <w:rPr>
                <w:lang w:val="ru-RU"/>
              </w:rPr>
              <w:t>9 884 817</w:t>
            </w:r>
          </w:p>
        </w:tc>
        <w:tc>
          <w:tcPr>
            <w:tcW w:w="1326" w:type="pct"/>
            <w:tcBorders>
              <w:bottom w:val="single" w:sz="12" w:space="0" w:color="auto"/>
            </w:tcBorders>
            <w:vAlign w:val="center"/>
          </w:tcPr>
          <w:p w14:paraId="567833F8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r w:rsidRPr="00BB639F">
              <w:rPr>
                <w:lang w:val="ru-RU"/>
              </w:rPr>
              <w:t>9 707 718</w:t>
            </w:r>
          </w:p>
        </w:tc>
      </w:tr>
      <w:tr w:rsidR="00240E9F" w:rsidRPr="00BB639F" w14:paraId="2348587B" w14:textId="77777777" w:rsidTr="006269DC">
        <w:trPr>
          <w:jc w:val="center"/>
        </w:trPr>
        <w:tc>
          <w:tcPr>
            <w:tcW w:w="3674" w:type="pct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1113B" w14:textId="72F65125" w:rsidR="00240E9F" w:rsidRPr="00BB639F" w:rsidRDefault="00240E9F" w:rsidP="00240E9F">
            <w:pPr>
              <w:pStyle w:val="Tabletext"/>
              <w:rPr>
                <w:lang w:val="ru-RU"/>
              </w:rPr>
            </w:pPr>
            <w:r w:rsidRPr="00BB639F">
              <w:rPr>
                <w:lang w:val="ru-RU"/>
              </w:rPr>
              <w:t>Процентная доля оплаченных счетов, выставленных в 2023 и 2024 годах и</w:t>
            </w:r>
            <w:r w:rsidR="006269DC" w:rsidRPr="00BB639F">
              <w:rPr>
                <w:lang w:val="ru-RU"/>
              </w:rPr>
              <w:t> </w:t>
            </w:r>
            <w:r w:rsidRPr="00BB639F">
              <w:rPr>
                <w:lang w:val="ru-RU"/>
              </w:rPr>
              <w:t>подлежавших оплате к 31 декабря 2024 года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7EB73D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r w:rsidRPr="00BB639F">
              <w:rPr>
                <w:lang w:val="ru-RU"/>
              </w:rPr>
              <w:t>&gt; 99%</w:t>
            </w:r>
          </w:p>
        </w:tc>
      </w:tr>
      <w:tr w:rsidR="00240E9F" w:rsidRPr="00637698" w14:paraId="48BFA099" w14:textId="77777777" w:rsidTr="006269D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773ECD" w14:textId="77777777" w:rsidR="00240E9F" w:rsidRPr="00BB639F" w:rsidRDefault="00240E9F" w:rsidP="00637698">
            <w:pPr>
              <w:pStyle w:val="Tablelegend"/>
              <w:spacing w:before="40"/>
              <w:rPr>
                <w:lang w:val="ru-RU"/>
              </w:rPr>
            </w:pPr>
            <w:r w:rsidRPr="00BB639F">
              <w:rPr>
                <w:rStyle w:val="FootnoteReference"/>
                <w:lang w:val="ru-RU"/>
              </w:rPr>
              <w:t>*</w:t>
            </w:r>
            <w:r w:rsidRPr="00BB639F">
              <w:rPr>
                <w:lang w:val="ru-RU"/>
              </w:rPr>
              <w:tab/>
              <w:t>Счета должны оплачиваться в течение шести месяцев с даты их выставления.</w:t>
            </w:r>
          </w:p>
          <w:p w14:paraId="5EB10953" w14:textId="5643E120" w:rsidR="00240E9F" w:rsidRPr="00BB639F" w:rsidRDefault="00240E9F" w:rsidP="00637698">
            <w:pPr>
              <w:pStyle w:val="Tablelegend"/>
              <w:spacing w:before="40"/>
              <w:rPr>
                <w:lang w:val="ru-RU"/>
              </w:rPr>
            </w:pPr>
            <w:r w:rsidRPr="00BB639F">
              <w:rPr>
                <w:rStyle w:val="FootnoteReference"/>
                <w:lang w:val="ru-RU"/>
              </w:rPr>
              <w:t>**</w:t>
            </w:r>
            <w:r w:rsidRPr="00BB639F">
              <w:rPr>
                <w:lang w:val="ru-RU"/>
              </w:rPr>
              <w:tab/>
              <w:t>Полученные платежи включают платежи по счетам, выставленным в предыдущие годы. Эта сумма представляет собой сумму всех платежей, полученных МСЭ в течение 2024 календарного года, но</w:t>
            </w:r>
            <w:r w:rsidR="00BB639F">
              <w:rPr>
                <w:lang w:val="ru-RU"/>
              </w:rPr>
              <w:t> </w:t>
            </w:r>
            <w:r w:rsidRPr="00BB639F">
              <w:rPr>
                <w:lang w:val="ru-RU"/>
              </w:rPr>
              <w:t>отличается от учтенных доходов, поскольку эти платежи учитываются в платежах после публикации соответствующих специальных секций.</w:t>
            </w:r>
          </w:p>
        </w:tc>
      </w:tr>
    </w:tbl>
    <w:p w14:paraId="7A80F98D" w14:textId="77777777" w:rsidR="00240E9F" w:rsidRPr="00BB639F" w:rsidRDefault="00240E9F" w:rsidP="00240E9F">
      <w:pPr>
        <w:pStyle w:val="Tablefin"/>
        <w:rPr>
          <w:lang w:val="ru-RU"/>
        </w:rPr>
      </w:pPr>
    </w:p>
    <w:bookmarkEnd w:id="7"/>
    <w:p w14:paraId="40F28C9C" w14:textId="479373B6" w:rsidR="00240E9F" w:rsidRPr="00BB639F" w:rsidRDefault="00240E9F" w:rsidP="00637698">
      <w:pPr>
        <w:jc w:val="both"/>
        <w:rPr>
          <w:lang w:val="ru-RU"/>
        </w:rPr>
      </w:pPr>
      <w:r w:rsidRPr="00BB639F">
        <w:rPr>
          <w:lang w:val="ru-RU"/>
        </w:rPr>
        <w:t>3</w:t>
      </w:r>
      <w:r w:rsidRPr="00BB639F">
        <w:rPr>
          <w:lang w:val="ru-RU"/>
        </w:rPr>
        <w:tab/>
        <w:t xml:space="preserve">В Документе </w:t>
      </w:r>
      <w:hyperlink r:id="rId13" w:history="1">
        <w:proofErr w:type="spellStart"/>
        <w:r w:rsidRPr="00BB639F">
          <w:rPr>
            <w:rStyle w:val="Hyperlink"/>
            <w:rFonts w:asciiTheme="minorHAnsi" w:hAnsiTheme="minorHAnsi" w:cstheme="minorHAnsi"/>
            <w:lang w:val="ru-RU"/>
          </w:rPr>
          <w:t>C25</w:t>
        </w:r>
        <w:proofErr w:type="spellEnd"/>
        <w:r w:rsidRPr="00BB639F">
          <w:rPr>
            <w:rStyle w:val="Hyperlink"/>
            <w:rFonts w:asciiTheme="minorHAnsi" w:hAnsiTheme="minorHAnsi" w:cstheme="minorHAnsi"/>
            <w:lang w:val="ru-RU"/>
          </w:rPr>
          <w:t>/11</w:t>
        </w:r>
      </w:hyperlink>
      <w:r w:rsidRPr="00BB639F">
        <w:rPr>
          <w:lang w:val="ru-RU"/>
        </w:rPr>
        <w:t xml:space="preserve"> Совета представлена информация о состоянии задолженностей и</w:t>
      </w:r>
      <w:r w:rsidR="00BB639F">
        <w:rPr>
          <w:lang w:val="ru-RU"/>
        </w:rPr>
        <w:t> </w:t>
      </w:r>
      <w:r w:rsidRPr="00BB639F">
        <w:rPr>
          <w:lang w:val="ru-RU"/>
        </w:rPr>
        <w:t xml:space="preserve">специальных счетов задолженностей на 31 декабря 2024 года, , которая включает элементы, касающиеся заявок на регистрацию спутниковых сетей. </w:t>
      </w:r>
    </w:p>
    <w:p w14:paraId="34091636" w14:textId="03BC1DA7" w:rsidR="00240E9F" w:rsidRPr="00BB639F" w:rsidRDefault="00240E9F" w:rsidP="00637698">
      <w:pPr>
        <w:jc w:val="both"/>
        <w:rPr>
          <w:lang w:val="ru-RU"/>
        </w:rPr>
      </w:pPr>
      <w:r w:rsidRPr="00BB639F">
        <w:rPr>
          <w:lang w:val="ru-RU"/>
        </w:rPr>
        <w:t>4</w:t>
      </w:r>
      <w:r w:rsidRPr="00BB639F">
        <w:rPr>
          <w:lang w:val="ru-RU"/>
        </w:rPr>
        <w:tab/>
        <w:t>Разница между предусмотренными в бюджете суммами по линии возмещения затрат и фактически выставленными счетами обусловлена смещением баланса между представлениями геостационарных спутниковых сетей и негеостационарных спутниковых систем. Представления геостационарных спутниковых сетей обычно облагаются более высокими сборами, чем представления негеостационарных спутниковых систем. Для</w:t>
      </w:r>
      <w:r w:rsidR="00BB639F">
        <w:rPr>
          <w:lang w:val="ru-RU"/>
        </w:rPr>
        <w:t> </w:t>
      </w:r>
      <w:r w:rsidRPr="00BB639F">
        <w:rPr>
          <w:lang w:val="ru-RU"/>
        </w:rPr>
        <w:t xml:space="preserve">устранения этого расхождения на сессии Совета 2023 года было принято </w:t>
      </w:r>
      <w:hyperlink r:id="rId14" w:history="1">
        <w:r w:rsidRPr="00BB639F">
          <w:rPr>
            <w:rStyle w:val="Hyperlink"/>
            <w:rFonts w:asciiTheme="minorHAnsi" w:hAnsiTheme="minorHAnsi" w:cstheme="minorHAnsi"/>
            <w:lang w:val="ru-RU"/>
          </w:rPr>
          <w:t>Решение 632 (</w:t>
        </w:r>
        <w:proofErr w:type="spellStart"/>
        <w:r w:rsidRPr="00BB639F">
          <w:rPr>
            <w:rStyle w:val="Hyperlink"/>
            <w:rFonts w:asciiTheme="minorHAnsi" w:hAnsiTheme="minorHAnsi" w:cstheme="minorHAnsi"/>
            <w:lang w:val="ru-RU"/>
          </w:rPr>
          <w:t>C23</w:t>
        </w:r>
        <w:proofErr w:type="spellEnd"/>
        <w:r w:rsidRPr="00BB639F">
          <w:rPr>
            <w:rStyle w:val="Hyperlink"/>
            <w:rFonts w:asciiTheme="minorHAnsi" w:hAnsiTheme="minorHAnsi" w:cstheme="minorHAnsi"/>
            <w:lang w:val="ru-RU"/>
          </w:rPr>
          <w:t>)</w:t>
        </w:r>
      </w:hyperlink>
      <w:r w:rsidRPr="00BB639F">
        <w:rPr>
          <w:lang w:val="ru-RU"/>
        </w:rPr>
        <w:t>, в</w:t>
      </w:r>
      <w:r w:rsidR="00BB639F">
        <w:rPr>
          <w:lang w:val="ru-RU"/>
        </w:rPr>
        <w:t> </w:t>
      </w:r>
      <w:r w:rsidRPr="00BB639F">
        <w:rPr>
          <w:lang w:val="ru-RU"/>
        </w:rPr>
        <w:t>котором предусматривается создание Группы экспертов для изучения на основе принципов и руководящих указаний, изложенных в Резолюции 91 (</w:t>
      </w:r>
      <w:proofErr w:type="spellStart"/>
      <w:r w:rsidRPr="00BB639F">
        <w:rPr>
          <w:lang w:val="ru-RU"/>
        </w:rPr>
        <w:t>Пересм</w:t>
      </w:r>
      <w:proofErr w:type="spellEnd"/>
      <w:r w:rsidRPr="00BB639F">
        <w:rPr>
          <w:lang w:val="ru-RU"/>
        </w:rPr>
        <w:t>. Гвадалахара, 2010</w:t>
      </w:r>
      <w:r w:rsidR="00BB639F">
        <w:rPr>
          <w:lang w:val="ru-RU"/>
        </w:rPr>
        <w:t> </w:t>
      </w:r>
      <w:r w:rsidRPr="00BB639F">
        <w:rPr>
          <w:lang w:val="ru-RU"/>
        </w:rPr>
        <w:t xml:space="preserve">г.), в частности в пункте 4 </w:t>
      </w:r>
      <w:proofErr w:type="spellStart"/>
      <w:r w:rsidRPr="00BB639F">
        <w:rPr>
          <w:lang w:val="ru-RU"/>
        </w:rPr>
        <w:t>vi</w:t>
      </w:r>
      <w:proofErr w:type="spellEnd"/>
      <w:r w:rsidRPr="00BB639F">
        <w:rPr>
          <w:lang w:val="ru-RU"/>
        </w:rPr>
        <w:t xml:space="preserve">) раздела </w:t>
      </w:r>
      <w:r w:rsidRPr="00BB639F">
        <w:rPr>
          <w:i/>
          <w:iCs/>
          <w:lang w:val="ru-RU"/>
        </w:rPr>
        <w:t>решает</w:t>
      </w:r>
      <w:r w:rsidRPr="00BB639F">
        <w:rPr>
          <w:lang w:val="ru-RU"/>
        </w:rPr>
        <w:t>, целесообразности или иного изменения некоторых пунктов, относящихся к Решению 482. Группа экспертов представит отчет о своих выводах на сессии Совета 2025 года.</w:t>
      </w:r>
    </w:p>
    <w:p w14:paraId="5BA5F1C7" w14:textId="15183384" w:rsidR="00240E9F" w:rsidRPr="00BB639F" w:rsidRDefault="00240E9F" w:rsidP="00637698">
      <w:pPr>
        <w:jc w:val="both"/>
        <w:rPr>
          <w:lang w:val="ru-RU"/>
        </w:rPr>
      </w:pPr>
      <w:r w:rsidRPr="00BB639F">
        <w:rPr>
          <w:lang w:val="ru-RU"/>
        </w:rPr>
        <w:t>5</w:t>
      </w:r>
      <w:r w:rsidRPr="00BB639F">
        <w:rPr>
          <w:lang w:val="ru-RU"/>
        </w:rPr>
        <w:tab/>
        <w:t xml:space="preserve">В соответствии с пунктом 2 а) раздела </w:t>
      </w:r>
      <w:r w:rsidRPr="00BB639F">
        <w:rPr>
          <w:i/>
          <w:iCs/>
          <w:lang w:val="ru-RU"/>
        </w:rPr>
        <w:t xml:space="preserve">поручает Директору Бюро радиосвязи </w:t>
      </w:r>
      <w:r w:rsidRPr="00BB639F">
        <w:rPr>
          <w:lang w:val="ru-RU"/>
        </w:rPr>
        <w:t>Решения</w:t>
      </w:r>
      <w:r w:rsidR="00BB639F">
        <w:rPr>
          <w:lang w:val="ru-RU"/>
        </w:rPr>
        <w:t> </w:t>
      </w:r>
      <w:r w:rsidRPr="00BB639F">
        <w:rPr>
          <w:lang w:val="ru-RU"/>
        </w:rPr>
        <w:t>482 в приведенной ниже Таблице 2 представлены затраты, связанные с обработкой заявок на</w:t>
      </w:r>
      <w:r w:rsidR="00BB639F">
        <w:rPr>
          <w:lang w:val="ru-RU"/>
        </w:rPr>
        <w:t> </w:t>
      </w:r>
      <w:r w:rsidRPr="00BB639F">
        <w:rPr>
          <w:lang w:val="ru-RU"/>
        </w:rPr>
        <w:t>регистрацию спутниковых сетей в 2023 и 2024 годах.</w:t>
      </w:r>
    </w:p>
    <w:p w14:paraId="0839492C" w14:textId="77777777" w:rsidR="00240E9F" w:rsidRPr="00BB639F" w:rsidRDefault="00240E9F" w:rsidP="00240E9F">
      <w:pPr>
        <w:pStyle w:val="TableNo"/>
        <w:rPr>
          <w:lang w:val="ru-RU"/>
        </w:rPr>
      </w:pPr>
      <w:r w:rsidRPr="00BB639F">
        <w:rPr>
          <w:lang w:val="ru-RU"/>
        </w:rPr>
        <w:lastRenderedPageBreak/>
        <w:t>Таблица 2</w:t>
      </w:r>
    </w:p>
    <w:p w14:paraId="18B8C35A" w14:textId="34BC8E8C" w:rsidR="00240E9F" w:rsidRPr="00BB639F" w:rsidRDefault="00240E9F" w:rsidP="00240E9F">
      <w:pPr>
        <w:pStyle w:val="Tabletitle"/>
        <w:rPr>
          <w:lang w:val="ru-RU"/>
        </w:rPr>
      </w:pPr>
      <w:r w:rsidRPr="00BB639F">
        <w:rPr>
          <w:lang w:val="ru-RU"/>
        </w:rPr>
        <w:t xml:space="preserve">Затраты, связанные с обработкой заявок на регистрацию спутниковых сетей </w:t>
      </w:r>
      <w:r w:rsidR="006269DC" w:rsidRPr="00BB639F">
        <w:rPr>
          <w:lang w:val="ru-RU"/>
        </w:rPr>
        <w:br/>
      </w:r>
      <w:r w:rsidRPr="00BB639F">
        <w:rPr>
          <w:lang w:val="ru-RU"/>
        </w:rPr>
        <w:t>в 2023 и 2024</w:t>
      </w:r>
      <w:r w:rsidR="00022383" w:rsidRPr="00BB639F">
        <w:rPr>
          <w:lang w:val="ru-RU"/>
        </w:rPr>
        <w:t> </w:t>
      </w:r>
      <w:r w:rsidRPr="00BB639F">
        <w:rPr>
          <w:lang w:val="ru-RU"/>
        </w:rPr>
        <w:t>годах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1003"/>
        <w:gridCol w:w="1814"/>
        <w:gridCol w:w="1813"/>
      </w:tblGrid>
      <w:tr w:rsidR="00BB639F" w:rsidRPr="00BB639F" w14:paraId="254A55EB" w14:textId="77777777" w:rsidTr="00BB639F">
        <w:trPr>
          <w:trHeight w:val="300"/>
          <w:jc w:val="center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072D" w14:textId="77777777" w:rsidR="00240E9F" w:rsidRPr="00BB639F" w:rsidRDefault="00240E9F" w:rsidP="00240E9F">
            <w:pPr>
              <w:pStyle w:val="Tablehead"/>
              <w:rPr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EF4A9" w14:textId="77777777" w:rsidR="00240E9F" w:rsidRPr="00BB639F" w:rsidRDefault="00240E9F" w:rsidP="00240E9F">
            <w:pPr>
              <w:pStyle w:val="Tablehead"/>
              <w:rPr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A6C" w14:textId="1F72E043" w:rsidR="00240E9F" w:rsidRPr="00BB639F" w:rsidRDefault="00240E9F" w:rsidP="00240E9F">
            <w:pPr>
              <w:pStyle w:val="Tablehead"/>
              <w:rPr>
                <w:lang w:val="ru-RU"/>
              </w:rPr>
            </w:pPr>
            <w:r w:rsidRPr="00BB639F">
              <w:rPr>
                <w:lang w:val="ru-RU"/>
              </w:rPr>
              <w:t>2023</w:t>
            </w:r>
            <w:r w:rsidR="006269DC" w:rsidRPr="00BB639F">
              <w:rPr>
                <w:lang w:val="ru-RU"/>
              </w:rPr>
              <w:t xml:space="preserve"> г.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D676" w14:textId="5539065C" w:rsidR="00240E9F" w:rsidRPr="00BB639F" w:rsidRDefault="00240E9F" w:rsidP="00240E9F">
            <w:pPr>
              <w:pStyle w:val="Tablehead"/>
              <w:rPr>
                <w:lang w:val="ru-RU"/>
              </w:rPr>
            </w:pPr>
            <w:r w:rsidRPr="00BB639F">
              <w:rPr>
                <w:lang w:val="ru-RU"/>
              </w:rPr>
              <w:t>2024</w:t>
            </w:r>
            <w:r w:rsidR="006269DC" w:rsidRPr="00BB639F">
              <w:rPr>
                <w:lang w:val="ru-RU"/>
              </w:rPr>
              <w:t xml:space="preserve"> г.</w:t>
            </w:r>
          </w:p>
        </w:tc>
      </w:tr>
      <w:tr w:rsidR="00BB639F" w:rsidRPr="00BB639F" w14:paraId="696B1350" w14:textId="77777777" w:rsidTr="00BB639F">
        <w:trPr>
          <w:trHeight w:val="300"/>
          <w:jc w:val="center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E553" w14:textId="77777777" w:rsidR="00240E9F" w:rsidRPr="00BB639F" w:rsidRDefault="00240E9F" w:rsidP="006269DC">
            <w:pPr>
              <w:pStyle w:val="Tabletext"/>
              <w:rPr>
                <w:lang w:val="ru-RU"/>
              </w:rPr>
            </w:pPr>
            <w:r w:rsidRPr="00BB639F">
              <w:rPr>
                <w:lang w:val="ru-RU"/>
              </w:rPr>
              <w:t>Затраты БР на основе обзора распределения времени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6989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B639F">
              <w:rPr>
                <w:lang w:val="ru-RU"/>
              </w:rPr>
              <w:t>шв</w:t>
            </w:r>
            <w:proofErr w:type="spellEnd"/>
            <w:r w:rsidRPr="00BB639F">
              <w:rPr>
                <w:lang w:val="ru-RU"/>
              </w:rPr>
              <w:t>. фр.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7214" w14:textId="77777777" w:rsidR="00240E9F" w:rsidRPr="00BB639F" w:rsidRDefault="00240E9F" w:rsidP="00BB639F">
            <w:pPr>
              <w:pStyle w:val="Tabletext"/>
              <w:ind w:right="284"/>
              <w:jc w:val="right"/>
              <w:rPr>
                <w:lang w:val="ru-RU"/>
              </w:rPr>
            </w:pPr>
            <w:r w:rsidRPr="00BB639F">
              <w:rPr>
                <w:lang w:val="ru-RU"/>
              </w:rPr>
              <w:t>10 254 511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43C7" w14:textId="77777777" w:rsidR="00240E9F" w:rsidRPr="00BB639F" w:rsidRDefault="00240E9F" w:rsidP="00BB639F">
            <w:pPr>
              <w:pStyle w:val="Tabletext"/>
              <w:ind w:right="284"/>
              <w:jc w:val="right"/>
              <w:rPr>
                <w:lang w:val="ru-RU"/>
              </w:rPr>
            </w:pPr>
            <w:r w:rsidRPr="00BB639F">
              <w:rPr>
                <w:lang w:val="ru-RU"/>
              </w:rPr>
              <w:t>12 144 478</w:t>
            </w:r>
          </w:p>
        </w:tc>
      </w:tr>
      <w:tr w:rsidR="00BB639F" w:rsidRPr="00BB639F" w14:paraId="651F4758" w14:textId="77777777" w:rsidTr="00BB639F">
        <w:trPr>
          <w:trHeight w:val="300"/>
          <w:jc w:val="center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E517" w14:textId="463160D6" w:rsidR="00240E9F" w:rsidRPr="00BB639F" w:rsidRDefault="00240E9F" w:rsidP="006269DC">
            <w:pPr>
              <w:pStyle w:val="Tabletext"/>
              <w:rPr>
                <w:lang w:val="ru-RU"/>
              </w:rPr>
            </w:pPr>
            <w:r w:rsidRPr="00BB639F">
              <w:rPr>
                <w:lang w:val="ru-RU"/>
              </w:rPr>
              <w:t>Затраты на административные и</w:t>
            </w:r>
            <w:r w:rsidR="00BB639F">
              <w:rPr>
                <w:lang w:val="ru-RU"/>
              </w:rPr>
              <w:t> </w:t>
            </w:r>
            <w:r w:rsidRPr="00BB639F">
              <w:rPr>
                <w:lang w:val="ru-RU"/>
              </w:rPr>
              <w:t>вспомогательные услуги ГС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74F4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B639F">
              <w:rPr>
                <w:lang w:val="ru-RU"/>
              </w:rPr>
              <w:t>шв</w:t>
            </w:r>
            <w:proofErr w:type="spellEnd"/>
            <w:r w:rsidRPr="00BB639F">
              <w:rPr>
                <w:lang w:val="ru-RU"/>
              </w:rPr>
              <w:t>. фр.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870F" w14:textId="77777777" w:rsidR="00240E9F" w:rsidRPr="00BB639F" w:rsidRDefault="00240E9F" w:rsidP="00BB639F">
            <w:pPr>
              <w:pStyle w:val="Tabletext"/>
              <w:ind w:right="284"/>
              <w:jc w:val="right"/>
              <w:rPr>
                <w:lang w:val="ru-RU"/>
              </w:rPr>
            </w:pPr>
            <w:r w:rsidRPr="00BB639F">
              <w:rPr>
                <w:lang w:val="ru-RU"/>
              </w:rPr>
              <w:t>9 183 890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4328" w14:textId="77777777" w:rsidR="00240E9F" w:rsidRPr="00BB639F" w:rsidRDefault="00240E9F" w:rsidP="00BB639F">
            <w:pPr>
              <w:pStyle w:val="Tabletext"/>
              <w:ind w:right="284"/>
              <w:jc w:val="right"/>
              <w:rPr>
                <w:lang w:val="ru-RU"/>
              </w:rPr>
            </w:pPr>
            <w:r w:rsidRPr="00BB639F">
              <w:rPr>
                <w:lang w:val="ru-RU"/>
              </w:rPr>
              <w:t>10 666 000</w:t>
            </w:r>
          </w:p>
        </w:tc>
      </w:tr>
      <w:tr w:rsidR="00BB639F" w:rsidRPr="00BB639F" w14:paraId="1697E12B" w14:textId="77777777" w:rsidTr="00BB639F">
        <w:trPr>
          <w:trHeight w:val="300"/>
          <w:jc w:val="center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F7DF" w14:textId="77777777" w:rsidR="00240E9F" w:rsidRPr="00BB639F" w:rsidRDefault="00240E9F" w:rsidP="006269DC">
            <w:pPr>
              <w:pStyle w:val="Tabletext"/>
              <w:rPr>
                <w:lang w:val="ru-RU"/>
              </w:rPr>
            </w:pPr>
            <w:r w:rsidRPr="00BB639F">
              <w:rPr>
                <w:lang w:val="ru-RU"/>
              </w:rPr>
              <w:t>Общие затраты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1E59" w14:textId="77777777" w:rsidR="00240E9F" w:rsidRPr="00BB639F" w:rsidRDefault="00240E9F" w:rsidP="006269D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B639F">
              <w:rPr>
                <w:lang w:val="ru-RU"/>
              </w:rPr>
              <w:t>шв</w:t>
            </w:r>
            <w:proofErr w:type="spellEnd"/>
            <w:r w:rsidRPr="00BB639F">
              <w:rPr>
                <w:lang w:val="ru-RU"/>
              </w:rPr>
              <w:t>. фр.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0B62" w14:textId="77777777" w:rsidR="00240E9F" w:rsidRPr="00BB639F" w:rsidRDefault="00240E9F" w:rsidP="00BB639F">
            <w:pPr>
              <w:pStyle w:val="Tabletext"/>
              <w:ind w:right="284"/>
              <w:jc w:val="right"/>
              <w:rPr>
                <w:lang w:val="ru-RU"/>
              </w:rPr>
            </w:pPr>
            <w:r w:rsidRPr="00BB639F">
              <w:rPr>
                <w:lang w:val="ru-RU"/>
              </w:rPr>
              <w:t>19 438 401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7A48" w14:textId="77777777" w:rsidR="00240E9F" w:rsidRPr="00BB639F" w:rsidRDefault="00240E9F" w:rsidP="00BB639F">
            <w:pPr>
              <w:pStyle w:val="Tabletext"/>
              <w:ind w:right="284"/>
              <w:jc w:val="right"/>
              <w:rPr>
                <w:lang w:val="ru-RU"/>
              </w:rPr>
            </w:pPr>
            <w:r w:rsidRPr="00BB639F">
              <w:rPr>
                <w:lang w:val="ru-RU"/>
              </w:rPr>
              <w:t>22 810 478</w:t>
            </w:r>
          </w:p>
        </w:tc>
      </w:tr>
      <w:tr w:rsidR="00240E9F" w:rsidRPr="00637698" w14:paraId="078BF77D" w14:textId="77777777" w:rsidTr="006269DC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A5ED43" w14:textId="735A294C" w:rsidR="00240E9F" w:rsidRPr="00BB639F" w:rsidRDefault="00BB639F" w:rsidP="00637698">
            <w:pPr>
              <w:pStyle w:val="Tablelegend"/>
              <w:spacing w:before="40"/>
              <w:rPr>
                <w:lang w:val="ru-RU"/>
              </w:rPr>
            </w:pPr>
            <w:r w:rsidRPr="00BB639F">
              <w:rPr>
                <w:lang w:val="ru-RU"/>
              </w:rPr>
              <w:t>ПРИМЕЧАНИЕ</w:t>
            </w:r>
            <w:r w:rsidR="006269DC" w:rsidRPr="00BB639F">
              <w:rPr>
                <w:lang w:val="ru-RU"/>
              </w:rPr>
              <w:t>. −</w:t>
            </w:r>
            <w:r w:rsidR="00240E9F" w:rsidRPr="00BB639F">
              <w:rPr>
                <w:lang w:val="ru-RU"/>
              </w:rPr>
              <w:t xml:space="preserve"> МСЭ несет дополнительные затраты на разработку конкретного программного обеспечения для космических служб.</w:t>
            </w:r>
          </w:p>
        </w:tc>
      </w:tr>
    </w:tbl>
    <w:p w14:paraId="1FA22937" w14:textId="77777777" w:rsidR="00240E9F" w:rsidRPr="00BB639F" w:rsidRDefault="00240E9F" w:rsidP="00240E9F">
      <w:pPr>
        <w:pStyle w:val="Tablefin"/>
        <w:rPr>
          <w:lang w:val="ru-RU"/>
        </w:rPr>
      </w:pPr>
    </w:p>
    <w:p w14:paraId="2B13DC4D" w14:textId="6F5CC270" w:rsidR="00240E9F" w:rsidRPr="00BB639F" w:rsidRDefault="00240E9F" w:rsidP="00637698">
      <w:pPr>
        <w:jc w:val="both"/>
        <w:rPr>
          <w:lang w:val="ru-RU"/>
        </w:rPr>
      </w:pPr>
      <w:r w:rsidRPr="00BB639F">
        <w:rPr>
          <w:lang w:val="ru-RU"/>
        </w:rPr>
        <w:t>6</w:t>
      </w:r>
      <w:r w:rsidRPr="00BB639F">
        <w:rPr>
          <w:lang w:val="ru-RU"/>
        </w:rPr>
        <w:tab/>
        <w:t>Выполнение Бюро радиосвязи Решения 482 не вызвало каких-либо предметных административных или оперативных трудностей ни в самом Бюро, ни в его отношениях с</w:t>
      </w:r>
      <w:r w:rsidR="006269DC" w:rsidRPr="00BB639F">
        <w:rPr>
          <w:lang w:val="ru-RU"/>
        </w:rPr>
        <w:t> </w:t>
      </w:r>
      <w:r w:rsidRPr="00BB639F">
        <w:rPr>
          <w:lang w:val="ru-RU"/>
        </w:rPr>
        <w:t>администрациями, представляющими заявки на регистрацию спутниковых сетей.</w:t>
      </w:r>
      <w:bookmarkStart w:id="8" w:name="_Hlk95138652"/>
    </w:p>
    <w:bookmarkEnd w:id="8"/>
    <w:p w14:paraId="33F74E17" w14:textId="77777777" w:rsidR="00240E9F" w:rsidRPr="00BB639F" w:rsidRDefault="00240E9F" w:rsidP="00637698">
      <w:pPr>
        <w:pStyle w:val="Headingb"/>
        <w:jc w:val="both"/>
        <w:rPr>
          <w:lang w:val="ru-RU"/>
        </w:rPr>
      </w:pPr>
      <w:r w:rsidRPr="00BB639F">
        <w:rPr>
          <w:lang w:val="ru-RU"/>
        </w:rPr>
        <w:t>Заключение</w:t>
      </w:r>
    </w:p>
    <w:p w14:paraId="317B9336" w14:textId="0799EF34" w:rsidR="00240E9F" w:rsidRPr="00BB639F" w:rsidRDefault="00240E9F" w:rsidP="00637698">
      <w:pPr>
        <w:jc w:val="both"/>
        <w:rPr>
          <w:lang w:val="ru-RU"/>
        </w:rPr>
      </w:pPr>
      <w:r w:rsidRPr="00BB639F">
        <w:rPr>
          <w:lang w:val="ru-RU"/>
        </w:rPr>
        <w:t>7</w:t>
      </w:r>
      <w:r w:rsidRPr="00BB639F">
        <w:rPr>
          <w:lang w:val="ru-RU"/>
        </w:rPr>
        <w:tab/>
        <w:t xml:space="preserve">Совету предлагается </w:t>
      </w:r>
      <w:r w:rsidRPr="00BB639F">
        <w:rPr>
          <w:b/>
          <w:bCs/>
          <w:lang w:val="ru-RU"/>
        </w:rPr>
        <w:t>принять к сведению</w:t>
      </w:r>
      <w:r w:rsidRPr="00BB639F">
        <w:rPr>
          <w:lang w:val="ru-RU"/>
        </w:rPr>
        <w:t xml:space="preserve"> настоящий отчет о состоянии дел с</w:t>
      </w:r>
      <w:r w:rsidR="00BB639F">
        <w:rPr>
          <w:lang w:val="ru-RU"/>
        </w:rPr>
        <w:t> </w:t>
      </w:r>
      <w:r w:rsidRPr="00BB639F">
        <w:rPr>
          <w:lang w:val="ru-RU"/>
        </w:rPr>
        <w:t>осуществлением возмещения затрат на обработку ‎заявок на регистрацию спутниковых сетей.</w:t>
      </w:r>
    </w:p>
    <w:p w14:paraId="53EE6272" w14:textId="77777777" w:rsidR="00796BD3" w:rsidRPr="00BB639F" w:rsidRDefault="00C462C5" w:rsidP="00240E9F">
      <w:pPr>
        <w:spacing w:before="720"/>
        <w:jc w:val="center"/>
        <w:rPr>
          <w:lang w:val="ru-RU"/>
        </w:rPr>
      </w:pPr>
      <w:r w:rsidRPr="00BB639F">
        <w:rPr>
          <w:lang w:val="ru-RU"/>
        </w:rPr>
        <w:t>______________</w:t>
      </w:r>
    </w:p>
    <w:sectPr w:rsidR="00796BD3" w:rsidRPr="00BB639F" w:rsidSect="00796BD3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ED9B" w14:textId="77777777" w:rsidR="001934EE" w:rsidRDefault="001934EE">
      <w:r>
        <w:separator/>
      </w:r>
    </w:p>
  </w:endnote>
  <w:endnote w:type="continuationSeparator" w:id="0">
    <w:p w14:paraId="5B1194EB" w14:textId="77777777" w:rsidR="001934EE" w:rsidRDefault="001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FCD56A9" w14:textId="77777777" w:rsidTr="00E31DCE">
      <w:trPr>
        <w:jc w:val="center"/>
      </w:trPr>
      <w:tc>
        <w:tcPr>
          <w:tcW w:w="1803" w:type="dxa"/>
          <w:vAlign w:val="center"/>
        </w:tcPr>
        <w:p w14:paraId="6A3EFA87" w14:textId="192E6455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D1DEB02" w14:textId="03578A53" w:rsidR="00672F8A" w:rsidRPr="00E06FD5" w:rsidRDefault="00672F8A" w:rsidP="00240E9F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240E9F">
            <w:rPr>
              <w:bCs/>
              <w:lang w:val="ru-RU"/>
            </w:rPr>
            <w:t>16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3826E4F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3CCE466" w14:textId="77777777" w:rsidTr="00E31DCE">
      <w:trPr>
        <w:jc w:val="center"/>
      </w:trPr>
      <w:tc>
        <w:tcPr>
          <w:tcW w:w="1803" w:type="dxa"/>
          <w:vAlign w:val="center"/>
        </w:tcPr>
        <w:p w14:paraId="723D2F52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04D629D" w14:textId="58CDC91C" w:rsidR="00672F8A" w:rsidRPr="00E06FD5" w:rsidRDefault="00672F8A" w:rsidP="00240E9F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240E9F">
            <w:rPr>
              <w:bCs/>
              <w:lang w:val="ru-RU"/>
            </w:rPr>
            <w:t>16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662DBD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38A00" w14:textId="77777777" w:rsidR="001934EE" w:rsidRDefault="001934EE">
      <w:r>
        <w:t>____________________</w:t>
      </w:r>
    </w:p>
  </w:footnote>
  <w:footnote w:type="continuationSeparator" w:id="0">
    <w:p w14:paraId="756F70D0" w14:textId="77777777" w:rsidR="001934EE" w:rsidRDefault="0019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C357CD0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47710080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B20DCDF" wp14:editId="16C64E7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552D0C16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B0202B7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C59C8" wp14:editId="64CD3CD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A86F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EE"/>
    <w:rsid w:val="00005BE0"/>
    <w:rsid w:val="0002183E"/>
    <w:rsid w:val="00022383"/>
    <w:rsid w:val="000254CB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934EE"/>
    <w:rsid w:val="001B7B09"/>
    <w:rsid w:val="001E6719"/>
    <w:rsid w:val="001E7F50"/>
    <w:rsid w:val="00225368"/>
    <w:rsid w:val="00227FF0"/>
    <w:rsid w:val="00240E9F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3C8B"/>
    <w:rsid w:val="00515795"/>
    <w:rsid w:val="005A64D5"/>
    <w:rsid w:val="005B3DEC"/>
    <w:rsid w:val="00601994"/>
    <w:rsid w:val="006269DC"/>
    <w:rsid w:val="00637698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B639F"/>
    <w:rsid w:val="00BC0D39"/>
    <w:rsid w:val="00BC7BC0"/>
    <w:rsid w:val="00BD57B7"/>
    <w:rsid w:val="00BE63E2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EE219F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36356E"/>
  <w15:docId w15:val="{358F2060-75BF-4106-BE46-535DE42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37698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customStyle="1" w:styleId="Tablefin">
    <w:name w:val="Table_fin"/>
    <w:basedOn w:val="Tabletext"/>
    <w:rsid w:val="00240E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6/en" TargetMode="External"/><Relationship Id="rId13" Type="http://schemas.openxmlformats.org/officeDocument/2006/relationships/hyperlink" Target="https://www.itu.int/md/S25-CL-C-0011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091-R.pdf" TargetMode="External"/><Relationship Id="rId12" Type="http://schemas.openxmlformats.org/officeDocument/2006/relationships/hyperlink" Target="https://www.itu.int/md/S24-CL-C-0135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C-0016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4-CL-C-0011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135/en" TargetMode="External"/><Relationship Id="rId14" Type="http://schemas.openxmlformats.org/officeDocument/2006/relationships/hyperlink" Target="https://www.itu.int/md/S23-CL-C-0126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2</TotalTime>
  <Pages>3</Pages>
  <Words>685</Words>
  <Characters>4112</Characters>
  <Application>Microsoft Office Word</Application>
  <DocSecurity>0</DocSecurity>
  <Lines>122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satellite network filings</dc:title>
  <dc:subject>ITU Council 2025</dc:subject>
  <cp:keywords>C2025, C25, Council-25</cp:keywords>
  <dc:description/>
  <cp:lastPrinted>2006-03-28T16:12:00Z</cp:lastPrinted>
  <dcterms:created xsi:type="dcterms:W3CDTF">2025-04-25T10:23:00Z</dcterms:created>
  <dcterms:modified xsi:type="dcterms:W3CDTF">2025-04-25T10:24:00Z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