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2753E30C" w14:textId="77777777" w:rsidTr="00F363FE">
        <w:tc>
          <w:tcPr>
            <w:tcW w:w="6512" w:type="dxa"/>
          </w:tcPr>
          <w:p w14:paraId="5C18AA9A" w14:textId="5A735623" w:rsidR="007B0AA0" w:rsidRPr="007B0AA0" w:rsidRDefault="007B0AA0" w:rsidP="00144229">
            <w:pPr>
              <w:spacing w:before="60" w:after="60" w:line="260" w:lineRule="exact"/>
              <w:rPr>
                <w:b/>
                <w:bCs/>
                <w:rtl/>
                <w:lang w:bidi="ar-EG"/>
              </w:rPr>
            </w:pPr>
            <w:r w:rsidRPr="007B0AA0">
              <w:rPr>
                <w:rFonts w:hint="cs"/>
                <w:b/>
                <w:bCs/>
                <w:rtl/>
                <w:lang w:bidi="ar-EG"/>
              </w:rPr>
              <w:t>بند جدول الأعمال:</w:t>
            </w:r>
            <w:r w:rsidR="00144229">
              <w:rPr>
                <w:rFonts w:hint="cs"/>
                <w:b/>
                <w:bCs/>
                <w:rtl/>
                <w:lang w:bidi="ar-EG"/>
              </w:rPr>
              <w:t xml:space="preserve"> </w:t>
            </w:r>
            <w:r w:rsidR="00144229" w:rsidRPr="00144229">
              <w:rPr>
                <w:b/>
                <w:bCs/>
                <w:lang w:val="en-GB" w:bidi="ar-EG"/>
              </w:rPr>
              <w:t>ADM 1</w:t>
            </w:r>
          </w:p>
        </w:tc>
        <w:tc>
          <w:tcPr>
            <w:tcW w:w="3117" w:type="dxa"/>
          </w:tcPr>
          <w:p w14:paraId="3955B029" w14:textId="73F0670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447001">
              <w:rPr>
                <w:b/>
                <w:bCs/>
                <w:lang w:bidi="ar-EG"/>
              </w:rPr>
              <w:t>16</w:t>
            </w:r>
            <w:r w:rsidRPr="007B0AA0">
              <w:rPr>
                <w:b/>
                <w:bCs/>
                <w:lang w:bidi="ar-EG"/>
              </w:rPr>
              <w:t>-A</w:t>
            </w:r>
          </w:p>
        </w:tc>
      </w:tr>
      <w:tr w:rsidR="007B0AA0" w14:paraId="3FC6E5A4" w14:textId="77777777" w:rsidTr="00F363FE">
        <w:tc>
          <w:tcPr>
            <w:tcW w:w="6512" w:type="dxa"/>
          </w:tcPr>
          <w:p w14:paraId="583A0824" w14:textId="77777777" w:rsidR="007B0AA0" w:rsidRPr="007B0AA0" w:rsidRDefault="007B0AA0" w:rsidP="00F363FE">
            <w:pPr>
              <w:spacing w:before="60" w:after="60" w:line="260" w:lineRule="exact"/>
              <w:rPr>
                <w:b/>
                <w:bCs/>
                <w:rtl/>
                <w:lang w:bidi="ar-EG"/>
              </w:rPr>
            </w:pPr>
          </w:p>
        </w:tc>
        <w:tc>
          <w:tcPr>
            <w:tcW w:w="3117" w:type="dxa"/>
          </w:tcPr>
          <w:p w14:paraId="4557438A" w14:textId="282BC23E" w:rsidR="007B0AA0" w:rsidRPr="007B0AA0" w:rsidRDefault="00492281" w:rsidP="00F363FE">
            <w:pPr>
              <w:spacing w:before="60" w:after="60" w:line="260" w:lineRule="exact"/>
              <w:rPr>
                <w:b/>
                <w:bCs/>
                <w:lang w:bidi="ar-EG"/>
              </w:rPr>
            </w:pPr>
            <w:r>
              <w:rPr>
                <w:b/>
                <w:bCs/>
                <w:lang w:bidi="ar-EG"/>
              </w:rPr>
              <w:t>24</w:t>
            </w:r>
            <w:r>
              <w:rPr>
                <w:rFonts w:hint="cs"/>
                <w:b/>
                <w:bCs/>
                <w:rtl/>
                <w:lang w:bidi="ar-EG"/>
              </w:rPr>
              <w:t xml:space="preserve"> مارس </w:t>
            </w:r>
            <w:r>
              <w:rPr>
                <w:b/>
                <w:bCs/>
                <w:lang w:bidi="ar-EG"/>
              </w:rPr>
              <w:t>2025</w:t>
            </w:r>
          </w:p>
        </w:tc>
      </w:tr>
      <w:tr w:rsidR="007B0AA0" w14:paraId="0C050083" w14:textId="77777777" w:rsidTr="00F363FE">
        <w:tc>
          <w:tcPr>
            <w:tcW w:w="6512" w:type="dxa"/>
          </w:tcPr>
          <w:p w14:paraId="4C649C9E" w14:textId="77777777" w:rsidR="007B0AA0" w:rsidRPr="007B0AA0" w:rsidRDefault="007B0AA0" w:rsidP="00F363FE">
            <w:pPr>
              <w:spacing w:before="60" w:after="60" w:line="260" w:lineRule="exact"/>
              <w:rPr>
                <w:b/>
                <w:bCs/>
                <w:rtl/>
                <w:lang w:bidi="ar-EG"/>
              </w:rPr>
            </w:pPr>
          </w:p>
        </w:tc>
        <w:tc>
          <w:tcPr>
            <w:tcW w:w="3117" w:type="dxa"/>
          </w:tcPr>
          <w:p w14:paraId="4AD943A5"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08FCEC50" w14:textId="77777777" w:rsidTr="00F363FE">
        <w:tc>
          <w:tcPr>
            <w:tcW w:w="6512" w:type="dxa"/>
          </w:tcPr>
          <w:p w14:paraId="36F166D3" w14:textId="77777777" w:rsidR="007B0AA0" w:rsidRDefault="007B0AA0" w:rsidP="00F363FE">
            <w:pPr>
              <w:spacing w:before="60" w:after="60" w:line="260" w:lineRule="exact"/>
              <w:rPr>
                <w:lang w:bidi="ar-EG"/>
              </w:rPr>
            </w:pPr>
          </w:p>
        </w:tc>
        <w:tc>
          <w:tcPr>
            <w:tcW w:w="3117" w:type="dxa"/>
          </w:tcPr>
          <w:p w14:paraId="66028032" w14:textId="77777777" w:rsidR="007B0AA0" w:rsidRDefault="007B0AA0" w:rsidP="00F363FE">
            <w:pPr>
              <w:spacing w:before="60" w:after="60" w:line="260" w:lineRule="exact"/>
              <w:rPr>
                <w:rtl/>
                <w:lang w:bidi="ar-EG"/>
              </w:rPr>
            </w:pPr>
          </w:p>
        </w:tc>
      </w:tr>
      <w:tr w:rsidR="007B0AA0" w14:paraId="7A1BFB07" w14:textId="77777777" w:rsidTr="00EE7446">
        <w:tc>
          <w:tcPr>
            <w:tcW w:w="9629" w:type="dxa"/>
            <w:gridSpan w:val="2"/>
          </w:tcPr>
          <w:p w14:paraId="6A026CFC" w14:textId="77777777" w:rsidR="007B0AA0" w:rsidRDefault="001D64C7" w:rsidP="007B0AA0">
            <w:pPr>
              <w:pStyle w:val="Source"/>
              <w:jc w:val="left"/>
              <w:rPr>
                <w:lang w:bidi="ar-EG"/>
              </w:rPr>
            </w:pPr>
            <w:r>
              <w:rPr>
                <w:rFonts w:hint="cs"/>
                <w:rtl/>
                <w:lang w:bidi="ar-EG"/>
              </w:rPr>
              <w:t>تقرير من الأمينة العامة</w:t>
            </w:r>
          </w:p>
        </w:tc>
      </w:tr>
      <w:tr w:rsidR="007B0AA0" w14:paraId="4E8D0B96" w14:textId="77777777" w:rsidTr="007B0AA0">
        <w:tc>
          <w:tcPr>
            <w:tcW w:w="9629" w:type="dxa"/>
            <w:gridSpan w:val="2"/>
            <w:tcBorders>
              <w:bottom w:val="single" w:sz="4" w:space="0" w:color="auto"/>
            </w:tcBorders>
          </w:tcPr>
          <w:p w14:paraId="1E7A2292" w14:textId="0CADBA35" w:rsidR="007B0AA0" w:rsidRPr="005546CF" w:rsidRDefault="001F2ADB" w:rsidP="001F2ADB">
            <w:pPr>
              <w:pStyle w:val="Subtitle0"/>
              <w:rPr>
                <w:sz w:val="32"/>
                <w:szCs w:val="32"/>
              </w:rPr>
            </w:pPr>
            <w:r w:rsidRPr="001F2ADB">
              <w:rPr>
                <w:rFonts w:hint="cs"/>
                <w:sz w:val="32"/>
                <w:szCs w:val="32"/>
                <w:rtl/>
                <w:lang w:bidi="ar-SA"/>
              </w:rPr>
              <w:t xml:space="preserve">استرداد تكاليف معالجة بطاقات التبليغ عن الشبكات </w:t>
            </w:r>
            <w:proofErr w:type="spellStart"/>
            <w:r w:rsidRPr="001F2ADB">
              <w:rPr>
                <w:rFonts w:hint="cs"/>
                <w:sz w:val="32"/>
                <w:szCs w:val="32"/>
                <w:rtl/>
                <w:lang w:bidi="ar-SA"/>
              </w:rPr>
              <w:t>الساتلية</w:t>
            </w:r>
            <w:proofErr w:type="spellEnd"/>
          </w:p>
        </w:tc>
      </w:tr>
      <w:tr w:rsidR="007B0AA0" w14:paraId="697FD425" w14:textId="77777777" w:rsidTr="007B0AA0">
        <w:tc>
          <w:tcPr>
            <w:tcW w:w="9629" w:type="dxa"/>
            <w:gridSpan w:val="2"/>
            <w:tcBorders>
              <w:top w:val="single" w:sz="4" w:space="0" w:color="auto"/>
              <w:bottom w:val="single" w:sz="4" w:space="0" w:color="auto"/>
            </w:tcBorders>
          </w:tcPr>
          <w:p w14:paraId="14025D73" w14:textId="43772DE1" w:rsidR="007B0AA0" w:rsidRPr="00395D58" w:rsidRDefault="007B0AA0" w:rsidP="00395D58">
            <w:pPr>
              <w:rPr>
                <w:b/>
                <w:bCs/>
                <w:rtl/>
              </w:rPr>
            </w:pPr>
            <w:r w:rsidRPr="00395D58">
              <w:rPr>
                <w:rFonts w:hint="cs"/>
                <w:b/>
                <w:bCs/>
                <w:rtl/>
              </w:rPr>
              <w:t xml:space="preserve">الغرض </w:t>
            </w:r>
          </w:p>
          <w:p w14:paraId="39C7C418" w14:textId="1B6C3157" w:rsidR="007B0AA0" w:rsidRDefault="001F2ADB" w:rsidP="00395D58">
            <w:pPr>
              <w:rPr>
                <w:rtl/>
              </w:rPr>
            </w:pPr>
            <w:r w:rsidRPr="001F2ADB">
              <w:rPr>
                <w:rtl/>
              </w:rPr>
              <w:t xml:space="preserve">تعرض هذه الوثيقة التقرير السنوي عن تنفيذ استرداد تكاليف معالجة بطاقات التبليغ عن الشبكات </w:t>
            </w:r>
            <w:proofErr w:type="spellStart"/>
            <w:r w:rsidRPr="001F2ADB">
              <w:rPr>
                <w:rtl/>
              </w:rPr>
              <w:t>الساتلية</w:t>
            </w:r>
            <w:proofErr w:type="spellEnd"/>
            <w:r w:rsidRPr="001F2ADB">
              <w:rPr>
                <w:rtl/>
              </w:rPr>
              <w:t>، عملاً بمقرر مجلس الاتحاد 482 (الصادر في دورة المجلس لعام 2001، والمعدَّل آخر مرة في دورة المجلس لعام 2024)</w:t>
            </w:r>
            <w:r w:rsidR="00E403FC">
              <w:t>.</w:t>
            </w:r>
          </w:p>
          <w:p w14:paraId="3FBA92DA" w14:textId="77777777" w:rsidR="007B0AA0" w:rsidRPr="00395D58" w:rsidRDefault="007B0AA0" w:rsidP="00395D58">
            <w:pPr>
              <w:rPr>
                <w:b/>
                <w:bCs/>
                <w:rtl/>
              </w:rPr>
            </w:pPr>
            <w:r w:rsidRPr="00395D58">
              <w:rPr>
                <w:rFonts w:hint="cs"/>
                <w:b/>
                <w:bCs/>
                <w:rtl/>
              </w:rPr>
              <w:t>الإجراء المطلوب من المجلس</w:t>
            </w:r>
          </w:p>
          <w:p w14:paraId="73A08FA2" w14:textId="368BF9EE" w:rsidR="007B0AA0" w:rsidRDefault="001F2ADB" w:rsidP="00395D58">
            <w:pPr>
              <w:rPr>
                <w:rtl/>
              </w:rPr>
            </w:pPr>
            <w:r w:rsidRPr="001F2ADB">
              <w:rPr>
                <w:rFonts w:hint="cs"/>
                <w:rtl/>
              </w:rPr>
              <w:t>ي</w:t>
            </w:r>
            <w:r w:rsidR="00395D58">
              <w:rPr>
                <w:rFonts w:hint="cs"/>
                <w:rtl/>
              </w:rPr>
              <w:t>ُ</w:t>
            </w:r>
            <w:r w:rsidRPr="001F2ADB">
              <w:rPr>
                <w:rFonts w:hint="cs"/>
                <w:rtl/>
              </w:rPr>
              <w:t xml:space="preserve">دعى المجلس إلى </w:t>
            </w:r>
            <w:r w:rsidRPr="00404EED">
              <w:rPr>
                <w:rFonts w:hint="cs"/>
                <w:b/>
                <w:bCs/>
                <w:rtl/>
              </w:rPr>
              <w:t>أخذ</w:t>
            </w:r>
            <w:r w:rsidRPr="001F2ADB">
              <w:rPr>
                <w:rFonts w:hint="cs"/>
                <w:rtl/>
              </w:rPr>
              <w:t xml:space="preserve"> </w:t>
            </w:r>
            <w:r w:rsidRPr="001F2ADB">
              <w:rPr>
                <w:rFonts w:hint="cs"/>
                <w:b/>
                <w:bCs/>
                <w:rtl/>
              </w:rPr>
              <w:t>العلم</w:t>
            </w:r>
            <w:r w:rsidRPr="001F2ADB">
              <w:rPr>
                <w:rFonts w:hint="cs"/>
                <w:rtl/>
              </w:rPr>
              <w:t xml:space="preserve"> بالتقرير.</w:t>
            </w:r>
          </w:p>
          <w:p w14:paraId="71B31CE7" w14:textId="77777777" w:rsidR="007B0AA0" w:rsidRPr="00395D58" w:rsidRDefault="007B0AA0" w:rsidP="00395D58">
            <w:pPr>
              <w:rPr>
                <w:b/>
                <w:bCs/>
                <w:rtl/>
              </w:rPr>
            </w:pPr>
            <w:r w:rsidRPr="00395D58">
              <w:rPr>
                <w:b/>
                <w:bCs/>
                <w:rtl/>
              </w:rPr>
              <w:t>الارتباط ذو الصلة بالخطة (الخطط) ال</w:t>
            </w:r>
            <w:r w:rsidRPr="00395D58">
              <w:rPr>
                <w:rFonts w:hint="cs"/>
                <w:b/>
                <w:bCs/>
                <w:rtl/>
              </w:rPr>
              <w:t>ا</w:t>
            </w:r>
            <w:r w:rsidRPr="00395D58">
              <w:rPr>
                <w:b/>
                <w:bCs/>
                <w:rtl/>
              </w:rPr>
              <w:t>ستراتيجية</w:t>
            </w:r>
          </w:p>
          <w:p w14:paraId="7F68CF36" w14:textId="5508633D" w:rsidR="007B0AA0" w:rsidRDefault="001F2ADB" w:rsidP="00395D58">
            <w:pPr>
              <w:rPr>
                <w:rtl/>
              </w:rPr>
            </w:pPr>
            <w:r w:rsidRPr="001F2ADB">
              <w:rPr>
                <w:rFonts w:hint="cs"/>
                <w:rtl/>
              </w:rPr>
              <w:t>استعمال الطيف من أجل الخدمات الفضائية وخدمات الأرض، وعروض المنتجات والخدمات، وتوزيع الموارد وإدارتها.</w:t>
            </w:r>
          </w:p>
          <w:p w14:paraId="72E25036" w14:textId="77777777" w:rsidR="007B0AA0" w:rsidRPr="00395D58" w:rsidRDefault="007B0AA0" w:rsidP="00395D58">
            <w:pPr>
              <w:rPr>
                <w:b/>
                <w:bCs/>
              </w:rPr>
            </w:pPr>
            <w:r w:rsidRPr="00395D58">
              <w:rPr>
                <w:rFonts w:hint="cs"/>
                <w:b/>
                <w:bCs/>
                <w:rtl/>
              </w:rPr>
              <w:t>الآثار المالية</w:t>
            </w:r>
          </w:p>
          <w:p w14:paraId="2BB55B56" w14:textId="4E27E495" w:rsidR="001F2ADB" w:rsidRPr="001F2ADB" w:rsidRDefault="00395D58" w:rsidP="00395D58">
            <w:pPr>
              <w:rPr>
                <w:rtl/>
              </w:rPr>
            </w:pPr>
            <w:r>
              <w:t>9 679 754</w:t>
            </w:r>
            <w:r>
              <w:rPr>
                <w:rFonts w:hint="cs"/>
                <w:rtl/>
                <w:lang w:bidi="ar-EG"/>
              </w:rPr>
              <w:t xml:space="preserve"> فرنكاً سويسرياً </w:t>
            </w:r>
            <w:r w:rsidR="001F2ADB" w:rsidRPr="001F2ADB">
              <w:rPr>
                <w:rtl/>
              </w:rPr>
              <w:t xml:space="preserve">كفواتير لمعالجة بطاقات التبليغ عن الشبكات </w:t>
            </w:r>
            <w:proofErr w:type="spellStart"/>
            <w:r w:rsidR="001F2ADB" w:rsidRPr="001F2ADB">
              <w:rPr>
                <w:rtl/>
              </w:rPr>
              <w:t>الساتلية</w:t>
            </w:r>
            <w:proofErr w:type="spellEnd"/>
            <w:r w:rsidR="001F2ADB" w:rsidRPr="001F2ADB">
              <w:rPr>
                <w:rtl/>
              </w:rPr>
              <w:t xml:space="preserve"> عام</w:t>
            </w:r>
            <w:r>
              <w:rPr>
                <w:rFonts w:hint="cs"/>
                <w:rtl/>
              </w:rPr>
              <w:t> </w:t>
            </w:r>
            <w:r w:rsidR="001F2ADB" w:rsidRPr="001F2ADB">
              <w:rPr>
                <w:cs/>
              </w:rPr>
              <w:t>‎</w:t>
            </w:r>
            <w:r w:rsidR="001F2ADB" w:rsidRPr="001F2ADB">
              <w:t>2024</w:t>
            </w:r>
          </w:p>
          <w:p w14:paraId="6F2C22B9" w14:textId="6B790BC8" w:rsidR="006F363C" w:rsidRPr="005546CF" w:rsidRDefault="00395D58" w:rsidP="00395D58">
            <w:pPr>
              <w:rPr>
                <w:rtl/>
              </w:rPr>
            </w:pPr>
            <w:r>
              <w:t>22 810 478</w:t>
            </w:r>
            <w:r>
              <w:rPr>
                <w:rFonts w:hint="cs"/>
                <w:rtl/>
                <w:lang w:bidi="ar-EG"/>
              </w:rPr>
              <w:t xml:space="preserve"> فرنكاً سويسرياً </w:t>
            </w:r>
            <w:r w:rsidR="001F2ADB" w:rsidRPr="001F2ADB">
              <w:rPr>
                <w:rtl/>
              </w:rPr>
              <w:t xml:space="preserve">كتكاليف إجمالية لمعالجة جميع بطاقات التبليغ عن الشبكات </w:t>
            </w:r>
            <w:proofErr w:type="spellStart"/>
            <w:r w:rsidR="001F2ADB" w:rsidRPr="001F2ADB">
              <w:rPr>
                <w:rtl/>
              </w:rPr>
              <w:t>الساتلية</w:t>
            </w:r>
            <w:proofErr w:type="spellEnd"/>
            <w:r w:rsidR="001F2ADB" w:rsidRPr="001F2ADB">
              <w:rPr>
                <w:rtl/>
              </w:rPr>
              <w:t xml:space="preserve"> عام </w:t>
            </w:r>
            <w:r w:rsidR="001F2ADB" w:rsidRPr="001F2ADB">
              <w:rPr>
                <w:cs/>
              </w:rPr>
              <w:t>‎</w:t>
            </w:r>
            <w:r w:rsidR="001F2ADB" w:rsidRPr="001F2ADB">
              <w:t>2024</w:t>
            </w:r>
            <w:r w:rsidR="001F2ADB" w:rsidRPr="001F2ADB">
              <w:rPr>
                <w:rtl/>
              </w:rPr>
              <w:t>‏،</w:t>
            </w:r>
            <w:r w:rsidR="001F2ADB" w:rsidRPr="001F2ADB">
              <w:rPr>
                <w:rFonts w:hint="cs"/>
                <w:rtl/>
              </w:rPr>
              <w:t xml:space="preserve"> علماً أن الاتحاد يتحمل تكاليف إضافية لتطوير برمجيات فضائية محددة.</w:t>
            </w:r>
          </w:p>
          <w:p w14:paraId="0B3CFDD5" w14:textId="7131A0D0" w:rsidR="007B0AA0" w:rsidRPr="007B0AA0" w:rsidRDefault="00144229" w:rsidP="00144229">
            <w:pPr>
              <w:rPr>
                <w:rtl/>
              </w:rPr>
            </w:pPr>
            <w:r>
              <w:rPr>
                <w:rFonts w:hint="cs"/>
                <w:rtl/>
                <w:lang w:bidi="ar-EG"/>
              </w:rPr>
              <w:t>ــــــــــــــــــــــــــــــــــــــــــــــــــــــــــــــــــــــــــــــــــــــــــــــــ</w:t>
            </w:r>
          </w:p>
          <w:p w14:paraId="3DE29A23" w14:textId="77777777" w:rsidR="007B0AA0" w:rsidRPr="004B30F7" w:rsidRDefault="007B0AA0" w:rsidP="004B30F7">
            <w:pPr>
              <w:rPr>
                <w:b/>
                <w:bCs/>
                <w:rtl/>
              </w:rPr>
            </w:pPr>
            <w:r w:rsidRPr="004B30F7">
              <w:rPr>
                <w:rFonts w:hint="cs"/>
                <w:b/>
                <w:bCs/>
                <w:rtl/>
              </w:rPr>
              <w:t>المراجع</w:t>
            </w:r>
          </w:p>
          <w:p w14:paraId="39400EAD" w14:textId="6906F328" w:rsidR="007B0AA0" w:rsidRPr="005546CF" w:rsidRDefault="001F2ADB" w:rsidP="0080354B">
            <w:pPr>
              <w:spacing w:after="120"/>
              <w:rPr>
                <w:i/>
                <w:iCs/>
                <w:rtl/>
              </w:rPr>
            </w:pPr>
            <w:hyperlink r:id="rId8" w:history="1">
              <w:r w:rsidRPr="00512924">
                <w:rPr>
                  <w:rStyle w:val="Hyperlink"/>
                  <w:rFonts w:ascii="Dubai" w:eastAsiaTheme="minorEastAsia" w:hAnsi="Dubai" w:cs="Dubai" w:hint="cs"/>
                  <w:i/>
                  <w:iCs/>
                  <w:noProof w:val="0"/>
                  <w:sz w:val="22"/>
                  <w:rtl/>
                  <w:lang w:val="en-US" w:eastAsia="zh-CN"/>
                </w:rPr>
                <w:t xml:space="preserve">القرار 91 (المراجَع في </w:t>
              </w:r>
              <w:proofErr w:type="spellStart"/>
              <w:r w:rsidRPr="00512924">
                <w:rPr>
                  <w:rStyle w:val="Hyperlink"/>
                  <w:rFonts w:ascii="Dubai" w:eastAsiaTheme="minorEastAsia" w:hAnsi="Dubai" w:cs="Dubai" w:hint="cs"/>
                  <w:i/>
                  <w:iCs/>
                  <w:noProof w:val="0"/>
                  <w:sz w:val="22"/>
                  <w:rtl/>
                  <w:lang w:val="en-US" w:eastAsia="zh-CN"/>
                </w:rPr>
                <w:t>غوادالاخارا</w:t>
              </w:r>
              <w:proofErr w:type="spellEnd"/>
              <w:r w:rsidRPr="00512924">
                <w:rPr>
                  <w:rStyle w:val="Hyperlink"/>
                  <w:rFonts w:ascii="Dubai" w:eastAsiaTheme="minorEastAsia" w:hAnsi="Dubai" w:cs="Dubai" w:hint="cs"/>
                  <w:i/>
                  <w:iCs/>
                  <w:noProof w:val="0"/>
                  <w:sz w:val="22"/>
                  <w:rtl/>
                  <w:lang w:val="en-US" w:eastAsia="zh-CN"/>
                </w:rPr>
                <w:t xml:space="preserve">، </w:t>
              </w:r>
              <w:r w:rsidRPr="00512924">
                <w:rPr>
                  <w:rStyle w:val="Hyperlink"/>
                  <w:rFonts w:ascii="Dubai" w:eastAsiaTheme="minorEastAsia" w:hAnsi="Dubai" w:cs="Dubai"/>
                  <w:i/>
                  <w:iCs/>
                  <w:noProof w:val="0"/>
                  <w:sz w:val="22"/>
                  <w:lang w:val="en-US" w:eastAsia="zh-CN"/>
                </w:rPr>
                <w:t>2010</w:t>
              </w:r>
              <w:r w:rsidR="00144229" w:rsidRPr="00512924">
                <w:rPr>
                  <w:rStyle w:val="Hyperlink"/>
                  <w:rFonts w:ascii="Dubai" w:eastAsiaTheme="minorEastAsia" w:hAnsi="Dubai" w:cs="Dubai" w:hint="cs"/>
                  <w:i/>
                  <w:iCs/>
                  <w:noProof w:val="0"/>
                  <w:sz w:val="22"/>
                  <w:rtl/>
                  <w:lang w:val="en-US" w:eastAsia="zh-CN"/>
                </w:rPr>
                <w:t>)</w:t>
              </w:r>
            </w:hyperlink>
            <w:r w:rsidRPr="00512924">
              <w:rPr>
                <w:rFonts w:hint="cs"/>
                <w:i/>
                <w:iCs/>
                <w:rtl/>
              </w:rPr>
              <w:t xml:space="preserve"> لمؤتمر المندوبين المفوضين</w:t>
            </w:r>
            <w:r w:rsidRPr="001F2ADB">
              <w:rPr>
                <w:rFonts w:hint="cs"/>
                <w:i/>
                <w:iCs/>
                <w:rtl/>
              </w:rPr>
              <w:t>؛</w:t>
            </w:r>
            <w:r w:rsidR="0080354B">
              <w:rPr>
                <w:rFonts w:hint="cs"/>
                <w:i/>
                <w:iCs/>
                <w:rtl/>
              </w:rPr>
              <w:t xml:space="preserve"> </w:t>
            </w:r>
            <w:r w:rsidR="00395D58" w:rsidRPr="004B30F7">
              <w:rPr>
                <w:rFonts w:hint="cs"/>
                <w:i/>
                <w:iCs/>
                <w:rtl/>
                <w:lang w:bidi="ar-EG"/>
              </w:rPr>
              <w:t xml:space="preserve">مقرر المجلس </w:t>
            </w:r>
            <w:hyperlink r:id="rId9" w:history="1">
              <w:r w:rsidR="00395D58" w:rsidRPr="004B30F7">
                <w:rPr>
                  <w:rStyle w:val="Hyperlink"/>
                  <w:rFonts w:ascii="Dubai" w:eastAsiaTheme="minorEastAsia" w:hAnsi="Dubai" w:cs="Dubai"/>
                  <w:i/>
                  <w:iCs/>
                  <w:noProof w:val="0"/>
                  <w:sz w:val="22"/>
                  <w:lang w:val="en-US" w:eastAsia="zh-CN" w:bidi="ar-EG"/>
                </w:rPr>
                <w:t>632</w:t>
              </w:r>
              <w:r w:rsidR="00395D58" w:rsidRPr="004B30F7">
                <w:rPr>
                  <w:rStyle w:val="Hyperlink"/>
                  <w:rFonts w:ascii="Dubai" w:eastAsiaTheme="minorEastAsia" w:hAnsi="Dubai" w:cs="Dubai" w:hint="cs"/>
                  <w:i/>
                  <w:iCs/>
                  <w:noProof w:val="0"/>
                  <w:sz w:val="22"/>
                  <w:rtl/>
                  <w:lang w:val="en-US" w:eastAsia="zh-CN" w:bidi="ar-EG"/>
                </w:rPr>
                <w:t xml:space="preserve"> (الصادر في دورة المجلس لعام 2023</w:t>
              </w:r>
            </w:hyperlink>
            <w:r w:rsidR="00395D58">
              <w:rPr>
                <w:rFonts w:hint="cs"/>
                <w:i/>
                <w:iCs/>
                <w:rtl/>
                <w:lang w:bidi="ar-EG"/>
              </w:rPr>
              <w:t xml:space="preserve"> و</w:t>
            </w:r>
            <w:hyperlink r:id="rId10" w:history="1">
              <w:r w:rsidR="00395D58" w:rsidRPr="00512924">
                <w:rPr>
                  <w:rStyle w:val="Hyperlink"/>
                  <w:rFonts w:ascii="Dubai" w:eastAsiaTheme="minorEastAsia" w:hAnsi="Dubai" w:cs="Dubai" w:hint="cs"/>
                  <w:i/>
                  <w:iCs/>
                  <w:noProof w:val="0"/>
                  <w:sz w:val="22"/>
                  <w:rtl/>
                  <w:lang w:val="en-US" w:eastAsia="zh-CN" w:bidi="ar-EG"/>
                </w:rPr>
                <w:t xml:space="preserve">مقرر المجلس </w:t>
              </w:r>
              <w:r w:rsidR="00395D58" w:rsidRPr="00512924">
                <w:rPr>
                  <w:rStyle w:val="Hyperlink"/>
                  <w:rFonts w:ascii="Dubai" w:eastAsiaTheme="minorEastAsia" w:hAnsi="Dubai" w:cs="Dubai"/>
                  <w:i/>
                  <w:iCs/>
                  <w:noProof w:val="0"/>
                  <w:sz w:val="22"/>
                  <w:lang w:val="en-US" w:eastAsia="zh-CN" w:bidi="ar-EG"/>
                </w:rPr>
                <w:t>482</w:t>
              </w:r>
              <w:r w:rsidR="00395D58" w:rsidRPr="00512924">
                <w:rPr>
                  <w:rStyle w:val="Hyperlink"/>
                  <w:rFonts w:ascii="Dubai" w:eastAsiaTheme="minorEastAsia" w:hAnsi="Dubai" w:cs="Dubai" w:hint="cs"/>
                  <w:i/>
                  <w:iCs/>
                  <w:noProof w:val="0"/>
                  <w:sz w:val="22"/>
                  <w:rtl/>
                  <w:lang w:val="en-US" w:eastAsia="zh-CN" w:bidi="ar-EG"/>
                </w:rPr>
                <w:t xml:space="preserve"> </w:t>
              </w:r>
              <w:r w:rsidR="004B30F7">
                <w:rPr>
                  <w:rStyle w:val="Hyperlink"/>
                  <w:rFonts w:ascii="Dubai" w:eastAsiaTheme="minorEastAsia" w:hAnsi="Dubai" w:cs="Dubai" w:hint="cs"/>
                  <w:i/>
                  <w:iCs/>
                  <w:noProof w:val="0"/>
                  <w:sz w:val="22"/>
                  <w:rtl/>
                  <w:lang w:val="en-US" w:eastAsia="zh-CN" w:bidi="ar-EG"/>
                </w:rPr>
                <w:t>(</w:t>
              </w:r>
              <w:r w:rsidR="00395D58" w:rsidRPr="00512924">
                <w:rPr>
                  <w:rStyle w:val="Hyperlink"/>
                  <w:rFonts w:ascii="Dubai" w:eastAsiaTheme="minorEastAsia" w:hAnsi="Dubai" w:cs="Dubai" w:hint="cs"/>
                  <w:i/>
                  <w:iCs/>
                  <w:noProof w:val="0"/>
                  <w:sz w:val="22"/>
                  <w:rtl/>
                  <w:lang w:val="en-US" w:eastAsia="zh-CN" w:bidi="ar-EG"/>
                </w:rPr>
                <w:t xml:space="preserve">الصادر في دورة المجلس لعام </w:t>
              </w:r>
              <w:r w:rsidR="00395D58" w:rsidRPr="00512924">
                <w:rPr>
                  <w:rStyle w:val="Hyperlink"/>
                  <w:rFonts w:ascii="Dubai" w:eastAsiaTheme="minorEastAsia" w:hAnsi="Dubai" w:cs="Dubai"/>
                  <w:i/>
                  <w:iCs/>
                  <w:noProof w:val="0"/>
                  <w:sz w:val="22"/>
                  <w:lang w:val="en-US" w:eastAsia="zh-CN" w:bidi="ar-EG"/>
                </w:rPr>
                <w:t>2001</w:t>
              </w:r>
              <w:r w:rsidR="00395D58" w:rsidRPr="00512924">
                <w:rPr>
                  <w:rStyle w:val="Hyperlink"/>
                  <w:rFonts w:ascii="Dubai" w:eastAsiaTheme="minorEastAsia" w:hAnsi="Dubai" w:cs="Dubai" w:hint="cs"/>
                  <w:i/>
                  <w:iCs/>
                  <w:noProof w:val="0"/>
                  <w:sz w:val="22"/>
                  <w:rtl/>
                  <w:lang w:val="en-US" w:eastAsia="zh-CN" w:bidi="ar-EG"/>
                </w:rPr>
                <w:t xml:space="preserve"> والمعدّل آخر مرة في دورة المجلس لعام 2024</w:t>
              </w:r>
            </w:hyperlink>
            <w:r w:rsidR="00395D58">
              <w:rPr>
                <w:rFonts w:hint="cs"/>
                <w:i/>
                <w:iCs/>
                <w:rtl/>
                <w:lang w:bidi="ar-EG"/>
              </w:rPr>
              <w:t>)؛</w:t>
            </w:r>
            <w:r w:rsidRPr="001F2ADB">
              <w:rPr>
                <w:rFonts w:hint="cs"/>
                <w:i/>
                <w:iCs/>
                <w:rtl/>
              </w:rPr>
              <w:t xml:space="preserve"> وثيقتا المجلس </w:t>
            </w:r>
            <w:hyperlink r:id="rId11" w:history="1">
              <w:proofErr w:type="spellStart"/>
              <w:r w:rsidRPr="001F2ADB">
                <w:rPr>
                  <w:rStyle w:val="Hyperlink"/>
                  <w:rFonts w:ascii="Dubai" w:eastAsiaTheme="minorEastAsia" w:hAnsi="Dubai" w:cs="Dubai"/>
                  <w:i/>
                  <w:iCs/>
                  <w:noProof w:val="0"/>
                  <w:sz w:val="22"/>
                  <w:lang w:eastAsia="zh-CN"/>
                </w:rPr>
                <w:t>C24</w:t>
              </w:r>
              <w:proofErr w:type="spellEnd"/>
              <w:r w:rsidRPr="001F2ADB">
                <w:rPr>
                  <w:rStyle w:val="Hyperlink"/>
                  <w:rFonts w:ascii="Dubai" w:eastAsiaTheme="minorEastAsia" w:hAnsi="Dubai" w:cs="Dubai"/>
                  <w:i/>
                  <w:iCs/>
                  <w:noProof w:val="0"/>
                  <w:sz w:val="22"/>
                  <w:lang w:eastAsia="zh-CN"/>
                </w:rPr>
                <w:t>/11</w:t>
              </w:r>
            </w:hyperlink>
            <w:r w:rsidRPr="001F2ADB">
              <w:rPr>
                <w:rFonts w:hint="cs"/>
                <w:i/>
                <w:iCs/>
                <w:rtl/>
              </w:rPr>
              <w:t xml:space="preserve"> و</w:t>
            </w:r>
            <w:hyperlink r:id="rId12" w:history="1">
              <w:proofErr w:type="spellStart"/>
              <w:r w:rsidRPr="001F2ADB">
                <w:rPr>
                  <w:rStyle w:val="Hyperlink"/>
                  <w:rFonts w:ascii="Dubai" w:eastAsiaTheme="minorEastAsia" w:hAnsi="Dubai" w:cs="Dubai"/>
                  <w:i/>
                  <w:iCs/>
                  <w:noProof w:val="0"/>
                  <w:sz w:val="22"/>
                  <w:lang w:eastAsia="zh-CN"/>
                </w:rPr>
                <w:t>C24</w:t>
              </w:r>
              <w:proofErr w:type="spellEnd"/>
              <w:r w:rsidRPr="001F2ADB">
                <w:rPr>
                  <w:rStyle w:val="Hyperlink"/>
                  <w:rFonts w:ascii="Dubai" w:eastAsiaTheme="minorEastAsia" w:hAnsi="Dubai" w:cs="Dubai"/>
                  <w:i/>
                  <w:iCs/>
                  <w:noProof w:val="0"/>
                  <w:sz w:val="22"/>
                  <w:lang w:eastAsia="zh-CN"/>
                </w:rPr>
                <w:t>/16</w:t>
              </w:r>
            </w:hyperlink>
          </w:p>
        </w:tc>
      </w:tr>
    </w:tbl>
    <w:p w14:paraId="67FA6C5A" w14:textId="77777777" w:rsidR="00E61BE8" w:rsidRDefault="00E61BE8" w:rsidP="00E61BE8">
      <w:pPr>
        <w:rPr>
          <w:rtl/>
          <w:lang w:bidi="ar-EG"/>
        </w:rPr>
      </w:pPr>
    </w:p>
    <w:p w14:paraId="0D1B9B87" w14:textId="77777777" w:rsidR="00F50E3F" w:rsidRDefault="00F50E3F" w:rsidP="0043260A">
      <w:pPr>
        <w:rPr>
          <w:rtl/>
          <w:lang w:bidi="ar-EG"/>
        </w:rPr>
      </w:pPr>
      <w:r>
        <w:rPr>
          <w:rtl/>
          <w:lang w:bidi="ar-EG"/>
        </w:rPr>
        <w:br w:type="page"/>
      </w:r>
    </w:p>
    <w:p w14:paraId="4AE2BC12" w14:textId="25E929B4" w:rsidR="001F2ADB" w:rsidRPr="001F2ADB" w:rsidRDefault="001F2ADB" w:rsidP="00512924">
      <w:pPr>
        <w:rPr>
          <w:rtl/>
        </w:rPr>
      </w:pPr>
      <w:r w:rsidRPr="001F2ADB">
        <w:rPr>
          <w:lang w:bidi="ar-EG"/>
        </w:rPr>
        <w:lastRenderedPageBreak/>
        <w:t>1</w:t>
      </w:r>
      <w:r w:rsidRPr="001F2ADB">
        <w:rPr>
          <w:rtl/>
        </w:rPr>
        <w:tab/>
      </w:r>
      <w:r w:rsidRPr="001F2ADB">
        <w:rPr>
          <w:rFonts w:hint="cs"/>
          <w:rtl/>
        </w:rPr>
        <w:t xml:space="preserve">وافق المجلس في دورته لعام 2024 على صيغة معدلة </w:t>
      </w:r>
      <w:hyperlink r:id="rId13" w:history="1">
        <w:r w:rsidRPr="001F2ADB">
          <w:rPr>
            <w:rStyle w:val="Hyperlink"/>
            <w:rFonts w:ascii="Dubai" w:eastAsiaTheme="minorEastAsia" w:hAnsi="Dubai" w:cs="Dubai" w:hint="cs"/>
            <w:noProof w:val="0"/>
            <w:sz w:val="22"/>
            <w:u w:val="single"/>
            <w:rtl/>
            <w:lang w:val="en-US" w:eastAsia="zh-CN"/>
          </w:rPr>
          <w:t xml:space="preserve">للمقرر </w:t>
        </w:r>
        <w:r w:rsidRPr="001F2ADB">
          <w:rPr>
            <w:rStyle w:val="Hyperlink"/>
            <w:rFonts w:ascii="Dubai" w:eastAsiaTheme="minorEastAsia" w:hAnsi="Dubai" w:cs="Dubai"/>
            <w:noProof w:val="0"/>
            <w:sz w:val="22"/>
            <w:u w:val="single"/>
            <w:lang w:eastAsia="zh-CN" w:bidi="ar-EG"/>
          </w:rPr>
          <w:t>482</w:t>
        </w:r>
      </w:hyperlink>
      <w:r w:rsidRPr="001F2ADB">
        <w:rPr>
          <w:rFonts w:hint="cs"/>
          <w:rtl/>
        </w:rPr>
        <w:t xml:space="preserve"> دخلت حيز النفاذ في </w:t>
      </w:r>
      <w:r w:rsidRPr="001F2ADB">
        <w:rPr>
          <w:lang w:val="en-GB" w:bidi="ar-EG"/>
        </w:rPr>
        <w:t>1</w:t>
      </w:r>
      <w:r w:rsidRPr="001F2ADB">
        <w:rPr>
          <w:rFonts w:hint="cs"/>
          <w:rtl/>
        </w:rPr>
        <w:t xml:space="preserve"> يوليو 2024.</w:t>
      </w:r>
    </w:p>
    <w:p w14:paraId="7755D574" w14:textId="77777777" w:rsidR="001F2ADB" w:rsidRPr="001F2ADB" w:rsidRDefault="001F2ADB" w:rsidP="00B35FC5">
      <w:pPr>
        <w:pStyle w:val="Headingb"/>
        <w:ind w:left="0" w:firstLine="0"/>
        <w:rPr>
          <w:lang w:bidi="ar-EG"/>
        </w:rPr>
      </w:pPr>
      <w:r w:rsidRPr="001F2ADB">
        <w:rPr>
          <w:rFonts w:hint="cs"/>
          <w:rtl/>
        </w:rPr>
        <w:t xml:space="preserve">تقرير عن تنفيذ المقرر </w:t>
      </w:r>
      <w:r w:rsidRPr="001F2ADB">
        <w:rPr>
          <w:lang w:bidi="ar-EG"/>
        </w:rPr>
        <w:t>482</w:t>
      </w:r>
      <w:r w:rsidRPr="001F2ADB">
        <w:rPr>
          <w:rFonts w:hint="cs"/>
          <w:rtl/>
        </w:rPr>
        <w:t xml:space="preserve"> (الصادر في دورة المجلس لعام 2001، والمعدَّل آخر مرة في دورة المجلس لعام</w:t>
      </w:r>
      <w:r w:rsidRPr="001F2ADB">
        <w:rPr>
          <w:rFonts w:hint="eastAsia"/>
          <w:rtl/>
        </w:rPr>
        <w:t> </w:t>
      </w:r>
      <w:r w:rsidRPr="001F2ADB">
        <w:rPr>
          <w:rFonts w:hint="cs"/>
          <w:rtl/>
        </w:rPr>
        <w:t>2024) في عامي 2023 و2024</w:t>
      </w:r>
    </w:p>
    <w:p w14:paraId="32EAC657" w14:textId="02A9AA12" w:rsidR="001F2ADB" w:rsidRPr="001F2ADB" w:rsidRDefault="001F2ADB" w:rsidP="00512924">
      <w:pPr>
        <w:rPr>
          <w:rtl/>
        </w:rPr>
      </w:pPr>
      <w:r w:rsidRPr="001F2ADB">
        <w:rPr>
          <w:rFonts w:hint="cs"/>
          <w:rtl/>
        </w:rPr>
        <w:t>2</w:t>
      </w:r>
      <w:r w:rsidRPr="001F2ADB">
        <w:rPr>
          <w:lang w:bidi="ar-EG"/>
        </w:rPr>
        <w:tab/>
      </w:r>
      <w:r w:rsidRPr="001F2ADB">
        <w:rPr>
          <w:rtl/>
        </w:rPr>
        <w:t>ي</w:t>
      </w:r>
      <w:r w:rsidRPr="001F2ADB">
        <w:rPr>
          <w:rFonts w:hint="cs"/>
          <w:rtl/>
        </w:rPr>
        <w:t>قدم</w:t>
      </w:r>
      <w:r w:rsidRPr="001F2ADB">
        <w:rPr>
          <w:rtl/>
        </w:rPr>
        <w:t xml:space="preserve"> الجدول </w:t>
      </w:r>
      <w:r w:rsidRPr="001F2ADB">
        <w:rPr>
          <w:lang w:bidi="ar-EG"/>
        </w:rPr>
        <w:t>1</w:t>
      </w:r>
      <w:r w:rsidRPr="001F2ADB">
        <w:rPr>
          <w:rtl/>
        </w:rPr>
        <w:t xml:space="preserve"> أدناه معلومات </w:t>
      </w:r>
      <w:r w:rsidRPr="001F2ADB">
        <w:rPr>
          <w:rFonts w:hint="cs"/>
          <w:rtl/>
        </w:rPr>
        <w:t>ذات صلة</w:t>
      </w:r>
      <w:r w:rsidRPr="001F2ADB">
        <w:rPr>
          <w:rtl/>
        </w:rPr>
        <w:t xml:space="preserve"> </w:t>
      </w:r>
      <w:r w:rsidRPr="001F2ADB">
        <w:rPr>
          <w:rFonts w:hint="cs"/>
          <w:rtl/>
        </w:rPr>
        <w:t>بتطبيق</w:t>
      </w:r>
      <w:r w:rsidRPr="001F2ADB">
        <w:rPr>
          <w:rtl/>
        </w:rPr>
        <w:t xml:space="preserve"> المقرر </w:t>
      </w:r>
      <w:r w:rsidRPr="001F2ADB">
        <w:rPr>
          <w:lang w:bidi="ar-EG"/>
        </w:rPr>
        <w:t>482</w:t>
      </w:r>
      <w:r w:rsidRPr="001F2ADB">
        <w:rPr>
          <w:rtl/>
        </w:rPr>
        <w:t xml:space="preserve"> </w:t>
      </w:r>
      <w:r w:rsidRPr="001F2ADB">
        <w:rPr>
          <w:rFonts w:hint="cs"/>
          <w:rtl/>
        </w:rPr>
        <w:t xml:space="preserve">(الصادر في دورة المجلس لعام 2001، والمعدَّل آخر مرة في دورة المجلس لعام 2024) </w:t>
      </w:r>
      <w:r w:rsidRPr="001F2ADB">
        <w:rPr>
          <w:rtl/>
        </w:rPr>
        <w:t>في</w:t>
      </w:r>
      <w:r w:rsidRPr="001F2ADB">
        <w:rPr>
          <w:rFonts w:hint="cs"/>
          <w:rtl/>
        </w:rPr>
        <w:t xml:space="preserve"> عامي</w:t>
      </w:r>
      <w:r w:rsidRPr="001F2ADB">
        <w:rPr>
          <w:rtl/>
        </w:rPr>
        <w:t xml:space="preserve"> </w:t>
      </w:r>
      <w:r w:rsidRPr="001F2ADB">
        <w:rPr>
          <w:rFonts w:hint="cs"/>
          <w:rtl/>
        </w:rPr>
        <w:t>2023</w:t>
      </w:r>
      <w:r w:rsidRPr="001F2ADB">
        <w:rPr>
          <w:rtl/>
        </w:rPr>
        <w:t xml:space="preserve"> و</w:t>
      </w:r>
      <w:r w:rsidRPr="001F2ADB">
        <w:rPr>
          <w:rFonts w:hint="cs"/>
          <w:rtl/>
        </w:rPr>
        <w:t xml:space="preserve">2024، </w:t>
      </w:r>
      <w:r w:rsidRPr="001F2ADB">
        <w:rPr>
          <w:rtl/>
        </w:rPr>
        <w:t>خاصةً النسبة المئوية للفواتير الصادرة في</w:t>
      </w:r>
      <w:r w:rsidR="00B35FC5">
        <w:rPr>
          <w:rFonts w:hint="eastAsia"/>
          <w:rtl/>
        </w:rPr>
        <w:t> </w:t>
      </w:r>
      <w:r w:rsidRPr="001F2ADB">
        <w:rPr>
          <w:rFonts w:hint="cs"/>
          <w:rtl/>
        </w:rPr>
        <w:t>عامي</w:t>
      </w:r>
      <w:r w:rsidRPr="001F2ADB">
        <w:rPr>
          <w:rtl/>
        </w:rPr>
        <w:t> </w:t>
      </w:r>
      <w:r w:rsidRPr="001F2ADB">
        <w:rPr>
          <w:rFonts w:hint="cs"/>
          <w:rtl/>
        </w:rPr>
        <w:t>2023</w:t>
      </w:r>
      <w:r w:rsidRPr="001F2ADB">
        <w:rPr>
          <w:rtl/>
        </w:rPr>
        <w:t xml:space="preserve"> و</w:t>
      </w:r>
      <w:r w:rsidRPr="001F2ADB">
        <w:rPr>
          <w:rFonts w:hint="cs"/>
          <w:rtl/>
        </w:rPr>
        <w:t xml:space="preserve">2024 </w:t>
      </w:r>
      <w:r w:rsidRPr="001F2ADB">
        <w:rPr>
          <w:rFonts w:hint="cs"/>
          <w:rtl/>
          <w:lang w:bidi="ar-EG"/>
        </w:rPr>
        <w:t>التي سُددت</w:t>
      </w:r>
      <w:r w:rsidRPr="001F2ADB">
        <w:rPr>
          <w:rtl/>
        </w:rPr>
        <w:t xml:space="preserve"> في الوقت المطلوب</w:t>
      </w:r>
      <w:r w:rsidRPr="001F2ADB">
        <w:rPr>
          <w:rFonts w:hint="cs"/>
          <w:rtl/>
        </w:rPr>
        <w:t>.</w:t>
      </w:r>
    </w:p>
    <w:p w14:paraId="34A26A8C" w14:textId="77777777" w:rsidR="00176374" w:rsidRDefault="001F2ADB" w:rsidP="00176374">
      <w:pPr>
        <w:pStyle w:val="TableNo"/>
        <w:rPr>
          <w:rtl/>
          <w:lang w:bidi="ar-EG"/>
        </w:rPr>
      </w:pPr>
      <w:r w:rsidRPr="001F2ADB">
        <w:rPr>
          <w:rtl/>
        </w:rPr>
        <w:t xml:space="preserve">الجدول </w:t>
      </w:r>
      <w:r w:rsidRPr="001F2ADB">
        <w:rPr>
          <w:lang w:bidi="ar-EG"/>
        </w:rPr>
        <w:t>1</w:t>
      </w:r>
    </w:p>
    <w:p w14:paraId="73C7D38A" w14:textId="744A6127" w:rsidR="001F2ADB" w:rsidRPr="001F2ADB" w:rsidRDefault="001F2ADB" w:rsidP="00176374">
      <w:pPr>
        <w:pStyle w:val="Tabletitle"/>
        <w:rPr>
          <w:rtl/>
        </w:rPr>
      </w:pPr>
      <w:r w:rsidRPr="001F2ADB">
        <w:rPr>
          <w:rFonts w:hint="cs"/>
          <w:rtl/>
        </w:rPr>
        <w:t xml:space="preserve">حالة تنفيذ المقرر </w:t>
      </w:r>
      <w:r w:rsidRPr="001F2ADB">
        <w:rPr>
          <w:lang w:bidi="ar-EG"/>
        </w:rPr>
        <w:t>482</w:t>
      </w:r>
      <w:r w:rsidRPr="001F2ADB">
        <w:rPr>
          <w:rtl/>
        </w:rPr>
        <w:t xml:space="preserve"> </w:t>
      </w:r>
      <w:r w:rsidRPr="001F2ADB">
        <w:rPr>
          <w:rFonts w:hint="cs"/>
          <w:rtl/>
        </w:rPr>
        <w:t>في عامي</w:t>
      </w:r>
      <w:r w:rsidRPr="001F2ADB">
        <w:rPr>
          <w:rtl/>
        </w:rPr>
        <w:t xml:space="preserve"> </w:t>
      </w:r>
      <w:r w:rsidRPr="001F2ADB">
        <w:rPr>
          <w:rFonts w:hint="cs"/>
          <w:rtl/>
          <w:lang w:bidi="ar-SA"/>
        </w:rPr>
        <w:t>2023 و2024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6"/>
        <w:gridCol w:w="1414"/>
        <w:gridCol w:w="2542"/>
        <w:gridCol w:w="2529"/>
      </w:tblGrid>
      <w:tr w:rsidR="001F2ADB" w:rsidRPr="001F2ADB" w14:paraId="0A6C8555" w14:textId="77777777" w:rsidTr="000A00DF">
        <w:trPr>
          <w:jc w:val="center"/>
        </w:trPr>
        <w:tc>
          <w:tcPr>
            <w:tcW w:w="2497" w:type="dxa"/>
            <w:vAlign w:val="center"/>
          </w:tcPr>
          <w:p w14:paraId="540B5077" w14:textId="77777777" w:rsidR="001F2ADB" w:rsidRPr="006135AF" w:rsidRDefault="001F2ADB" w:rsidP="006135AF">
            <w:pPr>
              <w:pStyle w:val="Tablehead"/>
              <w:rPr>
                <w:sz w:val="22"/>
                <w:szCs w:val="22"/>
                <w:lang w:val="en-GB" w:bidi="ar-EG"/>
              </w:rPr>
            </w:pPr>
          </w:p>
        </w:tc>
        <w:tc>
          <w:tcPr>
            <w:tcW w:w="1371" w:type="dxa"/>
            <w:vAlign w:val="center"/>
          </w:tcPr>
          <w:p w14:paraId="511ABE78" w14:textId="77777777" w:rsidR="001F2ADB" w:rsidRPr="006135AF" w:rsidRDefault="001F2ADB" w:rsidP="006135AF">
            <w:pPr>
              <w:pStyle w:val="Tablehead"/>
              <w:rPr>
                <w:sz w:val="22"/>
                <w:szCs w:val="22"/>
                <w:lang w:val="en-GB" w:bidi="ar-EG"/>
              </w:rPr>
            </w:pPr>
          </w:p>
        </w:tc>
        <w:tc>
          <w:tcPr>
            <w:tcW w:w="2464" w:type="dxa"/>
            <w:vAlign w:val="center"/>
          </w:tcPr>
          <w:p w14:paraId="0A09E840" w14:textId="77777777" w:rsidR="001F2ADB" w:rsidRPr="006135AF" w:rsidRDefault="001F2ADB" w:rsidP="006135AF">
            <w:pPr>
              <w:pStyle w:val="Tablehead"/>
              <w:rPr>
                <w:sz w:val="22"/>
                <w:szCs w:val="22"/>
                <w:lang w:val="en-GB" w:bidi="ar-EG"/>
              </w:rPr>
            </w:pPr>
            <w:r w:rsidRPr="006135AF">
              <w:rPr>
                <w:sz w:val="22"/>
                <w:szCs w:val="22"/>
                <w:lang w:bidi="ar-EG"/>
              </w:rPr>
              <w:t>2023</w:t>
            </w:r>
          </w:p>
        </w:tc>
        <w:tc>
          <w:tcPr>
            <w:tcW w:w="2452" w:type="dxa"/>
            <w:vAlign w:val="center"/>
          </w:tcPr>
          <w:p w14:paraId="391F8CE2" w14:textId="77777777" w:rsidR="001F2ADB" w:rsidRPr="006135AF" w:rsidRDefault="001F2ADB" w:rsidP="006135AF">
            <w:pPr>
              <w:pStyle w:val="Tablehead"/>
              <w:rPr>
                <w:sz w:val="22"/>
                <w:szCs w:val="22"/>
                <w:lang w:val="en-GB" w:bidi="ar-EG"/>
              </w:rPr>
            </w:pPr>
            <w:r w:rsidRPr="006135AF">
              <w:rPr>
                <w:rFonts w:hint="cs"/>
                <w:sz w:val="22"/>
                <w:szCs w:val="22"/>
                <w:rtl/>
              </w:rPr>
              <w:t>2024</w:t>
            </w:r>
          </w:p>
        </w:tc>
      </w:tr>
      <w:tr w:rsidR="001F2ADB" w:rsidRPr="001F2ADB" w14:paraId="5B96D788" w14:textId="77777777" w:rsidTr="000A00DF">
        <w:trPr>
          <w:jc w:val="center"/>
        </w:trPr>
        <w:tc>
          <w:tcPr>
            <w:tcW w:w="2497" w:type="dxa"/>
          </w:tcPr>
          <w:p w14:paraId="0043CF72" w14:textId="77777777" w:rsidR="001F2ADB" w:rsidRPr="006135AF" w:rsidRDefault="001F2ADB" w:rsidP="006135AF">
            <w:pPr>
              <w:pStyle w:val="Tabletexte"/>
              <w:jc w:val="left"/>
              <w:rPr>
                <w:sz w:val="22"/>
                <w:szCs w:val="22"/>
                <w:rtl/>
              </w:rPr>
            </w:pPr>
            <w:r w:rsidRPr="006135AF">
              <w:rPr>
                <w:sz w:val="22"/>
                <w:szCs w:val="22"/>
                <w:rtl/>
              </w:rPr>
              <w:t>المبلغ المدرج في الميزانية</w:t>
            </w:r>
          </w:p>
        </w:tc>
        <w:tc>
          <w:tcPr>
            <w:tcW w:w="1371" w:type="dxa"/>
          </w:tcPr>
          <w:p w14:paraId="4479F96B" w14:textId="77777777" w:rsidR="001F2ADB" w:rsidRPr="006135AF" w:rsidRDefault="001F2ADB" w:rsidP="006135AF">
            <w:pPr>
              <w:pStyle w:val="Tabletexte"/>
              <w:jc w:val="center"/>
              <w:rPr>
                <w:sz w:val="22"/>
                <w:szCs w:val="22"/>
                <w:rtl/>
              </w:rPr>
            </w:pPr>
            <w:r w:rsidRPr="006135AF">
              <w:rPr>
                <w:sz w:val="22"/>
                <w:szCs w:val="22"/>
                <w:rtl/>
              </w:rPr>
              <w:t>بالفرنك السويسري</w:t>
            </w:r>
          </w:p>
        </w:tc>
        <w:tc>
          <w:tcPr>
            <w:tcW w:w="2464" w:type="dxa"/>
          </w:tcPr>
          <w:p w14:paraId="16624FC6" w14:textId="0ED42041" w:rsidR="001F2ADB" w:rsidRPr="006135AF" w:rsidRDefault="001F2ADB" w:rsidP="006135AF">
            <w:pPr>
              <w:pStyle w:val="Tabletexte"/>
              <w:jc w:val="center"/>
              <w:rPr>
                <w:sz w:val="22"/>
                <w:szCs w:val="22"/>
                <w:lang w:bidi="ar-EG"/>
              </w:rPr>
            </w:pPr>
            <w:r w:rsidRPr="006135AF">
              <w:rPr>
                <w:sz w:val="22"/>
                <w:szCs w:val="22"/>
                <w:lang w:bidi="ar-EG"/>
              </w:rPr>
              <w:t>18 000 000</w:t>
            </w:r>
            <w:r w:rsidRPr="006135AF">
              <w:rPr>
                <w:sz w:val="22"/>
                <w:szCs w:val="22"/>
                <w:lang w:bidi="ar-EG"/>
              </w:rPr>
              <w:br/>
            </w:r>
            <w:r w:rsidRPr="006135AF">
              <w:rPr>
                <w:sz w:val="18"/>
                <w:szCs w:val="18"/>
                <w:rtl/>
              </w:rPr>
              <w:t xml:space="preserve">(قرار المجلس </w:t>
            </w:r>
            <w:r w:rsidRPr="006135AF">
              <w:rPr>
                <w:sz w:val="18"/>
                <w:szCs w:val="18"/>
                <w:lang w:bidi="ar-EG"/>
              </w:rPr>
              <w:t>1405</w:t>
            </w:r>
            <w:r w:rsidRPr="006135AF">
              <w:rPr>
                <w:sz w:val="18"/>
                <w:szCs w:val="18"/>
                <w:rtl/>
              </w:rPr>
              <w:t xml:space="preserve"> (</w:t>
            </w:r>
            <w:r w:rsidRPr="006135AF">
              <w:rPr>
                <w:rFonts w:hint="cs"/>
                <w:sz w:val="18"/>
                <w:szCs w:val="18"/>
                <w:rtl/>
              </w:rPr>
              <w:t>دورة المجلس</w:t>
            </w:r>
            <w:r w:rsidR="00435D74" w:rsidRPr="006135AF">
              <w:rPr>
                <w:rFonts w:hint="eastAsia"/>
                <w:sz w:val="18"/>
                <w:szCs w:val="18"/>
                <w:rtl/>
              </w:rPr>
              <w:t> </w:t>
            </w:r>
            <w:r w:rsidRPr="006135AF">
              <w:rPr>
                <w:rFonts w:hint="cs"/>
                <w:sz w:val="18"/>
                <w:szCs w:val="18"/>
                <w:rtl/>
              </w:rPr>
              <w:t>لعام 2021</w:t>
            </w:r>
            <w:r w:rsidRPr="006135AF">
              <w:rPr>
                <w:sz w:val="18"/>
                <w:szCs w:val="18"/>
                <w:rtl/>
              </w:rPr>
              <w:t>))</w:t>
            </w:r>
          </w:p>
        </w:tc>
        <w:tc>
          <w:tcPr>
            <w:tcW w:w="2452" w:type="dxa"/>
          </w:tcPr>
          <w:p w14:paraId="549B0EE2" w14:textId="2454E512" w:rsidR="001F2ADB" w:rsidRPr="006135AF" w:rsidRDefault="00512924" w:rsidP="006135AF">
            <w:pPr>
              <w:pStyle w:val="Tabletexte"/>
              <w:jc w:val="center"/>
              <w:rPr>
                <w:sz w:val="22"/>
                <w:szCs w:val="22"/>
                <w:rtl/>
              </w:rPr>
            </w:pPr>
            <w:r>
              <w:rPr>
                <w:sz w:val="22"/>
                <w:szCs w:val="22"/>
                <w:lang w:bidi="ar-EG"/>
              </w:rPr>
              <w:t>14 000 000</w:t>
            </w:r>
            <w:r w:rsidR="001F2ADB" w:rsidRPr="006135AF">
              <w:rPr>
                <w:sz w:val="22"/>
                <w:szCs w:val="22"/>
                <w:lang w:bidi="ar-EG"/>
              </w:rPr>
              <w:br/>
            </w:r>
            <w:r w:rsidR="001F2ADB" w:rsidRPr="006135AF">
              <w:rPr>
                <w:sz w:val="18"/>
                <w:szCs w:val="18"/>
                <w:rtl/>
              </w:rPr>
              <w:t xml:space="preserve">(قرار المجلس </w:t>
            </w:r>
            <w:r>
              <w:rPr>
                <w:sz w:val="18"/>
                <w:szCs w:val="18"/>
                <w:lang w:bidi="ar-EG"/>
              </w:rPr>
              <w:t>1417</w:t>
            </w:r>
            <w:r w:rsidRPr="006135AF">
              <w:rPr>
                <w:sz w:val="18"/>
                <w:szCs w:val="18"/>
                <w:rtl/>
              </w:rPr>
              <w:t xml:space="preserve"> </w:t>
            </w:r>
            <w:r w:rsidR="001F2ADB" w:rsidRPr="006135AF">
              <w:rPr>
                <w:sz w:val="18"/>
                <w:szCs w:val="18"/>
                <w:rtl/>
              </w:rPr>
              <w:t>(</w:t>
            </w:r>
            <w:r w:rsidR="001F2ADB" w:rsidRPr="006135AF">
              <w:rPr>
                <w:rFonts w:hint="cs"/>
                <w:sz w:val="18"/>
                <w:szCs w:val="18"/>
                <w:rtl/>
              </w:rPr>
              <w:t>دورة المجلس</w:t>
            </w:r>
            <w:r w:rsidR="00435D74" w:rsidRPr="006135AF">
              <w:rPr>
                <w:rFonts w:hint="eastAsia"/>
                <w:sz w:val="18"/>
                <w:szCs w:val="18"/>
                <w:rtl/>
              </w:rPr>
              <w:t> </w:t>
            </w:r>
            <w:r w:rsidR="001F2ADB" w:rsidRPr="006135AF">
              <w:rPr>
                <w:rFonts w:hint="cs"/>
                <w:sz w:val="18"/>
                <w:szCs w:val="18"/>
                <w:rtl/>
              </w:rPr>
              <w:t>لعام 2023</w:t>
            </w:r>
            <w:r w:rsidR="001F2ADB" w:rsidRPr="006135AF">
              <w:rPr>
                <w:sz w:val="18"/>
                <w:szCs w:val="18"/>
                <w:rtl/>
              </w:rPr>
              <w:t>))</w:t>
            </w:r>
          </w:p>
        </w:tc>
      </w:tr>
      <w:tr w:rsidR="001F2ADB" w:rsidRPr="001F2ADB" w14:paraId="45250D24" w14:textId="77777777" w:rsidTr="000A00DF">
        <w:trPr>
          <w:jc w:val="center"/>
        </w:trPr>
        <w:tc>
          <w:tcPr>
            <w:tcW w:w="2497" w:type="dxa"/>
          </w:tcPr>
          <w:p w14:paraId="44D757AB" w14:textId="60263359" w:rsidR="001F2ADB" w:rsidRPr="006135AF" w:rsidRDefault="001F2ADB" w:rsidP="006135AF">
            <w:pPr>
              <w:pStyle w:val="Tabletexte"/>
              <w:jc w:val="left"/>
              <w:rPr>
                <w:sz w:val="22"/>
                <w:szCs w:val="22"/>
                <w:lang w:val="en-GB" w:bidi="ar-EG"/>
              </w:rPr>
            </w:pPr>
            <w:r w:rsidRPr="006135AF">
              <w:rPr>
                <w:sz w:val="22"/>
                <w:szCs w:val="22"/>
                <w:rtl/>
              </w:rPr>
              <w:t>مجموع الفواتير الصادرة</w:t>
            </w:r>
            <w:r w:rsidRPr="006135AF">
              <w:rPr>
                <w:sz w:val="22"/>
                <w:szCs w:val="22"/>
                <w:lang w:bidi="ar-EG"/>
              </w:rPr>
              <w:t>*</w:t>
            </w:r>
            <w:r w:rsidRPr="006135AF">
              <w:rPr>
                <w:sz w:val="22"/>
                <w:szCs w:val="22"/>
                <w:rtl/>
              </w:rPr>
              <w:br/>
              <w:t>(</w:t>
            </w:r>
            <w:r w:rsidRPr="006135AF">
              <w:rPr>
                <w:rFonts w:hint="cs"/>
                <w:sz w:val="22"/>
                <w:szCs w:val="22"/>
                <w:rtl/>
              </w:rPr>
              <w:t>مطروحةً منها</w:t>
            </w:r>
            <w:r w:rsidRPr="006135AF">
              <w:rPr>
                <w:sz w:val="22"/>
                <w:szCs w:val="22"/>
                <w:rtl/>
              </w:rPr>
              <w:t xml:space="preserve"> الاستحقاق</w:t>
            </w:r>
            <w:r w:rsidRPr="006135AF">
              <w:rPr>
                <w:rFonts w:hint="cs"/>
                <w:sz w:val="22"/>
                <w:szCs w:val="22"/>
                <w:rtl/>
              </w:rPr>
              <w:t>ات</w:t>
            </w:r>
            <w:r w:rsidR="00176374" w:rsidRPr="006135AF">
              <w:rPr>
                <w:rFonts w:hint="cs"/>
                <w:sz w:val="22"/>
                <w:szCs w:val="22"/>
                <w:rtl/>
              </w:rPr>
              <w:t> </w:t>
            </w:r>
            <w:r w:rsidRPr="006135AF">
              <w:rPr>
                <w:sz w:val="22"/>
                <w:szCs w:val="22"/>
                <w:rtl/>
              </w:rPr>
              <w:t>المجاني</w:t>
            </w:r>
            <w:r w:rsidRPr="006135AF">
              <w:rPr>
                <w:rFonts w:hint="cs"/>
                <w:sz w:val="22"/>
                <w:szCs w:val="22"/>
                <w:rtl/>
              </w:rPr>
              <w:t>ة</w:t>
            </w:r>
            <w:r w:rsidRPr="006135AF">
              <w:rPr>
                <w:sz w:val="22"/>
                <w:szCs w:val="22"/>
                <w:rtl/>
              </w:rPr>
              <w:t>)</w:t>
            </w:r>
          </w:p>
        </w:tc>
        <w:tc>
          <w:tcPr>
            <w:tcW w:w="1371" w:type="dxa"/>
          </w:tcPr>
          <w:p w14:paraId="144B1E1B" w14:textId="77777777" w:rsidR="001F2ADB" w:rsidRPr="006135AF" w:rsidRDefault="001F2ADB" w:rsidP="006135AF">
            <w:pPr>
              <w:pStyle w:val="Tabletexte"/>
              <w:jc w:val="center"/>
              <w:rPr>
                <w:sz w:val="22"/>
                <w:szCs w:val="22"/>
                <w:lang w:val="en-GB" w:bidi="ar-EG"/>
              </w:rPr>
            </w:pPr>
            <w:r w:rsidRPr="006135AF">
              <w:rPr>
                <w:sz w:val="22"/>
                <w:szCs w:val="22"/>
                <w:rtl/>
              </w:rPr>
              <w:t>بالفرنك السويسري</w:t>
            </w:r>
          </w:p>
        </w:tc>
        <w:tc>
          <w:tcPr>
            <w:tcW w:w="2464" w:type="dxa"/>
          </w:tcPr>
          <w:p w14:paraId="20CEA343" w14:textId="77777777" w:rsidR="001F2ADB" w:rsidRPr="006135AF" w:rsidRDefault="001F2ADB" w:rsidP="006135AF">
            <w:pPr>
              <w:pStyle w:val="Tabletexte"/>
              <w:jc w:val="center"/>
              <w:rPr>
                <w:sz w:val="22"/>
                <w:szCs w:val="22"/>
                <w:lang w:bidi="ar-EG"/>
              </w:rPr>
            </w:pPr>
            <w:r w:rsidRPr="006135AF">
              <w:rPr>
                <w:sz w:val="22"/>
                <w:szCs w:val="22"/>
                <w:lang w:bidi="ar-EG"/>
              </w:rPr>
              <w:t>11 215 321</w:t>
            </w:r>
          </w:p>
        </w:tc>
        <w:tc>
          <w:tcPr>
            <w:tcW w:w="2452" w:type="dxa"/>
          </w:tcPr>
          <w:p w14:paraId="325A16AF" w14:textId="77777777" w:rsidR="001F2ADB" w:rsidRPr="006135AF" w:rsidRDefault="001F2ADB" w:rsidP="006135AF">
            <w:pPr>
              <w:pStyle w:val="Tabletexte"/>
              <w:jc w:val="center"/>
              <w:rPr>
                <w:sz w:val="22"/>
                <w:szCs w:val="22"/>
                <w:lang w:bidi="ar-EG"/>
              </w:rPr>
            </w:pPr>
            <w:r w:rsidRPr="006135AF">
              <w:rPr>
                <w:sz w:val="22"/>
                <w:szCs w:val="22"/>
                <w:lang w:bidi="ar-EG"/>
              </w:rPr>
              <w:t>9 679 754</w:t>
            </w:r>
          </w:p>
        </w:tc>
      </w:tr>
      <w:tr w:rsidR="001F2ADB" w:rsidRPr="001F2ADB" w14:paraId="3ABE14DB" w14:textId="77777777" w:rsidTr="000A00DF">
        <w:trPr>
          <w:jc w:val="center"/>
        </w:trPr>
        <w:tc>
          <w:tcPr>
            <w:tcW w:w="2497" w:type="dxa"/>
          </w:tcPr>
          <w:p w14:paraId="3976088D" w14:textId="77777777" w:rsidR="001F2ADB" w:rsidRPr="006135AF" w:rsidRDefault="001F2ADB" w:rsidP="006135AF">
            <w:pPr>
              <w:pStyle w:val="Tabletexte"/>
              <w:jc w:val="left"/>
              <w:rPr>
                <w:sz w:val="22"/>
                <w:szCs w:val="22"/>
                <w:lang w:val="en-GB" w:bidi="ar-EG"/>
              </w:rPr>
            </w:pPr>
            <w:r w:rsidRPr="006135AF">
              <w:rPr>
                <w:sz w:val="22"/>
                <w:szCs w:val="22"/>
                <w:rtl/>
              </w:rPr>
              <w:t>الاستحقاق</w:t>
            </w:r>
            <w:r w:rsidRPr="006135AF">
              <w:rPr>
                <w:rFonts w:hint="cs"/>
                <w:sz w:val="22"/>
                <w:szCs w:val="22"/>
                <w:rtl/>
              </w:rPr>
              <w:t>ات</w:t>
            </w:r>
            <w:r w:rsidRPr="006135AF">
              <w:rPr>
                <w:sz w:val="22"/>
                <w:szCs w:val="22"/>
                <w:rtl/>
              </w:rPr>
              <w:t xml:space="preserve"> المجاني</w:t>
            </w:r>
            <w:r w:rsidRPr="006135AF">
              <w:rPr>
                <w:rFonts w:hint="cs"/>
                <w:sz w:val="22"/>
                <w:szCs w:val="22"/>
                <w:rtl/>
              </w:rPr>
              <w:t>ة</w:t>
            </w:r>
          </w:p>
        </w:tc>
        <w:tc>
          <w:tcPr>
            <w:tcW w:w="1371" w:type="dxa"/>
          </w:tcPr>
          <w:p w14:paraId="0032E756" w14:textId="77777777" w:rsidR="001F2ADB" w:rsidRPr="006135AF" w:rsidRDefault="001F2ADB" w:rsidP="006135AF">
            <w:pPr>
              <w:pStyle w:val="Tabletexte"/>
              <w:jc w:val="center"/>
              <w:rPr>
                <w:sz w:val="22"/>
                <w:szCs w:val="22"/>
                <w:lang w:val="en-GB" w:bidi="ar-EG"/>
              </w:rPr>
            </w:pPr>
            <w:r w:rsidRPr="006135AF">
              <w:rPr>
                <w:sz w:val="22"/>
                <w:szCs w:val="22"/>
                <w:rtl/>
              </w:rPr>
              <w:t>بالفرنك السويسري</w:t>
            </w:r>
          </w:p>
        </w:tc>
        <w:tc>
          <w:tcPr>
            <w:tcW w:w="2464" w:type="dxa"/>
          </w:tcPr>
          <w:p w14:paraId="3BE1871D" w14:textId="77777777" w:rsidR="001F2ADB" w:rsidRPr="006135AF" w:rsidRDefault="001F2ADB" w:rsidP="006135AF">
            <w:pPr>
              <w:pStyle w:val="Tabletexte"/>
              <w:jc w:val="center"/>
              <w:rPr>
                <w:sz w:val="22"/>
                <w:szCs w:val="22"/>
                <w:lang w:bidi="ar-EG"/>
              </w:rPr>
            </w:pPr>
            <w:r w:rsidRPr="006135AF">
              <w:rPr>
                <w:sz w:val="22"/>
                <w:szCs w:val="22"/>
                <w:lang w:bidi="ar-EG"/>
              </w:rPr>
              <w:t>1 396 871</w:t>
            </w:r>
          </w:p>
        </w:tc>
        <w:tc>
          <w:tcPr>
            <w:tcW w:w="2452" w:type="dxa"/>
          </w:tcPr>
          <w:p w14:paraId="56093834" w14:textId="77777777" w:rsidR="001F2ADB" w:rsidRPr="006135AF" w:rsidRDefault="001F2ADB" w:rsidP="006135AF">
            <w:pPr>
              <w:pStyle w:val="Tabletexte"/>
              <w:jc w:val="center"/>
              <w:rPr>
                <w:sz w:val="22"/>
                <w:szCs w:val="22"/>
                <w:lang w:bidi="ar-EG"/>
              </w:rPr>
            </w:pPr>
            <w:r w:rsidRPr="006135AF">
              <w:rPr>
                <w:sz w:val="22"/>
                <w:szCs w:val="22"/>
                <w:lang w:bidi="ar-EG"/>
              </w:rPr>
              <w:t>1 209 753</w:t>
            </w:r>
          </w:p>
        </w:tc>
      </w:tr>
      <w:tr w:rsidR="001F2ADB" w:rsidRPr="001F2ADB" w14:paraId="17926A01" w14:textId="77777777" w:rsidTr="000A00DF">
        <w:trPr>
          <w:jc w:val="center"/>
        </w:trPr>
        <w:tc>
          <w:tcPr>
            <w:tcW w:w="2497" w:type="dxa"/>
            <w:tcBorders>
              <w:bottom w:val="single" w:sz="12" w:space="0" w:color="auto"/>
            </w:tcBorders>
          </w:tcPr>
          <w:p w14:paraId="2932F9F7" w14:textId="77777777" w:rsidR="001F2ADB" w:rsidRPr="006135AF" w:rsidRDefault="001F2ADB" w:rsidP="006135AF">
            <w:pPr>
              <w:pStyle w:val="Tabletexte"/>
              <w:jc w:val="left"/>
              <w:rPr>
                <w:sz w:val="22"/>
                <w:szCs w:val="22"/>
                <w:lang w:val="en-GB" w:bidi="ar-EG"/>
              </w:rPr>
            </w:pPr>
            <w:r w:rsidRPr="006135AF">
              <w:rPr>
                <w:sz w:val="22"/>
                <w:szCs w:val="22"/>
                <w:rtl/>
              </w:rPr>
              <w:t>المدفوعات المستوفاة**</w:t>
            </w:r>
          </w:p>
        </w:tc>
        <w:tc>
          <w:tcPr>
            <w:tcW w:w="1371" w:type="dxa"/>
            <w:tcBorders>
              <w:bottom w:val="single" w:sz="12" w:space="0" w:color="auto"/>
            </w:tcBorders>
          </w:tcPr>
          <w:p w14:paraId="23AC3B7E" w14:textId="77777777" w:rsidR="001F2ADB" w:rsidRPr="006135AF" w:rsidRDefault="001F2ADB" w:rsidP="006135AF">
            <w:pPr>
              <w:pStyle w:val="Tabletexte"/>
              <w:jc w:val="center"/>
              <w:rPr>
                <w:sz w:val="22"/>
                <w:szCs w:val="22"/>
                <w:lang w:val="en-GB" w:bidi="ar-EG"/>
              </w:rPr>
            </w:pPr>
            <w:r w:rsidRPr="006135AF">
              <w:rPr>
                <w:sz w:val="22"/>
                <w:szCs w:val="22"/>
                <w:rtl/>
              </w:rPr>
              <w:t>بالفرنك السويسري</w:t>
            </w:r>
          </w:p>
        </w:tc>
        <w:tc>
          <w:tcPr>
            <w:tcW w:w="2464" w:type="dxa"/>
            <w:tcBorders>
              <w:bottom w:val="single" w:sz="12" w:space="0" w:color="auto"/>
            </w:tcBorders>
          </w:tcPr>
          <w:p w14:paraId="2173248C" w14:textId="77777777" w:rsidR="001F2ADB" w:rsidRPr="006135AF" w:rsidRDefault="001F2ADB" w:rsidP="006135AF">
            <w:pPr>
              <w:pStyle w:val="Tabletexte"/>
              <w:jc w:val="center"/>
              <w:rPr>
                <w:sz w:val="22"/>
                <w:szCs w:val="22"/>
                <w:lang w:bidi="ar-EG"/>
              </w:rPr>
            </w:pPr>
            <w:r w:rsidRPr="006135AF">
              <w:rPr>
                <w:sz w:val="22"/>
                <w:szCs w:val="22"/>
                <w:lang w:bidi="ar-EG"/>
              </w:rPr>
              <w:t>9 884 817</w:t>
            </w:r>
          </w:p>
        </w:tc>
        <w:tc>
          <w:tcPr>
            <w:tcW w:w="2452" w:type="dxa"/>
            <w:tcBorders>
              <w:bottom w:val="single" w:sz="12" w:space="0" w:color="auto"/>
            </w:tcBorders>
          </w:tcPr>
          <w:p w14:paraId="594DC52E" w14:textId="77777777" w:rsidR="001F2ADB" w:rsidRPr="006135AF" w:rsidRDefault="001F2ADB" w:rsidP="006135AF">
            <w:pPr>
              <w:pStyle w:val="Tabletexte"/>
              <w:jc w:val="center"/>
              <w:rPr>
                <w:sz w:val="22"/>
                <w:szCs w:val="22"/>
                <w:lang w:bidi="ar-EG"/>
              </w:rPr>
            </w:pPr>
            <w:r w:rsidRPr="006135AF">
              <w:rPr>
                <w:sz w:val="22"/>
                <w:szCs w:val="22"/>
                <w:lang w:bidi="ar-EG"/>
              </w:rPr>
              <w:t>9 707 718</w:t>
            </w:r>
          </w:p>
        </w:tc>
      </w:tr>
      <w:tr w:rsidR="001F2ADB" w:rsidRPr="001F2ADB" w14:paraId="53A088EE" w14:textId="77777777" w:rsidTr="000A00DF">
        <w:trPr>
          <w:jc w:val="center"/>
        </w:trPr>
        <w:tc>
          <w:tcPr>
            <w:tcW w:w="6332" w:type="dxa"/>
            <w:gridSpan w:val="3"/>
            <w:tcBorders>
              <w:top w:val="single" w:sz="12" w:space="0" w:color="auto"/>
              <w:left w:val="single" w:sz="2" w:space="0" w:color="auto"/>
              <w:bottom w:val="single" w:sz="6" w:space="0" w:color="auto"/>
              <w:right w:val="single" w:sz="2" w:space="0" w:color="auto"/>
            </w:tcBorders>
          </w:tcPr>
          <w:p w14:paraId="66F9583E" w14:textId="282AA596" w:rsidR="001F2ADB" w:rsidRPr="006135AF" w:rsidRDefault="001F2ADB" w:rsidP="006135AF">
            <w:pPr>
              <w:pStyle w:val="Tabletexte"/>
              <w:jc w:val="left"/>
              <w:rPr>
                <w:sz w:val="22"/>
                <w:szCs w:val="22"/>
                <w:rtl/>
              </w:rPr>
            </w:pPr>
            <w:r w:rsidRPr="006135AF">
              <w:rPr>
                <w:sz w:val="22"/>
                <w:szCs w:val="22"/>
                <w:rtl/>
              </w:rPr>
              <w:t xml:space="preserve">النسبة المئوية للفواتير الصادرة في </w:t>
            </w:r>
            <w:r w:rsidRPr="006135AF">
              <w:rPr>
                <w:rFonts w:hint="cs"/>
                <w:sz w:val="22"/>
                <w:szCs w:val="22"/>
                <w:rtl/>
              </w:rPr>
              <w:t>عامي 2023</w:t>
            </w:r>
            <w:r w:rsidRPr="006135AF">
              <w:rPr>
                <w:sz w:val="22"/>
                <w:szCs w:val="22"/>
                <w:rtl/>
              </w:rPr>
              <w:t xml:space="preserve"> و</w:t>
            </w:r>
            <w:r w:rsidRPr="006135AF">
              <w:rPr>
                <w:rFonts w:hint="cs"/>
                <w:sz w:val="22"/>
                <w:szCs w:val="22"/>
                <w:rtl/>
              </w:rPr>
              <w:t xml:space="preserve">2024 </w:t>
            </w:r>
            <w:r w:rsidRPr="006135AF">
              <w:rPr>
                <w:sz w:val="22"/>
                <w:szCs w:val="22"/>
                <w:rtl/>
              </w:rPr>
              <w:t>والمستحقة بحلول</w:t>
            </w:r>
            <w:r w:rsidR="00337E1F" w:rsidRPr="006135AF">
              <w:rPr>
                <w:rFonts w:hint="cs"/>
                <w:sz w:val="22"/>
                <w:szCs w:val="22"/>
                <w:rtl/>
              </w:rPr>
              <w:t> </w:t>
            </w:r>
            <w:r w:rsidRPr="006135AF">
              <w:rPr>
                <w:sz w:val="22"/>
                <w:szCs w:val="22"/>
                <w:lang w:val="en-GB" w:bidi="ar-EG"/>
              </w:rPr>
              <w:t>31</w:t>
            </w:r>
            <w:r w:rsidRPr="006135AF">
              <w:rPr>
                <w:sz w:val="22"/>
                <w:szCs w:val="22"/>
                <w:rtl/>
              </w:rPr>
              <w:t> ديسمبر </w:t>
            </w:r>
            <w:r w:rsidRPr="006135AF">
              <w:rPr>
                <w:rFonts w:hint="cs"/>
                <w:sz w:val="22"/>
                <w:szCs w:val="22"/>
                <w:rtl/>
              </w:rPr>
              <w:t>2024، التي تم سدادها</w:t>
            </w:r>
          </w:p>
        </w:tc>
        <w:tc>
          <w:tcPr>
            <w:tcW w:w="2452" w:type="dxa"/>
            <w:tcBorders>
              <w:top w:val="single" w:sz="12" w:space="0" w:color="auto"/>
              <w:left w:val="single" w:sz="2" w:space="0" w:color="auto"/>
              <w:bottom w:val="single" w:sz="6" w:space="0" w:color="auto"/>
              <w:right w:val="single" w:sz="2" w:space="0" w:color="auto"/>
            </w:tcBorders>
          </w:tcPr>
          <w:p w14:paraId="06BB1EFD" w14:textId="4BFC1E04" w:rsidR="001F2ADB" w:rsidRPr="006135AF" w:rsidRDefault="001F2ADB" w:rsidP="006135AF">
            <w:pPr>
              <w:pStyle w:val="Tabletexte"/>
              <w:jc w:val="center"/>
              <w:rPr>
                <w:sz w:val="22"/>
                <w:szCs w:val="22"/>
                <w:lang w:bidi="ar-EG"/>
              </w:rPr>
            </w:pPr>
            <w:r w:rsidRPr="006135AF">
              <w:rPr>
                <w:sz w:val="22"/>
                <w:szCs w:val="22"/>
                <w:lang w:val="en-GB" w:bidi="ar-EG"/>
              </w:rPr>
              <w:t>%99</w:t>
            </w:r>
            <w:r w:rsidRPr="006135AF">
              <w:rPr>
                <w:sz w:val="22"/>
                <w:szCs w:val="22"/>
                <w:lang w:bidi="ar-EG"/>
              </w:rPr>
              <w:t>&lt;</w:t>
            </w:r>
          </w:p>
        </w:tc>
      </w:tr>
      <w:tr w:rsidR="001F2ADB" w:rsidRPr="001F2ADB" w14:paraId="419D538A" w14:textId="77777777" w:rsidTr="000A00DF">
        <w:trPr>
          <w:jc w:val="center"/>
        </w:trPr>
        <w:tc>
          <w:tcPr>
            <w:tcW w:w="8784" w:type="dxa"/>
            <w:gridSpan w:val="4"/>
            <w:tcBorders>
              <w:top w:val="single" w:sz="6" w:space="0" w:color="auto"/>
              <w:left w:val="nil"/>
              <w:bottom w:val="nil"/>
              <w:right w:val="nil"/>
            </w:tcBorders>
          </w:tcPr>
          <w:p w14:paraId="50B1F511" w14:textId="7CF43EBF" w:rsidR="001F2ADB" w:rsidRPr="00D62F8A" w:rsidRDefault="001F2ADB" w:rsidP="00D62F8A">
            <w:pPr>
              <w:pStyle w:val="Tablelegend"/>
              <w:ind w:left="397" w:hanging="397"/>
              <w:rPr>
                <w:sz w:val="18"/>
                <w:szCs w:val="18"/>
                <w:rtl/>
              </w:rPr>
            </w:pPr>
            <w:r w:rsidRPr="00D62F8A">
              <w:rPr>
                <w:sz w:val="18"/>
                <w:szCs w:val="18"/>
                <w:lang w:bidi="ar-EG"/>
              </w:rPr>
              <w:t>*</w:t>
            </w:r>
            <w:r w:rsidRPr="00D62F8A">
              <w:rPr>
                <w:sz w:val="18"/>
                <w:szCs w:val="18"/>
                <w:rtl/>
                <w:lang w:bidi="ar-EG"/>
              </w:rPr>
              <w:tab/>
              <w:t xml:space="preserve">فواتير </w:t>
            </w:r>
            <w:r w:rsidRPr="00D62F8A">
              <w:rPr>
                <w:rFonts w:hint="cs"/>
                <w:sz w:val="18"/>
                <w:szCs w:val="18"/>
                <w:rtl/>
                <w:lang w:bidi="ar-EG"/>
              </w:rPr>
              <w:t>يُستحق سدادها</w:t>
            </w:r>
            <w:r w:rsidRPr="00D62F8A">
              <w:rPr>
                <w:sz w:val="18"/>
                <w:szCs w:val="18"/>
                <w:rtl/>
              </w:rPr>
              <w:t xml:space="preserve"> في غضون ستة أشهر من تاريخ إصدارها.</w:t>
            </w:r>
          </w:p>
          <w:p w14:paraId="56136883" w14:textId="6A4460C8" w:rsidR="001F2ADB" w:rsidRPr="001F2ADB" w:rsidRDefault="001F2ADB" w:rsidP="00D62F8A">
            <w:pPr>
              <w:pStyle w:val="Tablelegend"/>
              <w:ind w:left="397" w:hanging="397"/>
              <w:rPr>
                <w:lang w:val="en-GB" w:bidi="ar-EG"/>
              </w:rPr>
            </w:pPr>
            <w:r w:rsidRPr="00D62F8A">
              <w:rPr>
                <w:sz w:val="18"/>
                <w:szCs w:val="18"/>
                <w:lang w:bidi="ar-EG"/>
              </w:rPr>
              <w:t>**</w:t>
            </w:r>
            <w:r w:rsidRPr="00D62F8A">
              <w:rPr>
                <w:sz w:val="18"/>
                <w:szCs w:val="18"/>
                <w:rtl/>
              </w:rPr>
              <w:tab/>
              <w:t>تشمل المدفوعات المستوفاة الفواتير الصادرة في السنوات السابقة</w:t>
            </w:r>
            <w:r w:rsidRPr="00D62F8A">
              <w:rPr>
                <w:rFonts w:hint="cs"/>
                <w:sz w:val="18"/>
                <w:szCs w:val="18"/>
                <w:rtl/>
              </w:rPr>
              <w:t>.</w:t>
            </w:r>
            <w:r w:rsidRPr="00D62F8A">
              <w:rPr>
                <w:sz w:val="18"/>
                <w:szCs w:val="18"/>
                <w:rtl/>
              </w:rPr>
              <w:t xml:space="preserve"> ‏</w:t>
            </w:r>
            <w:r w:rsidRPr="00D62F8A">
              <w:rPr>
                <w:rFonts w:hint="cs"/>
                <w:sz w:val="18"/>
                <w:szCs w:val="18"/>
                <w:rtl/>
              </w:rPr>
              <w:t>و</w:t>
            </w:r>
            <w:r w:rsidRPr="00D62F8A">
              <w:rPr>
                <w:sz w:val="18"/>
                <w:szCs w:val="18"/>
                <w:rtl/>
              </w:rPr>
              <w:t xml:space="preserve">يمثل هذا المبلغ مجموع جميع المدفوعات التي تلقاها الاتحاد الدولي للاتصالات خلال السنة التقويمية </w:t>
            </w:r>
            <w:r w:rsidRPr="00D62F8A">
              <w:rPr>
                <w:sz w:val="18"/>
                <w:szCs w:val="18"/>
                <w:cs/>
              </w:rPr>
              <w:t>‎</w:t>
            </w:r>
            <w:r w:rsidRPr="00D62F8A">
              <w:rPr>
                <w:sz w:val="18"/>
                <w:szCs w:val="18"/>
                <w:lang w:bidi="ar-EG"/>
              </w:rPr>
              <w:t>2024</w:t>
            </w:r>
            <w:r w:rsidRPr="00D62F8A">
              <w:rPr>
                <w:sz w:val="18"/>
                <w:szCs w:val="18"/>
                <w:rtl/>
              </w:rPr>
              <w:t xml:space="preserve">‏، ولكنه يختلف عن الإيرادات المحاسبية حيث </w:t>
            </w:r>
            <w:r w:rsidRPr="00D62F8A">
              <w:rPr>
                <w:rFonts w:hint="cs"/>
                <w:sz w:val="18"/>
                <w:szCs w:val="18"/>
                <w:rtl/>
              </w:rPr>
              <w:t>تؤخذ</w:t>
            </w:r>
            <w:r w:rsidRPr="00D62F8A">
              <w:rPr>
                <w:sz w:val="18"/>
                <w:szCs w:val="18"/>
                <w:rtl/>
              </w:rPr>
              <w:t xml:space="preserve"> هذه المدفوعات </w:t>
            </w:r>
            <w:r w:rsidRPr="00D62F8A">
              <w:rPr>
                <w:rFonts w:hint="cs"/>
                <w:sz w:val="18"/>
                <w:szCs w:val="18"/>
                <w:rtl/>
              </w:rPr>
              <w:t>بعين</w:t>
            </w:r>
            <w:r w:rsidRPr="00D62F8A">
              <w:rPr>
                <w:sz w:val="18"/>
                <w:szCs w:val="18"/>
                <w:rtl/>
              </w:rPr>
              <w:t xml:space="preserve"> الاعتبار في</w:t>
            </w:r>
            <w:r w:rsidR="00D62F8A">
              <w:rPr>
                <w:rFonts w:hint="cs"/>
                <w:sz w:val="18"/>
                <w:szCs w:val="18"/>
                <w:rtl/>
              </w:rPr>
              <w:t> </w:t>
            </w:r>
            <w:r w:rsidRPr="00D62F8A">
              <w:rPr>
                <w:sz w:val="18"/>
                <w:szCs w:val="18"/>
                <w:rtl/>
              </w:rPr>
              <w:t>تلك التي تلي نشر الأقسام الخاصة المقابلة.</w:t>
            </w:r>
          </w:p>
        </w:tc>
      </w:tr>
    </w:tbl>
    <w:p w14:paraId="4B9AA8D4" w14:textId="2FB74D0F" w:rsidR="001F2ADB" w:rsidRPr="001F2ADB" w:rsidRDefault="001F2ADB" w:rsidP="0080354B">
      <w:pPr>
        <w:spacing w:before="240"/>
        <w:rPr>
          <w:lang w:val="en-GB" w:bidi="ar-EG"/>
        </w:rPr>
      </w:pPr>
      <w:r w:rsidRPr="001F2ADB">
        <w:rPr>
          <w:lang w:bidi="ar-EG"/>
        </w:rPr>
        <w:t>3</w:t>
      </w:r>
      <w:r w:rsidRPr="001F2ADB">
        <w:rPr>
          <w:rtl/>
        </w:rPr>
        <w:tab/>
      </w:r>
      <w:r w:rsidRPr="001F2ADB">
        <w:rPr>
          <w:rFonts w:hint="cs"/>
          <w:rtl/>
        </w:rPr>
        <w:t>تقدم</w:t>
      </w:r>
      <w:r w:rsidRPr="001F2ADB">
        <w:rPr>
          <w:rtl/>
        </w:rPr>
        <w:t xml:space="preserve"> </w:t>
      </w:r>
      <w:r w:rsidRPr="001F2ADB">
        <w:rPr>
          <w:rFonts w:hint="cs"/>
          <w:rtl/>
        </w:rPr>
        <w:t>ال</w:t>
      </w:r>
      <w:r w:rsidRPr="001F2ADB">
        <w:rPr>
          <w:rtl/>
        </w:rPr>
        <w:t xml:space="preserve">وثيقة </w:t>
      </w:r>
      <w:hyperlink r:id="rId14" w:history="1">
        <w:r w:rsidRPr="00D56A3E">
          <w:rPr>
            <w:rStyle w:val="Hyperlink"/>
            <w:rFonts w:ascii="Dubai" w:eastAsiaTheme="minorEastAsia" w:hAnsi="Dubai" w:cs="Dubai"/>
            <w:noProof w:val="0"/>
            <w:sz w:val="22"/>
            <w:u w:val="single"/>
            <w:lang w:val="en-US" w:eastAsia="zh-CN" w:bidi="ar-EG"/>
          </w:rPr>
          <w:t>C25/11</w:t>
        </w:r>
      </w:hyperlink>
      <w:r w:rsidRPr="001F2ADB">
        <w:rPr>
          <w:rFonts w:hint="cs"/>
          <w:rtl/>
        </w:rPr>
        <w:t xml:space="preserve"> </w:t>
      </w:r>
      <w:r w:rsidRPr="001F2ADB">
        <w:rPr>
          <w:rtl/>
        </w:rPr>
        <w:t>معلومات عن حالة المتأخرات والحسابات الخاصة بالمتأخرات في </w:t>
      </w:r>
      <w:r w:rsidRPr="001F2ADB">
        <w:rPr>
          <w:lang w:bidi="ar-EG"/>
        </w:rPr>
        <w:t>31</w:t>
      </w:r>
      <w:r w:rsidRPr="001F2ADB">
        <w:rPr>
          <w:rtl/>
        </w:rPr>
        <w:t> ديسمبر</w:t>
      </w:r>
      <w:r w:rsidRPr="001F2ADB">
        <w:rPr>
          <w:rFonts w:hint="cs"/>
          <w:rtl/>
        </w:rPr>
        <w:t> </w:t>
      </w:r>
      <w:r w:rsidRPr="001F2ADB">
        <w:rPr>
          <w:lang w:bidi="ar-EG"/>
        </w:rPr>
        <w:t>2024</w:t>
      </w:r>
      <w:r w:rsidRPr="001F2ADB">
        <w:rPr>
          <w:rtl/>
        </w:rPr>
        <w:t xml:space="preserve"> </w:t>
      </w:r>
      <w:r w:rsidRPr="001F2ADB">
        <w:rPr>
          <w:rFonts w:hint="cs"/>
          <w:rtl/>
        </w:rPr>
        <w:t>ت</w:t>
      </w:r>
      <w:r w:rsidRPr="001F2ADB">
        <w:rPr>
          <w:rtl/>
        </w:rPr>
        <w:t xml:space="preserve">شمل </w:t>
      </w:r>
      <w:r w:rsidRPr="001F2ADB">
        <w:rPr>
          <w:rFonts w:hint="cs"/>
          <w:rtl/>
        </w:rPr>
        <w:t>بنوداً تتعلق ب</w:t>
      </w:r>
      <w:r w:rsidRPr="001F2ADB">
        <w:rPr>
          <w:rtl/>
        </w:rPr>
        <w:t xml:space="preserve">معالجة بطاقات التبليغ عن الشبكات </w:t>
      </w:r>
      <w:proofErr w:type="spellStart"/>
      <w:r w:rsidRPr="001F2ADB">
        <w:rPr>
          <w:rtl/>
        </w:rPr>
        <w:t>الساتلية</w:t>
      </w:r>
      <w:proofErr w:type="spellEnd"/>
      <w:r w:rsidRPr="001F2ADB">
        <w:rPr>
          <w:rFonts w:hint="cs"/>
          <w:rtl/>
        </w:rPr>
        <w:t>.</w:t>
      </w:r>
    </w:p>
    <w:p w14:paraId="074BA2BD" w14:textId="206451A8" w:rsidR="001F2ADB" w:rsidRPr="001F2ADB" w:rsidRDefault="001F2ADB" w:rsidP="00FB41EF">
      <w:pPr>
        <w:rPr>
          <w:rtl/>
          <w:lang w:bidi="ar-EG"/>
        </w:rPr>
      </w:pPr>
      <w:r w:rsidRPr="001F2ADB">
        <w:rPr>
          <w:lang w:bidi="ar-EG"/>
        </w:rPr>
        <w:t>4</w:t>
      </w:r>
      <w:r w:rsidRPr="001F2ADB">
        <w:rPr>
          <w:rtl/>
        </w:rPr>
        <w:tab/>
      </w:r>
      <w:r w:rsidRPr="001F2ADB">
        <w:rPr>
          <w:rFonts w:hint="cs"/>
          <w:rtl/>
        </w:rPr>
        <w:t>وي</w:t>
      </w:r>
      <w:r w:rsidR="00FB41EF">
        <w:rPr>
          <w:rFonts w:hint="cs"/>
          <w:rtl/>
        </w:rPr>
        <w:t>ُ</w:t>
      </w:r>
      <w:r w:rsidRPr="001F2ADB">
        <w:rPr>
          <w:rFonts w:hint="cs"/>
          <w:rtl/>
        </w:rPr>
        <w:t>عزى الفرق بين المبالغ المدرجة في الميزانية</w:t>
      </w:r>
      <w:r w:rsidRPr="001F2ADB">
        <w:rPr>
          <w:rFonts w:hint="cs"/>
          <w:rtl/>
          <w:lang w:bidi="ar-EG"/>
        </w:rPr>
        <w:t xml:space="preserve"> لاسترداد التكاليف والمبالغ المفوترة الفعلية إلى تحول في</w:t>
      </w:r>
      <w:r w:rsidR="00D56A3E">
        <w:rPr>
          <w:rFonts w:hint="eastAsia"/>
          <w:rtl/>
          <w:lang w:bidi="ar-EG"/>
        </w:rPr>
        <w:t> </w:t>
      </w:r>
      <w:r w:rsidRPr="001F2ADB">
        <w:rPr>
          <w:rFonts w:hint="cs"/>
          <w:rtl/>
          <w:lang w:bidi="ar-EG"/>
        </w:rPr>
        <w:t xml:space="preserve">التوازن بين التبليغات عن الشبكات الساتلية المستقرة بالنسبة إلى الأرض والأنظمة الساتلية غير المستقرة بالنسبة إلى الأرض. فالتبليغات عن الشبكات الساتلية المستقرة بالنسبة إلى الأرض تخضع عموماً لرسوم أعلى من الرسوم التي تخضع لها الأنظمة الساتلية غير المستقرة بالنسبة إلى الأرض. ولمعالجة هذا الفرق، اعتمد المجلس في دورته لعام 2023 </w:t>
      </w:r>
      <w:hyperlink r:id="rId15" w:history="1">
        <w:r w:rsidRPr="00C0561C">
          <w:rPr>
            <w:rStyle w:val="Hyperlink"/>
            <w:rFonts w:ascii="Dubai" w:eastAsiaTheme="minorEastAsia" w:hAnsi="Dubai" w:cs="Dubai" w:hint="cs"/>
            <w:noProof w:val="0"/>
            <w:sz w:val="22"/>
            <w:u w:val="single"/>
            <w:rtl/>
            <w:lang w:val="en-US" w:eastAsia="zh-CN"/>
          </w:rPr>
          <w:t xml:space="preserve">المقرر </w:t>
        </w:r>
        <w:r w:rsidRPr="00C0561C">
          <w:rPr>
            <w:rStyle w:val="Hyperlink"/>
            <w:rFonts w:ascii="Dubai" w:eastAsiaTheme="minorEastAsia" w:hAnsi="Dubai" w:cs="Dubai"/>
            <w:noProof w:val="0"/>
            <w:sz w:val="22"/>
            <w:u w:val="single"/>
            <w:lang w:val="en-US" w:eastAsia="zh-CN" w:bidi="ar-EG"/>
          </w:rPr>
          <w:t>632</w:t>
        </w:r>
        <w:r w:rsidRPr="00C0561C">
          <w:rPr>
            <w:rStyle w:val="Hyperlink"/>
            <w:rFonts w:ascii="Dubai" w:eastAsiaTheme="minorEastAsia" w:hAnsi="Dubai" w:cs="Dubai" w:hint="cs"/>
            <w:noProof w:val="0"/>
            <w:sz w:val="22"/>
            <w:u w:val="single"/>
            <w:rtl/>
            <w:lang w:val="en-US" w:eastAsia="zh-CN" w:bidi="ar-EG"/>
          </w:rPr>
          <w:t xml:space="preserve"> </w:t>
        </w:r>
        <w:r w:rsidRPr="00C0561C">
          <w:rPr>
            <w:rStyle w:val="Hyperlink"/>
            <w:rFonts w:ascii="Dubai" w:eastAsiaTheme="minorEastAsia" w:hAnsi="Dubai" w:cs="Dubai" w:hint="cs"/>
            <w:noProof w:val="0"/>
            <w:sz w:val="22"/>
            <w:u w:val="single"/>
            <w:rtl/>
            <w:lang w:val="en-US" w:eastAsia="zh-CN"/>
          </w:rPr>
          <w:t>(دورة المجلس لعام 2023)</w:t>
        </w:r>
      </w:hyperlink>
      <w:r w:rsidRPr="001F2ADB">
        <w:rPr>
          <w:rFonts w:hint="cs"/>
          <w:rtl/>
          <w:lang w:bidi="ar-EG"/>
        </w:rPr>
        <w:t xml:space="preserve"> الذي أنشئ بموجبه فريق خبراء لكي يدرس، </w:t>
      </w:r>
      <w:r w:rsidRPr="001F2ADB">
        <w:rPr>
          <w:rtl/>
        </w:rPr>
        <w:t xml:space="preserve">استناداً إلى المبادئ والخطوط التوجيهية </w:t>
      </w:r>
      <w:r w:rsidRPr="001F2ADB">
        <w:rPr>
          <w:rFonts w:hint="cs"/>
          <w:rtl/>
        </w:rPr>
        <w:t>الواردة</w:t>
      </w:r>
      <w:r w:rsidRPr="001F2ADB">
        <w:rPr>
          <w:rtl/>
        </w:rPr>
        <w:t xml:space="preserve"> في</w:t>
      </w:r>
      <w:r w:rsidRPr="001F2ADB">
        <w:rPr>
          <w:rFonts w:hint="cs"/>
          <w:rtl/>
        </w:rPr>
        <w:t> </w:t>
      </w:r>
      <w:r w:rsidRPr="001F2ADB">
        <w:rPr>
          <w:rtl/>
        </w:rPr>
        <w:t>القرار</w:t>
      </w:r>
      <w:r w:rsidRPr="001F2ADB">
        <w:rPr>
          <w:rFonts w:hint="cs"/>
          <w:rtl/>
        </w:rPr>
        <w:t> </w:t>
      </w:r>
      <w:r w:rsidRPr="001F2ADB">
        <w:rPr>
          <w:rtl/>
        </w:rPr>
        <w:t xml:space="preserve">91 (المراجَع في </w:t>
      </w:r>
      <w:proofErr w:type="spellStart"/>
      <w:r w:rsidRPr="001F2ADB">
        <w:rPr>
          <w:rtl/>
        </w:rPr>
        <w:t>غوادالاخارا</w:t>
      </w:r>
      <w:proofErr w:type="spellEnd"/>
      <w:r w:rsidRPr="001F2ADB">
        <w:rPr>
          <w:rtl/>
        </w:rPr>
        <w:t>، 2010)، ولا</w:t>
      </w:r>
      <w:r w:rsidRPr="001F2ADB">
        <w:rPr>
          <w:rFonts w:hint="cs"/>
          <w:rtl/>
        </w:rPr>
        <w:t> </w:t>
      </w:r>
      <w:r w:rsidRPr="001F2ADB">
        <w:rPr>
          <w:rtl/>
        </w:rPr>
        <w:t xml:space="preserve">سيما الفقرة 4 </w:t>
      </w:r>
      <w:r w:rsidRPr="001F2ADB">
        <w:rPr>
          <w:rFonts w:hint="cs"/>
          <w:rtl/>
          <w:lang w:bidi="ar-EG"/>
        </w:rPr>
        <w:t>’6‘</w:t>
      </w:r>
      <w:r w:rsidR="006135AF">
        <w:rPr>
          <w:rFonts w:hint="cs"/>
          <w:rtl/>
          <w:lang w:bidi="ar-EG"/>
        </w:rPr>
        <w:t>)</w:t>
      </w:r>
      <w:r w:rsidR="00C0561C">
        <w:rPr>
          <w:rFonts w:hint="cs"/>
          <w:rtl/>
          <w:lang w:bidi="ar-EG"/>
        </w:rPr>
        <w:t xml:space="preserve"> </w:t>
      </w:r>
      <w:r w:rsidRPr="001F2ADB">
        <w:rPr>
          <w:rtl/>
        </w:rPr>
        <w:t>من "</w:t>
      </w:r>
      <w:r w:rsidRPr="001F2ADB">
        <w:rPr>
          <w:i/>
          <w:iCs/>
          <w:rtl/>
        </w:rPr>
        <w:t>يقرر</w:t>
      </w:r>
      <w:r w:rsidRPr="001F2ADB">
        <w:rPr>
          <w:rtl/>
        </w:rPr>
        <w:t>"</w:t>
      </w:r>
      <w:r w:rsidRPr="001F2ADB">
        <w:rPr>
          <w:rFonts w:hint="cs"/>
          <w:rtl/>
        </w:rPr>
        <w:t xml:space="preserve">، </w:t>
      </w:r>
      <w:r w:rsidRPr="001F2ADB">
        <w:rPr>
          <w:rtl/>
        </w:rPr>
        <w:t xml:space="preserve">مدى ملاءمة أو عدم ملاءمة </w:t>
      </w:r>
      <w:r w:rsidRPr="001F2ADB">
        <w:rPr>
          <w:rFonts w:hint="cs"/>
          <w:rtl/>
        </w:rPr>
        <w:t>تعديل بنود عديدة بشأن المقرر 482.</w:t>
      </w:r>
      <w:r w:rsidRPr="001F2ADB">
        <w:rPr>
          <w:rtl/>
        </w:rPr>
        <w:t xml:space="preserve"> ‏</w:t>
      </w:r>
      <w:r w:rsidRPr="001F2ADB">
        <w:rPr>
          <w:rFonts w:hint="cs"/>
          <w:rtl/>
        </w:rPr>
        <w:t>وس</w:t>
      </w:r>
      <w:r w:rsidRPr="001F2ADB">
        <w:rPr>
          <w:rtl/>
        </w:rPr>
        <w:t>يقدم فريق الخبراء تقرير</w:t>
      </w:r>
      <w:r w:rsidRPr="001F2ADB">
        <w:rPr>
          <w:rFonts w:hint="cs"/>
          <w:rtl/>
        </w:rPr>
        <w:t>اً عن</w:t>
      </w:r>
      <w:r w:rsidRPr="001F2ADB">
        <w:rPr>
          <w:rtl/>
        </w:rPr>
        <w:t xml:space="preserve"> استنتاجاته إلى دورة المجلس لعام </w:t>
      </w:r>
      <w:r w:rsidRPr="001F2ADB">
        <w:rPr>
          <w:cs/>
        </w:rPr>
        <w:t>‎</w:t>
      </w:r>
      <w:r w:rsidRPr="001F2ADB">
        <w:rPr>
          <w:lang w:bidi="ar-EG"/>
        </w:rPr>
        <w:t>2025</w:t>
      </w:r>
    </w:p>
    <w:p w14:paraId="7BAED857" w14:textId="33F2F193" w:rsidR="001F2ADB" w:rsidRPr="001F2ADB" w:rsidRDefault="001F2ADB" w:rsidP="00FB41EF">
      <w:pPr>
        <w:rPr>
          <w:rtl/>
        </w:rPr>
      </w:pPr>
      <w:r w:rsidRPr="001F2ADB">
        <w:rPr>
          <w:lang w:bidi="ar-EG"/>
        </w:rPr>
        <w:t>5</w:t>
      </w:r>
      <w:r w:rsidRPr="001F2ADB">
        <w:rPr>
          <w:rtl/>
        </w:rPr>
        <w:tab/>
      </w:r>
      <w:r w:rsidRPr="001F2ADB">
        <w:rPr>
          <w:rFonts w:hint="cs"/>
          <w:rtl/>
        </w:rPr>
        <w:t>و</w:t>
      </w:r>
      <w:r w:rsidRPr="001F2ADB">
        <w:rPr>
          <w:rtl/>
        </w:rPr>
        <w:t>وفقا</w:t>
      </w:r>
      <w:r w:rsidRPr="001F2ADB">
        <w:rPr>
          <w:rFonts w:hint="cs"/>
          <w:rtl/>
        </w:rPr>
        <w:t>ً</w:t>
      </w:r>
      <w:r w:rsidRPr="001F2ADB">
        <w:rPr>
          <w:rtl/>
        </w:rPr>
        <w:t xml:space="preserve"> للفقرة </w:t>
      </w:r>
      <w:r w:rsidRPr="001F2ADB">
        <w:rPr>
          <w:cs/>
        </w:rPr>
        <w:t>‎</w:t>
      </w:r>
      <w:r w:rsidRPr="001F2ADB">
        <w:rPr>
          <w:lang w:bidi="ar-EG"/>
        </w:rPr>
        <w:t>2</w:t>
      </w:r>
      <w:r w:rsidR="00425439">
        <w:rPr>
          <w:rFonts w:hint="cs"/>
          <w:rtl/>
        </w:rPr>
        <w:t> </w:t>
      </w:r>
      <w:r w:rsidRPr="001F2ADB">
        <w:rPr>
          <w:rtl/>
        </w:rPr>
        <w:t>‏أ</w:t>
      </w:r>
      <w:r w:rsidR="00425439">
        <w:rPr>
          <w:rFonts w:hint="cs"/>
          <w:rtl/>
        </w:rPr>
        <w:t> </w:t>
      </w:r>
      <w:r w:rsidRPr="001F2ADB">
        <w:rPr>
          <w:rtl/>
        </w:rPr>
        <w:t xml:space="preserve">) من </w:t>
      </w:r>
      <w:r w:rsidRPr="001F2ADB">
        <w:rPr>
          <w:rFonts w:hint="cs"/>
          <w:i/>
          <w:iCs/>
          <w:rtl/>
        </w:rPr>
        <w:t>"</w:t>
      </w:r>
      <w:r w:rsidRPr="001F2ADB">
        <w:rPr>
          <w:i/>
          <w:iCs/>
          <w:rtl/>
        </w:rPr>
        <w:t>يكلف مدير مكتب الاتصالات الراديوية</w:t>
      </w:r>
      <w:r w:rsidRPr="001F2ADB">
        <w:rPr>
          <w:rFonts w:hint="cs"/>
          <w:i/>
          <w:iCs/>
          <w:rtl/>
        </w:rPr>
        <w:t>"</w:t>
      </w:r>
      <w:r w:rsidRPr="001F2ADB">
        <w:rPr>
          <w:rtl/>
        </w:rPr>
        <w:t xml:space="preserve"> في المقرر </w:t>
      </w:r>
      <w:r w:rsidRPr="001F2ADB">
        <w:rPr>
          <w:cs/>
        </w:rPr>
        <w:t>‎</w:t>
      </w:r>
      <w:r w:rsidRPr="001F2ADB">
        <w:rPr>
          <w:lang w:bidi="ar-EG"/>
        </w:rPr>
        <w:t>482</w:t>
      </w:r>
      <w:r w:rsidRPr="001F2ADB">
        <w:rPr>
          <w:rtl/>
        </w:rPr>
        <w:t xml:space="preserve">‏، يعرض الجدول </w:t>
      </w:r>
      <w:r w:rsidRPr="001F2ADB">
        <w:rPr>
          <w:cs/>
        </w:rPr>
        <w:t>‎</w:t>
      </w:r>
      <w:r w:rsidRPr="001F2ADB">
        <w:rPr>
          <w:lang w:bidi="ar-EG"/>
        </w:rPr>
        <w:t>2</w:t>
      </w:r>
      <w:r w:rsidRPr="001F2ADB">
        <w:rPr>
          <w:rtl/>
        </w:rPr>
        <w:t xml:space="preserve"> ‏أدناه التكاليف المرتبطة بمعالجة بطاقات التبليغ عن الشبكات </w:t>
      </w:r>
      <w:proofErr w:type="spellStart"/>
      <w:r w:rsidRPr="001F2ADB">
        <w:rPr>
          <w:rtl/>
        </w:rPr>
        <w:t>الساتلية</w:t>
      </w:r>
      <w:proofErr w:type="spellEnd"/>
      <w:r w:rsidRPr="001F2ADB">
        <w:rPr>
          <w:rtl/>
        </w:rPr>
        <w:t xml:space="preserve"> في عامي </w:t>
      </w:r>
      <w:r w:rsidRPr="001F2ADB">
        <w:rPr>
          <w:cs/>
        </w:rPr>
        <w:t>‎</w:t>
      </w:r>
      <w:r w:rsidRPr="001F2ADB">
        <w:rPr>
          <w:rFonts w:hint="cs"/>
          <w:rtl/>
        </w:rPr>
        <w:t>2023</w:t>
      </w:r>
      <w:r w:rsidRPr="001F2ADB">
        <w:rPr>
          <w:rtl/>
        </w:rPr>
        <w:t xml:space="preserve"> ‏و</w:t>
      </w:r>
      <w:r w:rsidRPr="001F2ADB">
        <w:rPr>
          <w:cs/>
        </w:rPr>
        <w:t>‎</w:t>
      </w:r>
      <w:r w:rsidRPr="001F2ADB">
        <w:rPr>
          <w:rFonts w:hint="cs"/>
          <w:rtl/>
        </w:rPr>
        <w:t>2024</w:t>
      </w:r>
      <w:r w:rsidRPr="001F2ADB">
        <w:rPr>
          <w:rtl/>
        </w:rPr>
        <w:t>.</w:t>
      </w:r>
    </w:p>
    <w:p w14:paraId="5460FD8B" w14:textId="27EB9EE8" w:rsidR="006135AF" w:rsidRDefault="001F2ADB" w:rsidP="006135AF">
      <w:pPr>
        <w:pStyle w:val="TableNo"/>
        <w:rPr>
          <w:rtl/>
        </w:rPr>
      </w:pPr>
      <w:r w:rsidRPr="001F2ADB">
        <w:rPr>
          <w:rtl/>
        </w:rPr>
        <w:lastRenderedPageBreak/>
        <w:t xml:space="preserve">الجدول </w:t>
      </w:r>
      <w:r w:rsidRPr="001F2ADB">
        <w:rPr>
          <w:lang w:bidi="ar-EG"/>
        </w:rPr>
        <w:t>2</w:t>
      </w:r>
    </w:p>
    <w:p w14:paraId="7DAE7DD5" w14:textId="15F4334E" w:rsidR="001F2ADB" w:rsidRPr="001F2ADB" w:rsidRDefault="001F2ADB" w:rsidP="006135AF">
      <w:pPr>
        <w:pStyle w:val="Tabletitle"/>
        <w:rPr>
          <w:rtl/>
        </w:rPr>
      </w:pPr>
      <w:r w:rsidRPr="001F2ADB">
        <w:rPr>
          <w:rFonts w:hint="cs"/>
          <w:rtl/>
        </w:rPr>
        <w:t>التكاليف المرتبطة بمعالجة بطاقات التبليغ عن الشبكات الساتلية</w:t>
      </w:r>
      <w:r w:rsidRPr="001F2ADB">
        <w:rPr>
          <w:rtl/>
        </w:rPr>
        <w:t xml:space="preserve"> </w:t>
      </w:r>
      <w:r w:rsidRPr="001F2ADB">
        <w:rPr>
          <w:rFonts w:hint="cs"/>
          <w:rtl/>
        </w:rPr>
        <w:t xml:space="preserve">في عامي </w:t>
      </w:r>
      <w:r w:rsidRPr="001F2ADB">
        <w:rPr>
          <w:cs/>
          <w:lang w:bidi="ar-SA"/>
        </w:rPr>
        <w:t>‎</w:t>
      </w:r>
      <w:r w:rsidRPr="001F2ADB">
        <w:rPr>
          <w:rFonts w:hint="cs"/>
          <w:rtl/>
          <w:lang w:bidi="ar-SA"/>
        </w:rPr>
        <w:t>2023</w:t>
      </w:r>
      <w:r w:rsidRPr="001F2ADB">
        <w:rPr>
          <w:rtl/>
          <w:lang w:bidi="ar-SA"/>
        </w:rPr>
        <w:t xml:space="preserve"> ‏و</w:t>
      </w:r>
      <w:r w:rsidRPr="001F2ADB">
        <w:rPr>
          <w:cs/>
          <w:lang w:bidi="ar-SA"/>
        </w:rPr>
        <w:t>‎</w:t>
      </w:r>
      <w:r w:rsidRPr="001F2ADB">
        <w:rPr>
          <w:rFonts w:hint="cs"/>
          <w:rtl/>
          <w:lang w:bidi="ar-SA"/>
        </w:rPr>
        <w:t>2024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825"/>
        <w:gridCol w:w="1783"/>
        <w:gridCol w:w="1443"/>
      </w:tblGrid>
      <w:tr w:rsidR="001F2ADB" w:rsidRPr="001F2ADB" w14:paraId="3C524A9E" w14:textId="77777777" w:rsidTr="00DD28D1">
        <w:trPr>
          <w:trHeight w:val="300"/>
          <w:jc w:val="center"/>
        </w:trPr>
        <w:tc>
          <w:tcPr>
            <w:tcW w:w="4010" w:type="dxa"/>
            <w:shd w:val="clear" w:color="auto" w:fill="auto"/>
            <w:noWrap/>
          </w:tcPr>
          <w:p w14:paraId="2A1E5AE0" w14:textId="77777777" w:rsidR="001F2ADB" w:rsidRPr="00DD28D1" w:rsidRDefault="001F2ADB" w:rsidP="00DD28D1">
            <w:pPr>
              <w:pStyle w:val="Tablehead"/>
              <w:rPr>
                <w:sz w:val="22"/>
                <w:szCs w:val="22"/>
                <w:lang w:bidi="ar-EG"/>
              </w:rPr>
            </w:pPr>
          </w:p>
        </w:tc>
        <w:tc>
          <w:tcPr>
            <w:tcW w:w="1825" w:type="dxa"/>
          </w:tcPr>
          <w:p w14:paraId="69911F03" w14:textId="77777777" w:rsidR="001F2ADB" w:rsidRPr="00DD28D1" w:rsidRDefault="001F2ADB" w:rsidP="00DD28D1">
            <w:pPr>
              <w:pStyle w:val="Tablehead"/>
              <w:rPr>
                <w:sz w:val="22"/>
                <w:szCs w:val="22"/>
                <w:lang w:bidi="ar-EG"/>
              </w:rPr>
            </w:pPr>
          </w:p>
        </w:tc>
        <w:tc>
          <w:tcPr>
            <w:tcW w:w="1783" w:type="dxa"/>
            <w:shd w:val="clear" w:color="auto" w:fill="auto"/>
            <w:noWrap/>
            <w:hideMark/>
          </w:tcPr>
          <w:p w14:paraId="7F5F958C" w14:textId="77777777" w:rsidR="001F2ADB" w:rsidRPr="00DD28D1" w:rsidRDefault="001F2ADB" w:rsidP="00DD28D1">
            <w:pPr>
              <w:pStyle w:val="Tablehead"/>
              <w:rPr>
                <w:sz w:val="22"/>
                <w:szCs w:val="22"/>
                <w:lang w:bidi="ar-EG"/>
              </w:rPr>
            </w:pPr>
            <w:r w:rsidRPr="00DD28D1">
              <w:rPr>
                <w:rFonts w:hint="cs"/>
                <w:sz w:val="22"/>
                <w:szCs w:val="22"/>
                <w:rtl/>
              </w:rPr>
              <w:t>2023</w:t>
            </w:r>
          </w:p>
        </w:tc>
        <w:tc>
          <w:tcPr>
            <w:tcW w:w="1443" w:type="dxa"/>
            <w:shd w:val="clear" w:color="auto" w:fill="auto"/>
          </w:tcPr>
          <w:p w14:paraId="10F90570" w14:textId="77777777" w:rsidR="001F2ADB" w:rsidRPr="00DD28D1" w:rsidRDefault="001F2ADB" w:rsidP="00DD28D1">
            <w:pPr>
              <w:pStyle w:val="Tablehead"/>
              <w:rPr>
                <w:sz w:val="22"/>
                <w:szCs w:val="22"/>
                <w:lang w:bidi="ar-EG"/>
              </w:rPr>
            </w:pPr>
            <w:r w:rsidRPr="00DD28D1">
              <w:rPr>
                <w:rFonts w:hint="cs"/>
                <w:sz w:val="22"/>
                <w:szCs w:val="22"/>
                <w:rtl/>
              </w:rPr>
              <w:t>2024</w:t>
            </w:r>
          </w:p>
        </w:tc>
      </w:tr>
      <w:tr w:rsidR="001F2ADB" w:rsidRPr="001F2ADB" w14:paraId="252F5A25" w14:textId="77777777" w:rsidTr="00DD28D1">
        <w:trPr>
          <w:trHeight w:val="300"/>
          <w:jc w:val="center"/>
        </w:trPr>
        <w:tc>
          <w:tcPr>
            <w:tcW w:w="4010" w:type="dxa"/>
            <w:shd w:val="clear" w:color="auto" w:fill="auto"/>
            <w:noWrap/>
            <w:hideMark/>
          </w:tcPr>
          <w:p w14:paraId="3C055A54" w14:textId="77777777" w:rsidR="001F2ADB" w:rsidRPr="00DD28D1" w:rsidRDefault="001F2ADB" w:rsidP="00DD28D1">
            <w:pPr>
              <w:pStyle w:val="Tabletexte"/>
              <w:rPr>
                <w:sz w:val="22"/>
                <w:szCs w:val="22"/>
                <w:lang w:bidi="ar-EG"/>
              </w:rPr>
            </w:pPr>
            <w:r w:rsidRPr="00DD28D1">
              <w:rPr>
                <w:rFonts w:hint="cs"/>
                <w:sz w:val="22"/>
                <w:szCs w:val="22"/>
                <w:rtl/>
              </w:rPr>
              <w:t xml:space="preserve">تكاليف مكتب الاتصالات الراديوية على أساس استقصاء زمني </w:t>
            </w:r>
          </w:p>
        </w:tc>
        <w:tc>
          <w:tcPr>
            <w:tcW w:w="1825" w:type="dxa"/>
          </w:tcPr>
          <w:p w14:paraId="34671492" w14:textId="77777777" w:rsidR="001F2ADB" w:rsidRPr="00DD28D1" w:rsidRDefault="001F2ADB" w:rsidP="00DD28D1">
            <w:pPr>
              <w:pStyle w:val="Tabletexte"/>
              <w:jc w:val="center"/>
              <w:rPr>
                <w:bCs/>
                <w:sz w:val="22"/>
                <w:szCs w:val="22"/>
                <w:lang w:bidi="ar-EG"/>
              </w:rPr>
            </w:pPr>
            <w:r w:rsidRPr="00DD28D1">
              <w:rPr>
                <w:sz w:val="22"/>
                <w:szCs w:val="22"/>
                <w:rtl/>
                <w:lang w:bidi="ar-SA"/>
              </w:rPr>
              <w:t>بالفرنك السويسر</w:t>
            </w:r>
            <w:r w:rsidRPr="00DD28D1">
              <w:rPr>
                <w:rFonts w:hint="cs"/>
                <w:sz w:val="22"/>
                <w:szCs w:val="22"/>
                <w:rtl/>
                <w:lang w:bidi="ar-SA"/>
              </w:rPr>
              <w:t>ي</w:t>
            </w:r>
          </w:p>
        </w:tc>
        <w:tc>
          <w:tcPr>
            <w:tcW w:w="1783" w:type="dxa"/>
            <w:shd w:val="clear" w:color="auto" w:fill="auto"/>
            <w:noWrap/>
            <w:hideMark/>
          </w:tcPr>
          <w:p w14:paraId="718CE686" w14:textId="77777777" w:rsidR="001F2ADB" w:rsidRPr="00DD28D1" w:rsidRDefault="001F2ADB" w:rsidP="00DD28D1">
            <w:pPr>
              <w:pStyle w:val="Tabletexte"/>
              <w:jc w:val="center"/>
              <w:rPr>
                <w:sz w:val="22"/>
                <w:szCs w:val="22"/>
                <w:lang w:bidi="ar-EG"/>
              </w:rPr>
            </w:pPr>
            <w:r w:rsidRPr="00DD28D1">
              <w:rPr>
                <w:sz w:val="22"/>
                <w:szCs w:val="22"/>
                <w:lang w:bidi="ar-EG"/>
              </w:rPr>
              <w:t>10 254 511</w:t>
            </w:r>
          </w:p>
        </w:tc>
        <w:tc>
          <w:tcPr>
            <w:tcW w:w="1443" w:type="dxa"/>
          </w:tcPr>
          <w:p w14:paraId="45749971" w14:textId="77777777" w:rsidR="001F2ADB" w:rsidRPr="00DD28D1" w:rsidRDefault="001F2ADB" w:rsidP="00DD28D1">
            <w:pPr>
              <w:pStyle w:val="Tabletexte"/>
              <w:jc w:val="center"/>
              <w:rPr>
                <w:sz w:val="22"/>
                <w:szCs w:val="22"/>
                <w:lang w:bidi="ar-EG"/>
              </w:rPr>
            </w:pPr>
            <w:r w:rsidRPr="00DD28D1">
              <w:rPr>
                <w:sz w:val="22"/>
                <w:szCs w:val="22"/>
                <w:lang w:bidi="ar-EG"/>
              </w:rPr>
              <w:t>12 144 478</w:t>
            </w:r>
          </w:p>
        </w:tc>
      </w:tr>
      <w:tr w:rsidR="001F2ADB" w:rsidRPr="001F2ADB" w14:paraId="242DFF94" w14:textId="77777777" w:rsidTr="00FB41EF">
        <w:trPr>
          <w:trHeight w:val="300"/>
          <w:jc w:val="center"/>
        </w:trPr>
        <w:tc>
          <w:tcPr>
            <w:tcW w:w="4010" w:type="dxa"/>
            <w:tcBorders>
              <w:bottom w:val="single" w:sz="4" w:space="0" w:color="auto"/>
            </w:tcBorders>
            <w:shd w:val="clear" w:color="auto" w:fill="auto"/>
            <w:noWrap/>
            <w:hideMark/>
          </w:tcPr>
          <w:p w14:paraId="24A20BF8" w14:textId="77777777" w:rsidR="001F2ADB" w:rsidRPr="00DD28D1" w:rsidRDefault="001F2ADB" w:rsidP="00DD28D1">
            <w:pPr>
              <w:pStyle w:val="Tabletexte"/>
              <w:rPr>
                <w:sz w:val="22"/>
                <w:szCs w:val="22"/>
                <w:lang w:bidi="ar-EG"/>
              </w:rPr>
            </w:pPr>
            <w:r w:rsidRPr="00DD28D1">
              <w:rPr>
                <w:rFonts w:hint="cs"/>
                <w:sz w:val="22"/>
                <w:szCs w:val="22"/>
                <w:rtl/>
              </w:rPr>
              <w:t xml:space="preserve">تكاليف الخدمات الإدارية وخدمات الدعم المقدمة من لأمانة العامة </w:t>
            </w:r>
          </w:p>
        </w:tc>
        <w:tc>
          <w:tcPr>
            <w:tcW w:w="1825" w:type="dxa"/>
            <w:tcBorders>
              <w:bottom w:val="single" w:sz="4" w:space="0" w:color="auto"/>
            </w:tcBorders>
          </w:tcPr>
          <w:p w14:paraId="77B1EA5A" w14:textId="77777777" w:rsidR="001F2ADB" w:rsidRPr="00DD28D1" w:rsidRDefault="001F2ADB" w:rsidP="00DD28D1">
            <w:pPr>
              <w:pStyle w:val="Tabletexte"/>
              <w:jc w:val="center"/>
              <w:rPr>
                <w:bCs/>
                <w:sz w:val="22"/>
                <w:szCs w:val="22"/>
                <w:lang w:bidi="ar-EG"/>
              </w:rPr>
            </w:pPr>
            <w:r w:rsidRPr="00DD28D1">
              <w:rPr>
                <w:sz w:val="22"/>
                <w:szCs w:val="22"/>
                <w:rtl/>
                <w:lang w:bidi="ar-SA"/>
              </w:rPr>
              <w:t>بالفرنك السويسري</w:t>
            </w:r>
          </w:p>
        </w:tc>
        <w:tc>
          <w:tcPr>
            <w:tcW w:w="1783" w:type="dxa"/>
            <w:tcBorders>
              <w:bottom w:val="single" w:sz="4" w:space="0" w:color="auto"/>
            </w:tcBorders>
            <w:shd w:val="clear" w:color="auto" w:fill="auto"/>
            <w:noWrap/>
            <w:hideMark/>
          </w:tcPr>
          <w:p w14:paraId="7F7886E9" w14:textId="77777777" w:rsidR="001F2ADB" w:rsidRPr="00DD28D1" w:rsidRDefault="001F2ADB" w:rsidP="00DD28D1">
            <w:pPr>
              <w:pStyle w:val="Tabletexte"/>
              <w:jc w:val="center"/>
              <w:rPr>
                <w:sz w:val="22"/>
                <w:szCs w:val="22"/>
                <w:lang w:bidi="ar-EG"/>
              </w:rPr>
            </w:pPr>
            <w:r w:rsidRPr="00DD28D1">
              <w:rPr>
                <w:sz w:val="22"/>
                <w:szCs w:val="22"/>
                <w:lang w:bidi="ar-EG"/>
              </w:rPr>
              <w:t>9 183 890</w:t>
            </w:r>
          </w:p>
        </w:tc>
        <w:tc>
          <w:tcPr>
            <w:tcW w:w="1443" w:type="dxa"/>
            <w:tcBorders>
              <w:bottom w:val="single" w:sz="4" w:space="0" w:color="auto"/>
            </w:tcBorders>
          </w:tcPr>
          <w:p w14:paraId="4DDCA18A" w14:textId="77777777" w:rsidR="001F2ADB" w:rsidRPr="00DD28D1" w:rsidRDefault="001F2ADB" w:rsidP="00DD28D1">
            <w:pPr>
              <w:pStyle w:val="Tabletexte"/>
              <w:jc w:val="center"/>
              <w:rPr>
                <w:sz w:val="22"/>
                <w:szCs w:val="22"/>
                <w:lang w:bidi="ar-EG"/>
              </w:rPr>
            </w:pPr>
            <w:r w:rsidRPr="00DD28D1">
              <w:rPr>
                <w:sz w:val="22"/>
                <w:szCs w:val="22"/>
                <w:lang w:bidi="ar-EG"/>
              </w:rPr>
              <w:t>10 666 000</w:t>
            </w:r>
          </w:p>
        </w:tc>
      </w:tr>
      <w:tr w:rsidR="001F2ADB" w:rsidRPr="001F2ADB" w14:paraId="65189A42" w14:textId="77777777" w:rsidTr="00FB41EF">
        <w:trPr>
          <w:trHeight w:val="300"/>
          <w:jc w:val="center"/>
        </w:trPr>
        <w:tc>
          <w:tcPr>
            <w:tcW w:w="4010" w:type="dxa"/>
            <w:tcBorders>
              <w:bottom w:val="single" w:sz="4" w:space="0" w:color="auto"/>
            </w:tcBorders>
            <w:shd w:val="clear" w:color="auto" w:fill="auto"/>
            <w:noWrap/>
            <w:hideMark/>
          </w:tcPr>
          <w:p w14:paraId="13B29F72" w14:textId="77777777" w:rsidR="001F2ADB" w:rsidRPr="00DD28D1" w:rsidRDefault="001F2ADB" w:rsidP="00DD28D1">
            <w:pPr>
              <w:pStyle w:val="Tabletexte"/>
              <w:rPr>
                <w:sz w:val="22"/>
                <w:szCs w:val="22"/>
                <w:lang w:bidi="ar-EG"/>
              </w:rPr>
            </w:pPr>
            <w:r w:rsidRPr="00DD28D1">
              <w:rPr>
                <w:rFonts w:hint="cs"/>
                <w:sz w:val="22"/>
                <w:szCs w:val="22"/>
                <w:rtl/>
              </w:rPr>
              <w:t>مجموع التكاليف</w:t>
            </w:r>
          </w:p>
        </w:tc>
        <w:tc>
          <w:tcPr>
            <w:tcW w:w="1825" w:type="dxa"/>
            <w:tcBorders>
              <w:bottom w:val="single" w:sz="4" w:space="0" w:color="auto"/>
            </w:tcBorders>
          </w:tcPr>
          <w:p w14:paraId="469B8140" w14:textId="77777777" w:rsidR="001F2ADB" w:rsidRPr="00DD28D1" w:rsidRDefault="001F2ADB" w:rsidP="00DD28D1">
            <w:pPr>
              <w:pStyle w:val="Tabletexte"/>
              <w:jc w:val="center"/>
              <w:rPr>
                <w:bCs/>
                <w:sz w:val="22"/>
                <w:szCs w:val="22"/>
                <w:lang w:bidi="ar-EG"/>
              </w:rPr>
            </w:pPr>
            <w:r w:rsidRPr="00DD28D1">
              <w:rPr>
                <w:sz w:val="22"/>
                <w:szCs w:val="22"/>
                <w:rtl/>
                <w:lang w:bidi="ar-SA"/>
              </w:rPr>
              <w:t>بالفرنك السويسري</w:t>
            </w:r>
          </w:p>
        </w:tc>
        <w:tc>
          <w:tcPr>
            <w:tcW w:w="1783" w:type="dxa"/>
            <w:tcBorders>
              <w:bottom w:val="single" w:sz="4" w:space="0" w:color="auto"/>
            </w:tcBorders>
            <w:shd w:val="clear" w:color="auto" w:fill="auto"/>
            <w:noWrap/>
            <w:hideMark/>
          </w:tcPr>
          <w:p w14:paraId="56BA4DDD" w14:textId="77777777" w:rsidR="001F2ADB" w:rsidRPr="00DD28D1" w:rsidRDefault="001F2ADB" w:rsidP="00DD28D1">
            <w:pPr>
              <w:pStyle w:val="Tabletexte"/>
              <w:jc w:val="center"/>
              <w:rPr>
                <w:sz w:val="22"/>
                <w:szCs w:val="22"/>
                <w:lang w:bidi="ar-EG"/>
              </w:rPr>
            </w:pPr>
            <w:r w:rsidRPr="00DD28D1">
              <w:rPr>
                <w:sz w:val="22"/>
                <w:szCs w:val="22"/>
                <w:lang w:bidi="ar-EG"/>
              </w:rPr>
              <w:t>19 438 401</w:t>
            </w:r>
          </w:p>
        </w:tc>
        <w:tc>
          <w:tcPr>
            <w:tcW w:w="1443" w:type="dxa"/>
            <w:tcBorders>
              <w:bottom w:val="single" w:sz="4" w:space="0" w:color="auto"/>
            </w:tcBorders>
          </w:tcPr>
          <w:p w14:paraId="4449FA6A" w14:textId="77777777" w:rsidR="001F2ADB" w:rsidRPr="00DD28D1" w:rsidRDefault="001F2ADB" w:rsidP="00DD28D1">
            <w:pPr>
              <w:pStyle w:val="Tabletexte"/>
              <w:jc w:val="center"/>
              <w:rPr>
                <w:sz w:val="22"/>
                <w:szCs w:val="22"/>
                <w:lang w:bidi="ar-EG"/>
              </w:rPr>
            </w:pPr>
            <w:r w:rsidRPr="00DD28D1">
              <w:rPr>
                <w:sz w:val="22"/>
                <w:szCs w:val="22"/>
                <w:lang w:bidi="ar-EG"/>
              </w:rPr>
              <w:t>22 810 478</w:t>
            </w:r>
          </w:p>
        </w:tc>
      </w:tr>
      <w:tr w:rsidR="00DD28D1" w:rsidRPr="001F2ADB" w14:paraId="4DC4998B" w14:textId="77777777" w:rsidTr="00FB41EF">
        <w:trPr>
          <w:trHeight w:val="300"/>
          <w:jc w:val="center"/>
        </w:trPr>
        <w:tc>
          <w:tcPr>
            <w:tcW w:w="9061" w:type="dxa"/>
            <w:gridSpan w:val="4"/>
            <w:tcBorders>
              <w:top w:val="single" w:sz="4" w:space="0" w:color="auto"/>
              <w:left w:val="nil"/>
              <w:bottom w:val="nil"/>
              <w:right w:val="nil"/>
            </w:tcBorders>
            <w:shd w:val="clear" w:color="auto" w:fill="auto"/>
            <w:noWrap/>
          </w:tcPr>
          <w:p w14:paraId="27CBBAA8" w14:textId="011E8B6A" w:rsidR="00DD28D1" w:rsidRPr="00DD28D1" w:rsidRDefault="00DD28D1" w:rsidP="00DD28D1">
            <w:pPr>
              <w:pStyle w:val="Tablelegend"/>
              <w:rPr>
                <w:sz w:val="18"/>
                <w:szCs w:val="18"/>
              </w:rPr>
            </w:pPr>
            <w:r w:rsidRPr="00DD28D1">
              <w:rPr>
                <w:rFonts w:hint="cs"/>
                <w:sz w:val="18"/>
                <w:szCs w:val="18"/>
                <w:rtl/>
              </w:rPr>
              <w:t>ملاحظة: يتحمل الاتحاد تكاليف إضافية لتطوير برمجيات فضائية محددة.</w:t>
            </w:r>
          </w:p>
        </w:tc>
      </w:tr>
    </w:tbl>
    <w:p w14:paraId="4656CA5E" w14:textId="0BD71403" w:rsidR="001F2ADB" w:rsidRPr="001F2ADB" w:rsidRDefault="001F2ADB" w:rsidP="0080354B">
      <w:pPr>
        <w:spacing w:before="240"/>
        <w:rPr>
          <w:rtl/>
        </w:rPr>
      </w:pPr>
      <w:r w:rsidRPr="001F2ADB">
        <w:rPr>
          <w:lang w:bidi="ar-EG"/>
        </w:rPr>
        <w:t>6</w:t>
      </w:r>
      <w:r w:rsidRPr="001F2ADB">
        <w:rPr>
          <w:rtl/>
        </w:rPr>
        <w:tab/>
      </w:r>
      <w:r w:rsidRPr="001F2ADB">
        <w:rPr>
          <w:rFonts w:hint="cs"/>
          <w:rtl/>
        </w:rPr>
        <w:t xml:space="preserve">ولم يواجه مكتب الاتصالات الراديوية عند تنفيذه للمقرر </w:t>
      </w:r>
      <w:r w:rsidRPr="001F2ADB">
        <w:rPr>
          <w:lang w:bidi="ar-EG"/>
        </w:rPr>
        <w:t>482</w:t>
      </w:r>
      <w:r w:rsidRPr="001F2ADB">
        <w:rPr>
          <w:rFonts w:hint="cs"/>
          <w:rtl/>
        </w:rPr>
        <w:t xml:space="preserve"> أي صعوبات إدارية أو تشغيلية كبيرة، سواء داخلياً أو</w:t>
      </w:r>
      <w:r w:rsidRPr="001F2ADB">
        <w:rPr>
          <w:rFonts w:hint="eastAsia"/>
          <w:rtl/>
        </w:rPr>
        <w:t> </w:t>
      </w:r>
      <w:r w:rsidRPr="001F2ADB">
        <w:rPr>
          <w:rFonts w:hint="cs"/>
          <w:rtl/>
        </w:rPr>
        <w:t>مع الإدارات المبلِّغة عن الشبكات </w:t>
      </w:r>
      <w:proofErr w:type="spellStart"/>
      <w:r w:rsidRPr="001F2ADB">
        <w:rPr>
          <w:rFonts w:hint="cs"/>
          <w:rtl/>
        </w:rPr>
        <w:t>الساتلية</w:t>
      </w:r>
      <w:proofErr w:type="spellEnd"/>
      <w:r w:rsidRPr="001F2ADB">
        <w:rPr>
          <w:rFonts w:hint="cs"/>
          <w:rtl/>
        </w:rPr>
        <w:t>.</w:t>
      </w:r>
    </w:p>
    <w:p w14:paraId="0A9E5B95" w14:textId="77777777" w:rsidR="001F2ADB" w:rsidRPr="001F2ADB" w:rsidRDefault="001F2ADB" w:rsidP="000A00DF">
      <w:pPr>
        <w:pStyle w:val="Headingb"/>
        <w:rPr>
          <w:rtl/>
        </w:rPr>
      </w:pPr>
      <w:r w:rsidRPr="001F2ADB">
        <w:rPr>
          <w:rFonts w:hint="cs"/>
          <w:rtl/>
        </w:rPr>
        <w:t>الخلاصة</w:t>
      </w:r>
    </w:p>
    <w:p w14:paraId="60E2B8AE" w14:textId="01395E18" w:rsidR="00F50E3F" w:rsidRDefault="0080354B" w:rsidP="00FB41EF">
      <w:pPr>
        <w:rPr>
          <w:lang w:bidi="ar-EG"/>
        </w:rPr>
      </w:pPr>
      <w:r>
        <w:rPr>
          <w:lang w:bidi="ar-EG"/>
        </w:rPr>
        <w:t>7</w:t>
      </w:r>
      <w:r w:rsidR="001F2ADB" w:rsidRPr="001F2ADB">
        <w:rPr>
          <w:rtl/>
        </w:rPr>
        <w:tab/>
      </w:r>
      <w:r w:rsidR="001F2ADB" w:rsidRPr="001F2ADB">
        <w:rPr>
          <w:rFonts w:hint="cs"/>
          <w:rtl/>
        </w:rPr>
        <w:t>يُدعى</w:t>
      </w:r>
      <w:r w:rsidR="001F2ADB" w:rsidRPr="001F2ADB">
        <w:rPr>
          <w:rtl/>
        </w:rPr>
        <w:t xml:space="preserve"> المجلس</w:t>
      </w:r>
      <w:r w:rsidR="001F2ADB" w:rsidRPr="001F2ADB">
        <w:rPr>
          <w:rFonts w:hint="cs"/>
          <w:rtl/>
        </w:rPr>
        <w:t xml:space="preserve"> إلى </w:t>
      </w:r>
      <w:r w:rsidR="001F2ADB" w:rsidRPr="001F2ADB">
        <w:rPr>
          <w:rFonts w:hint="cs"/>
          <w:b/>
          <w:bCs/>
          <w:rtl/>
        </w:rPr>
        <w:t>أخذ</w:t>
      </w:r>
      <w:r w:rsidR="001F2ADB" w:rsidRPr="001F2ADB">
        <w:rPr>
          <w:b/>
          <w:bCs/>
          <w:rtl/>
        </w:rPr>
        <w:t xml:space="preserve"> </w:t>
      </w:r>
      <w:r w:rsidR="001F2ADB" w:rsidRPr="001F2ADB">
        <w:rPr>
          <w:rFonts w:hint="cs"/>
          <w:b/>
          <w:bCs/>
          <w:rtl/>
        </w:rPr>
        <w:t>ال</w:t>
      </w:r>
      <w:r w:rsidR="001F2ADB" w:rsidRPr="001F2ADB">
        <w:rPr>
          <w:b/>
          <w:bCs/>
          <w:rtl/>
        </w:rPr>
        <w:t>علم</w:t>
      </w:r>
      <w:r w:rsidR="001F2ADB" w:rsidRPr="001F2ADB">
        <w:rPr>
          <w:rtl/>
        </w:rPr>
        <w:t xml:space="preserve"> ب</w:t>
      </w:r>
      <w:r w:rsidR="001F2ADB" w:rsidRPr="001F2ADB">
        <w:rPr>
          <w:rFonts w:hint="cs"/>
          <w:rtl/>
        </w:rPr>
        <w:t xml:space="preserve">هذا </w:t>
      </w:r>
      <w:r w:rsidR="001F2ADB" w:rsidRPr="001F2ADB">
        <w:rPr>
          <w:rtl/>
        </w:rPr>
        <w:t xml:space="preserve">التقرير </w:t>
      </w:r>
      <w:r w:rsidR="001F2ADB" w:rsidRPr="001F2ADB">
        <w:rPr>
          <w:rFonts w:hint="cs"/>
          <w:rtl/>
        </w:rPr>
        <w:t xml:space="preserve">عن حالة </w:t>
      </w:r>
      <w:r w:rsidR="001F2ADB" w:rsidRPr="001F2ADB">
        <w:rPr>
          <w:rtl/>
        </w:rPr>
        <w:t>تنفيذ استرداد تكاليف معالجة بطاقات التبليغ عن الشبكات </w:t>
      </w:r>
      <w:proofErr w:type="spellStart"/>
      <w:r w:rsidR="001F2ADB" w:rsidRPr="001F2ADB">
        <w:rPr>
          <w:rtl/>
        </w:rPr>
        <w:t>الساتلية</w:t>
      </w:r>
      <w:proofErr w:type="spellEnd"/>
      <w:r w:rsidR="001F2ADB" w:rsidRPr="001F2ADB">
        <w:rPr>
          <w:rFonts w:hint="cs"/>
          <w:rtl/>
        </w:rPr>
        <w:t xml:space="preserve"> </w:t>
      </w:r>
    </w:p>
    <w:p w14:paraId="74D3E3B1"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6"/>
      <w:headerReference w:type="first" r:id="rId17"/>
      <w:footerReference w:type="first" r:id="rId18"/>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6081C" w14:textId="77777777" w:rsidR="00306A12" w:rsidRDefault="00306A12" w:rsidP="006C3242">
      <w:pPr>
        <w:spacing w:before="0" w:line="240" w:lineRule="auto"/>
      </w:pPr>
      <w:r>
        <w:separator/>
      </w:r>
    </w:p>
  </w:endnote>
  <w:endnote w:type="continuationSeparator" w:id="0">
    <w:p w14:paraId="639AB3F2" w14:textId="77777777" w:rsidR="00306A12" w:rsidRDefault="00306A1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78C4D559" w14:textId="77777777" w:rsidTr="00A67F05">
      <w:trPr>
        <w:jc w:val="center"/>
      </w:trPr>
      <w:tc>
        <w:tcPr>
          <w:tcW w:w="868" w:type="pct"/>
          <w:vAlign w:val="center"/>
        </w:tcPr>
        <w:p w14:paraId="74E6694D" w14:textId="78622004" w:rsidR="00F50E3F" w:rsidRPr="0080354B" w:rsidRDefault="0080354B" w:rsidP="00144229">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lang w:val="en-US"/>
            </w:rPr>
          </w:pPr>
          <w:r>
            <w:rPr>
              <w:rFonts w:ascii="Calibri" w:hAnsi="Calibri" w:cs="Arial"/>
              <w:noProof/>
              <w:sz w:val="18"/>
              <w:lang w:val="en-US"/>
            </w:rPr>
            <w:t>2500965</w:t>
          </w:r>
        </w:p>
      </w:tc>
      <w:tc>
        <w:tcPr>
          <w:tcW w:w="3912" w:type="pct"/>
        </w:tcPr>
        <w:p w14:paraId="4662A356" w14:textId="5A1FE85E"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1F2ADB">
            <w:rPr>
              <w:rFonts w:ascii="Calibri" w:hAnsi="Calibri" w:cs="Arial"/>
              <w:bCs/>
              <w:color w:val="7F7F7F"/>
              <w:sz w:val="18"/>
            </w:rPr>
            <w:t>16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120F787"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239B955"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0F9E27B2" w14:textId="77777777" w:rsidTr="00A67F05">
      <w:trPr>
        <w:jc w:val="center"/>
      </w:trPr>
      <w:tc>
        <w:tcPr>
          <w:tcW w:w="1013" w:type="pct"/>
          <w:vAlign w:val="center"/>
        </w:tcPr>
        <w:p w14:paraId="0A518559"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74756BBD" w14:textId="144AD60A"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1F2ADB">
            <w:rPr>
              <w:rFonts w:ascii="Calibri" w:hAnsi="Calibri" w:cs="Arial"/>
              <w:bCs/>
              <w:color w:val="7F7F7F"/>
              <w:sz w:val="18"/>
            </w:rPr>
            <w:t>16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7B32BA4"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1658778"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5296" w14:textId="77777777" w:rsidR="00306A12" w:rsidRDefault="00306A12" w:rsidP="006C3242">
      <w:pPr>
        <w:spacing w:before="0" w:line="240" w:lineRule="auto"/>
      </w:pPr>
      <w:r>
        <w:separator/>
      </w:r>
    </w:p>
  </w:footnote>
  <w:footnote w:type="continuationSeparator" w:id="0">
    <w:p w14:paraId="62C6D3CA" w14:textId="77777777" w:rsidR="00306A12" w:rsidRDefault="00306A1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99B0"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EEDB95E" wp14:editId="70ED2A01">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0442A"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557166EB" wp14:editId="7A861744">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0869967">
    <w:abstractNumId w:val="9"/>
  </w:num>
  <w:num w:numId="2" w16cid:durableId="1038434307">
    <w:abstractNumId w:val="7"/>
  </w:num>
  <w:num w:numId="3" w16cid:durableId="1120146272">
    <w:abstractNumId w:val="6"/>
  </w:num>
  <w:num w:numId="4" w16cid:durableId="740248330">
    <w:abstractNumId w:val="5"/>
  </w:num>
  <w:num w:numId="5" w16cid:durableId="1100953623">
    <w:abstractNumId w:val="4"/>
  </w:num>
  <w:num w:numId="6" w16cid:durableId="2056201521">
    <w:abstractNumId w:val="8"/>
  </w:num>
  <w:num w:numId="7" w16cid:durableId="1353342161">
    <w:abstractNumId w:val="3"/>
  </w:num>
  <w:num w:numId="8" w16cid:durableId="1087576540">
    <w:abstractNumId w:val="2"/>
  </w:num>
  <w:num w:numId="9" w16cid:durableId="2093045883">
    <w:abstractNumId w:val="1"/>
  </w:num>
  <w:num w:numId="10" w16cid:durableId="641080225">
    <w:abstractNumId w:val="0"/>
  </w:num>
  <w:num w:numId="11" w16cid:durableId="847527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94"/>
    <w:rsid w:val="0006468A"/>
    <w:rsid w:val="00090574"/>
    <w:rsid w:val="000A00DF"/>
    <w:rsid w:val="000C1C0E"/>
    <w:rsid w:val="000C548A"/>
    <w:rsid w:val="00144229"/>
    <w:rsid w:val="00176374"/>
    <w:rsid w:val="00191059"/>
    <w:rsid w:val="001B6E2B"/>
    <w:rsid w:val="001C0169"/>
    <w:rsid w:val="001C0C21"/>
    <w:rsid w:val="001D1D50"/>
    <w:rsid w:val="001D64C7"/>
    <w:rsid w:val="001D6745"/>
    <w:rsid w:val="001E446E"/>
    <w:rsid w:val="001F2ADB"/>
    <w:rsid w:val="002154EE"/>
    <w:rsid w:val="002276D2"/>
    <w:rsid w:val="0023283D"/>
    <w:rsid w:val="00254393"/>
    <w:rsid w:val="0026373E"/>
    <w:rsid w:val="00271C43"/>
    <w:rsid w:val="00287A62"/>
    <w:rsid w:val="00290728"/>
    <w:rsid w:val="002978F4"/>
    <w:rsid w:val="002B028D"/>
    <w:rsid w:val="002C3F32"/>
    <w:rsid w:val="002E6541"/>
    <w:rsid w:val="002E7094"/>
    <w:rsid w:val="00306A12"/>
    <w:rsid w:val="00334924"/>
    <w:rsid w:val="00337E1F"/>
    <w:rsid w:val="003409BC"/>
    <w:rsid w:val="00357185"/>
    <w:rsid w:val="00383829"/>
    <w:rsid w:val="00395D58"/>
    <w:rsid w:val="003F4B29"/>
    <w:rsid w:val="00404EED"/>
    <w:rsid w:val="00420F8A"/>
    <w:rsid w:val="00425439"/>
    <w:rsid w:val="0042686F"/>
    <w:rsid w:val="004317D8"/>
    <w:rsid w:val="0043260A"/>
    <w:rsid w:val="00434183"/>
    <w:rsid w:val="00435D74"/>
    <w:rsid w:val="00443869"/>
    <w:rsid w:val="00447001"/>
    <w:rsid w:val="00447F32"/>
    <w:rsid w:val="00451E81"/>
    <w:rsid w:val="00491BA9"/>
    <w:rsid w:val="00492281"/>
    <w:rsid w:val="004A4701"/>
    <w:rsid w:val="004B30F7"/>
    <w:rsid w:val="004B7334"/>
    <w:rsid w:val="004E11DC"/>
    <w:rsid w:val="00512924"/>
    <w:rsid w:val="005130DE"/>
    <w:rsid w:val="00513157"/>
    <w:rsid w:val="00525DDD"/>
    <w:rsid w:val="005409AC"/>
    <w:rsid w:val="005434E0"/>
    <w:rsid w:val="005546CF"/>
    <w:rsid w:val="0055516A"/>
    <w:rsid w:val="00580DDE"/>
    <w:rsid w:val="0058491B"/>
    <w:rsid w:val="00592EA5"/>
    <w:rsid w:val="005A3170"/>
    <w:rsid w:val="006135AF"/>
    <w:rsid w:val="00660DEA"/>
    <w:rsid w:val="00677396"/>
    <w:rsid w:val="0069200F"/>
    <w:rsid w:val="006A65CB"/>
    <w:rsid w:val="006B12E5"/>
    <w:rsid w:val="006C3242"/>
    <w:rsid w:val="006C7CC0"/>
    <w:rsid w:val="006F363C"/>
    <w:rsid w:val="006F63F7"/>
    <w:rsid w:val="007025C7"/>
    <w:rsid w:val="00706D7A"/>
    <w:rsid w:val="00722F0D"/>
    <w:rsid w:val="0074420E"/>
    <w:rsid w:val="007648A6"/>
    <w:rsid w:val="0077110E"/>
    <w:rsid w:val="00783E26"/>
    <w:rsid w:val="007A6684"/>
    <w:rsid w:val="007B0AA0"/>
    <w:rsid w:val="007C3BC7"/>
    <w:rsid w:val="007C3BCD"/>
    <w:rsid w:val="007D4ACF"/>
    <w:rsid w:val="007F0787"/>
    <w:rsid w:val="0080354B"/>
    <w:rsid w:val="00810B7B"/>
    <w:rsid w:val="0082358A"/>
    <w:rsid w:val="008235CD"/>
    <w:rsid w:val="008247DE"/>
    <w:rsid w:val="00825323"/>
    <w:rsid w:val="008339C0"/>
    <w:rsid w:val="00840B10"/>
    <w:rsid w:val="008513CB"/>
    <w:rsid w:val="00874E9F"/>
    <w:rsid w:val="008A7F84"/>
    <w:rsid w:val="008B77E8"/>
    <w:rsid w:val="0091702E"/>
    <w:rsid w:val="00923B0C"/>
    <w:rsid w:val="00924F46"/>
    <w:rsid w:val="00935AAC"/>
    <w:rsid w:val="0094021C"/>
    <w:rsid w:val="00952F86"/>
    <w:rsid w:val="00982B28"/>
    <w:rsid w:val="009D313F"/>
    <w:rsid w:val="00A47A5A"/>
    <w:rsid w:val="00A63AE6"/>
    <w:rsid w:val="00A6683B"/>
    <w:rsid w:val="00A67F05"/>
    <w:rsid w:val="00A97F94"/>
    <w:rsid w:val="00AA7EA2"/>
    <w:rsid w:val="00B03099"/>
    <w:rsid w:val="00B05BC8"/>
    <w:rsid w:val="00B30F5E"/>
    <w:rsid w:val="00B35FC5"/>
    <w:rsid w:val="00B64B47"/>
    <w:rsid w:val="00B95654"/>
    <w:rsid w:val="00B97F32"/>
    <w:rsid w:val="00BA04B2"/>
    <w:rsid w:val="00C002DE"/>
    <w:rsid w:val="00C0561C"/>
    <w:rsid w:val="00C0602B"/>
    <w:rsid w:val="00C224DA"/>
    <w:rsid w:val="00C4315E"/>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56A3E"/>
    <w:rsid w:val="00D62F8A"/>
    <w:rsid w:val="00D63735"/>
    <w:rsid w:val="00D77D0F"/>
    <w:rsid w:val="00DA1CF0"/>
    <w:rsid w:val="00DC1E02"/>
    <w:rsid w:val="00DC24B4"/>
    <w:rsid w:val="00DC5FB0"/>
    <w:rsid w:val="00DD28D1"/>
    <w:rsid w:val="00DF16DC"/>
    <w:rsid w:val="00E130FD"/>
    <w:rsid w:val="00E403FC"/>
    <w:rsid w:val="00E45211"/>
    <w:rsid w:val="00E473C5"/>
    <w:rsid w:val="00E61BE8"/>
    <w:rsid w:val="00E83FF1"/>
    <w:rsid w:val="00E92863"/>
    <w:rsid w:val="00E979B2"/>
    <w:rsid w:val="00EB796D"/>
    <w:rsid w:val="00F058DC"/>
    <w:rsid w:val="00F13CC4"/>
    <w:rsid w:val="00F24FC4"/>
    <w:rsid w:val="00F2676C"/>
    <w:rsid w:val="00F363FE"/>
    <w:rsid w:val="00F50E3F"/>
    <w:rsid w:val="00F6692B"/>
    <w:rsid w:val="00F84366"/>
    <w:rsid w:val="00F85089"/>
    <w:rsid w:val="00F974C5"/>
    <w:rsid w:val="00FA3763"/>
    <w:rsid w:val="00FA6F46"/>
    <w:rsid w:val="00FB41EF"/>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013DD"/>
  <w15:chartTrackingRefBased/>
  <w15:docId w15:val="{7893942D-7096-43B4-81F1-D75B97A6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660DEA"/>
    <w:rPr>
      <w:rFonts w:ascii="Calibri" w:eastAsia="Calibri" w:hAnsi="Calibri" w:cs="Arial"/>
      <w:noProof/>
      <w:color w:val="5B9BD5" w:themeColor="accent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144229"/>
    <w:rPr>
      <w:color w:val="954F72" w:themeColor="followedHyperlink"/>
      <w:u w:val="single"/>
    </w:rPr>
  </w:style>
  <w:style w:type="paragraph" w:styleId="Revision">
    <w:name w:val="Revision"/>
    <w:hidden/>
    <w:uiPriority w:val="99"/>
    <w:semiHidden/>
    <w:rsid w:val="00395D58"/>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91-A.pdf" TargetMode="External"/><Relationship Id="rId13" Type="http://schemas.openxmlformats.org/officeDocument/2006/relationships/hyperlink" Target="https://www.itu.int/md/S24-CL-C-0135/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016/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11/en" TargetMode="External"/><Relationship Id="rId5" Type="http://schemas.openxmlformats.org/officeDocument/2006/relationships/webSettings" Target="webSettings.xml"/><Relationship Id="rId15" Type="http://schemas.openxmlformats.org/officeDocument/2006/relationships/hyperlink" Target="https://www.itu.int/md/S23-CL-C-0126/en" TargetMode="External"/><Relationship Id="rId10" Type="http://schemas.openxmlformats.org/officeDocument/2006/relationships/hyperlink" Target="https://www.itu.int/md/S24-CL-C-0135/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3-CL-C-0126/en" TargetMode="External"/><Relationship Id="rId14" Type="http://schemas.openxmlformats.org/officeDocument/2006/relationships/hyperlink" Target="https://www.itu.int/md/S25-CL-C-001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4\22\2500965%5bA%5d\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3</Pages>
  <Words>691</Words>
  <Characters>4228</Characters>
  <Application>Microsoft Office Word</Application>
  <DocSecurity>0</DocSecurity>
  <Lines>128</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International Telecommunication Union</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for the processing of satellite network filings</dc:title>
  <dc:subject>Council 2025</dc:subject>
  <cp:keywords>C2025; C25; Council-25</cp:keywords>
  <dc:description/>
  <dcterms:created xsi:type="dcterms:W3CDTF">2025-04-23T12:48:00Z</dcterms:created>
  <dcterms:modified xsi:type="dcterms:W3CDTF">2025-04-23T12:48:00Z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