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D72F49" w:rsidRPr="00186EDB" w14:paraId="7E690ADA" w14:textId="77777777" w:rsidTr="00D72F49">
        <w:trPr>
          <w:cantSplit/>
          <w:trHeight w:val="23"/>
        </w:trPr>
        <w:tc>
          <w:tcPr>
            <w:tcW w:w="3969" w:type="dxa"/>
            <w:vMerge w:val="restart"/>
            <w:tcMar>
              <w:left w:w="0" w:type="dxa"/>
            </w:tcMar>
          </w:tcPr>
          <w:p w14:paraId="013461BB" w14:textId="5B621DCA" w:rsidR="00D72F49" w:rsidRPr="00186EDB" w:rsidRDefault="00D72F49" w:rsidP="00D72F49">
            <w:pPr>
              <w:tabs>
                <w:tab w:val="left" w:pos="851"/>
              </w:tabs>
              <w:spacing w:before="0" w:line="240" w:lineRule="atLeast"/>
              <w:rPr>
                <w:b/>
              </w:rPr>
            </w:pPr>
            <w:r w:rsidRPr="00186EDB">
              <w:rPr>
                <w:b/>
              </w:rPr>
              <w:t>Point de l'ordre du jour:</w:t>
            </w:r>
            <w:r w:rsidR="005A099B" w:rsidRPr="00186EDB">
              <w:rPr>
                <w:b/>
              </w:rPr>
              <w:t xml:space="preserve"> PL 2</w:t>
            </w:r>
          </w:p>
        </w:tc>
        <w:tc>
          <w:tcPr>
            <w:tcW w:w="5245" w:type="dxa"/>
          </w:tcPr>
          <w:p w14:paraId="5195E46D" w14:textId="396F84AD" w:rsidR="00D72F49" w:rsidRPr="00186EDB" w:rsidRDefault="00D72F49" w:rsidP="00D72F49">
            <w:pPr>
              <w:tabs>
                <w:tab w:val="left" w:pos="851"/>
              </w:tabs>
              <w:spacing w:before="0" w:line="240" w:lineRule="atLeast"/>
              <w:jc w:val="right"/>
              <w:rPr>
                <w:b/>
              </w:rPr>
            </w:pPr>
            <w:r w:rsidRPr="00186EDB">
              <w:rPr>
                <w:b/>
              </w:rPr>
              <w:t>Document C2</w:t>
            </w:r>
            <w:r w:rsidR="00FC6D7D" w:rsidRPr="00186EDB">
              <w:rPr>
                <w:b/>
              </w:rPr>
              <w:t>5</w:t>
            </w:r>
            <w:r w:rsidRPr="00186EDB">
              <w:rPr>
                <w:b/>
              </w:rPr>
              <w:t>/</w:t>
            </w:r>
            <w:r w:rsidR="005A099B" w:rsidRPr="00186EDB">
              <w:rPr>
                <w:b/>
              </w:rPr>
              <w:t>15</w:t>
            </w:r>
            <w:r w:rsidRPr="00186EDB">
              <w:rPr>
                <w:b/>
              </w:rPr>
              <w:t>-F</w:t>
            </w:r>
          </w:p>
        </w:tc>
      </w:tr>
      <w:tr w:rsidR="00D72F49" w:rsidRPr="00186EDB" w14:paraId="1CD7D9E0" w14:textId="77777777" w:rsidTr="00D72F49">
        <w:trPr>
          <w:cantSplit/>
        </w:trPr>
        <w:tc>
          <w:tcPr>
            <w:tcW w:w="3969" w:type="dxa"/>
            <w:vMerge/>
          </w:tcPr>
          <w:p w14:paraId="1ED25006" w14:textId="77777777" w:rsidR="00D72F49" w:rsidRPr="00186EDB" w:rsidRDefault="00D72F49" w:rsidP="00D72F49">
            <w:pPr>
              <w:tabs>
                <w:tab w:val="left" w:pos="851"/>
              </w:tabs>
              <w:spacing w:line="240" w:lineRule="atLeast"/>
              <w:rPr>
                <w:b/>
              </w:rPr>
            </w:pPr>
          </w:p>
        </w:tc>
        <w:tc>
          <w:tcPr>
            <w:tcW w:w="5245" w:type="dxa"/>
          </w:tcPr>
          <w:p w14:paraId="0554AF5B" w14:textId="564059BE" w:rsidR="00D72F49" w:rsidRPr="00186EDB" w:rsidRDefault="003402C9" w:rsidP="00D72F49">
            <w:pPr>
              <w:tabs>
                <w:tab w:val="left" w:pos="851"/>
              </w:tabs>
              <w:spacing w:before="0"/>
              <w:jc w:val="right"/>
              <w:rPr>
                <w:b/>
              </w:rPr>
            </w:pPr>
            <w:r w:rsidRPr="00186EDB">
              <w:rPr>
                <w:b/>
              </w:rPr>
              <w:t>17 avril 2025</w:t>
            </w:r>
          </w:p>
        </w:tc>
      </w:tr>
      <w:tr w:rsidR="00D72F49" w:rsidRPr="00186EDB" w14:paraId="4B7558E6" w14:textId="77777777" w:rsidTr="00D72F49">
        <w:trPr>
          <w:cantSplit/>
          <w:trHeight w:val="23"/>
        </w:trPr>
        <w:tc>
          <w:tcPr>
            <w:tcW w:w="3969" w:type="dxa"/>
            <w:vMerge/>
          </w:tcPr>
          <w:p w14:paraId="1FCE3979" w14:textId="77777777" w:rsidR="00D72F49" w:rsidRPr="00186EDB" w:rsidRDefault="00D72F49" w:rsidP="00D72F49">
            <w:pPr>
              <w:tabs>
                <w:tab w:val="left" w:pos="851"/>
              </w:tabs>
              <w:spacing w:line="240" w:lineRule="atLeast"/>
              <w:rPr>
                <w:b/>
              </w:rPr>
            </w:pPr>
          </w:p>
        </w:tc>
        <w:tc>
          <w:tcPr>
            <w:tcW w:w="5245" w:type="dxa"/>
          </w:tcPr>
          <w:p w14:paraId="457F9B4B" w14:textId="77777777" w:rsidR="00D72F49" w:rsidRPr="00186EDB" w:rsidRDefault="00D72F49" w:rsidP="00D72F49">
            <w:pPr>
              <w:tabs>
                <w:tab w:val="left" w:pos="851"/>
              </w:tabs>
              <w:spacing w:before="0" w:line="240" w:lineRule="atLeast"/>
              <w:jc w:val="right"/>
              <w:rPr>
                <w:b/>
              </w:rPr>
            </w:pPr>
            <w:r w:rsidRPr="00186EDB">
              <w:rPr>
                <w:b/>
              </w:rPr>
              <w:t>Original: anglais</w:t>
            </w:r>
          </w:p>
        </w:tc>
      </w:tr>
      <w:tr w:rsidR="00D72F49" w:rsidRPr="00186EDB" w14:paraId="6EE4466A" w14:textId="77777777" w:rsidTr="00D72F49">
        <w:trPr>
          <w:cantSplit/>
          <w:trHeight w:val="23"/>
        </w:trPr>
        <w:tc>
          <w:tcPr>
            <w:tcW w:w="3969" w:type="dxa"/>
          </w:tcPr>
          <w:p w14:paraId="6FE0426C" w14:textId="77777777" w:rsidR="00D72F49" w:rsidRPr="00186EDB" w:rsidRDefault="00D72F49" w:rsidP="00D72F49">
            <w:pPr>
              <w:tabs>
                <w:tab w:val="left" w:pos="851"/>
              </w:tabs>
              <w:spacing w:line="240" w:lineRule="atLeast"/>
              <w:rPr>
                <w:b/>
              </w:rPr>
            </w:pPr>
          </w:p>
        </w:tc>
        <w:tc>
          <w:tcPr>
            <w:tcW w:w="5245" w:type="dxa"/>
          </w:tcPr>
          <w:p w14:paraId="09612565" w14:textId="77777777" w:rsidR="00D72F49" w:rsidRPr="00186EDB" w:rsidRDefault="00D72F49" w:rsidP="00D72F49">
            <w:pPr>
              <w:tabs>
                <w:tab w:val="left" w:pos="851"/>
              </w:tabs>
              <w:spacing w:before="0" w:line="240" w:lineRule="atLeast"/>
              <w:jc w:val="right"/>
              <w:rPr>
                <w:b/>
              </w:rPr>
            </w:pPr>
          </w:p>
        </w:tc>
      </w:tr>
      <w:tr w:rsidR="00D72F49" w:rsidRPr="00186EDB" w14:paraId="10F009BB" w14:textId="77777777" w:rsidTr="00D72F49">
        <w:trPr>
          <w:cantSplit/>
        </w:trPr>
        <w:tc>
          <w:tcPr>
            <w:tcW w:w="9214" w:type="dxa"/>
            <w:gridSpan w:val="2"/>
            <w:tcMar>
              <w:left w:w="0" w:type="dxa"/>
            </w:tcMar>
          </w:tcPr>
          <w:p w14:paraId="466E4F96" w14:textId="3D948F94" w:rsidR="00D72F49" w:rsidRPr="00186EDB" w:rsidRDefault="005A099B" w:rsidP="00D72F49">
            <w:pPr>
              <w:pStyle w:val="Source"/>
              <w:jc w:val="left"/>
              <w:rPr>
                <w:sz w:val="34"/>
                <w:szCs w:val="34"/>
              </w:rPr>
            </w:pPr>
            <w:r w:rsidRPr="00186EDB">
              <w:rPr>
                <w:rFonts w:cstheme="minorHAnsi"/>
                <w:color w:val="000000"/>
                <w:sz w:val="34"/>
                <w:szCs w:val="34"/>
              </w:rPr>
              <w:t xml:space="preserve">Rapport du </w:t>
            </w:r>
            <w:r w:rsidR="003402C9" w:rsidRPr="00186EDB">
              <w:rPr>
                <w:rFonts w:cstheme="minorHAnsi"/>
                <w:color w:val="000000"/>
                <w:sz w:val="34"/>
                <w:szCs w:val="34"/>
              </w:rPr>
              <w:t>p</w:t>
            </w:r>
            <w:r w:rsidRPr="00186EDB">
              <w:rPr>
                <w:rFonts w:cstheme="minorHAnsi"/>
                <w:color w:val="000000"/>
                <w:sz w:val="34"/>
                <w:szCs w:val="34"/>
              </w:rPr>
              <w:t>résident du Groupe de travail du Conseil sur la protection en ligne des enfants (GTC-COP)</w:t>
            </w:r>
          </w:p>
        </w:tc>
      </w:tr>
      <w:tr w:rsidR="00D72F49" w:rsidRPr="00186EDB" w14:paraId="41EC4C1D" w14:textId="77777777" w:rsidTr="00D72F49">
        <w:trPr>
          <w:cantSplit/>
        </w:trPr>
        <w:tc>
          <w:tcPr>
            <w:tcW w:w="9214" w:type="dxa"/>
            <w:gridSpan w:val="2"/>
            <w:tcMar>
              <w:left w:w="0" w:type="dxa"/>
            </w:tcMar>
          </w:tcPr>
          <w:p w14:paraId="63B21569" w14:textId="6173039D" w:rsidR="00D72F49" w:rsidRPr="00186EDB" w:rsidRDefault="002A3D92" w:rsidP="00D72F49">
            <w:pPr>
              <w:pStyle w:val="Subtitle"/>
              <w:framePr w:hSpace="0" w:wrap="auto" w:hAnchor="text" w:xAlign="left" w:yAlign="inline"/>
              <w:rPr>
                <w:sz w:val="32"/>
                <w:szCs w:val="32"/>
                <w:lang w:val="fr-FR"/>
              </w:rPr>
            </w:pPr>
            <w:r w:rsidRPr="00186EDB">
              <w:rPr>
                <w:rFonts w:cstheme="minorHAnsi"/>
                <w:sz w:val="32"/>
                <w:szCs w:val="32"/>
                <w:lang w:val="fr-FR"/>
              </w:rPr>
              <w:t>RÉSULTATS DES VINGT ET UNIÈME ET VINGT-DEUXIÈME RÉUNIONS DU GROUPE DE TRAVAIL DU CONSEIL SUR LA PROTECTION EN LIGNE DES ENFANTS</w:t>
            </w:r>
          </w:p>
        </w:tc>
      </w:tr>
      <w:tr w:rsidR="00D72F49" w:rsidRPr="00186EDB" w14:paraId="3EB8221B" w14:textId="77777777" w:rsidTr="00D72F49">
        <w:trPr>
          <w:cantSplit/>
        </w:trPr>
        <w:tc>
          <w:tcPr>
            <w:tcW w:w="9214" w:type="dxa"/>
            <w:gridSpan w:val="2"/>
            <w:tcBorders>
              <w:top w:val="single" w:sz="4" w:space="0" w:color="auto"/>
              <w:bottom w:val="single" w:sz="4" w:space="0" w:color="auto"/>
            </w:tcBorders>
            <w:tcMar>
              <w:left w:w="0" w:type="dxa"/>
            </w:tcMar>
          </w:tcPr>
          <w:p w14:paraId="2130CEC0" w14:textId="77777777" w:rsidR="00D72F49" w:rsidRPr="00186EDB" w:rsidRDefault="00F37FE5" w:rsidP="00D72F49">
            <w:pPr>
              <w:spacing w:before="160"/>
              <w:rPr>
                <w:b/>
                <w:bCs/>
                <w:sz w:val="26"/>
                <w:szCs w:val="26"/>
              </w:rPr>
            </w:pPr>
            <w:r w:rsidRPr="00186EDB">
              <w:rPr>
                <w:b/>
                <w:bCs/>
                <w:sz w:val="26"/>
                <w:szCs w:val="26"/>
              </w:rPr>
              <w:t>Objet</w:t>
            </w:r>
          </w:p>
          <w:p w14:paraId="687869E6" w14:textId="4EB50103" w:rsidR="00D72F49" w:rsidRPr="00186EDB" w:rsidRDefault="005A099B" w:rsidP="002A3D92">
            <w:pPr>
              <w:jc w:val="both"/>
            </w:pPr>
            <w:r w:rsidRPr="00186EDB">
              <w:t>Le présent rapport récapitule les principaux résultats des vingt</w:t>
            </w:r>
            <w:r w:rsidR="005459FC" w:rsidRPr="00186EDB">
              <w:t xml:space="preserve"> </w:t>
            </w:r>
            <w:r w:rsidRPr="00186EDB">
              <w:t>et</w:t>
            </w:r>
            <w:r w:rsidR="005459FC" w:rsidRPr="00186EDB">
              <w:t xml:space="preserve"> </w:t>
            </w:r>
            <w:r w:rsidRPr="00186EDB">
              <w:t>unième et vingt</w:t>
            </w:r>
            <w:r w:rsidR="005459FC" w:rsidRPr="00186EDB">
              <w:noBreakHyphen/>
            </w:r>
            <w:r w:rsidRPr="00186EDB">
              <w:t>deuxième</w:t>
            </w:r>
            <w:r w:rsidR="005459FC" w:rsidRPr="00186EDB">
              <w:t> </w:t>
            </w:r>
            <w:r w:rsidRPr="00186EDB">
              <w:t>réunions du Groupe de travail du Conseil sur la protection en ligne des enfants (GTC-COP), tenues du 30 septembre au 1er octobre 2024 et les 12 et 13 février 2025 respectivement, conformément à la Résolution 1306 du Conseil de l'UIT (2010) et à la</w:t>
            </w:r>
            <w:r w:rsidR="009246DE" w:rsidRPr="00186EDB">
              <w:t> </w:t>
            </w:r>
            <w:r w:rsidRPr="00186EDB">
              <w:t>Résolution</w:t>
            </w:r>
            <w:r w:rsidR="00590619" w:rsidRPr="00186EDB">
              <w:t> </w:t>
            </w:r>
            <w:r w:rsidRPr="00186EDB">
              <w:t>179</w:t>
            </w:r>
            <w:r w:rsidR="00590619" w:rsidRPr="00186EDB">
              <w:t> </w:t>
            </w:r>
            <w:r w:rsidRPr="00186EDB">
              <w:t>(Rév.</w:t>
            </w:r>
            <w:r w:rsidR="00590619" w:rsidRPr="00186EDB">
              <w:t> </w:t>
            </w:r>
            <w:r w:rsidRPr="00186EDB">
              <w:t>Bucarest, 2022) de la Conférence de plénipotentiaires</w:t>
            </w:r>
            <w:r w:rsidR="009246DE" w:rsidRPr="00186EDB">
              <w:t>.</w:t>
            </w:r>
          </w:p>
          <w:p w14:paraId="6E8387B3" w14:textId="77777777" w:rsidR="00D72F49" w:rsidRPr="00186EDB" w:rsidRDefault="00D72F49" w:rsidP="00D72F49">
            <w:pPr>
              <w:spacing w:before="160"/>
              <w:rPr>
                <w:b/>
                <w:bCs/>
                <w:sz w:val="26"/>
                <w:szCs w:val="26"/>
              </w:rPr>
            </w:pPr>
            <w:r w:rsidRPr="00186EDB">
              <w:rPr>
                <w:b/>
                <w:bCs/>
                <w:sz w:val="26"/>
                <w:szCs w:val="26"/>
              </w:rPr>
              <w:t>Suite à donner par le Conseil</w:t>
            </w:r>
          </w:p>
          <w:p w14:paraId="46F9D47D" w14:textId="2405C6A5" w:rsidR="00D72F49" w:rsidRPr="00186EDB" w:rsidRDefault="009246DE" w:rsidP="00D72F49">
            <w:r w:rsidRPr="00186EDB">
              <w:t xml:space="preserve">Le Conseil de l'UIT est invité à </w:t>
            </w:r>
            <w:r w:rsidRPr="00186EDB">
              <w:rPr>
                <w:b/>
                <w:bCs/>
              </w:rPr>
              <w:t>prendre note</w:t>
            </w:r>
            <w:r w:rsidRPr="00186EDB">
              <w:t xml:space="preserve"> du présent rapport.</w:t>
            </w:r>
          </w:p>
          <w:p w14:paraId="79599FFD" w14:textId="77777777" w:rsidR="00D72F49" w:rsidRPr="00186EDB" w:rsidRDefault="00D72F49" w:rsidP="00D72F49">
            <w:pPr>
              <w:spacing w:before="160"/>
              <w:rPr>
                <w:b/>
                <w:bCs/>
                <w:sz w:val="26"/>
                <w:szCs w:val="26"/>
              </w:rPr>
            </w:pPr>
            <w:r w:rsidRPr="00186EDB">
              <w:rPr>
                <w:b/>
                <w:bCs/>
                <w:sz w:val="26"/>
                <w:szCs w:val="26"/>
              </w:rPr>
              <w:t xml:space="preserve">Lien(s) pertinent(s) avec le </w:t>
            </w:r>
            <w:r w:rsidR="00F37FE5" w:rsidRPr="00186EDB">
              <w:rPr>
                <w:b/>
                <w:bCs/>
                <w:sz w:val="26"/>
                <w:szCs w:val="26"/>
              </w:rPr>
              <w:t>p</w:t>
            </w:r>
            <w:r w:rsidRPr="00186EDB">
              <w:rPr>
                <w:b/>
                <w:bCs/>
                <w:sz w:val="26"/>
                <w:szCs w:val="26"/>
              </w:rPr>
              <w:t>lan stratégique</w:t>
            </w:r>
          </w:p>
          <w:p w14:paraId="7E5BB247" w14:textId="01574C3F" w:rsidR="00D72F49" w:rsidRPr="00186EDB" w:rsidRDefault="00401F0A" w:rsidP="002A3D92">
            <w:pPr>
              <w:jc w:val="both"/>
            </w:pPr>
            <w:r w:rsidRPr="00186EDB">
              <w:t>Plate-forme fédératrice, applications numériques, élaboration de cadres politiques et de supports d'information.</w:t>
            </w:r>
          </w:p>
          <w:p w14:paraId="1ED35A49" w14:textId="77777777" w:rsidR="00E95647" w:rsidRPr="00186EDB" w:rsidRDefault="00D72F49" w:rsidP="00D72F49">
            <w:pPr>
              <w:spacing w:before="160"/>
              <w:rPr>
                <w:b/>
                <w:bCs/>
                <w:sz w:val="26"/>
                <w:szCs w:val="26"/>
              </w:rPr>
            </w:pPr>
            <w:r w:rsidRPr="00186EDB">
              <w:rPr>
                <w:b/>
                <w:bCs/>
                <w:sz w:val="26"/>
                <w:szCs w:val="26"/>
              </w:rPr>
              <w:t>Incidences financières</w:t>
            </w:r>
          </w:p>
          <w:p w14:paraId="2D3B6C2D" w14:textId="7463570B" w:rsidR="00D72F49" w:rsidRPr="00186EDB" w:rsidRDefault="00401F0A" w:rsidP="00882919">
            <w:pPr>
              <w:rPr>
                <w:szCs w:val="24"/>
              </w:rPr>
            </w:pPr>
            <w:r w:rsidRPr="00186EDB">
              <w:rPr>
                <w:szCs w:val="24"/>
              </w:rPr>
              <w:t>Les coûts sont couverts par le budget alloué pour la période 2024-2025</w:t>
            </w:r>
            <w:r w:rsidR="00F20BF2" w:rsidRPr="00186EDB">
              <w:rPr>
                <w:szCs w:val="24"/>
              </w:rPr>
              <w:t>.</w:t>
            </w:r>
          </w:p>
          <w:p w14:paraId="5BB1C307" w14:textId="77777777" w:rsidR="00D72F49" w:rsidRPr="00186EDB" w:rsidRDefault="00D72F49" w:rsidP="00D72F49">
            <w:pPr>
              <w:spacing w:before="160"/>
              <w:rPr>
                <w:caps/>
                <w:sz w:val="22"/>
              </w:rPr>
            </w:pPr>
            <w:r w:rsidRPr="00186EDB">
              <w:rPr>
                <w:sz w:val="22"/>
              </w:rPr>
              <w:t>__________________</w:t>
            </w:r>
          </w:p>
          <w:p w14:paraId="4D93C4B9" w14:textId="77777777" w:rsidR="00D72F49" w:rsidRPr="00186EDB" w:rsidRDefault="00D72F49" w:rsidP="00D72F49">
            <w:pPr>
              <w:spacing w:before="160"/>
              <w:rPr>
                <w:b/>
                <w:bCs/>
                <w:sz w:val="26"/>
                <w:szCs w:val="26"/>
              </w:rPr>
            </w:pPr>
            <w:r w:rsidRPr="00186EDB">
              <w:rPr>
                <w:b/>
                <w:bCs/>
                <w:sz w:val="26"/>
                <w:szCs w:val="26"/>
              </w:rPr>
              <w:t>Références</w:t>
            </w:r>
          </w:p>
          <w:p w14:paraId="38EEDD9A" w14:textId="440540C4" w:rsidR="00D72F49" w:rsidRPr="00186EDB" w:rsidRDefault="00401F0A" w:rsidP="00D72F49">
            <w:pPr>
              <w:spacing w:after="160"/>
              <w:rPr>
                <w:i/>
                <w:iCs/>
                <w:sz w:val="22"/>
                <w:szCs w:val="22"/>
              </w:rPr>
            </w:pPr>
            <w:hyperlink r:id="rId6" w:history="1">
              <w:r w:rsidRPr="00186EDB">
                <w:rPr>
                  <w:rStyle w:val="Hyperlink"/>
                  <w:rFonts w:eastAsia="Times New Roman" w:cs="Times New Roman"/>
                  <w:i/>
                  <w:iCs/>
                  <w:sz w:val="22"/>
                </w:rPr>
                <w:t>Résolution 179</w:t>
              </w:r>
            </w:hyperlink>
            <w:r w:rsidRPr="00186EDB">
              <w:rPr>
                <w:i/>
                <w:iCs/>
                <w:sz w:val="22"/>
                <w:szCs w:val="22"/>
              </w:rPr>
              <w:t xml:space="preserve"> (Rév. Bucarest. 2022) de la Conférence de plénipotentiaires; </w:t>
            </w:r>
            <w:hyperlink r:id="rId7" w:anchor="/fr" w:history="1">
              <w:r w:rsidRPr="00186EDB">
                <w:rPr>
                  <w:rStyle w:val="Hyperlink"/>
                  <w:rFonts w:eastAsia="Times New Roman" w:cs="Times New Roman"/>
                  <w:i/>
                  <w:iCs/>
                  <w:sz w:val="22"/>
                </w:rPr>
                <w:t>site web du GTC-COP</w:t>
              </w:r>
            </w:hyperlink>
            <w:r w:rsidRPr="00186EDB">
              <w:rPr>
                <w:i/>
                <w:iCs/>
                <w:sz w:val="22"/>
                <w:szCs w:val="22"/>
              </w:rPr>
              <w:t xml:space="preserve">; rapports des </w:t>
            </w:r>
            <w:hyperlink r:id="rId8" w:history="1">
              <w:r w:rsidR="0085673F" w:rsidRPr="00186EDB">
                <w:rPr>
                  <w:rStyle w:val="Hyperlink"/>
                  <w:rFonts w:eastAsia="Times New Roman" w:cs="Times New Roman"/>
                  <w:i/>
                  <w:iCs/>
                  <w:sz w:val="22"/>
                </w:rPr>
                <w:t>vingt et unième</w:t>
              </w:r>
            </w:hyperlink>
            <w:r w:rsidRPr="00186EDB">
              <w:rPr>
                <w:i/>
                <w:iCs/>
                <w:sz w:val="22"/>
                <w:szCs w:val="22"/>
              </w:rPr>
              <w:t xml:space="preserve"> et </w:t>
            </w:r>
            <w:hyperlink r:id="rId9" w:history="1">
              <w:r w:rsidRPr="00186EDB">
                <w:rPr>
                  <w:rStyle w:val="Hyperlink"/>
                  <w:rFonts w:eastAsia="Times New Roman" w:cs="Times New Roman"/>
                  <w:i/>
                  <w:iCs/>
                  <w:sz w:val="22"/>
                </w:rPr>
                <w:t>vingt-deuxième</w:t>
              </w:r>
            </w:hyperlink>
            <w:r w:rsidRPr="00186EDB">
              <w:rPr>
                <w:i/>
                <w:iCs/>
                <w:sz w:val="22"/>
                <w:szCs w:val="22"/>
              </w:rPr>
              <w:t xml:space="preserve"> réunions.</w:t>
            </w:r>
          </w:p>
        </w:tc>
      </w:tr>
    </w:tbl>
    <w:p w14:paraId="7DF6CBDD" w14:textId="77777777" w:rsidR="00A51849" w:rsidRPr="00186EDB" w:rsidRDefault="00A51849">
      <w:pPr>
        <w:tabs>
          <w:tab w:val="clear" w:pos="567"/>
          <w:tab w:val="clear" w:pos="1134"/>
          <w:tab w:val="clear" w:pos="1701"/>
          <w:tab w:val="clear" w:pos="2268"/>
          <w:tab w:val="clear" w:pos="2835"/>
        </w:tabs>
        <w:overflowPunct/>
        <w:autoSpaceDE/>
        <w:autoSpaceDN/>
        <w:adjustRightInd/>
        <w:spacing w:before="0"/>
        <w:textAlignment w:val="auto"/>
      </w:pPr>
      <w:r w:rsidRPr="00186EDB">
        <w:br w:type="page"/>
      </w:r>
    </w:p>
    <w:p w14:paraId="1A26F50E" w14:textId="77777777" w:rsidR="00590619" w:rsidRPr="00186EDB" w:rsidRDefault="00590619" w:rsidP="00590619">
      <w:pPr>
        <w:pStyle w:val="Heading1"/>
      </w:pPr>
      <w:r w:rsidRPr="00186EDB">
        <w:lastRenderedPageBreak/>
        <w:t>1</w:t>
      </w:r>
      <w:r w:rsidRPr="00186EDB">
        <w:tab/>
        <w:t>Introduction</w:t>
      </w:r>
    </w:p>
    <w:p w14:paraId="6393CF5C" w14:textId="33281242" w:rsidR="00590619" w:rsidRPr="00186EDB" w:rsidRDefault="00590619" w:rsidP="002A3D92">
      <w:pPr>
        <w:jc w:val="both"/>
      </w:pPr>
      <w:r w:rsidRPr="00186EDB">
        <w:t>1.1</w:t>
      </w:r>
      <w:r w:rsidRPr="00186EDB">
        <w:tab/>
        <w:t xml:space="preserve">Le </w:t>
      </w:r>
      <w:hyperlink r:id="rId10" w:anchor="/fr" w:history="1">
        <w:r w:rsidRPr="00186EDB">
          <w:rPr>
            <w:rStyle w:val="Hyperlink"/>
            <w:rFonts w:eastAsia="Times New Roman" w:cs="Times New Roman"/>
            <w:szCs w:val="20"/>
          </w:rPr>
          <w:t>Groupe de travail du Conseil de l'UIT sur la protection en ligne des enfants</w:t>
        </w:r>
      </w:hyperlink>
      <w:r w:rsidRPr="00186EDB">
        <w:t xml:space="preserve"> (GTC</w:t>
      </w:r>
      <w:r w:rsidRPr="00186EDB">
        <w:noBreakHyphen/>
        <w:t xml:space="preserve">COP) a été établi par le Conseil dans sa </w:t>
      </w:r>
      <w:hyperlink r:id="rId11" w:history="1">
        <w:r w:rsidRPr="00186EDB">
          <w:rPr>
            <w:rStyle w:val="Hyperlink"/>
            <w:rFonts w:eastAsia="Times New Roman" w:cs="Times New Roman"/>
            <w:szCs w:val="20"/>
          </w:rPr>
          <w:t>Résolution 1306</w:t>
        </w:r>
      </w:hyperlink>
      <w:r w:rsidRPr="00186EDB">
        <w:t xml:space="preserve"> (Mod. 2015), conformément à la </w:t>
      </w:r>
      <w:hyperlink r:id="rId12" w:history="1">
        <w:r w:rsidRPr="00186EDB">
          <w:rPr>
            <w:rStyle w:val="Hyperlink"/>
            <w:rFonts w:eastAsia="Times New Roman" w:cs="Times New Roman"/>
            <w:szCs w:val="20"/>
          </w:rPr>
          <w:t>Résolution 179</w:t>
        </w:r>
      </w:hyperlink>
      <w:r w:rsidRPr="00186EDB">
        <w:t xml:space="preserve"> (Rév. Bucarest. 2022) de la Conférence de plénipotentiaires. Il est ouvert à la participation de toutes les parties prenantes pertinentes.</w:t>
      </w:r>
    </w:p>
    <w:p w14:paraId="3886DBE2" w14:textId="2E462F9C" w:rsidR="00590619" w:rsidRPr="00186EDB" w:rsidRDefault="00590619" w:rsidP="002A3D92">
      <w:pPr>
        <w:jc w:val="both"/>
      </w:pPr>
      <w:r w:rsidRPr="00186EDB">
        <w:t>1.2</w:t>
      </w:r>
      <w:r w:rsidRPr="00186EDB">
        <w:tab/>
        <w:t>Le mandat du GTC-</w:t>
      </w:r>
      <w:r w:rsidR="00374FFF">
        <w:t>COP</w:t>
      </w:r>
      <w:r w:rsidRPr="00186EDB">
        <w:t xml:space="preserve"> est défini dans l'</w:t>
      </w:r>
      <w:hyperlink r:id="rId13" w:history="1">
        <w:r w:rsidRPr="00186EDB">
          <w:rPr>
            <w:rStyle w:val="Hyperlink"/>
            <w:rFonts w:eastAsia="Times New Roman" w:cs="Times New Roman"/>
            <w:szCs w:val="20"/>
          </w:rPr>
          <w:t>Annexe 1 du rapport de la première</w:t>
        </w:r>
        <w:r w:rsidR="0085673F" w:rsidRPr="00186EDB">
          <w:rPr>
            <w:rStyle w:val="Hyperlink"/>
            <w:rFonts w:eastAsia="Times New Roman" w:cs="Times New Roman"/>
            <w:szCs w:val="20"/>
          </w:rPr>
          <w:t> </w:t>
        </w:r>
        <w:r w:rsidRPr="00186EDB">
          <w:rPr>
            <w:rStyle w:val="Hyperlink"/>
            <w:rFonts w:eastAsia="Times New Roman" w:cs="Times New Roman"/>
            <w:szCs w:val="20"/>
          </w:rPr>
          <w:t>réunion</w:t>
        </w:r>
      </w:hyperlink>
      <w:r w:rsidRPr="00186EDB">
        <w:t>.</w:t>
      </w:r>
    </w:p>
    <w:p w14:paraId="28AE3050" w14:textId="1AC9AD11" w:rsidR="00590619" w:rsidRPr="00186EDB" w:rsidRDefault="00590619" w:rsidP="002A3D92">
      <w:pPr>
        <w:jc w:val="both"/>
      </w:pPr>
      <w:r w:rsidRPr="00186EDB">
        <w:t>1.3</w:t>
      </w:r>
      <w:r w:rsidRPr="00186EDB">
        <w:tab/>
        <w:t>Par sa Résolution 179 (Rév. Bucarest, 2022), la Conférence de plénipotentiaires a chargé le Conseil:</w:t>
      </w:r>
    </w:p>
    <w:p w14:paraId="3D804448" w14:textId="460137D2" w:rsidR="00590619" w:rsidRPr="00186EDB" w:rsidRDefault="00590619" w:rsidP="002A3D92">
      <w:pPr>
        <w:pStyle w:val="enumlev1"/>
        <w:jc w:val="both"/>
      </w:pPr>
      <w:r w:rsidRPr="00186EDB">
        <w:t>–</w:t>
      </w:r>
      <w:r w:rsidRPr="00186EDB">
        <w:tab/>
        <w:t>de poursuivre les travaux menés par le GTC-COP, afin de faciliter la fourniture par les membres de contributions et d'orientations sur le rôle de l'UIT dans la protection en ligne des enfants et de servir de cadre de discussion et d'échange de bonnes pratiques;</w:t>
      </w:r>
    </w:p>
    <w:p w14:paraId="7CC8421D" w14:textId="37C75A8B" w:rsidR="00590619" w:rsidRPr="00186EDB" w:rsidRDefault="00590619" w:rsidP="002A3D92">
      <w:pPr>
        <w:pStyle w:val="enumlev1"/>
        <w:jc w:val="both"/>
      </w:pPr>
      <w:r w:rsidRPr="00186EDB">
        <w:t>–</w:t>
      </w:r>
      <w:r w:rsidRPr="00186EDB">
        <w:tab/>
        <w:t>de faciliter la contribution et la participation de toutes les parties prenantes concernées aux travaux du GTC-COP, afin d'assurer la plus grande collaboration possible lors de la mise en œuvre de cette Résolution;</w:t>
      </w:r>
    </w:p>
    <w:p w14:paraId="299D4913" w14:textId="4EF56614" w:rsidR="00590619" w:rsidRPr="00186EDB" w:rsidRDefault="00590619" w:rsidP="002A3D92">
      <w:pPr>
        <w:pStyle w:val="enumlev1"/>
        <w:jc w:val="both"/>
      </w:pPr>
      <w:r w:rsidRPr="00186EDB">
        <w:t>–</w:t>
      </w:r>
      <w:r w:rsidRPr="00186EDB">
        <w:tab/>
        <w:t>d'encourager le GTC-COP à établir une liaison avec le Groupe de travail du Conseil sur les questions de politiques publiques internationales relatives à l'Internet (GTC</w:t>
      </w:r>
      <w:r w:rsidR="007A66E1" w:rsidRPr="00186EDB">
        <w:noBreakHyphen/>
      </w:r>
      <w:r w:rsidRPr="00186EDB">
        <w:t>Internet), s'il y a lieu, afin de contribuer d'une manière avantageuse pour tous à la réalisation des travaux sur les questions pertinentes qui relèvent du mandat de ces groupes de travail du Conseil;</w:t>
      </w:r>
    </w:p>
    <w:p w14:paraId="12091F2B" w14:textId="111C8337" w:rsidR="00590619" w:rsidRPr="00186EDB" w:rsidRDefault="00590619" w:rsidP="002A3D92">
      <w:pPr>
        <w:pStyle w:val="enumlev1"/>
        <w:jc w:val="both"/>
      </w:pPr>
      <w:r w:rsidRPr="00186EDB">
        <w:t>–</w:t>
      </w:r>
      <w:r w:rsidRPr="00186EDB">
        <w:tab/>
        <w:t>d'encourager le GTC-COP à établir une liaison avec la Commission d'études (CE) 2 de l'UIT-D, en faisant connaître les résultats des réunions de ce groupe, afin de favoriser les discussions sur les Questions à l'étude pertinentes;</w:t>
      </w:r>
    </w:p>
    <w:p w14:paraId="02FD701E" w14:textId="0DE2998B" w:rsidR="00590619" w:rsidRPr="00186EDB" w:rsidRDefault="00590619" w:rsidP="002A3D92">
      <w:pPr>
        <w:pStyle w:val="enumlev1"/>
        <w:jc w:val="both"/>
      </w:pPr>
      <w:r w:rsidRPr="00186EDB">
        <w:t>–</w:t>
      </w:r>
      <w:r w:rsidRPr="00186EDB">
        <w:tab/>
        <w:t>d'encourager le GTC-COP à mener des consultations en ligne avec les jeunes, afin de recueillir leurs vues et leur avis sur les différentes questions liées à la protection en ligne des enfants, avant et pendant sa réunion;</w:t>
      </w:r>
    </w:p>
    <w:p w14:paraId="4FC2EAEA" w14:textId="77777777" w:rsidR="00590619" w:rsidRPr="00186EDB" w:rsidRDefault="00590619" w:rsidP="002A3D92">
      <w:pPr>
        <w:pStyle w:val="enumlev1"/>
        <w:jc w:val="both"/>
      </w:pPr>
      <w:r w:rsidRPr="00186EDB">
        <w:t>–</w:t>
      </w:r>
      <w:r w:rsidRPr="00186EDB">
        <w:tab/>
        <w:t>de continuer de rendre accessibles au public, sans protection par des mots de passe, les documents finals relatifs aux questions de protection en ligne des enfants.</w:t>
      </w:r>
    </w:p>
    <w:p w14:paraId="03BAFFCF" w14:textId="77777777" w:rsidR="00590619" w:rsidRPr="00186EDB" w:rsidRDefault="00590619" w:rsidP="007A66E1">
      <w:pPr>
        <w:pStyle w:val="Heading1"/>
      </w:pPr>
      <w:r w:rsidRPr="00186EDB">
        <w:t>2</w:t>
      </w:r>
      <w:r w:rsidRPr="00186EDB">
        <w:tab/>
        <w:t>Activités du GTC-COP</w:t>
      </w:r>
    </w:p>
    <w:p w14:paraId="37F468CA" w14:textId="5F787C80" w:rsidR="00590619" w:rsidRPr="00186EDB" w:rsidRDefault="00590619" w:rsidP="002A3D92">
      <w:pPr>
        <w:jc w:val="both"/>
      </w:pPr>
      <w:r w:rsidRPr="00186EDB">
        <w:t xml:space="preserve">On trouvera ci-après le rapport du </w:t>
      </w:r>
      <w:r w:rsidR="003402C9" w:rsidRPr="00186EDB">
        <w:t>p</w:t>
      </w:r>
      <w:r w:rsidRPr="00186EDB">
        <w:t>résident concernant les deux réunions du GTC-COP, tenues depuis la session de juin 2024 du Conseil.</w:t>
      </w:r>
    </w:p>
    <w:p w14:paraId="3664D6E3" w14:textId="77777777" w:rsidR="00590619" w:rsidRPr="00186EDB" w:rsidRDefault="00590619" w:rsidP="002A3D92">
      <w:pPr>
        <w:jc w:val="both"/>
      </w:pPr>
      <w:r w:rsidRPr="00186EDB">
        <w:t>Au cours de cette période, les travaux du groupe étaient axés sur:</w:t>
      </w:r>
    </w:p>
    <w:p w14:paraId="5594A392" w14:textId="6BA03F57" w:rsidR="00590619" w:rsidRPr="00186EDB" w:rsidRDefault="00590619" w:rsidP="002A3D92">
      <w:pPr>
        <w:pStyle w:val="enumlev1"/>
        <w:jc w:val="both"/>
      </w:pPr>
      <w:r w:rsidRPr="00186EDB">
        <w:t>a)</w:t>
      </w:r>
      <w:r w:rsidRPr="00186EDB">
        <w:tab/>
      </w:r>
      <w:r w:rsidR="0085673F" w:rsidRPr="00186EDB">
        <w:t>l</w:t>
      </w:r>
      <w:r w:rsidRPr="00186EDB">
        <w:t>a présentation des résultats du Programme mondial pour la protection en ligne des enfants et de l'</w:t>
      </w:r>
      <w:r w:rsidR="00186EDB" w:rsidRPr="00186EDB">
        <w:t>I</w:t>
      </w:r>
      <w:r w:rsidRPr="00186EDB">
        <w:t>nitiative pour la protection en ligne des enfants dans son ensemble</w:t>
      </w:r>
      <w:r w:rsidR="0085673F" w:rsidRPr="00186EDB">
        <w:t>;</w:t>
      </w:r>
    </w:p>
    <w:p w14:paraId="42540177" w14:textId="79406ED2" w:rsidR="00590619" w:rsidRPr="00186EDB" w:rsidRDefault="00590619" w:rsidP="002A3D92">
      <w:pPr>
        <w:pStyle w:val="enumlev1"/>
        <w:jc w:val="both"/>
      </w:pPr>
      <w:r w:rsidRPr="00186EDB">
        <w:t>b)</w:t>
      </w:r>
      <w:r w:rsidRPr="00186EDB">
        <w:tab/>
      </w:r>
      <w:r w:rsidR="0085673F" w:rsidRPr="00186EDB">
        <w:t>l</w:t>
      </w:r>
      <w:r w:rsidRPr="00186EDB">
        <w:t>a prise en compte de la voix des enfants dans les activités visant à assurer leur protection en ligne</w:t>
      </w:r>
      <w:r w:rsidR="00186EDB" w:rsidRPr="00186EDB">
        <w:t>;</w:t>
      </w:r>
    </w:p>
    <w:p w14:paraId="2BC8FB83" w14:textId="69EF5496" w:rsidR="00590619" w:rsidRPr="00186EDB" w:rsidRDefault="00590619" w:rsidP="002A3D92">
      <w:pPr>
        <w:pStyle w:val="enumlev1"/>
        <w:jc w:val="both"/>
      </w:pPr>
      <w:r w:rsidRPr="00186EDB">
        <w:t>c)</w:t>
      </w:r>
      <w:r w:rsidRPr="00186EDB">
        <w:tab/>
      </w:r>
      <w:r w:rsidR="0085673F" w:rsidRPr="00186EDB">
        <w:t>l</w:t>
      </w:r>
      <w:r w:rsidRPr="00186EDB">
        <w:t>a mobilisation accrue des entreprises du secteur des TIC travaillant dans ce domaine pour garantir un dialogue et l'échange de connaissances</w:t>
      </w:r>
      <w:r w:rsidR="00186EDB" w:rsidRPr="00186EDB">
        <w:t>;</w:t>
      </w:r>
    </w:p>
    <w:p w14:paraId="58659CCA" w14:textId="421A069C" w:rsidR="00590619" w:rsidRPr="00186EDB" w:rsidRDefault="00590619" w:rsidP="002A3D92">
      <w:pPr>
        <w:pStyle w:val="enumlev1"/>
        <w:jc w:val="both"/>
      </w:pPr>
      <w:r w:rsidRPr="00186EDB">
        <w:t>d)</w:t>
      </w:r>
      <w:r w:rsidRPr="00186EDB">
        <w:tab/>
      </w:r>
      <w:r w:rsidR="0085673F" w:rsidRPr="00186EDB">
        <w:t>l</w:t>
      </w:r>
      <w:r w:rsidRPr="00186EDB">
        <w:t>a promotion des travaux et de l'action menés par les membres et les partenaires de l'UIT</w:t>
      </w:r>
      <w:r w:rsidR="00186EDB" w:rsidRPr="00186EDB">
        <w:t>;</w:t>
      </w:r>
    </w:p>
    <w:p w14:paraId="4D3CE72B" w14:textId="54411C6B" w:rsidR="00590619" w:rsidRPr="00186EDB" w:rsidRDefault="00590619" w:rsidP="002A3D92">
      <w:pPr>
        <w:pStyle w:val="enumlev1"/>
      </w:pPr>
      <w:r w:rsidRPr="00186EDB">
        <w:t>e)</w:t>
      </w:r>
      <w:r w:rsidRPr="00186EDB">
        <w:tab/>
      </w:r>
      <w:r w:rsidR="0085673F" w:rsidRPr="00186EDB">
        <w:t>l</w:t>
      </w:r>
      <w:r w:rsidRPr="00186EDB">
        <w:t>'échange de bonnes pratiques et les possibilités de collaboration.</w:t>
      </w:r>
    </w:p>
    <w:p w14:paraId="347D4B24" w14:textId="658E6486" w:rsidR="00590619" w:rsidRPr="00186EDB" w:rsidRDefault="00590619" w:rsidP="002A3D92">
      <w:pPr>
        <w:jc w:val="both"/>
      </w:pPr>
      <w:r w:rsidRPr="00186EDB">
        <w:lastRenderedPageBreak/>
        <w:t>2.1</w:t>
      </w:r>
      <w:r w:rsidRPr="00186EDB">
        <w:tab/>
        <w:t>Le GTC-COP a tenu ses vingt</w:t>
      </w:r>
      <w:r w:rsidR="00186EDB" w:rsidRPr="00186EDB">
        <w:t xml:space="preserve"> </w:t>
      </w:r>
      <w:r w:rsidRPr="00186EDB">
        <w:t>et</w:t>
      </w:r>
      <w:r w:rsidR="00186EDB" w:rsidRPr="00186EDB">
        <w:t xml:space="preserve"> </w:t>
      </w:r>
      <w:r w:rsidRPr="00186EDB">
        <w:t>unième et vingt-deuxième réunions respectivement du</w:t>
      </w:r>
      <w:r w:rsidR="007A66E1" w:rsidRPr="00186EDB">
        <w:t> </w:t>
      </w:r>
      <w:r w:rsidRPr="00186EDB">
        <w:t>30 septembre au 1er octobre 2024 et les 12 et 13 février 2025 au siège de l'UIT à Genève</w:t>
      </w:r>
      <w:r w:rsidR="003402C9" w:rsidRPr="00186EDB">
        <w:t> </w:t>
      </w:r>
      <w:r w:rsidRPr="00186EDB">
        <w:t>(Suisse), sous forme hybride.</w:t>
      </w:r>
    </w:p>
    <w:p w14:paraId="45B87AD8" w14:textId="251FE268" w:rsidR="00590619" w:rsidRPr="00186EDB" w:rsidRDefault="00590619" w:rsidP="002A3D92">
      <w:pPr>
        <w:jc w:val="both"/>
      </w:pPr>
      <w:r w:rsidRPr="00186EDB">
        <w:t>2.2</w:t>
      </w:r>
      <w:r w:rsidRPr="00186EDB">
        <w:tab/>
        <w:t xml:space="preserve">Les rapports des </w:t>
      </w:r>
      <w:hyperlink r:id="rId14" w:history="1">
        <w:r w:rsidRPr="00186EDB">
          <w:rPr>
            <w:rStyle w:val="Hyperlink"/>
            <w:rFonts w:eastAsia="Times New Roman" w:cs="Times New Roman"/>
            <w:szCs w:val="20"/>
          </w:rPr>
          <w:t>vingt</w:t>
        </w:r>
        <w:r w:rsidR="00186EDB" w:rsidRPr="00186EDB">
          <w:rPr>
            <w:rStyle w:val="Hyperlink"/>
            <w:rFonts w:eastAsia="Times New Roman" w:cs="Times New Roman"/>
            <w:szCs w:val="20"/>
          </w:rPr>
          <w:t xml:space="preserve"> </w:t>
        </w:r>
        <w:r w:rsidRPr="00186EDB">
          <w:rPr>
            <w:rStyle w:val="Hyperlink"/>
            <w:rFonts w:eastAsia="Times New Roman" w:cs="Times New Roman"/>
            <w:szCs w:val="20"/>
          </w:rPr>
          <w:t>et</w:t>
        </w:r>
        <w:r w:rsidR="00186EDB" w:rsidRPr="00186EDB">
          <w:rPr>
            <w:rStyle w:val="Hyperlink"/>
            <w:rFonts w:eastAsia="Times New Roman" w:cs="Times New Roman"/>
            <w:szCs w:val="20"/>
          </w:rPr>
          <w:t xml:space="preserve"> </w:t>
        </w:r>
        <w:r w:rsidRPr="00186EDB">
          <w:rPr>
            <w:rStyle w:val="Hyperlink"/>
            <w:rFonts w:eastAsia="Times New Roman" w:cs="Times New Roman"/>
            <w:szCs w:val="20"/>
          </w:rPr>
          <w:t>unième</w:t>
        </w:r>
      </w:hyperlink>
      <w:r w:rsidRPr="00186EDB">
        <w:t xml:space="preserve"> et </w:t>
      </w:r>
      <w:hyperlink r:id="rId15" w:history="1">
        <w:r w:rsidRPr="00186EDB">
          <w:rPr>
            <w:rStyle w:val="Hyperlink"/>
            <w:rFonts w:eastAsia="Times New Roman" w:cs="Times New Roman"/>
            <w:szCs w:val="20"/>
          </w:rPr>
          <w:t>vingt-deuxième</w:t>
        </w:r>
      </w:hyperlink>
      <w:r w:rsidRPr="00186EDB">
        <w:t xml:space="preserve"> réunions ont été communiqués par le </w:t>
      </w:r>
      <w:r w:rsidR="007A66E1" w:rsidRPr="00186EDB">
        <w:t>p</w:t>
      </w:r>
      <w:r w:rsidRPr="00186EDB">
        <w:t xml:space="preserve">résident et la </w:t>
      </w:r>
      <w:r w:rsidR="007A66E1" w:rsidRPr="00186EDB">
        <w:t>v</w:t>
      </w:r>
      <w:r w:rsidRPr="00186EDB">
        <w:t>ice-</w:t>
      </w:r>
      <w:r w:rsidR="007A66E1" w:rsidRPr="00186EDB">
        <w:t>p</w:t>
      </w:r>
      <w:r w:rsidRPr="00186EDB">
        <w:t>résidente.</w:t>
      </w:r>
    </w:p>
    <w:p w14:paraId="514D9758" w14:textId="7240FD87" w:rsidR="00590619" w:rsidRPr="00186EDB" w:rsidRDefault="00590619" w:rsidP="002A3D92">
      <w:pPr>
        <w:jc w:val="both"/>
      </w:pPr>
      <w:r w:rsidRPr="00186EDB">
        <w:t>2.3</w:t>
      </w:r>
      <w:r w:rsidRPr="00186EDB">
        <w:tab/>
        <w:t>Les 129 participants à la vingt</w:t>
      </w:r>
      <w:r w:rsidR="00186EDB" w:rsidRPr="00186EDB">
        <w:t xml:space="preserve"> </w:t>
      </w:r>
      <w:r w:rsidRPr="00186EDB">
        <w:t>et</w:t>
      </w:r>
      <w:r w:rsidR="00186EDB" w:rsidRPr="00186EDB">
        <w:t xml:space="preserve"> </w:t>
      </w:r>
      <w:r w:rsidRPr="00186EDB">
        <w:t xml:space="preserve">unième réunion du Groupe ont examiné les contributions et les documents d'information reçus. Les discussions ont porté sur le renforcement de la coopération multi-parties prenantes, de la participation des enfants et de la coordination avec les commissions d'études de l'UIT. En outre, une </w:t>
      </w:r>
      <w:hyperlink r:id="rId16" w:history="1">
        <w:r w:rsidRPr="00186EDB">
          <w:rPr>
            <w:rStyle w:val="Hyperlink"/>
            <w:rFonts w:eastAsia="Times New Roman" w:cs="Times New Roman"/>
            <w:szCs w:val="20"/>
          </w:rPr>
          <w:t>note de liaison</w:t>
        </w:r>
      </w:hyperlink>
      <w:r w:rsidRPr="00186EDB">
        <w:t xml:space="preserve"> envoyée par le groupe de la Commission d'études 2 de l'UIT-D s'occupant de la Question 3/2 et une </w:t>
      </w:r>
      <w:hyperlink r:id="rId17" w:history="1">
        <w:r w:rsidRPr="00186EDB">
          <w:rPr>
            <w:rStyle w:val="Hyperlink"/>
            <w:rFonts w:eastAsia="Times New Roman" w:cs="Times New Roman"/>
            <w:szCs w:val="20"/>
          </w:rPr>
          <w:t>note de liaison</w:t>
        </w:r>
      </w:hyperlink>
      <w:r w:rsidRPr="00186EDB">
        <w:t xml:space="preserve"> envoyée par la CE 17 témoignent de la contribution apportée par le</w:t>
      </w:r>
      <w:r w:rsidR="007A66E1" w:rsidRPr="00186EDB">
        <w:t> </w:t>
      </w:r>
      <w:r w:rsidRPr="00186EDB">
        <w:t>GTC-COP et des progrès accomplis en vue combler les lacunes concernant les normes techniques pour la protection en ligne des enfants.</w:t>
      </w:r>
    </w:p>
    <w:p w14:paraId="28B3F3DF" w14:textId="6862966B" w:rsidR="00590619" w:rsidRPr="00186EDB" w:rsidRDefault="00590619" w:rsidP="002A3D92">
      <w:pPr>
        <w:jc w:val="both"/>
      </w:pPr>
      <w:r w:rsidRPr="00186EDB">
        <w:t xml:space="preserve">Le </w:t>
      </w:r>
      <w:r w:rsidR="007A66E1" w:rsidRPr="00186EDB">
        <w:t>p</w:t>
      </w:r>
      <w:r w:rsidRPr="00186EDB">
        <w:t>résident a souligné l'importance de la mobilisation des entreprises, des contributions des enfants et des jeunes et de la mise en commun des ressources des membres.</w:t>
      </w:r>
    </w:p>
    <w:p w14:paraId="1A9F70E1" w14:textId="77777777" w:rsidR="00590619" w:rsidRPr="00186EDB" w:rsidRDefault="00590619" w:rsidP="002A3D92">
      <w:pPr>
        <w:jc w:val="both"/>
      </w:pPr>
      <w:r w:rsidRPr="00186EDB">
        <w:t>2.4</w:t>
      </w:r>
      <w:r w:rsidRPr="00186EDB">
        <w:tab/>
        <w:t>Les principaux résultats de la réunion sont les suivants:</w:t>
      </w:r>
    </w:p>
    <w:p w14:paraId="71BA2A6C" w14:textId="55B20E1E" w:rsidR="00590619" w:rsidRPr="00186EDB" w:rsidRDefault="00590619" w:rsidP="002A3D92">
      <w:pPr>
        <w:pStyle w:val="enumlev1"/>
        <w:jc w:val="both"/>
      </w:pPr>
      <w:r w:rsidRPr="00186EDB">
        <w:t>–</w:t>
      </w:r>
      <w:r w:rsidRPr="00186EDB">
        <w:tab/>
        <w:t xml:space="preserve">Le </w:t>
      </w:r>
      <w:r w:rsidR="00C660D2" w:rsidRPr="00186EDB">
        <w:t>p</w:t>
      </w:r>
      <w:r w:rsidRPr="00186EDB">
        <w:t xml:space="preserve">résident a salué la contribution des jeunes aux travaux menés par l'UIT sur la protection en ligne des enfants et a remercié chaleureusement le </w:t>
      </w:r>
      <w:r w:rsidR="00C660D2" w:rsidRPr="00186EDB">
        <w:t>s</w:t>
      </w:r>
      <w:r w:rsidRPr="00186EDB">
        <w:t>ecrétariat d'y</w:t>
      </w:r>
      <w:r w:rsidR="00186EDB" w:rsidRPr="00186EDB">
        <w:t> </w:t>
      </w:r>
      <w:r w:rsidRPr="00186EDB">
        <w:t xml:space="preserve">associer les enfants. Il a invité le </w:t>
      </w:r>
      <w:r w:rsidR="00C660D2" w:rsidRPr="00186EDB">
        <w:t>s</w:t>
      </w:r>
      <w:r w:rsidRPr="00186EDB">
        <w:t>ecrétariat à transmettre les observations des enfants sur les lignes d'appel d'urgence aux organisations de parents concernées et au Groupe d'experts sur l'Indice mondial de cybersécurité (GCI) afin qu'il en soit tenu compte dans les questions relatives à la protection en ligne des enfants. Il a en outre encouragé les membres à tenir compte des contributions des enfants dans les programmes connexes.</w:t>
      </w:r>
    </w:p>
    <w:p w14:paraId="0DFA6467" w14:textId="6E5FBDFC" w:rsidR="00590619" w:rsidRPr="00186EDB" w:rsidRDefault="00590619" w:rsidP="002A3D92">
      <w:pPr>
        <w:pStyle w:val="enumlev1"/>
        <w:jc w:val="both"/>
      </w:pPr>
      <w:r w:rsidRPr="00186EDB">
        <w:t>–</w:t>
      </w:r>
      <w:r w:rsidRPr="00186EDB">
        <w:tab/>
        <w:t xml:space="preserve">Les participants ont décidé que le dialogue avec les entreprises du secteur des TIC s'inscrira dans un cadre moins formel placé sous l'égide du BDT, avec l'organisation de tables rondes du secteur des TIC destinées à renforcer la mobilisation. Le </w:t>
      </w:r>
      <w:r w:rsidR="00C660D2" w:rsidRPr="00186EDB">
        <w:t>s</w:t>
      </w:r>
      <w:r w:rsidRPr="00186EDB">
        <w:t>ecrétariat a présenté une proposition en la matière à la réunion suivante.</w:t>
      </w:r>
    </w:p>
    <w:p w14:paraId="59EA7DF0" w14:textId="317B47EA" w:rsidR="00590619" w:rsidRPr="00186EDB" w:rsidRDefault="00590619" w:rsidP="002A3D92">
      <w:pPr>
        <w:pStyle w:val="enumlev1"/>
        <w:jc w:val="both"/>
      </w:pPr>
      <w:r w:rsidRPr="00186EDB">
        <w:t>–</w:t>
      </w:r>
      <w:r w:rsidRPr="00186EDB">
        <w:tab/>
        <w:t>Il a en outre été décidé de tenir une base complète rassemblant toutes les contributions et tous les documents d'information partagés par les membres sur le site</w:t>
      </w:r>
      <w:r w:rsidR="00186EDB" w:rsidRPr="00186EDB">
        <w:t> </w:t>
      </w:r>
      <w:r w:rsidRPr="00186EDB">
        <w:t>web de l'UIT consacré à la protection en ligne des enfants, accessible sans mot de passe.</w:t>
      </w:r>
    </w:p>
    <w:p w14:paraId="13EE34B6" w14:textId="77777777" w:rsidR="00590619" w:rsidRPr="00186EDB" w:rsidRDefault="00590619" w:rsidP="002A3D92">
      <w:pPr>
        <w:pStyle w:val="enumlev1"/>
        <w:jc w:val="both"/>
      </w:pPr>
      <w:r w:rsidRPr="00186EDB">
        <w:t>–</w:t>
      </w:r>
      <w:r w:rsidRPr="00186EDB">
        <w:tab/>
        <w:t>Les participants ont décidé de transmettre les résultats de cette réunion du GTC-COP et de celle prévue en janvier 2025 au groupe de la Commission d'études 2 de l'UIT-D s'occupant de la Question 3/2 pour examen.</w:t>
      </w:r>
    </w:p>
    <w:p w14:paraId="3468D966" w14:textId="1D49A62E" w:rsidR="00590619" w:rsidRPr="00186EDB" w:rsidRDefault="00590619" w:rsidP="002A3D92">
      <w:pPr>
        <w:jc w:val="both"/>
      </w:pPr>
      <w:r w:rsidRPr="00186EDB">
        <w:t>2.5</w:t>
      </w:r>
      <w:r w:rsidRPr="00186EDB">
        <w:tab/>
        <w:t>Les 191 participants à la vingt-deuxième réunion du GTC-COP ont examiné les contribution et documents d'information reçus. Les principaux sujets concernaient les préoccupations liées à la mauvaise utilisation des téléphones mobiles dans les écoles et les solutions techniques pour gérer l'utilisation de l'Internet et des temps d'écran excessifs chez les enfants, telles que le cryptage de bout en bout et les kits pratiques de vérification de l'âge.</w:t>
      </w:r>
      <w:r w:rsidR="003402C9" w:rsidRPr="00186EDB">
        <w:t xml:space="preserve"> </w:t>
      </w:r>
      <w:r w:rsidRPr="00186EDB">
        <w:t>En outre, les participants ont réaffirmé l'importance de la mobilisation multi-parties prenantes dans l'action menée en faveur de la protection en ligne des enfants, soulignant la nécessité d'associer les entreprises à la définition des questions examinées lors des réunions et aux initiatives en général.</w:t>
      </w:r>
    </w:p>
    <w:p w14:paraId="3568E922" w14:textId="77777777" w:rsidR="00590619" w:rsidRPr="00186EDB" w:rsidRDefault="00590619" w:rsidP="002A3D92">
      <w:pPr>
        <w:keepNext/>
      </w:pPr>
      <w:r w:rsidRPr="00186EDB">
        <w:lastRenderedPageBreak/>
        <w:t>2.6</w:t>
      </w:r>
      <w:r w:rsidRPr="00186EDB">
        <w:tab/>
        <w:t>Les principaux résultats de la réunion sont les suivants:</w:t>
      </w:r>
    </w:p>
    <w:p w14:paraId="14C49758" w14:textId="52609F57" w:rsidR="00590619" w:rsidRPr="00186EDB" w:rsidRDefault="00590619" w:rsidP="002A3D92">
      <w:pPr>
        <w:pStyle w:val="enumlev1"/>
        <w:jc w:val="both"/>
      </w:pPr>
      <w:r w:rsidRPr="00186EDB">
        <w:t>–</w:t>
      </w:r>
      <w:r w:rsidRPr="00186EDB">
        <w:tab/>
        <w:t xml:space="preserve">Les participants ont salué l'initiative prise par le </w:t>
      </w:r>
      <w:r w:rsidR="00C660D2" w:rsidRPr="00186EDB">
        <w:t>s</w:t>
      </w:r>
      <w:r w:rsidRPr="00186EDB">
        <w:t>ecrétariat de publier, sur son site web dédié, toutes les ressources présentées lors des réunions du GTC-COP.</w:t>
      </w:r>
    </w:p>
    <w:p w14:paraId="54EEC437" w14:textId="618299BF" w:rsidR="00590619" w:rsidRPr="00186EDB" w:rsidRDefault="00590619" w:rsidP="002A3D92">
      <w:pPr>
        <w:pStyle w:val="enumlev1"/>
        <w:jc w:val="both"/>
      </w:pPr>
      <w:r w:rsidRPr="00186EDB">
        <w:t>–</w:t>
      </w:r>
      <w:r w:rsidRPr="00186EDB">
        <w:tab/>
        <w:t xml:space="preserve">Les participants ont souscrit à la proposition de série de manifestations "ITU Industry Connect: Quarterly Intersectoral Discussions on Child Online Protection" (Connecter les entreprises et l'UIT: discussions intersectorielles trimestrielles sur la protection en ligne des enfants) et ont félicité le BDT pour cette initiative. Le </w:t>
      </w:r>
      <w:r w:rsidR="00C660D2" w:rsidRPr="00186EDB">
        <w:t>s</w:t>
      </w:r>
      <w:r w:rsidRPr="00186EDB">
        <w:t xml:space="preserve">ecrétariat a confirmé qu'il serait possible de s'inscrire à la manifestation via le site web de l'UIT consacrée à la protection en ligne des enfants. En outre, le </w:t>
      </w:r>
      <w:r w:rsidR="00C660D2" w:rsidRPr="00186EDB">
        <w:t>s</w:t>
      </w:r>
      <w:r w:rsidRPr="00186EDB">
        <w:t>ecrétariat a été invité à mettre à jour la Note de synthèse compte tenu des observations reçues, notamment en intégrant des références à la Résolution 179 (Rév. Bucarest, 2022) de la Conférence de plénipotentiaires et à la Résolution 67 (Rév. Kigali, 2022) de la CMDT, à la mobilisation des enfants, à l'accessibilité en langue des signes et à la participation régionale. Les modifications demandées seront intégrées en conséquence.</w:t>
      </w:r>
    </w:p>
    <w:p w14:paraId="66EA4320" w14:textId="77777777" w:rsidR="00590619" w:rsidRPr="00186EDB" w:rsidRDefault="00590619" w:rsidP="002A3D92">
      <w:pPr>
        <w:pStyle w:val="enumlev1"/>
        <w:jc w:val="both"/>
      </w:pPr>
      <w:r w:rsidRPr="00186EDB">
        <w:t>–</w:t>
      </w:r>
      <w:r w:rsidRPr="00186EDB">
        <w:tab/>
        <w:t>Les participants ont réaffirmé l'importance de la mobilisation multi-parties prenantes dans l'action menée en faveur de la protection en ligne des enfants, soulignant la nécessité d'associer les entreprises à la définition des questions examinées lors des réunions et aux initiatives menées dans ce domaine en général.</w:t>
      </w:r>
    </w:p>
    <w:p w14:paraId="62FBB5F3" w14:textId="441E17F6" w:rsidR="006A11AE" w:rsidRPr="00186EDB" w:rsidRDefault="00590619" w:rsidP="002A3D92">
      <w:pPr>
        <w:pStyle w:val="enumlev1"/>
        <w:jc w:val="both"/>
      </w:pPr>
      <w:r w:rsidRPr="00186EDB">
        <w:t>–</w:t>
      </w:r>
      <w:r w:rsidRPr="00186EDB">
        <w:tab/>
        <w:t>Les participants ont fait savoir qu'ils espéraient que le rapport présentant une analyse des lacunes élaborés par le Groupe de travail par correspondance sur la protection en ligne des enfants (CG-COP) serait examiné à la prochaine réunion en octobre 2025. Le co-coordonnateur du Groupe a confirmé que le rapport est en cours de mise à jour. Il sera examiné dans le cadre de la Commission d'études 17 en avril 2025, avant d'être présenté à la prochaine réunion du GTC-COP.</w:t>
      </w:r>
    </w:p>
    <w:p w14:paraId="4F25A74C" w14:textId="51534D85" w:rsidR="00C660D2" w:rsidRPr="00186EDB" w:rsidRDefault="00C660D2" w:rsidP="006524F3">
      <w:pPr>
        <w:pStyle w:val="enumlev1"/>
        <w:tabs>
          <w:tab w:val="clear" w:pos="567"/>
          <w:tab w:val="clear" w:pos="1134"/>
          <w:tab w:val="clear" w:pos="1701"/>
          <w:tab w:val="clear" w:pos="2268"/>
          <w:tab w:val="clear" w:pos="2835"/>
          <w:tab w:val="center" w:pos="7088"/>
        </w:tabs>
        <w:spacing w:before="840"/>
        <w:ind w:left="0" w:firstLine="0"/>
      </w:pPr>
      <w:r w:rsidRPr="00186EDB">
        <w:tab/>
        <w:t>Abdelaziz Alzarooni (Émirats arabes unis)</w:t>
      </w:r>
      <w:r w:rsidRPr="00186EDB">
        <w:br/>
      </w:r>
      <w:r w:rsidRPr="00186EDB">
        <w:tab/>
        <w:t>Président du GTC-COP</w:t>
      </w:r>
    </w:p>
    <w:p w14:paraId="7AE352A8" w14:textId="207EB21F" w:rsidR="00C660D2" w:rsidRPr="00186EDB" w:rsidRDefault="00C660D2" w:rsidP="006524F3">
      <w:pPr>
        <w:pStyle w:val="enumlev1"/>
        <w:tabs>
          <w:tab w:val="clear" w:pos="567"/>
          <w:tab w:val="clear" w:pos="1134"/>
          <w:tab w:val="clear" w:pos="1701"/>
          <w:tab w:val="clear" w:pos="2268"/>
          <w:tab w:val="clear" w:pos="2835"/>
          <w:tab w:val="center" w:pos="7088"/>
        </w:tabs>
        <w:spacing w:before="840"/>
        <w:ind w:left="0" w:firstLine="0"/>
      </w:pPr>
      <w:r w:rsidRPr="00186EDB">
        <w:tab/>
        <w:t>Stella C. Erebor (Nigéria)</w:t>
      </w:r>
      <w:r w:rsidRPr="00186EDB">
        <w:br/>
      </w:r>
      <w:r w:rsidRPr="00186EDB">
        <w:tab/>
        <w:t>Vice-Présidente du GTC-COP</w:t>
      </w:r>
    </w:p>
    <w:sectPr w:rsidR="00C660D2" w:rsidRPr="00186EDB" w:rsidSect="00D72F49">
      <w:headerReference w:type="even" r:id="rId18"/>
      <w:footerReference w:type="even" r:id="rId19"/>
      <w:footerReference w:type="default" r:id="rId20"/>
      <w:headerReference w:type="first" r:id="rId21"/>
      <w:footerReference w:type="first" r:id="rId22"/>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FE6EA" w14:textId="77777777" w:rsidR="00761E2B" w:rsidRDefault="00761E2B">
      <w:r>
        <w:separator/>
      </w:r>
    </w:p>
  </w:endnote>
  <w:endnote w:type="continuationSeparator" w:id="0">
    <w:p w14:paraId="1D78EC70" w14:textId="77777777" w:rsidR="00761E2B" w:rsidRDefault="00761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1DC8F" w14:textId="7FB5D740" w:rsidR="00732045" w:rsidRDefault="00A60501">
    <w:pPr>
      <w:pStyle w:val="Footer"/>
    </w:pPr>
    <w:fldSimple w:instr=" FILENAME \p \* MERGEFORMAT ">
      <w:r>
        <w:t>Document1</w:t>
      </w:r>
    </w:fldSimple>
    <w:r w:rsidR="00732045">
      <w:tab/>
    </w:r>
    <w:r w:rsidR="002F1B76">
      <w:fldChar w:fldCharType="begin"/>
    </w:r>
    <w:r w:rsidR="00732045">
      <w:instrText xml:space="preserve"> savedate \@ dd.MM.yy </w:instrText>
    </w:r>
    <w:r w:rsidR="002F1B76">
      <w:fldChar w:fldCharType="separate"/>
    </w:r>
    <w:r w:rsidR="002A3D92">
      <w:t>15.05.25</w:t>
    </w:r>
    <w:r w:rsidR="002F1B76">
      <w:fldChar w:fldCharType="end"/>
    </w:r>
    <w:r w:rsidR="00732045">
      <w:tab/>
    </w:r>
    <w:r w:rsidR="002F1B76">
      <w:fldChar w:fldCharType="begin"/>
    </w:r>
    <w:r w:rsidR="00732045">
      <w:instrText xml:space="preserve"> printdate \@ dd.MM.yy </w:instrText>
    </w:r>
    <w:r w:rsidR="002F1B76">
      <w:fldChar w:fldCharType="separate"/>
    </w:r>
    <w:r>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43B2F21A" w14:textId="77777777" w:rsidTr="00E31DCE">
      <w:trPr>
        <w:jc w:val="center"/>
      </w:trPr>
      <w:tc>
        <w:tcPr>
          <w:tcW w:w="1803" w:type="dxa"/>
          <w:vAlign w:val="center"/>
        </w:tcPr>
        <w:p w14:paraId="4D6EEECF" w14:textId="4A40F0D7" w:rsidR="00A51849" w:rsidRDefault="00590619" w:rsidP="00A51849">
          <w:pPr>
            <w:pStyle w:val="Header"/>
            <w:jc w:val="left"/>
            <w:rPr>
              <w:noProof/>
            </w:rPr>
          </w:pPr>
          <w:r>
            <w:rPr>
              <w:noProof/>
            </w:rPr>
            <w:t>2500693</w:t>
          </w:r>
        </w:p>
      </w:tc>
      <w:tc>
        <w:tcPr>
          <w:tcW w:w="8261" w:type="dxa"/>
        </w:tcPr>
        <w:p w14:paraId="33CC67B2" w14:textId="4519E19B"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C6D7D">
            <w:rPr>
              <w:bCs/>
            </w:rPr>
            <w:t>5</w:t>
          </w:r>
          <w:r w:rsidRPr="00623AE3">
            <w:rPr>
              <w:bCs/>
            </w:rPr>
            <w:t>/</w:t>
          </w:r>
          <w:r w:rsidR="00590619">
            <w:rPr>
              <w:bCs/>
            </w:rPr>
            <w:t>15</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42FEB280"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517893CC" w14:textId="77777777" w:rsidTr="00E31DCE">
      <w:trPr>
        <w:jc w:val="center"/>
      </w:trPr>
      <w:tc>
        <w:tcPr>
          <w:tcW w:w="1803" w:type="dxa"/>
          <w:vAlign w:val="center"/>
        </w:tcPr>
        <w:p w14:paraId="5519ACEF" w14:textId="77777777" w:rsidR="00A51849" w:rsidRPr="00FC6D7D" w:rsidRDefault="00FC6D7D" w:rsidP="00A51849">
          <w:pPr>
            <w:pStyle w:val="Header"/>
            <w:jc w:val="left"/>
            <w:rPr>
              <w:noProof/>
              <w:color w:val="0563C1"/>
            </w:rPr>
          </w:pPr>
          <w:hyperlink r:id="rId1" w:history="1">
            <w:r w:rsidRPr="00FC6D7D">
              <w:rPr>
                <w:rStyle w:val="Hyperlink"/>
              </w:rPr>
              <w:t>council.itu.int/2025</w:t>
            </w:r>
          </w:hyperlink>
        </w:p>
      </w:tc>
      <w:tc>
        <w:tcPr>
          <w:tcW w:w="8261" w:type="dxa"/>
        </w:tcPr>
        <w:p w14:paraId="550C3C77" w14:textId="084F482A"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C6D7D">
            <w:rPr>
              <w:bCs/>
            </w:rPr>
            <w:t>5</w:t>
          </w:r>
          <w:r w:rsidRPr="00623AE3">
            <w:rPr>
              <w:bCs/>
            </w:rPr>
            <w:t>/</w:t>
          </w:r>
          <w:r w:rsidR="00590619">
            <w:rPr>
              <w:bCs/>
            </w:rPr>
            <w:t>15</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19CAC889"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C56E8" w14:textId="77777777" w:rsidR="00761E2B" w:rsidRDefault="00761E2B">
      <w:r>
        <w:t>____________________</w:t>
      </w:r>
    </w:p>
  </w:footnote>
  <w:footnote w:type="continuationSeparator" w:id="0">
    <w:p w14:paraId="054244B5" w14:textId="77777777" w:rsidR="00761E2B" w:rsidRDefault="00761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7310C"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7CF1512D"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7"/>
      <w:gridCol w:w="4703"/>
    </w:tblGrid>
    <w:tr w:rsidR="00524E8D" w:rsidRPr="00784011" w14:paraId="1D405CAF" w14:textId="77777777" w:rsidTr="00D37B53">
      <w:trPr>
        <w:trHeight w:val="1104"/>
        <w:jc w:val="center"/>
      </w:trPr>
      <w:tc>
        <w:tcPr>
          <w:tcW w:w="5317" w:type="dxa"/>
          <w:vAlign w:val="center"/>
        </w:tcPr>
        <w:p w14:paraId="290E3CBE" w14:textId="77777777" w:rsidR="00524E8D" w:rsidRDefault="00524E8D" w:rsidP="00A51849">
          <w:pPr>
            <w:pStyle w:val="Header"/>
            <w:jc w:val="left"/>
            <w:rPr>
              <w:rFonts w:ascii="Arial" w:hAnsi="Arial" w:cs="Arial"/>
              <w:b/>
              <w:bCs/>
              <w:noProof/>
              <w:color w:val="009CD6"/>
              <w:sz w:val="36"/>
              <w:szCs w:val="36"/>
            </w:rPr>
          </w:pPr>
          <w:r>
            <w:rPr>
              <w:rFonts w:ascii="Arial" w:hAnsi="Arial" w:cs="Arial"/>
              <w:b/>
              <w:bCs/>
              <w:noProof/>
              <w:color w:val="009CD6"/>
              <w:sz w:val="36"/>
              <w:szCs w:val="36"/>
            </w:rPr>
            <w:drawing>
              <wp:inline distT="0" distB="0" distL="0" distR="0" wp14:anchorId="43CAA629" wp14:editId="50555BCB">
                <wp:extent cx="3239444" cy="612000"/>
                <wp:effectExtent l="0" t="0" r="0" b="0"/>
                <wp:docPr id="634183481"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183481" name="Picture 1" descr="A black background with blue text&#10;&#10;AI-generated content may be incorrect."/>
                        <pic:cNvPicPr/>
                      </pic:nvPicPr>
                      <pic:blipFill rotWithShape="1">
                        <a:blip r:embed="rId1">
                          <a:extLst>
                            <a:ext uri="{28A0092B-C50C-407E-A947-70E740481C1C}">
                              <a14:useLocalDpi xmlns:a14="http://schemas.microsoft.com/office/drawing/2010/main" val="0"/>
                            </a:ext>
                          </a:extLst>
                        </a:blip>
                        <a:srcRect r="11653"/>
                        <a:stretch/>
                      </pic:blipFill>
                      <pic:spPr bwMode="auto">
                        <a:xfrm>
                          <a:off x="0" y="0"/>
                          <a:ext cx="3239444" cy="612000"/>
                        </a:xfrm>
                        <a:prstGeom prst="rect">
                          <a:avLst/>
                        </a:prstGeom>
                        <a:ln>
                          <a:noFill/>
                        </a:ln>
                        <a:extLst>
                          <a:ext uri="{53640926-AAD7-44D8-BBD7-CCE9431645EC}">
                            <a14:shadowObscured xmlns:a14="http://schemas.microsoft.com/office/drawing/2010/main"/>
                          </a:ext>
                        </a:extLst>
                      </pic:spPr>
                    </pic:pic>
                  </a:graphicData>
                </a:graphic>
              </wp:inline>
            </w:drawing>
          </w:r>
        </w:p>
      </w:tc>
      <w:tc>
        <w:tcPr>
          <w:tcW w:w="4703" w:type="dxa"/>
        </w:tcPr>
        <w:p w14:paraId="223D1AF8" w14:textId="77777777" w:rsidR="00524E8D" w:rsidRDefault="00524E8D" w:rsidP="00A51849">
          <w:pPr>
            <w:pStyle w:val="Header"/>
            <w:jc w:val="right"/>
            <w:rPr>
              <w:rFonts w:ascii="Arial" w:hAnsi="Arial" w:cs="Arial"/>
              <w:b/>
              <w:bCs/>
              <w:color w:val="009CD6"/>
              <w:szCs w:val="18"/>
            </w:rPr>
          </w:pPr>
        </w:p>
      </w:tc>
    </w:tr>
  </w:tbl>
  <w:p w14:paraId="49306F14" w14:textId="77777777" w:rsidR="00A51849" w:rsidRDefault="00A51849">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75AF5FF9" wp14:editId="6401BC81">
              <wp:simplePos x="0" y="0"/>
              <wp:positionH relativeFrom="page">
                <wp:posOffset>12065</wp:posOffset>
              </wp:positionH>
              <wp:positionV relativeFrom="topMargin">
                <wp:posOffset>652450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0BCD74" id="Rectangle 5" o:spid="_x0000_s1026" style="position:absolute;margin-left:.95pt;margin-top:51.3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" fillcolor="#009cd5" stroked="f">
              <w10:wrap anchorx="page" anchory="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501"/>
    <w:rsid w:val="00076A2C"/>
    <w:rsid w:val="000D0D0A"/>
    <w:rsid w:val="001025F3"/>
    <w:rsid w:val="00103163"/>
    <w:rsid w:val="00106B19"/>
    <w:rsid w:val="001133EF"/>
    <w:rsid w:val="00115D93"/>
    <w:rsid w:val="001247A8"/>
    <w:rsid w:val="001370B2"/>
    <w:rsid w:val="001378C0"/>
    <w:rsid w:val="0018694A"/>
    <w:rsid w:val="00186EDB"/>
    <w:rsid w:val="001A3287"/>
    <w:rsid w:val="001A6508"/>
    <w:rsid w:val="001D4C31"/>
    <w:rsid w:val="001E4D21"/>
    <w:rsid w:val="00207CD1"/>
    <w:rsid w:val="00226657"/>
    <w:rsid w:val="002477A2"/>
    <w:rsid w:val="00263A51"/>
    <w:rsid w:val="00267E02"/>
    <w:rsid w:val="002A3D92"/>
    <w:rsid w:val="002A5D44"/>
    <w:rsid w:val="002C3F32"/>
    <w:rsid w:val="002C4E3D"/>
    <w:rsid w:val="002E0BC4"/>
    <w:rsid w:val="002F1B76"/>
    <w:rsid w:val="0033568E"/>
    <w:rsid w:val="003402C9"/>
    <w:rsid w:val="00355FF5"/>
    <w:rsid w:val="00361350"/>
    <w:rsid w:val="00374FFF"/>
    <w:rsid w:val="003C3FAE"/>
    <w:rsid w:val="00401F0A"/>
    <w:rsid w:val="004038CB"/>
    <w:rsid w:val="0040546F"/>
    <w:rsid w:val="004177BD"/>
    <w:rsid w:val="0042404A"/>
    <w:rsid w:val="0044618F"/>
    <w:rsid w:val="0046769A"/>
    <w:rsid w:val="00475FB3"/>
    <w:rsid w:val="004C37A9"/>
    <w:rsid w:val="004D1D50"/>
    <w:rsid w:val="004F259E"/>
    <w:rsid w:val="00511F1D"/>
    <w:rsid w:val="00520F36"/>
    <w:rsid w:val="00524E8D"/>
    <w:rsid w:val="00534E13"/>
    <w:rsid w:val="00540615"/>
    <w:rsid w:val="00540A6D"/>
    <w:rsid w:val="005459FC"/>
    <w:rsid w:val="00566679"/>
    <w:rsid w:val="00571EEA"/>
    <w:rsid w:val="00575417"/>
    <w:rsid w:val="005768E1"/>
    <w:rsid w:val="00590619"/>
    <w:rsid w:val="005A099B"/>
    <w:rsid w:val="005B1938"/>
    <w:rsid w:val="005C3890"/>
    <w:rsid w:val="005F7BFE"/>
    <w:rsid w:val="00600017"/>
    <w:rsid w:val="006235CA"/>
    <w:rsid w:val="0062366E"/>
    <w:rsid w:val="006524F3"/>
    <w:rsid w:val="006643AB"/>
    <w:rsid w:val="006A11AE"/>
    <w:rsid w:val="006F0A53"/>
    <w:rsid w:val="007210CD"/>
    <w:rsid w:val="00732045"/>
    <w:rsid w:val="0073275D"/>
    <w:rsid w:val="007369DB"/>
    <w:rsid w:val="00761E2B"/>
    <w:rsid w:val="0077110E"/>
    <w:rsid w:val="007956C2"/>
    <w:rsid w:val="007A187E"/>
    <w:rsid w:val="007A66E1"/>
    <w:rsid w:val="007C72C2"/>
    <w:rsid w:val="007D4436"/>
    <w:rsid w:val="007F257A"/>
    <w:rsid w:val="007F3665"/>
    <w:rsid w:val="00800037"/>
    <w:rsid w:val="0082299A"/>
    <w:rsid w:val="0083391C"/>
    <w:rsid w:val="00843AFC"/>
    <w:rsid w:val="0085673F"/>
    <w:rsid w:val="00861D73"/>
    <w:rsid w:val="00882919"/>
    <w:rsid w:val="00897553"/>
    <w:rsid w:val="008A4E87"/>
    <w:rsid w:val="008D76E6"/>
    <w:rsid w:val="0092392D"/>
    <w:rsid w:val="009246DE"/>
    <w:rsid w:val="0093234A"/>
    <w:rsid w:val="00956A78"/>
    <w:rsid w:val="0097363B"/>
    <w:rsid w:val="00973F53"/>
    <w:rsid w:val="009A6BAA"/>
    <w:rsid w:val="009C307F"/>
    <w:rsid w:val="009C353C"/>
    <w:rsid w:val="009F0FB8"/>
    <w:rsid w:val="00A2113E"/>
    <w:rsid w:val="00A23A51"/>
    <w:rsid w:val="00A24607"/>
    <w:rsid w:val="00A25CD3"/>
    <w:rsid w:val="00A51849"/>
    <w:rsid w:val="00A60501"/>
    <w:rsid w:val="00A709FE"/>
    <w:rsid w:val="00A73C60"/>
    <w:rsid w:val="00A82767"/>
    <w:rsid w:val="00A851F0"/>
    <w:rsid w:val="00AA332F"/>
    <w:rsid w:val="00AA7BBB"/>
    <w:rsid w:val="00AB64A8"/>
    <w:rsid w:val="00AC0266"/>
    <w:rsid w:val="00AD24EC"/>
    <w:rsid w:val="00B01336"/>
    <w:rsid w:val="00B27B00"/>
    <w:rsid w:val="00B309F9"/>
    <w:rsid w:val="00B32B60"/>
    <w:rsid w:val="00B51005"/>
    <w:rsid w:val="00B61619"/>
    <w:rsid w:val="00BB4545"/>
    <w:rsid w:val="00BD5873"/>
    <w:rsid w:val="00BF4B60"/>
    <w:rsid w:val="00C049D7"/>
    <w:rsid w:val="00C04BE3"/>
    <w:rsid w:val="00C25D29"/>
    <w:rsid w:val="00C27A7C"/>
    <w:rsid w:val="00C42430"/>
    <w:rsid w:val="00C42437"/>
    <w:rsid w:val="00C54B1E"/>
    <w:rsid w:val="00C660D2"/>
    <w:rsid w:val="00CA08ED"/>
    <w:rsid w:val="00CC6EAA"/>
    <w:rsid w:val="00CF183B"/>
    <w:rsid w:val="00D375CD"/>
    <w:rsid w:val="00D37B53"/>
    <w:rsid w:val="00D553A2"/>
    <w:rsid w:val="00D72F49"/>
    <w:rsid w:val="00D774D3"/>
    <w:rsid w:val="00D904E8"/>
    <w:rsid w:val="00DA08C3"/>
    <w:rsid w:val="00DB5A3E"/>
    <w:rsid w:val="00DC22AA"/>
    <w:rsid w:val="00DD1A99"/>
    <w:rsid w:val="00DF74DD"/>
    <w:rsid w:val="00E25AD0"/>
    <w:rsid w:val="00E4428F"/>
    <w:rsid w:val="00E47427"/>
    <w:rsid w:val="00E93668"/>
    <w:rsid w:val="00E95647"/>
    <w:rsid w:val="00EB6350"/>
    <w:rsid w:val="00F15B57"/>
    <w:rsid w:val="00F20BF2"/>
    <w:rsid w:val="00F35EF4"/>
    <w:rsid w:val="00F37FE5"/>
    <w:rsid w:val="00F427DB"/>
    <w:rsid w:val="00F4796E"/>
    <w:rsid w:val="00FA5EB1"/>
    <w:rsid w:val="00FA7439"/>
    <w:rsid w:val="00FC4EC0"/>
    <w:rsid w:val="00FC6D7D"/>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4D6B06"/>
  <w15:docId w15:val="{26DC1B31-B90C-4F42-9E3F-E038181F9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A709FE"/>
    <w:pPr>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4-CLCWGCOP21-C-0004/fr" TargetMode="External"/><Relationship Id="rId13" Type="http://schemas.openxmlformats.org/officeDocument/2006/relationships/hyperlink" Target="https://www.itu.int/en/council/cwg-cop/Documents/2025/Summary-1-WG-CP-revised%20draft-22-March-2010-final.doc"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eader" Target="header2.xml"/><Relationship Id="rId7" Type="http://schemas.openxmlformats.org/officeDocument/2006/relationships/hyperlink" Target="https://www.itu.int/en/council/cwg-cop/Pages/default.aspx" TargetMode="External"/><Relationship Id="rId12" Type="http://schemas.openxmlformats.org/officeDocument/2006/relationships/hyperlink" Target="https://www.itu.int/en/council/Documents/basic-texts-2023/RES-179-f.pdf" TargetMode="External"/><Relationship Id="rId17" Type="http://schemas.openxmlformats.org/officeDocument/2006/relationships/hyperlink" Target="https://www.itu.int/md/S24-CLCWGCOP21-INF-0004/fr" TargetMode="External"/><Relationship Id="rId2" Type="http://schemas.openxmlformats.org/officeDocument/2006/relationships/settings" Target="settings.xml"/><Relationship Id="rId16" Type="http://schemas.openxmlformats.org/officeDocument/2006/relationships/hyperlink" Target="https://www.itu.int/md/S24-CLCWGCOP21-INF-0001/fr"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www.itu.int/en/council/Documents/basic-texts-2023/RES-179-f.pdf" TargetMode="External"/><Relationship Id="rId11" Type="http://schemas.openxmlformats.org/officeDocument/2006/relationships/hyperlink" Target="https://www.itu.int/md/S09-CL-C-0108/fr"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itu.int/md/S25-CLCWGCOP22-C/fr" TargetMode="External"/><Relationship Id="rId23" Type="http://schemas.openxmlformats.org/officeDocument/2006/relationships/fontTable" Target="fontTable.xml"/><Relationship Id="rId10" Type="http://schemas.openxmlformats.org/officeDocument/2006/relationships/hyperlink" Target="https://www.itu.int/en/council/cwg-cop/Pages/default.aspx"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itu.int/md/S25-CLCWGCOP22-C/fr" TargetMode="External"/><Relationship Id="rId14" Type="http://schemas.openxmlformats.org/officeDocument/2006/relationships/hyperlink" Target="https://www.itu.int/md/S24-CLCWGCOP21-C-0004/fr"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PF_Council25.dotx</Template>
  <TotalTime>2</TotalTime>
  <Pages>4</Pages>
  <Words>1506</Words>
  <Characters>8033</Characters>
  <Application>Microsoft Office Word</Application>
  <DocSecurity>0</DocSecurity>
  <Lines>142</Lines>
  <Paragraphs>52</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9505</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Résultats des vingt et unième et vingt-deuxième réunions du Groupe de travail du Conseil sur la protection en ligne des enfants</dc:title>
  <dc:subject>Conseil 2025 de l'UIT</dc:subject>
  <cp:keywords>C2025, C25, Council-25</cp:keywords>
  <dc:description/>
  <cp:lastPrinted>2000-07-18T08:55:00Z</cp:lastPrinted>
  <dcterms:created xsi:type="dcterms:W3CDTF">2025-05-15T08:13:00Z</dcterms:created>
  <dcterms:modified xsi:type="dcterms:W3CDTF">2025-05-15T09:00:00Z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