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14:paraId="3D29E3E5" w14:textId="77777777" w:rsidTr="00F363FE">
        <w:tc>
          <w:tcPr>
            <w:tcW w:w="6512" w:type="dxa"/>
          </w:tcPr>
          <w:p w14:paraId="6F8463E9" w14:textId="31904CC3" w:rsidR="007B0AA0" w:rsidRPr="007B0AA0" w:rsidRDefault="00B17C30" w:rsidP="00B17C30">
            <w:pPr>
              <w:spacing w:before="60" w:after="60" w:line="260" w:lineRule="exact"/>
              <w:rPr>
                <w:b/>
                <w:bCs/>
                <w:rtl/>
                <w:lang w:bidi="ar-EG"/>
              </w:rPr>
            </w:pPr>
            <w:r w:rsidRPr="00B17C30">
              <w:rPr>
                <w:b/>
                <w:bCs/>
                <w:rtl/>
              </w:rPr>
              <w:t>بند جدول الأعمال</w:t>
            </w:r>
            <w:r w:rsidRPr="00B17C30">
              <w:rPr>
                <w:b/>
                <w:bCs/>
                <w:lang w:bidi="ar-EG"/>
              </w:rPr>
              <w:t>:</w:t>
            </w:r>
            <w:r w:rsidRPr="00B17C30">
              <w:rPr>
                <w:b/>
                <w:bCs/>
                <w:rtl/>
              </w:rPr>
              <w:t xml:space="preserve"> PL 2</w:t>
            </w:r>
          </w:p>
        </w:tc>
        <w:tc>
          <w:tcPr>
            <w:tcW w:w="3117" w:type="dxa"/>
          </w:tcPr>
          <w:p w14:paraId="44F9C5E6" w14:textId="79BE81DA" w:rsidR="007B0AA0" w:rsidRPr="007B0AA0" w:rsidRDefault="007C3817" w:rsidP="007C3817">
            <w:pPr>
              <w:spacing w:before="60" w:after="60" w:line="260" w:lineRule="exact"/>
              <w:rPr>
                <w:b/>
                <w:bCs/>
                <w:lang w:bidi="ar-EG"/>
              </w:rPr>
            </w:pPr>
            <w:r w:rsidRPr="007C3817">
              <w:rPr>
                <w:b/>
                <w:bCs/>
                <w:rtl/>
              </w:rPr>
              <w:t>الوثيقة C25/15-A</w:t>
            </w:r>
          </w:p>
        </w:tc>
      </w:tr>
      <w:tr w:rsidR="007B0AA0" w14:paraId="5812D3A1" w14:textId="77777777" w:rsidTr="00F363FE">
        <w:tc>
          <w:tcPr>
            <w:tcW w:w="6512" w:type="dxa"/>
          </w:tcPr>
          <w:p w14:paraId="0B188BC8" w14:textId="77777777" w:rsidR="007B0AA0" w:rsidRPr="007B0AA0" w:rsidRDefault="007B0AA0" w:rsidP="00F363FE">
            <w:pPr>
              <w:spacing w:before="60" w:after="60" w:line="260" w:lineRule="exact"/>
              <w:rPr>
                <w:b/>
                <w:bCs/>
                <w:rtl/>
                <w:lang w:bidi="ar-EG"/>
              </w:rPr>
            </w:pPr>
          </w:p>
        </w:tc>
        <w:tc>
          <w:tcPr>
            <w:tcW w:w="3117" w:type="dxa"/>
          </w:tcPr>
          <w:p w14:paraId="47B724FD" w14:textId="095FB7A2" w:rsidR="007B0AA0" w:rsidRPr="007B0AA0" w:rsidRDefault="007C3817" w:rsidP="00F363FE">
            <w:pPr>
              <w:spacing w:before="60" w:after="60" w:line="260" w:lineRule="exact"/>
              <w:rPr>
                <w:b/>
                <w:bCs/>
                <w:rtl/>
                <w:lang w:bidi="ar-EG"/>
              </w:rPr>
            </w:pPr>
            <w:r w:rsidRPr="007C3817">
              <w:rPr>
                <w:b/>
                <w:bCs/>
                <w:rtl/>
                <w:lang w:bidi="ar-EG"/>
              </w:rPr>
              <w:t>17 أبريل 2025</w:t>
            </w:r>
          </w:p>
        </w:tc>
      </w:tr>
      <w:tr w:rsidR="007B0AA0" w14:paraId="64F43732" w14:textId="77777777" w:rsidTr="00F363FE">
        <w:tc>
          <w:tcPr>
            <w:tcW w:w="6512" w:type="dxa"/>
          </w:tcPr>
          <w:p w14:paraId="654D9988" w14:textId="77777777" w:rsidR="007B0AA0" w:rsidRPr="007B0AA0" w:rsidRDefault="007B0AA0" w:rsidP="00F363FE">
            <w:pPr>
              <w:spacing w:before="60" w:after="60" w:line="260" w:lineRule="exact"/>
              <w:rPr>
                <w:b/>
                <w:bCs/>
                <w:rtl/>
                <w:lang w:bidi="ar-EG"/>
              </w:rPr>
            </w:pPr>
          </w:p>
        </w:tc>
        <w:tc>
          <w:tcPr>
            <w:tcW w:w="3117" w:type="dxa"/>
          </w:tcPr>
          <w:p w14:paraId="6D07F2A3"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28873B65" w14:textId="77777777" w:rsidTr="00F363FE">
        <w:tc>
          <w:tcPr>
            <w:tcW w:w="6512" w:type="dxa"/>
          </w:tcPr>
          <w:p w14:paraId="07F66D3B" w14:textId="77777777" w:rsidR="007B0AA0" w:rsidRDefault="007B0AA0" w:rsidP="00F363FE">
            <w:pPr>
              <w:spacing w:before="60" w:after="60" w:line="260" w:lineRule="exact"/>
              <w:rPr>
                <w:lang w:bidi="ar-EG"/>
              </w:rPr>
            </w:pPr>
          </w:p>
        </w:tc>
        <w:tc>
          <w:tcPr>
            <w:tcW w:w="3117" w:type="dxa"/>
          </w:tcPr>
          <w:p w14:paraId="13C931C6" w14:textId="77777777" w:rsidR="007B0AA0" w:rsidRDefault="007B0AA0" w:rsidP="00F363FE">
            <w:pPr>
              <w:spacing w:before="60" w:after="60" w:line="260" w:lineRule="exact"/>
              <w:rPr>
                <w:rtl/>
                <w:lang w:bidi="ar-EG"/>
              </w:rPr>
            </w:pPr>
          </w:p>
        </w:tc>
      </w:tr>
      <w:tr w:rsidR="007B0AA0" w14:paraId="4459ECAA" w14:textId="77777777" w:rsidTr="00EE7446">
        <w:tc>
          <w:tcPr>
            <w:tcW w:w="9629" w:type="dxa"/>
            <w:gridSpan w:val="2"/>
          </w:tcPr>
          <w:p w14:paraId="66FE4996" w14:textId="297C5206" w:rsidR="007B0AA0" w:rsidRDefault="007C3817" w:rsidP="00F71336">
            <w:pPr>
              <w:pStyle w:val="Source"/>
              <w:jc w:val="both"/>
              <w:rPr>
                <w:rtl/>
                <w:lang w:bidi="ar-EG"/>
              </w:rPr>
            </w:pPr>
            <w:r w:rsidRPr="007C3817">
              <w:rPr>
                <w:rtl/>
              </w:rPr>
              <w:t xml:space="preserve">تقرير رئيس فريق العمل التابع للمجلس والمعني بحماية الأطفال على الإنترنت </w:t>
            </w:r>
            <w:r w:rsidRPr="007C3817">
              <w:rPr>
                <w:lang w:bidi="ar-EG"/>
              </w:rPr>
              <w:t>(CWG-COP</w:t>
            </w:r>
            <w:r w:rsidRPr="007C3817">
              <w:t>)</w:t>
            </w:r>
          </w:p>
        </w:tc>
      </w:tr>
      <w:tr w:rsidR="007B0AA0" w14:paraId="4835A967" w14:textId="77777777" w:rsidTr="007B0AA0">
        <w:tc>
          <w:tcPr>
            <w:tcW w:w="9629" w:type="dxa"/>
            <w:gridSpan w:val="2"/>
            <w:tcBorders>
              <w:bottom w:val="single" w:sz="4" w:space="0" w:color="auto"/>
            </w:tcBorders>
          </w:tcPr>
          <w:p w14:paraId="48D9022F" w14:textId="6D93347E" w:rsidR="007B0AA0" w:rsidRPr="005546CF" w:rsidRDefault="007C3817" w:rsidP="009F55A3">
            <w:pPr>
              <w:pStyle w:val="Subtitle0"/>
              <w:jc w:val="left"/>
              <w:rPr>
                <w:sz w:val="32"/>
                <w:szCs w:val="32"/>
              </w:rPr>
            </w:pPr>
            <w:r w:rsidRPr="007C3817">
              <w:rPr>
                <w:sz w:val="32"/>
                <w:szCs w:val="32"/>
                <w:rtl/>
                <w:lang w:bidi="ar-SA"/>
              </w:rPr>
              <w:t xml:space="preserve">نتائج الاجتماعين الحادي والعشرين والثاني والعشرين </w:t>
            </w:r>
            <w:r w:rsidR="009F55A3">
              <w:rPr>
                <w:sz w:val="32"/>
                <w:szCs w:val="32"/>
                <w:rtl/>
                <w:lang w:bidi="ar-SA"/>
              </w:rPr>
              <w:br/>
            </w:r>
            <w:r w:rsidRPr="007C3817">
              <w:rPr>
                <w:sz w:val="32"/>
                <w:szCs w:val="32"/>
                <w:rtl/>
                <w:lang w:bidi="ar-SA"/>
              </w:rPr>
              <w:t>لفريق العمل التابع للمجلس والمعني بحماية الأطفال على الإنترنت</w:t>
            </w:r>
          </w:p>
        </w:tc>
      </w:tr>
      <w:tr w:rsidR="007B0AA0" w14:paraId="6291AD46" w14:textId="77777777" w:rsidTr="007B0AA0">
        <w:tc>
          <w:tcPr>
            <w:tcW w:w="9629" w:type="dxa"/>
            <w:gridSpan w:val="2"/>
            <w:tcBorders>
              <w:top w:val="single" w:sz="4" w:space="0" w:color="auto"/>
              <w:bottom w:val="single" w:sz="4" w:space="0" w:color="auto"/>
            </w:tcBorders>
          </w:tcPr>
          <w:p w14:paraId="4DB0B693" w14:textId="53FE8FB4" w:rsidR="007B0AA0" w:rsidRPr="007B0AA0" w:rsidRDefault="007B0AA0" w:rsidP="007B0AA0">
            <w:pPr>
              <w:rPr>
                <w:b/>
                <w:bCs/>
                <w:rtl/>
              </w:rPr>
            </w:pPr>
            <w:r w:rsidRPr="007B0AA0">
              <w:rPr>
                <w:rFonts w:hint="cs"/>
                <w:b/>
                <w:bCs/>
                <w:rtl/>
              </w:rPr>
              <w:t>الغرض</w:t>
            </w:r>
          </w:p>
          <w:p w14:paraId="0F58FD4C" w14:textId="7B1013AC" w:rsidR="007B0AA0" w:rsidRDefault="007C3817" w:rsidP="007C3817">
            <w:pPr>
              <w:rPr>
                <w:rtl/>
              </w:rPr>
            </w:pPr>
            <w:r w:rsidRPr="007C3817">
              <w:rPr>
                <w:rtl/>
              </w:rPr>
              <w:t xml:space="preserve">يلخص هذا التقرير النتائج الرئيسية للاجتماعين الحادي والعشرين والثاني والعشرين لفريق العمل </w:t>
            </w:r>
            <w:r w:rsidRPr="009F55A3">
              <w:rPr>
                <w:rtl/>
              </w:rPr>
              <w:t xml:space="preserve">التابع للمجلس والمعني بحماية الأطفال على الإنترنت </w:t>
            </w:r>
            <w:r w:rsidRPr="009F55A3">
              <w:t>(CWG-COP)</w:t>
            </w:r>
            <w:r w:rsidRPr="009F55A3">
              <w:rPr>
                <w:rtl/>
              </w:rPr>
              <w:t>، اللذين عُقدا يوم</w:t>
            </w:r>
            <w:r w:rsidR="006E4F5A">
              <w:rPr>
                <w:rFonts w:hint="cs"/>
                <w:rtl/>
              </w:rPr>
              <w:t>َ</w:t>
            </w:r>
            <w:r w:rsidRPr="009F55A3">
              <w:rPr>
                <w:rtl/>
              </w:rPr>
              <w:t>ي 30 سبتمبر و1 أكتوبر 2024</w:t>
            </w:r>
            <w:r w:rsidRPr="007C3817">
              <w:rPr>
                <w:rtl/>
              </w:rPr>
              <w:t xml:space="preserve"> ويوم</w:t>
            </w:r>
            <w:r w:rsidR="006E4F5A">
              <w:rPr>
                <w:rFonts w:hint="cs"/>
                <w:rtl/>
              </w:rPr>
              <w:t>َ</w:t>
            </w:r>
            <w:r w:rsidRPr="007C3817">
              <w:rPr>
                <w:rtl/>
              </w:rPr>
              <w:t>ي 12</w:t>
            </w:r>
            <w:r w:rsidR="009F55A3">
              <w:rPr>
                <w:rFonts w:hint="cs"/>
                <w:rtl/>
              </w:rPr>
              <w:t> </w:t>
            </w:r>
            <w:r w:rsidRPr="007C3817">
              <w:rPr>
                <w:rtl/>
              </w:rPr>
              <w:t>و13 فبراير 2025 على التوالي، وفقاً للقرار 1306 الصادر عن مجلس الاتحاد في دورته لعام 2010 والقرار 179 (المراجَع في بوخارست، 2022) لمؤتمر المندوبين المفوضين للاتحاد.</w:t>
            </w:r>
          </w:p>
          <w:p w14:paraId="63FA028E" w14:textId="77777777" w:rsidR="007B0AA0" w:rsidRPr="007B0AA0" w:rsidRDefault="007B0AA0" w:rsidP="007B0AA0">
            <w:pPr>
              <w:rPr>
                <w:b/>
                <w:bCs/>
                <w:rtl/>
              </w:rPr>
            </w:pPr>
            <w:r w:rsidRPr="007B0AA0">
              <w:rPr>
                <w:rFonts w:hint="cs"/>
                <w:b/>
                <w:bCs/>
                <w:rtl/>
              </w:rPr>
              <w:t>الإجراء المطلوب من المجلس</w:t>
            </w:r>
          </w:p>
          <w:p w14:paraId="0940F966" w14:textId="5383F334" w:rsidR="007B0AA0" w:rsidRDefault="007C3817" w:rsidP="007C3817">
            <w:pPr>
              <w:rPr>
                <w:rtl/>
              </w:rPr>
            </w:pPr>
            <w:r w:rsidRPr="007C3817">
              <w:rPr>
                <w:rtl/>
              </w:rPr>
              <w:t xml:space="preserve">يُدعى المجلس إلى </w:t>
            </w:r>
            <w:r w:rsidRPr="007C3817">
              <w:rPr>
                <w:b/>
                <w:bCs/>
                <w:rtl/>
              </w:rPr>
              <w:t xml:space="preserve">العلم </w:t>
            </w:r>
            <w:r w:rsidRPr="007C3817">
              <w:rPr>
                <w:rtl/>
              </w:rPr>
              <w:t>بالتقرير.</w:t>
            </w:r>
          </w:p>
          <w:p w14:paraId="1CAC828B" w14:textId="77777777" w:rsidR="007B0AA0" w:rsidRPr="007B0AA0" w:rsidRDefault="007B0AA0" w:rsidP="007B0AA0">
            <w:pPr>
              <w:rPr>
                <w:b/>
                <w:bCs/>
                <w:rtl/>
              </w:rPr>
            </w:pPr>
            <w:r w:rsidRPr="007B0AA0">
              <w:rPr>
                <w:b/>
                <w:bCs/>
                <w:rtl/>
              </w:rPr>
              <w:t>الارتباط ذو الصلة بالخطة (الخطط) ال</w:t>
            </w:r>
            <w:r w:rsidRPr="007B0AA0">
              <w:rPr>
                <w:rFonts w:hint="cs"/>
                <w:b/>
                <w:bCs/>
                <w:rtl/>
              </w:rPr>
              <w:t>ا</w:t>
            </w:r>
            <w:r w:rsidRPr="007B0AA0">
              <w:rPr>
                <w:b/>
                <w:bCs/>
                <w:rtl/>
              </w:rPr>
              <w:t>ستراتيجية</w:t>
            </w:r>
          </w:p>
          <w:p w14:paraId="2118C2B9" w14:textId="044C64B3" w:rsidR="007B0AA0" w:rsidRDefault="007C3817" w:rsidP="007C3817">
            <w:pPr>
              <w:rPr>
                <w:rtl/>
              </w:rPr>
            </w:pPr>
            <w:r w:rsidRPr="007C3817">
              <w:rPr>
                <w:b/>
                <w:rtl/>
              </w:rPr>
              <w:t>المنصات الجامعة، التطبيقات الرقمية، وضع أطر السياسات والمنتجات المعرفية.</w:t>
            </w:r>
          </w:p>
          <w:p w14:paraId="4DF2FDD6" w14:textId="77777777" w:rsidR="007B0AA0" w:rsidRDefault="007B0AA0" w:rsidP="00B97F32">
            <w:pPr>
              <w:rPr>
                <w:b/>
                <w:bCs/>
              </w:rPr>
            </w:pPr>
            <w:r w:rsidRPr="007B0AA0">
              <w:rPr>
                <w:rFonts w:hint="cs"/>
                <w:b/>
                <w:bCs/>
                <w:rtl/>
              </w:rPr>
              <w:t>الآثار المالية</w:t>
            </w:r>
          </w:p>
          <w:p w14:paraId="7E00D148" w14:textId="6FDD78EA" w:rsidR="006F363C" w:rsidRPr="005546CF" w:rsidRDefault="007C3817" w:rsidP="007C3817">
            <w:pPr>
              <w:rPr>
                <w:rtl/>
              </w:rPr>
            </w:pPr>
            <w:r w:rsidRPr="007C3817">
              <w:rPr>
                <w:rtl/>
              </w:rPr>
              <w:t>ضمن الميزانية المخصصة لفترة السنتين 2024-2025.</w:t>
            </w:r>
          </w:p>
          <w:p w14:paraId="0069AF7F"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17E43D2" w14:textId="77777777" w:rsidR="007B0AA0" w:rsidRPr="007B0AA0" w:rsidRDefault="007B0AA0" w:rsidP="007B0AA0">
            <w:pPr>
              <w:rPr>
                <w:b/>
                <w:bCs/>
                <w:rtl/>
              </w:rPr>
            </w:pPr>
            <w:r w:rsidRPr="007B0AA0">
              <w:rPr>
                <w:rFonts w:hint="cs"/>
                <w:b/>
                <w:bCs/>
                <w:rtl/>
              </w:rPr>
              <w:t>المراجع</w:t>
            </w:r>
          </w:p>
          <w:p w14:paraId="13FCC156" w14:textId="3470B57B" w:rsidR="007B0AA0" w:rsidRPr="005546CF" w:rsidRDefault="007C3817" w:rsidP="006E4F5A">
            <w:pPr>
              <w:spacing w:after="120"/>
              <w:rPr>
                <w:i/>
                <w:iCs/>
                <w:rtl/>
              </w:rPr>
            </w:pPr>
            <w:hyperlink r:id="rId8" w:history="1">
              <w:r w:rsidRPr="00CA4C6C">
                <w:rPr>
                  <w:rStyle w:val="Hyperlink"/>
                  <w:rFonts w:ascii="Dubai" w:eastAsiaTheme="minorEastAsia" w:hAnsi="Dubai" w:cs="Dubai" w:hint="eastAsia"/>
                  <w:i/>
                  <w:iCs/>
                  <w:noProof w:val="0"/>
                  <w:sz w:val="22"/>
                  <w:u w:val="single"/>
                  <w:rtl/>
                  <w:lang w:val="en-US" w:eastAsia="zh-CN"/>
                </w:rPr>
                <w:t>القرار</w:t>
              </w:r>
              <w:r w:rsidRPr="00CA4C6C">
                <w:rPr>
                  <w:rStyle w:val="Hyperlink"/>
                  <w:rFonts w:ascii="Dubai" w:eastAsiaTheme="minorEastAsia" w:hAnsi="Dubai" w:cs="Dubai"/>
                  <w:i/>
                  <w:iCs/>
                  <w:noProof w:val="0"/>
                  <w:sz w:val="22"/>
                  <w:u w:val="single"/>
                  <w:rtl/>
                  <w:lang w:val="en-US" w:eastAsia="zh-CN"/>
                </w:rPr>
                <w:t xml:space="preserve"> 179</w:t>
              </w:r>
            </w:hyperlink>
            <w:r w:rsidRPr="007C3817">
              <w:rPr>
                <w:i/>
                <w:iCs/>
                <w:rtl/>
              </w:rPr>
              <w:t xml:space="preserve"> (</w:t>
            </w:r>
            <w:r w:rsidRPr="007C3817">
              <w:rPr>
                <w:rFonts w:hint="eastAsia"/>
                <w:i/>
                <w:iCs/>
                <w:rtl/>
              </w:rPr>
              <w:t>المراج</w:t>
            </w:r>
            <w:r w:rsidRPr="007C3817">
              <w:rPr>
                <w:i/>
                <w:iCs/>
                <w:rtl/>
              </w:rPr>
              <w:t>َ</w:t>
            </w:r>
            <w:r w:rsidRPr="007C3817">
              <w:rPr>
                <w:rFonts w:hint="eastAsia"/>
                <w:i/>
                <w:iCs/>
                <w:rtl/>
              </w:rPr>
              <w:t>ع</w:t>
            </w:r>
            <w:r w:rsidRPr="007C3817">
              <w:rPr>
                <w:i/>
                <w:iCs/>
                <w:rtl/>
              </w:rPr>
              <w:t xml:space="preserve"> </w:t>
            </w:r>
            <w:r w:rsidRPr="007C3817">
              <w:rPr>
                <w:rFonts w:hint="eastAsia"/>
                <w:i/>
                <w:iCs/>
                <w:rtl/>
              </w:rPr>
              <w:t>في</w:t>
            </w:r>
            <w:r w:rsidRPr="007C3817">
              <w:rPr>
                <w:i/>
                <w:iCs/>
                <w:rtl/>
              </w:rPr>
              <w:t xml:space="preserve"> </w:t>
            </w:r>
            <w:r w:rsidRPr="007C3817">
              <w:rPr>
                <w:rFonts w:hint="eastAsia"/>
                <w:i/>
                <w:iCs/>
                <w:rtl/>
              </w:rPr>
              <w:t>بوخارست،</w:t>
            </w:r>
            <w:r w:rsidRPr="007C3817">
              <w:rPr>
                <w:i/>
                <w:iCs/>
                <w:rtl/>
              </w:rPr>
              <w:t xml:space="preserve"> 2022) </w:t>
            </w:r>
            <w:r w:rsidRPr="007C3817">
              <w:rPr>
                <w:rFonts w:hint="eastAsia"/>
                <w:i/>
                <w:iCs/>
                <w:rtl/>
              </w:rPr>
              <w:t>لمؤتمر</w:t>
            </w:r>
            <w:r w:rsidRPr="007C3817">
              <w:rPr>
                <w:i/>
                <w:iCs/>
                <w:rtl/>
              </w:rPr>
              <w:t xml:space="preserve"> </w:t>
            </w:r>
            <w:r w:rsidRPr="007C3817">
              <w:rPr>
                <w:rFonts w:hint="eastAsia"/>
                <w:i/>
                <w:iCs/>
                <w:rtl/>
              </w:rPr>
              <w:t>المندوبين</w:t>
            </w:r>
            <w:r w:rsidRPr="007C3817">
              <w:rPr>
                <w:i/>
                <w:iCs/>
                <w:rtl/>
              </w:rPr>
              <w:t xml:space="preserve"> </w:t>
            </w:r>
            <w:r w:rsidRPr="007C3817">
              <w:rPr>
                <w:rFonts w:hint="eastAsia"/>
                <w:i/>
                <w:iCs/>
                <w:rtl/>
              </w:rPr>
              <w:t>المفوضين؛</w:t>
            </w:r>
            <w:r w:rsidRPr="007C3817">
              <w:rPr>
                <w:i/>
                <w:iCs/>
                <w:rtl/>
              </w:rPr>
              <w:t xml:space="preserve"> </w:t>
            </w:r>
            <w:hyperlink r:id="rId9" w:anchor="/ar" w:history="1">
              <w:r w:rsidRPr="009B0A1E">
                <w:rPr>
                  <w:rStyle w:val="Hyperlink"/>
                  <w:rFonts w:ascii="Dubai" w:eastAsiaTheme="minorEastAsia" w:hAnsi="Dubai" w:cs="Dubai" w:hint="eastAsia"/>
                  <w:i/>
                  <w:iCs/>
                  <w:noProof w:val="0"/>
                  <w:sz w:val="22"/>
                  <w:u w:val="single"/>
                  <w:rtl/>
                  <w:lang w:val="en-US" w:eastAsia="zh-CN"/>
                </w:rPr>
                <w:t>الموقع</w:t>
              </w:r>
              <w:r w:rsidRPr="009B0A1E">
                <w:rPr>
                  <w:rStyle w:val="Hyperlink"/>
                  <w:rFonts w:ascii="Dubai" w:eastAsiaTheme="minorEastAsia" w:hAnsi="Dubai" w:cs="Dubai"/>
                  <w:i/>
                  <w:iCs/>
                  <w:noProof w:val="0"/>
                  <w:sz w:val="22"/>
                  <w:u w:val="single"/>
                  <w:rtl/>
                  <w:lang w:val="en-US" w:eastAsia="zh-CN"/>
                </w:rPr>
                <w:t xml:space="preserve"> </w:t>
              </w:r>
              <w:r w:rsidRPr="009B0A1E">
                <w:rPr>
                  <w:rStyle w:val="Hyperlink"/>
                  <w:rFonts w:ascii="Dubai" w:eastAsiaTheme="minorEastAsia" w:hAnsi="Dubai" w:cs="Dubai" w:hint="eastAsia"/>
                  <w:i/>
                  <w:iCs/>
                  <w:noProof w:val="0"/>
                  <w:sz w:val="22"/>
                  <w:u w:val="single"/>
                  <w:rtl/>
                  <w:lang w:val="en-US" w:eastAsia="zh-CN"/>
                </w:rPr>
                <w:t>الإلكتروني</w:t>
              </w:r>
              <w:r w:rsidRPr="009B0A1E">
                <w:rPr>
                  <w:rStyle w:val="Hyperlink"/>
                  <w:rFonts w:ascii="Dubai" w:eastAsiaTheme="minorEastAsia" w:hAnsi="Dubai" w:cs="Dubai"/>
                  <w:i/>
                  <w:iCs/>
                  <w:noProof w:val="0"/>
                  <w:sz w:val="22"/>
                  <w:u w:val="single"/>
                  <w:rtl/>
                  <w:lang w:val="en-US" w:eastAsia="zh-CN"/>
                </w:rPr>
                <w:t xml:space="preserve"> </w:t>
              </w:r>
              <w:r w:rsidRPr="009B0A1E">
                <w:rPr>
                  <w:rStyle w:val="Hyperlink"/>
                  <w:rFonts w:ascii="Dubai" w:eastAsiaTheme="minorEastAsia" w:hAnsi="Dubai" w:cs="Dubai" w:hint="eastAsia"/>
                  <w:i/>
                  <w:iCs/>
                  <w:noProof w:val="0"/>
                  <w:sz w:val="22"/>
                  <w:u w:val="single"/>
                  <w:rtl/>
                  <w:lang w:val="en-US" w:eastAsia="zh-CN"/>
                </w:rPr>
                <w:t>لفريق</w:t>
              </w:r>
              <w:r w:rsidRPr="009B0A1E">
                <w:rPr>
                  <w:rStyle w:val="Hyperlink"/>
                  <w:rFonts w:ascii="Dubai" w:eastAsiaTheme="minorEastAsia" w:hAnsi="Dubai" w:cs="Dubai"/>
                  <w:i/>
                  <w:iCs/>
                  <w:noProof w:val="0"/>
                  <w:sz w:val="22"/>
                  <w:u w:val="single"/>
                  <w:rtl/>
                  <w:lang w:val="en-US" w:eastAsia="zh-CN"/>
                </w:rPr>
                <w:t xml:space="preserve"> </w:t>
              </w:r>
              <w:r w:rsidRPr="009B0A1E">
                <w:rPr>
                  <w:rStyle w:val="Hyperlink"/>
                  <w:rFonts w:ascii="Dubai" w:eastAsiaTheme="minorEastAsia" w:hAnsi="Dubai" w:cs="Dubai" w:hint="eastAsia"/>
                  <w:i/>
                  <w:iCs/>
                  <w:noProof w:val="0"/>
                  <w:sz w:val="22"/>
                  <w:u w:val="single"/>
                  <w:rtl/>
                  <w:lang w:val="en-US" w:eastAsia="zh-CN"/>
                </w:rPr>
                <w:t>العمل</w:t>
              </w:r>
              <w:r w:rsidRPr="009B0A1E">
                <w:rPr>
                  <w:rStyle w:val="Hyperlink"/>
                  <w:rFonts w:ascii="Dubai" w:eastAsiaTheme="minorEastAsia" w:hAnsi="Dubai" w:cs="Dubai"/>
                  <w:i/>
                  <w:iCs/>
                  <w:noProof w:val="0"/>
                  <w:sz w:val="22"/>
                  <w:u w:val="single"/>
                  <w:rtl/>
                  <w:lang w:val="en-US" w:eastAsia="zh-CN"/>
                </w:rPr>
                <w:t xml:space="preserve"> </w:t>
              </w:r>
              <w:r w:rsidRPr="009B0A1E">
                <w:rPr>
                  <w:rStyle w:val="Hyperlink"/>
                  <w:rFonts w:ascii="Dubai" w:eastAsiaTheme="minorEastAsia" w:hAnsi="Dubai" w:cs="Dubai" w:hint="eastAsia"/>
                  <w:i/>
                  <w:iCs/>
                  <w:noProof w:val="0"/>
                  <w:sz w:val="22"/>
                  <w:u w:val="single"/>
                  <w:rtl/>
                  <w:lang w:val="en-US" w:eastAsia="zh-CN"/>
                </w:rPr>
                <w:t>التابع</w:t>
              </w:r>
              <w:r w:rsidRPr="009B0A1E">
                <w:rPr>
                  <w:rStyle w:val="Hyperlink"/>
                  <w:rFonts w:ascii="Dubai" w:eastAsiaTheme="minorEastAsia" w:hAnsi="Dubai" w:cs="Dubai"/>
                  <w:i/>
                  <w:iCs/>
                  <w:noProof w:val="0"/>
                  <w:sz w:val="22"/>
                  <w:u w:val="single"/>
                  <w:rtl/>
                  <w:lang w:val="en-US" w:eastAsia="zh-CN"/>
                </w:rPr>
                <w:t xml:space="preserve"> </w:t>
              </w:r>
              <w:r w:rsidRPr="009B0A1E">
                <w:rPr>
                  <w:rStyle w:val="Hyperlink"/>
                  <w:rFonts w:ascii="Dubai" w:eastAsiaTheme="minorEastAsia" w:hAnsi="Dubai" w:cs="Dubai" w:hint="eastAsia"/>
                  <w:i/>
                  <w:iCs/>
                  <w:noProof w:val="0"/>
                  <w:sz w:val="22"/>
                  <w:u w:val="single"/>
                  <w:rtl/>
                  <w:lang w:val="en-US" w:eastAsia="zh-CN"/>
                </w:rPr>
                <w:t>للمجلس</w:t>
              </w:r>
              <w:r w:rsidRPr="009B0A1E">
                <w:rPr>
                  <w:rStyle w:val="Hyperlink"/>
                  <w:rFonts w:ascii="Dubai" w:eastAsiaTheme="minorEastAsia" w:hAnsi="Dubai" w:cs="Dubai"/>
                  <w:i/>
                  <w:iCs/>
                  <w:noProof w:val="0"/>
                  <w:sz w:val="22"/>
                  <w:u w:val="single"/>
                  <w:rtl/>
                  <w:lang w:val="en-US" w:eastAsia="zh-CN"/>
                </w:rPr>
                <w:t xml:space="preserve"> </w:t>
              </w:r>
              <w:r w:rsidRPr="009B0A1E">
                <w:rPr>
                  <w:rStyle w:val="Hyperlink"/>
                  <w:rFonts w:ascii="Dubai" w:eastAsiaTheme="minorEastAsia" w:hAnsi="Dubai" w:cs="Dubai" w:hint="eastAsia"/>
                  <w:i/>
                  <w:iCs/>
                  <w:noProof w:val="0"/>
                  <w:sz w:val="22"/>
                  <w:u w:val="single"/>
                  <w:rtl/>
                  <w:lang w:val="en-US" w:eastAsia="zh-CN"/>
                </w:rPr>
                <w:t>والمعني</w:t>
              </w:r>
              <w:r w:rsidRPr="009B0A1E">
                <w:rPr>
                  <w:rStyle w:val="Hyperlink"/>
                  <w:rFonts w:ascii="Dubai" w:eastAsiaTheme="minorEastAsia" w:hAnsi="Dubai" w:cs="Dubai"/>
                  <w:i/>
                  <w:iCs/>
                  <w:noProof w:val="0"/>
                  <w:sz w:val="22"/>
                  <w:u w:val="single"/>
                  <w:rtl/>
                  <w:lang w:val="en-US" w:eastAsia="zh-CN"/>
                </w:rPr>
                <w:t xml:space="preserve"> </w:t>
              </w:r>
              <w:r w:rsidRPr="009B0A1E">
                <w:rPr>
                  <w:rStyle w:val="Hyperlink"/>
                  <w:rFonts w:ascii="Dubai" w:eastAsiaTheme="minorEastAsia" w:hAnsi="Dubai" w:cs="Dubai" w:hint="eastAsia"/>
                  <w:i/>
                  <w:iCs/>
                  <w:noProof w:val="0"/>
                  <w:sz w:val="22"/>
                  <w:u w:val="single"/>
                  <w:rtl/>
                  <w:lang w:val="en-US" w:eastAsia="zh-CN"/>
                </w:rPr>
                <w:t>بحماية</w:t>
              </w:r>
              <w:r w:rsidRPr="009B0A1E">
                <w:rPr>
                  <w:rStyle w:val="Hyperlink"/>
                  <w:rFonts w:ascii="Dubai" w:eastAsiaTheme="minorEastAsia" w:hAnsi="Dubai" w:cs="Dubai"/>
                  <w:i/>
                  <w:iCs/>
                  <w:noProof w:val="0"/>
                  <w:sz w:val="22"/>
                  <w:u w:val="single"/>
                  <w:rtl/>
                  <w:lang w:val="en-US" w:eastAsia="zh-CN"/>
                </w:rPr>
                <w:t xml:space="preserve"> </w:t>
              </w:r>
              <w:r w:rsidRPr="009B0A1E">
                <w:rPr>
                  <w:rStyle w:val="Hyperlink"/>
                  <w:rFonts w:ascii="Dubai" w:eastAsiaTheme="minorEastAsia" w:hAnsi="Dubai" w:cs="Dubai" w:hint="eastAsia"/>
                  <w:i/>
                  <w:iCs/>
                  <w:noProof w:val="0"/>
                  <w:sz w:val="22"/>
                  <w:u w:val="single"/>
                  <w:rtl/>
                  <w:lang w:val="en-US" w:eastAsia="zh-CN"/>
                </w:rPr>
                <w:t>الأطفال</w:t>
              </w:r>
              <w:r w:rsidRPr="009B0A1E">
                <w:rPr>
                  <w:rStyle w:val="Hyperlink"/>
                  <w:rFonts w:ascii="Dubai" w:eastAsiaTheme="minorEastAsia" w:hAnsi="Dubai" w:cs="Dubai"/>
                  <w:i/>
                  <w:iCs/>
                  <w:noProof w:val="0"/>
                  <w:sz w:val="22"/>
                  <w:u w:val="single"/>
                  <w:rtl/>
                  <w:lang w:val="en-US" w:eastAsia="zh-CN"/>
                </w:rPr>
                <w:t xml:space="preserve"> </w:t>
              </w:r>
              <w:r w:rsidRPr="009B0A1E">
                <w:rPr>
                  <w:rStyle w:val="Hyperlink"/>
                  <w:rFonts w:ascii="Dubai" w:eastAsiaTheme="minorEastAsia" w:hAnsi="Dubai" w:cs="Dubai" w:hint="eastAsia"/>
                  <w:i/>
                  <w:iCs/>
                  <w:noProof w:val="0"/>
                  <w:sz w:val="22"/>
                  <w:u w:val="single"/>
                  <w:rtl/>
                  <w:lang w:val="en-US" w:eastAsia="zh-CN"/>
                </w:rPr>
                <w:t>على</w:t>
              </w:r>
              <w:r w:rsidRPr="009B0A1E">
                <w:rPr>
                  <w:rStyle w:val="Hyperlink"/>
                  <w:rFonts w:ascii="Dubai" w:eastAsiaTheme="minorEastAsia" w:hAnsi="Dubai" w:cs="Dubai"/>
                  <w:i/>
                  <w:iCs/>
                  <w:noProof w:val="0"/>
                  <w:sz w:val="22"/>
                  <w:u w:val="single"/>
                  <w:rtl/>
                  <w:lang w:val="en-US" w:eastAsia="zh-CN"/>
                </w:rPr>
                <w:t xml:space="preserve"> </w:t>
              </w:r>
              <w:r w:rsidRPr="009B0A1E">
                <w:rPr>
                  <w:rStyle w:val="Hyperlink"/>
                  <w:rFonts w:ascii="Dubai" w:eastAsiaTheme="minorEastAsia" w:hAnsi="Dubai" w:cs="Dubai" w:hint="eastAsia"/>
                  <w:i/>
                  <w:iCs/>
                  <w:noProof w:val="0"/>
                  <w:sz w:val="22"/>
                  <w:u w:val="single"/>
                  <w:rtl/>
                  <w:lang w:val="en-US" w:eastAsia="zh-CN"/>
                </w:rPr>
                <w:t>الإنترنت</w:t>
              </w:r>
            </w:hyperlink>
            <w:r w:rsidRPr="007C3817">
              <w:rPr>
                <w:i/>
                <w:iCs/>
                <w:rtl/>
              </w:rPr>
              <w:t xml:space="preserve">؛ </w:t>
            </w:r>
            <w:r w:rsidRPr="007C3817">
              <w:rPr>
                <w:rFonts w:hint="eastAsia"/>
                <w:i/>
                <w:iCs/>
                <w:rtl/>
              </w:rPr>
              <w:t>التقريران</w:t>
            </w:r>
            <w:r w:rsidRPr="007C3817">
              <w:rPr>
                <w:i/>
                <w:iCs/>
                <w:rtl/>
              </w:rPr>
              <w:t xml:space="preserve"> </w:t>
            </w:r>
            <w:r w:rsidRPr="007C3817">
              <w:rPr>
                <w:rFonts w:hint="eastAsia"/>
                <w:i/>
                <w:iCs/>
                <w:rtl/>
              </w:rPr>
              <w:t>الموجزان</w:t>
            </w:r>
            <w:r w:rsidRPr="007C3817">
              <w:rPr>
                <w:i/>
                <w:iCs/>
                <w:rtl/>
              </w:rPr>
              <w:t xml:space="preserve"> </w:t>
            </w:r>
            <w:r w:rsidRPr="007C3817">
              <w:rPr>
                <w:rFonts w:hint="eastAsia"/>
                <w:i/>
                <w:iCs/>
                <w:rtl/>
              </w:rPr>
              <w:t>للاجتماعين</w:t>
            </w:r>
            <w:r w:rsidRPr="007C3817">
              <w:rPr>
                <w:i/>
                <w:iCs/>
                <w:rtl/>
              </w:rPr>
              <w:t xml:space="preserve"> </w:t>
            </w:r>
            <w:hyperlink r:id="rId10" w:history="1">
              <w:r w:rsidRPr="009B0A1E">
                <w:rPr>
                  <w:rStyle w:val="Hyperlink"/>
                  <w:rFonts w:ascii="Dubai" w:eastAsiaTheme="minorEastAsia" w:hAnsi="Dubai" w:cs="Dubai" w:hint="eastAsia"/>
                  <w:i/>
                  <w:iCs/>
                  <w:noProof w:val="0"/>
                  <w:sz w:val="22"/>
                  <w:u w:val="single"/>
                  <w:rtl/>
                  <w:lang w:val="en-US" w:eastAsia="zh-CN"/>
                </w:rPr>
                <w:t>الحادي</w:t>
              </w:r>
              <w:r w:rsidRPr="009B0A1E">
                <w:rPr>
                  <w:rStyle w:val="Hyperlink"/>
                  <w:rFonts w:ascii="Dubai" w:eastAsiaTheme="minorEastAsia" w:hAnsi="Dubai" w:cs="Dubai"/>
                  <w:i/>
                  <w:iCs/>
                  <w:noProof w:val="0"/>
                  <w:sz w:val="22"/>
                  <w:u w:val="single"/>
                  <w:rtl/>
                  <w:lang w:val="en-US" w:eastAsia="zh-CN"/>
                </w:rPr>
                <w:t xml:space="preserve"> </w:t>
              </w:r>
              <w:r w:rsidRPr="009B0A1E">
                <w:rPr>
                  <w:rStyle w:val="Hyperlink"/>
                  <w:rFonts w:ascii="Dubai" w:eastAsiaTheme="minorEastAsia" w:hAnsi="Dubai" w:cs="Dubai" w:hint="eastAsia"/>
                  <w:i/>
                  <w:iCs/>
                  <w:noProof w:val="0"/>
                  <w:sz w:val="22"/>
                  <w:u w:val="single"/>
                  <w:rtl/>
                  <w:lang w:val="en-US" w:eastAsia="zh-CN"/>
                </w:rPr>
                <w:t>والعشرين</w:t>
              </w:r>
            </w:hyperlink>
            <w:r w:rsidRPr="007C3817">
              <w:rPr>
                <w:i/>
                <w:iCs/>
                <w:rtl/>
              </w:rPr>
              <w:t xml:space="preserve"> </w:t>
            </w:r>
            <w:r w:rsidRPr="00CA4C6C">
              <w:rPr>
                <w:rFonts w:hint="eastAsia"/>
                <w:i/>
                <w:iCs/>
                <w:rtl/>
              </w:rPr>
              <w:t>و</w:t>
            </w:r>
            <w:hyperlink r:id="rId11" w:history="1">
              <w:r w:rsidRPr="00CA4C6C">
                <w:rPr>
                  <w:rStyle w:val="Hyperlink"/>
                  <w:rFonts w:ascii="Dubai" w:eastAsiaTheme="minorEastAsia" w:hAnsi="Dubai" w:cs="Dubai" w:hint="eastAsia"/>
                  <w:i/>
                  <w:iCs/>
                  <w:noProof w:val="0"/>
                  <w:sz w:val="22"/>
                  <w:u w:val="single"/>
                  <w:rtl/>
                  <w:lang w:val="en-US" w:eastAsia="zh-CN"/>
                </w:rPr>
                <w:t>الثاني</w:t>
              </w:r>
              <w:r w:rsidRPr="00CA4C6C">
                <w:rPr>
                  <w:rStyle w:val="Hyperlink"/>
                  <w:rFonts w:ascii="Dubai" w:eastAsiaTheme="minorEastAsia" w:hAnsi="Dubai" w:cs="Dubai"/>
                  <w:i/>
                  <w:iCs/>
                  <w:noProof w:val="0"/>
                  <w:sz w:val="22"/>
                  <w:u w:val="single"/>
                  <w:rtl/>
                  <w:lang w:val="en-US" w:eastAsia="zh-CN"/>
                </w:rPr>
                <w:t xml:space="preserve"> </w:t>
              </w:r>
              <w:r w:rsidRPr="00CA4C6C">
                <w:rPr>
                  <w:rStyle w:val="Hyperlink"/>
                  <w:rFonts w:ascii="Dubai" w:eastAsiaTheme="minorEastAsia" w:hAnsi="Dubai" w:cs="Dubai" w:hint="eastAsia"/>
                  <w:i/>
                  <w:iCs/>
                  <w:noProof w:val="0"/>
                  <w:sz w:val="22"/>
                  <w:u w:val="single"/>
                  <w:rtl/>
                  <w:lang w:val="en-US" w:eastAsia="zh-CN"/>
                </w:rPr>
                <w:t>والعشرين</w:t>
              </w:r>
            </w:hyperlink>
            <w:r w:rsidRPr="007C3817">
              <w:rPr>
                <w:i/>
                <w:iCs/>
                <w:rtl/>
              </w:rPr>
              <w:t>.</w:t>
            </w:r>
          </w:p>
        </w:tc>
      </w:tr>
    </w:tbl>
    <w:p w14:paraId="6E89EDBE" w14:textId="77777777" w:rsidR="00F50E3F" w:rsidRDefault="00F50E3F" w:rsidP="0043260A">
      <w:pPr>
        <w:rPr>
          <w:rtl/>
          <w:lang w:bidi="ar-EG"/>
        </w:rPr>
      </w:pPr>
      <w:r>
        <w:rPr>
          <w:rtl/>
          <w:lang w:bidi="ar-EG"/>
        </w:rPr>
        <w:br w:type="page"/>
      </w:r>
    </w:p>
    <w:p w14:paraId="4FD1FA97" w14:textId="77777777" w:rsidR="00F51480" w:rsidRPr="00F51480" w:rsidRDefault="00F51480" w:rsidP="00B42045">
      <w:pPr>
        <w:pStyle w:val="Heading1"/>
        <w:rPr>
          <w:lang w:val="ar-SA" w:bidi="ar-EG"/>
        </w:rPr>
      </w:pPr>
      <w:r w:rsidRPr="00F51480">
        <w:rPr>
          <w:rtl/>
        </w:rPr>
        <w:lastRenderedPageBreak/>
        <w:t>1</w:t>
      </w:r>
      <w:r w:rsidRPr="00F51480">
        <w:rPr>
          <w:rtl/>
        </w:rPr>
        <w:tab/>
        <w:t>مقدمة</w:t>
      </w:r>
    </w:p>
    <w:p w14:paraId="45874DF8" w14:textId="657AF757" w:rsidR="00F51480" w:rsidRPr="00F51480" w:rsidRDefault="00F51480" w:rsidP="00F51480">
      <w:pPr>
        <w:rPr>
          <w:lang w:val="ar-SA" w:bidi="ar-EG"/>
        </w:rPr>
      </w:pPr>
      <w:r w:rsidRPr="00F51480">
        <w:rPr>
          <w:rtl/>
        </w:rPr>
        <w:t>1</w:t>
      </w:r>
      <w:r w:rsidR="00BD1445">
        <w:rPr>
          <w:rFonts w:hint="cs"/>
          <w:rtl/>
        </w:rPr>
        <w:t>.</w:t>
      </w:r>
      <w:r w:rsidRPr="00F51480">
        <w:rPr>
          <w:rtl/>
        </w:rPr>
        <w:t>1</w:t>
      </w:r>
      <w:r w:rsidRPr="00F51480">
        <w:rPr>
          <w:rtl/>
        </w:rPr>
        <w:tab/>
        <w:t>أ</w:t>
      </w:r>
      <w:r w:rsidR="00BD1445">
        <w:rPr>
          <w:rFonts w:hint="cs"/>
          <w:rtl/>
        </w:rPr>
        <w:t>ُ</w:t>
      </w:r>
      <w:r w:rsidRPr="00F51480">
        <w:rPr>
          <w:rtl/>
        </w:rPr>
        <w:t xml:space="preserve">نشئ </w:t>
      </w:r>
      <w:hyperlink r:id="rId12" w:anchor="/ar" w:history="1">
        <w:r w:rsidRPr="00CA4C6C">
          <w:rPr>
            <w:rStyle w:val="Hyperlink"/>
            <w:rFonts w:ascii="Dubai" w:eastAsiaTheme="minorEastAsia" w:hAnsi="Dubai" w:cs="Dubai"/>
            <w:noProof w:val="0"/>
            <w:sz w:val="22"/>
            <w:u w:val="single"/>
            <w:rtl/>
            <w:lang w:val="en-US" w:eastAsia="zh-CN"/>
          </w:rPr>
          <w:t>فريق العمل التابع لمجلس الاتحاد والمعني بحماية الأطفال على الإنترنت</w:t>
        </w:r>
      </w:hyperlink>
      <w:r w:rsidRPr="00F51480">
        <w:rPr>
          <w:rtl/>
        </w:rPr>
        <w:t xml:space="preserve"> </w:t>
      </w:r>
      <w:r w:rsidRPr="00F51480">
        <w:rPr>
          <w:lang w:bidi="ar-EG"/>
        </w:rPr>
        <w:t>(CWG-COP</w:t>
      </w:r>
      <w:r w:rsidRPr="00F51480">
        <w:t>)</w:t>
      </w:r>
      <w:r w:rsidRPr="00F51480">
        <w:rPr>
          <w:rtl/>
        </w:rPr>
        <w:t xml:space="preserve"> بموجب </w:t>
      </w:r>
      <w:hyperlink r:id="rId13" w:history="1">
        <w:r w:rsidRPr="00CA4C6C">
          <w:rPr>
            <w:rStyle w:val="Hyperlink"/>
            <w:rFonts w:ascii="Dubai" w:eastAsiaTheme="minorEastAsia" w:hAnsi="Dubai" w:cs="Dubai"/>
            <w:noProof w:val="0"/>
            <w:sz w:val="22"/>
            <w:u w:val="single"/>
            <w:rtl/>
            <w:lang w:val="en-US" w:eastAsia="zh-CN"/>
          </w:rPr>
          <w:t>القرار</w:t>
        </w:r>
        <w:r w:rsidR="00BD1445" w:rsidRPr="00CA4C6C">
          <w:rPr>
            <w:rStyle w:val="Hyperlink"/>
            <w:rFonts w:ascii="Dubai" w:eastAsiaTheme="minorEastAsia" w:hAnsi="Dubai" w:cs="Dubai" w:hint="cs"/>
            <w:noProof w:val="0"/>
            <w:sz w:val="22"/>
            <w:u w:val="single"/>
            <w:rtl/>
            <w:lang w:val="en-US" w:eastAsia="zh-CN"/>
          </w:rPr>
          <w:t> </w:t>
        </w:r>
        <w:r w:rsidRPr="00CA4C6C">
          <w:rPr>
            <w:rStyle w:val="Hyperlink"/>
            <w:rFonts w:ascii="Dubai" w:eastAsiaTheme="minorEastAsia" w:hAnsi="Dubai" w:cs="Dubai"/>
            <w:noProof w:val="0"/>
            <w:sz w:val="22"/>
            <w:u w:val="single"/>
            <w:rtl/>
            <w:lang w:val="en-US" w:eastAsia="zh-CN"/>
          </w:rPr>
          <w:t>1306</w:t>
        </w:r>
      </w:hyperlink>
      <w:r w:rsidRPr="00F51480">
        <w:rPr>
          <w:rtl/>
        </w:rPr>
        <w:t xml:space="preserve"> (المعدَّل في 2015) للمجلس، وفقاً </w:t>
      </w:r>
      <w:hyperlink r:id="rId14" w:history="1">
        <w:r w:rsidRPr="00CA4C6C">
          <w:rPr>
            <w:rStyle w:val="Hyperlink"/>
            <w:rFonts w:ascii="Dubai" w:eastAsiaTheme="minorEastAsia" w:hAnsi="Dubai" w:cs="Dubai"/>
            <w:noProof w:val="0"/>
            <w:sz w:val="22"/>
            <w:u w:val="single"/>
            <w:rtl/>
            <w:lang w:val="en-US" w:eastAsia="zh-CN"/>
          </w:rPr>
          <w:t>للقرار 179</w:t>
        </w:r>
      </w:hyperlink>
      <w:r w:rsidRPr="00F51480">
        <w:rPr>
          <w:rtl/>
        </w:rPr>
        <w:t xml:space="preserve"> (المراجَع في بوخارست، 2022) لمؤتمر المندوبين المفوضين للاتحاد. وباب المشاركة في أعمال الفريق مفتوح أمام جميع أصحاب المصلحة المعنيين.</w:t>
      </w:r>
    </w:p>
    <w:p w14:paraId="72C6F822" w14:textId="0AA524AE" w:rsidR="00F51480" w:rsidRPr="00F51480" w:rsidRDefault="00F51480" w:rsidP="00F51480">
      <w:pPr>
        <w:rPr>
          <w:lang w:val="ar-SA" w:bidi="ar-EG"/>
        </w:rPr>
      </w:pPr>
      <w:r w:rsidRPr="00F51480">
        <w:rPr>
          <w:rtl/>
        </w:rPr>
        <w:t>2</w:t>
      </w:r>
      <w:r w:rsidR="00BD1445">
        <w:rPr>
          <w:rFonts w:hint="cs"/>
          <w:rtl/>
        </w:rPr>
        <w:t>.</w:t>
      </w:r>
      <w:r w:rsidRPr="00F51480">
        <w:rPr>
          <w:rtl/>
        </w:rPr>
        <w:t>1</w:t>
      </w:r>
      <w:r w:rsidRPr="00F51480">
        <w:rPr>
          <w:rtl/>
        </w:rPr>
        <w:tab/>
        <w:t>وتحدَّد اختصاصات فريق العمل</w:t>
      </w:r>
      <w:r w:rsidR="00457462" w:rsidRPr="00457462">
        <w:rPr>
          <w:rtl/>
        </w:rPr>
        <w:t xml:space="preserve"> </w:t>
      </w:r>
      <w:r w:rsidR="00457462" w:rsidRPr="00F51480">
        <w:rPr>
          <w:rtl/>
        </w:rPr>
        <w:t xml:space="preserve">التابع للمجلس والمعني بقضايا السياسة العامة الدولية المتعلقة بالإنترنت </w:t>
      </w:r>
      <w:r w:rsidR="00457462" w:rsidRPr="00F51480">
        <w:t>(</w:t>
      </w:r>
      <w:r w:rsidR="00457462" w:rsidRPr="00F51480">
        <w:rPr>
          <w:lang w:bidi="ar-EG"/>
        </w:rPr>
        <w:t>CWG-Internet</w:t>
      </w:r>
      <w:r w:rsidR="00457462" w:rsidRPr="00F51480">
        <w:t>)</w:t>
      </w:r>
      <w:r w:rsidRPr="00F51480">
        <w:rPr>
          <w:rtl/>
        </w:rPr>
        <w:t xml:space="preserve"> في </w:t>
      </w:r>
      <w:hyperlink r:id="rId15" w:history="1">
        <w:r w:rsidRPr="00CA4C6C">
          <w:rPr>
            <w:rStyle w:val="Hyperlink"/>
            <w:rFonts w:ascii="Dubai" w:eastAsiaTheme="minorEastAsia" w:hAnsi="Dubai" w:cs="Dubai"/>
            <w:noProof w:val="0"/>
            <w:sz w:val="22"/>
            <w:u w:val="single"/>
            <w:rtl/>
            <w:lang w:val="en-US" w:eastAsia="zh-CN"/>
          </w:rPr>
          <w:t>الملحق 1 بتقرير نتائج الاجتماع الأول</w:t>
        </w:r>
      </w:hyperlink>
      <w:r w:rsidRPr="00F51480">
        <w:rPr>
          <w:rtl/>
        </w:rPr>
        <w:t>.</w:t>
      </w:r>
    </w:p>
    <w:p w14:paraId="562A36C6" w14:textId="0A8E680C" w:rsidR="00F51480" w:rsidRPr="00F51480" w:rsidRDefault="00F51480" w:rsidP="00F51480">
      <w:pPr>
        <w:rPr>
          <w:lang w:val="ar-SA" w:bidi="ar-EG"/>
        </w:rPr>
      </w:pPr>
      <w:r w:rsidRPr="00F51480">
        <w:rPr>
          <w:rtl/>
        </w:rPr>
        <w:t>3</w:t>
      </w:r>
      <w:r w:rsidR="00BD1445">
        <w:rPr>
          <w:rFonts w:hint="cs"/>
          <w:rtl/>
        </w:rPr>
        <w:t>.</w:t>
      </w:r>
      <w:r w:rsidRPr="00F51480">
        <w:rPr>
          <w:rtl/>
        </w:rPr>
        <w:t>1</w:t>
      </w:r>
      <w:r w:rsidRPr="00F51480">
        <w:rPr>
          <w:rtl/>
        </w:rPr>
        <w:tab/>
        <w:t>وطُلب من المجلس بموجب القرار 179 (المراجَع في بوخارست، 2022) لمؤتمر المندوبين المفوضين ما يلي:</w:t>
      </w:r>
    </w:p>
    <w:p w14:paraId="2C841EAD" w14:textId="19B7C1C9" w:rsidR="00F51480" w:rsidRPr="00F51480" w:rsidRDefault="00F51480" w:rsidP="00B42045">
      <w:pPr>
        <w:pStyle w:val="enumlev1"/>
        <w:rPr>
          <w:lang w:val="ar-SA" w:bidi="ar-EG"/>
        </w:rPr>
      </w:pPr>
      <w:r w:rsidRPr="00F51480">
        <w:rPr>
          <w:lang w:bidi="ar-EG"/>
        </w:rPr>
        <w:t>–</w:t>
      </w:r>
      <w:r w:rsidRPr="00F51480">
        <w:rPr>
          <w:rtl/>
        </w:rPr>
        <w:tab/>
        <w:t>استمرار فريق العمل التابع للمجلس والمعني بحماية الأطفال على الإنترنت في عمله ليسهل على الأعضاء التقدم بمساهماتهم وتوجيهاتهم بشأن دور الاتحاد في حماية الأطفال على الإنترنت، والعمل كمنصة لمناقشة أفضل الممارسات وتبادلها؛</w:t>
      </w:r>
    </w:p>
    <w:p w14:paraId="63999708" w14:textId="3991F50A" w:rsidR="00F51480" w:rsidRPr="00F51480" w:rsidRDefault="00F51480" w:rsidP="00B42045">
      <w:pPr>
        <w:pStyle w:val="enumlev1"/>
        <w:rPr>
          <w:lang w:val="ar-SA" w:bidi="ar-EG"/>
        </w:rPr>
      </w:pPr>
      <w:r w:rsidRPr="00F51480">
        <w:rPr>
          <w:lang w:bidi="ar-EG"/>
        </w:rPr>
        <w:t>–</w:t>
      </w:r>
      <w:r w:rsidRPr="00F51480">
        <w:rPr>
          <w:rtl/>
        </w:rPr>
        <w:tab/>
        <w:t>العمل على تيسير إسهام جميع أصحاب المصلحة ومشاركتهم في فريق العمل التابع للمجلس والمعني بحماية الأطفال على الإنترنت لضمان أقصى قدر من التعاون في تنفيذ هذا القرار؛</w:t>
      </w:r>
    </w:p>
    <w:p w14:paraId="1643F2FD" w14:textId="2F72633D" w:rsidR="00F51480" w:rsidRPr="00F51480" w:rsidRDefault="00F51480" w:rsidP="00B42045">
      <w:pPr>
        <w:pStyle w:val="enumlev1"/>
        <w:rPr>
          <w:lang w:val="ar-SA" w:bidi="ar-EG"/>
        </w:rPr>
      </w:pPr>
      <w:r w:rsidRPr="00F51480">
        <w:rPr>
          <w:lang w:bidi="ar-EG"/>
        </w:rPr>
        <w:t>–</w:t>
      </w:r>
      <w:r w:rsidRPr="00F51480">
        <w:rPr>
          <w:rtl/>
        </w:rPr>
        <w:tab/>
        <w:t xml:space="preserve">تشجيع فريق العمل التابع للمجلس والمعني بحماية الأطفال على الإنترنت على التواصل مع فريق العمل التابع للمجلس والمعني بقضايا السياسة العامة الدولية المتعلقة بالإنترنت </w:t>
      </w:r>
      <w:r w:rsidRPr="00F51480">
        <w:t>(</w:t>
      </w:r>
      <w:r w:rsidRPr="00F51480">
        <w:rPr>
          <w:lang w:bidi="ar-EG"/>
        </w:rPr>
        <w:t>CWG-Internet</w:t>
      </w:r>
      <w:r w:rsidRPr="00F51480">
        <w:t>)</w:t>
      </w:r>
      <w:r w:rsidRPr="00F51480">
        <w:rPr>
          <w:rtl/>
        </w:rPr>
        <w:t>، حسب الاقتضاء، من أجل المساهمة بطريقة مفيدة للطرفين في إنجاز العمل في القضايا ذات الصلة في إطار ولايتي فريقي العمل هذين التابعين للمجلس؛</w:t>
      </w:r>
    </w:p>
    <w:p w14:paraId="47CD88A9" w14:textId="4DBE9DB7" w:rsidR="00F51480" w:rsidRPr="00F51480" w:rsidRDefault="00F51480" w:rsidP="00B42045">
      <w:pPr>
        <w:pStyle w:val="enumlev1"/>
        <w:rPr>
          <w:lang w:val="ar-SA" w:bidi="ar-EG"/>
        </w:rPr>
      </w:pPr>
      <w:r w:rsidRPr="00F51480">
        <w:rPr>
          <w:lang w:bidi="ar-EG"/>
        </w:rPr>
        <w:t>–</w:t>
      </w:r>
      <w:r w:rsidRPr="00F51480">
        <w:rPr>
          <w:rtl/>
        </w:rPr>
        <w:tab/>
        <w:t>تشجيع فريق العمل التابع للمجلس والمعني بحماية الأطفال على الإنترنت على التواصل مع لجنة الدراسات</w:t>
      </w:r>
      <w:r w:rsidR="00BD1445">
        <w:rPr>
          <w:rFonts w:hint="cs"/>
          <w:rtl/>
        </w:rPr>
        <w:t> </w:t>
      </w:r>
      <w:r w:rsidRPr="00F51480">
        <w:rPr>
          <w:rtl/>
        </w:rPr>
        <w:t xml:space="preserve">2 </w:t>
      </w:r>
      <w:r w:rsidR="006E4F5A">
        <w:t>(SG2)</w:t>
      </w:r>
      <w:r w:rsidR="006E4F5A">
        <w:rPr>
          <w:rFonts w:hint="cs"/>
          <w:rtl/>
        </w:rPr>
        <w:t xml:space="preserve"> </w:t>
      </w:r>
      <w:r w:rsidRPr="00F51480">
        <w:rPr>
          <w:rtl/>
        </w:rPr>
        <w:t>التابعة لقطاع تنمية الاتصالات و</w:t>
      </w:r>
      <w:r w:rsidR="00BD1445">
        <w:rPr>
          <w:rFonts w:hint="cs"/>
          <w:rtl/>
        </w:rPr>
        <w:t>ا</w:t>
      </w:r>
      <w:r w:rsidRPr="00F51480">
        <w:rPr>
          <w:rtl/>
        </w:rPr>
        <w:t>طلاعها على نواتج اجتماعاته لفائدة المناقشات المتعلقة بمسألة الدراسة ذات الصلة؛</w:t>
      </w:r>
    </w:p>
    <w:p w14:paraId="33009070" w14:textId="46DE5016" w:rsidR="00F51480" w:rsidRPr="00F51480" w:rsidRDefault="00F51480" w:rsidP="00B42045">
      <w:pPr>
        <w:pStyle w:val="enumlev1"/>
        <w:rPr>
          <w:lang w:val="ar-SA" w:bidi="ar-EG"/>
        </w:rPr>
      </w:pPr>
      <w:r w:rsidRPr="00F51480">
        <w:rPr>
          <w:lang w:bidi="ar-EG"/>
        </w:rPr>
        <w:t>–</w:t>
      </w:r>
      <w:r w:rsidRPr="00F51480">
        <w:rPr>
          <w:rtl/>
        </w:rPr>
        <w:tab/>
        <w:t>تشجيع فريق العمل التابع للمجلس والمعني بحماية الأطفال على الإنترنت على أن يجري مشاورات على الإنترنت مع الشباب للاستماع إلى آرائهم ورؤاهم بشأن مختلف المسائل المتعلقة بحماية الأطفال على الإنترنت، وذلك قبل وأثناء اجتماعات الفريق؛</w:t>
      </w:r>
    </w:p>
    <w:p w14:paraId="37B1F8BF" w14:textId="77777777" w:rsidR="00F51480" w:rsidRPr="00BD1445" w:rsidRDefault="00F51480" w:rsidP="00B42045">
      <w:pPr>
        <w:pStyle w:val="enumlev1"/>
        <w:rPr>
          <w:spacing w:val="-4"/>
          <w:lang w:val="ar-SA" w:bidi="ar-EG"/>
        </w:rPr>
      </w:pPr>
      <w:r w:rsidRPr="00F51480">
        <w:rPr>
          <w:lang w:bidi="ar-EG"/>
        </w:rPr>
        <w:t>–</w:t>
      </w:r>
      <w:r w:rsidRPr="00F51480">
        <w:rPr>
          <w:rtl/>
        </w:rPr>
        <w:tab/>
      </w:r>
      <w:r w:rsidRPr="00BD1445">
        <w:rPr>
          <w:spacing w:val="-4"/>
          <w:rtl/>
        </w:rPr>
        <w:t>مواصلة إتاحة جميع الوثائق الصادرة المتعلقة بقضايا حماية الأطفال على الإنترنت للجمهور بدون حماية بكلمة مرور.</w:t>
      </w:r>
    </w:p>
    <w:p w14:paraId="41A08BFB" w14:textId="77777777" w:rsidR="00F51480" w:rsidRPr="00F51480" w:rsidRDefault="00F51480" w:rsidP="00B42045">
      <w:pPr>
        <w:pStyle w:val="Heading1"/>
        <w:rPr>
          <w:lang w:val="ar-SA" w:bidi="ar-EG"/>
        </w:rPr>
      </w:pPr>
      <w:r w:rsidRPr="00F51480">
        <w:rPr>
          <w:rtl/>
        </w:rPr>
        <w:t>2</w:t>
      </w:r>
      <w:r w:rsidRPr="00F51480">
        <w:rPr>
          <w:rtl/>
        </w:rPr>
        <w:tab/>
        <w:t>أنشطة فريق العمل التابع للمجلس والمعني بحماية الأطفال على الإنترنت</w:t>
      </w:r>
    </w:p>
    <w:p w14:paraId="4726F8CB" w14:textId="77777777" w:rsidR="00F51480" w:rsidRPr="00F51480" w:rsidRDefault="00F51480" w:rsidP="00F51480">
      <w:pPr>
        <w:rPr>
          <w:lang w:val="ar-SA" w:bidi="ar-EG"/>
        </w:rPr>
      </w:pPr>
      <w:r w:rsidRPr="00F51480">
        <w:rPr>
          <w:rtl/>
        </w:rPr>
        <w:t>تحتوي هذه الوثيقة على التقرير الموجز لرئيس فريق العمل التابع للمجلس والمعني بحماية الأطفال على الإنترنت عن الاجتماعين اللذين عقدهما الفريق منذ دورة المجلس في يونيو ‎2024.</w:t>
      </w:r>
    </w:p>
    <w:p w14:paraId="3D237111" w14:textId="77777777" w:rsidR="00F51480" w:rsidRPr="00F51480" w:rsidRDefault="00F51480" w:rsidP="00F51480">
      <w:pPr>
        <w:rPr>
          <w:lang w:val="ar-SA" w:bidi="ar-EG"/>
        </w:rPr>
      </w:pPr>
      <w:r w:rsidRPr="00F51480">
        <w:rPr>
          <w:rtl/>
        </w:rPr>
        <w:t>وخلال هذه الفترة، ركز عمل الفريق على ما يلي:</w:t>
      </w:r>
    </w:p>
    <w:p w14:paraId="13B5738B" w14:textId="64174CFD" w:rsidR="00F51480" w:rsidRPr="00F51480" w:rsidRDefault="00BD1445" w:rsidP="00B42045">
      <w:pPr>
        <w:pStyle w:val="enumlev1"/>
        <w:rPr>
          <w:lang w:val="ar-SA" w:bidi="ar-EG"/>
        </w:rPr>
      </w:pPr>
      <w:r>
        <w:rPr>
          <w:rFonts w:hint="cs"/>
          <w:rtl/>
        </w:rPr>
        <w:t> </w:t>
      </w:r>
      <w:r w:rsidR="00F51480" w:rsidRPr="00F51480">
        <w:rPr>
          <w:rtl/>
        </w:rPr>
        <w:t>أ</w:t>
      </w:r>
      <w:r>
        <w:rPr>
          <w:rFonts w:hint="cs"/>
          <w:rtl/>
        </w:rPr>
        <w:t> </w:t>
      </w:r>
      <w:r w:rsidR="00F51480" w:rsidRPr="00F51480">
        <w:rPr>
          <w:rtl/>
        </w:rPr>
        <w:t>)</w:t>
      </w:r>
      <w:r w:rsidR="00F51480" w:rsidRPr="00F51480">
        <w:rPr>
          <w:rtl/>
        </w:rPr>
        <w:tab/>
        <w:t>عرض نتائج البرنامج العالمي لحماية الأطفال على الإنترنت والمبادرة الشاملة لحماية الأطفال على الإنترنت.</w:t>
      </w:r>
    </w:p>
    <w:p w14:paraId="331E5139" w14:textId="21644FAE" w:rsidR="00F51480" w:rsidRPr="00F51480" w:rsidRDefault="00F51480" w:rsidP="00B42045">
      <w:pPr>
        <w:pStyle w:val="enumlev1"/>
        <w:rPr>
          <w:lang w:val="ar-SA" w:bidi="ar-EG"/>
        </w:rPr>
      </w:pPr>
      <w:r w:rsidRPr="00F51480">
        <w:rPr>
          <w:rtl/>
        </w:rPr>
        <w:t>ب)</w:t>
      </w:r>
      <w:r w:rsidRPr="00F51480">
        <w:rPr>
          <w:rtl/>
        </w:rPr>
        <w:tab/>
        <w:t>ضمان الاستماع إلى آراء الأطفال في جهود حماية الأطفال على الإنترنت.</w:t>
      </w:r>
    </w:p>
    <w:p w14:paraId="2D1EB440" w14:textId="205187ED" w:rsidR="00F51480" w:rsidRPr="005F619B" w:rsidRDefault="00F51480" w:rsidP="00B42045">
      <w:pPr>
        <w:pStyle w:val="enumlev1"/>
        <w:rPr>
          <w:spacing w:val="-4"/>
          <w:lang w:val="ar-SA" w:bidi="ar-EG"/>
        </w:rPr>
      </w:pPr>
      <w:r w:rsidRPr="00F51480">
        <w:rPr>
          <w:rtl/>
        </w:rPr>
        <w:t>ج)</w:t>
      </w:r>
      <w:r w:rsidRPr="00F51480">
        <w:rPr>
          <w:rtl/>
        </w:rPr>
        <w:tab/>
      </w:r>
      <w:r w:rsidRPr="005F619B">
        <w:rPr>
          <w:spacing w:val="-4"/>
          <w:rtl/>
        </w:rPr>
        <w:t>إشراك المزيد من شركات تكنولوجيا المعلومات والاتصالات العاملة في هذا المجال لضمان الحوار وتبادل المعارف.</w:t>
      </w:r>
    </w:p>
    <w:p w14:paraId="0DF5CC1A" w14:textId="08317E08" w:rsidR="00F51480" w:rsidRPr="00F51480" w:rsidRDefault="00F51480" w:rsidP="00B42045">
      <w:pPr>
        <w:pStyle w:val="enumlev1"/>
        <w:rPr>
          <w:lang w:val="ar-SA" w:bidi="ar-EG"/>
        </w:rPr>
      </w:pPr>
      <w:r w:rsidRPr="00F51480">
        <w:rPr>
          <w:rtl/>
        </w:rPr>
        <w:t>د</w:t>
      </w:r>
      <w:r w:rsidR="00BD1445">
        <w:rPr>
          <w:rFonts w:hint="cs"/>
          <w:rtl/>
        </w:rPr>
        <w:t> </w:t>
      </w:r>
      <w:r w:rsidRPr="00F51480">
        <w:rPr>
          <w:rtl/>
        </w:rPr>
        <w:t>)</w:t>
      </w:r>
      <w:r w:rsidRPr="00F51480">
        <w:rPr>
          <w:rtl/>
        </w:rPr>
        <w:tab/>
        <w:t>تعزيز أعمال وجهود أعضاء الاتحاد وشركائه.</w:t>
      </w:r>
    </w:p>
    <w:p w14:paraId="29A3B48C" w14:textId="72D84E09" w:rsidR="00F51480" w:rsidRPr="00F51480" w:rsidRDefault="00F51480" w:rsidP="00B42045">
      <w:pPr>
        <w:pStyle w:val="enumlev1"/>
        <w:rPr>
          <w:lang w:val="ar-SA" w:bidi="ar-EG"/>
        </w:rPr>
      </w:pPr>
      <w:r w:rsidRPr="00F51480">
        <w:rPr>
          <w:rtl/>
        </w:rPr>
        <w:t>هـ )</w:t>
      </w:r>
      <w:r w:rsidRPr="00F51480">
        <w:rPr>
          <w:rtl/>
        </w:rPr>
        <w:tab/>
        <w:t>تبادل أفضل الممارسات واستكشاف فرص التعاون.</w:t>
      </w:r>
    </w:p>
    <w:p w14:paraId="0852340E" w14:textId="5C34DD00" w:rsidR="00F51480" w:rsidRPr="00F51480" w:rsidRDefault="00F51480" w:rsidP="00F51480">
      <w:pPr>
        <w:rPr>
          <w:bCs/>
          <w:lang w:val="ar-SA" w:bidi="ar-EG"/>
        </w:rPr>
      </w:pPr>
      <w:r w:rsidRPr="00F51480">
        <w:rPr>
          <w:rtl/>
        </w:rPr>
        <w:t>1</w:t>
      </w:r>
      <w:r w:rsidR="00BD1445">
        <w:rPr>
          <w:rFonts w:hint="cs"/>
          <w:rtl/>
        </w:rPr>
        <w:t>.</w:t>
      </w:r>
      <w:r w:rsidRPr="00F51480">
        <w:rPr>
          <w:rtl/>
        </w:rPr>
        <w:t>2</w:t>
      </w:r>
      <w:r w:rsidRPr="00F51480">
        <w:rPr>
          <w:rtl/>
        </w:rPr>
        <w:tab/>
        <w:t>وعقد فريق العمل التابع للمجلس والمعني بحماية الأطفال على الإنترنت اجتماعيه الحادي والعشرين والثاني والعشرين يوم</w:t>
      </w:r>
      <w:r w:rsidR="006E4F5A">
        <w:rPr>
          <w:rFonts w:hint="cs"/>
          <w:rtl/>
        </w:rPr>
        <w:t>َ</w:t>
      </w:r>
      <w:r w:rsidRPr="00F51480">
        <w:rPr>
          <w:rtl/>
        </w:rPr>
        <w:t>ي 30 سبتمبر و1 أكتوبر 2024 ويوم</w:t>
      </w:r>
      <w:r w:rsidR="006E4F5A">
        <w:rPr>
          <w:rFonts w:hint="cs"/>
          <w:rtl/>
        </w:rPr>
        <w:t>َ</w:t>
      </w:r>
      <w:r w:rsidRPr="00F51480">
        <w:rPr>
          <w:rtl/>
        </w:rPr>
        <w:t>ي 12 و13 فبراير 2025، على التوالي، في مقر الاتحاد في جنيف، سويسرا، بنسق هجين.</w:t>
      </w:r>
    </w:p>
    <w:p w14:paraId="54A3C4B7" w14:textId="2D1D8DE5" w:rsidR="00F51480" w:rsidRPr="00F51480" w:rsidRDefault="00F51480" w:rsidP="00F51480">
      <w:pPr>
        <w:rPr>
          <w:lang w:val="ar-SA" w:bidi="ar-EG"/>
        </w:rPr>
      </w:pPr>
      <w:r w:rsidRPr="00F51480">
        <w:rPr>
          <w:rtl/>
        </w:rPr>
        <w:t>2</w:t>
      </w:r>
      <w:r w:rsidR="00BD1445">
        <w:rPr>
          <w:rFonts w:hint="cs"/>
          <w:rtl/>
        </w:rPr>
        <w:t>.</w:t>
      </w:r>
      <w:r w:rsidRPr="00F51480">
        <w:rPr>
          <w:rtl/>
        </w:rPr>
        <w:t>2</w:t>
      </w:r>
      <w:r w:rsidRPr="00F51480">
        <w:rPr>
          <w:rtl/>
        </w:rPr>
        <w:tab/>
        <w:t xml:space="preserve">وقدم الرئيس ونائبة الرئيس تقريري الاجتماعين </w:t>
      </w:r>
      <w:hyperlink r:id="rId16" w:history="1">
        <w:r w:rsidRPr="00CA4C6C">
          <w:rPr>
            <w:rStyle w:val="Hyperlink"/>
            <w:rFonts w:ascii="Dubai" w:eastAsiaTheme="minorEastAsia" w:hAnsi="Dubai" w:cs="Dubai"/>
            <w:noProof w:val="0"/>
            <w:sz w:val="22"/>
            <w:u w:val="single"/>
            <w:rtl/>
            <w:lang w:val="en-US" w:eastAsia="zh-CN"/>
          </w:rPr>
          <w:t>الحادي والعشرين</w:t>
        </w:r>
      </w:hyperlink>
      <w:r w:rsidRPr="00F51480">
        <w:rPr>
          <w:rtl/>
        </w:rPr>
        <w:t xml:space="preserve"> و</w:t>
      </w:r>
      <w:hyperlink r:id="rId17" w:history="1">
        <w:r w:rsidRPr="00CA4C6C">
          <w:rPr>
            <w:rStyle w:val="Hyperlink"/>
            <w:rFonts w:ascii="Dubai" w:eastAsiaTheme="minorEastAsia" w:hAnsi="Dubai" w:cs="Dubai"/>
            <w:noProof w:val="0"/>
            <w:sz w:val="22"/>
            <w:u w:val="single"/>
            <w:rtl/>
            <w:lang w:val="en-US" w:eastAsia="zh-CN"/>
          </w:rPr>
          <w:t>الثاني والعشرين</w:t>
        </w:r>
      </w:hyperlink>
      <w:r w:rsidRPr="00F51480">
        <w:rPr>
          <w:rtl/>
        </w:rPr>
        <w:t>.</w:t>
      </w:r>
    </w:p>
    <w:p w14:paraId="29BE9333" w14:textId="7642E057" w:rsidR="00F51480" w:rsidRPr="00F51480" w:rsidRDefault="00F51480" w:rsidP="00F51480">
      <w:pPr>
        <w:rPr>
          <w:spacing w:val="-2"/>
          <w:lang w:val="ar-SA" w:bidi="ar-EG"/>
        </w:rPr>
      </w:pPr>
      <w:r w:rsidRPr="00F51480">
        <w:rPr>
          <w:rtl/>
        </w:rPr>
        <w:t>3</w:t>
      </w:r>
      <w:r w:rsidR="00BD1445">
        <w:rPr>
          <w:rFonts w:hint="cs"/>
          <w:rtl/>
        </w:rPr>
        <w:t>.</w:t>
      </w:r>
      <w:r w:rsidRPr="00F51480">
        <w:rPr>
          <w:rtl/>
        </w:rPr>
        <w:t>2</w:t>
      </w:r>
      <w:r w:rsidRPr="00F51480">
        <w:rPr>
          <w:rtl/>
        </w:rPr>
        <w:tab/>
        <w:t>وفي الاجتماع الحادي والعشرين، ناقش الفريق الذي يضم 129 مشاركاً المساهمات ووثائق المعلومات الواردة. وركزت المناقشات على تعزيز التعاون المتعدد</w:t>
      </w:r>
      <w:r w:rsidR="0083177F">
        <w:rPr>
          <w:rFonts w:hint="cs"/>
          <w:rtl/>
        </w:rPr>
        <w:t xml:space="preserve"> </w:t>
      </w:r>
      <w:r w:rsidR="0083177F" w:rsidRPr="006E4F5A">
        <w:rPr>
          <w:rtl/>
        </w:rPr>
        <w:t>بين</w:t>
      </w:r>
      <w:r w:rsidRPr="00F51480">
        <w:rPr>
          <w:rtl/>
        </w:rPr>
        <w:t xml:space="preserve"> أصحاب المصلحة، وزيادة مشاركة الأطفال، وتحسين التنسيق مع لجان الدراسات في الاتحاد. وعلاوة على ذلك، أقر </w:t>
      </w:r>
      <w:hyperlink r:id="rId18" w:history="1">
        <w:r w:rsidRPr="00CA4C6C">
          <w:rPr>
            <w:rStyle w:val="Hyperlink"/>
            <w:rFonts w:ascii="Dubai" w:eastAsiaTheme="minorEastAsia" w:hAnsi="Dubai" w:cs="Dubai"/>
            <w:noProof w:val="0"/>
            <w:sz w:val="22"/>
            <w:u w:val="single"/>
            <w:rtl/>
            <w:lang w:val="en-US" w:eastAsia="zh-CN"/>
          </w:rPr>
          <w:t>بيان اتصال</w:t>
        </w:r>
      </w:hyperlink>
      <w:r w:rsidRPr="00F51480">
        <w:rPr>
          <w:rtl/>
        </w:rPr>
        <w:t xml:space="preserve"> صادر عن المسألة 2/3 المسندة إلى لجنة الدراسات 2 لقطاع </w:t>
      </w:r>
      <w:r w:rsidRPr="00F51480">
        <w:rPr>
          <w:rtl/>
        </w:rPr>
        <w:lastRenderedPageBreak/>
        <w:t>تنمية الاتصالات و</w:t>
      </w:r>
      <w:hyperlink r:id="rId19" w:history="1">
        <w:r w:rsidRPr="00CA4C6C">
          <w:rPr>
            <w:rStyle w:val="Hyperlink"/>
            <w:rFonts w:ascii="Dubai" w:eastAsiaTheme="minorEastAsia" w:hAnsi="Dubai" w:cs="Dubai"/>
            <w:noProof w:val="0"/>
            <w:sz w:val="22"/>
            <w:u w:val="single"/>
            <w:rtl/>
            <w:lang w:val="en-US" w:eastAsia="zh-CN"/>
          </w:rPr>
          <w:t>بيان اتصال</w:t>
        </w:r>
      </w:hyperlink>
      <w:r w:rsidRPr="00F51480">
        <w:rPr>
          <w:rtl/>
        </w:rPr>
        <w:t xml:space="preserve"> بشأن لجنة الدراسات 17 بمساهمات فريق العمل التابع للمجلس والمعني بحماية </w:t>
      </w:r>
      <w:r w:rsidRPr="00F51480">
        <w:rPr>
          <w:spacing w:val="-2"/>
          <w:rtl/>
        </w:rPr>
        <w:t>الأطفال على الإنترنت، وأبرزا التقدم المحرز في معالجة الثغرات التي تعتري المعايير التقنية المتعلقة بحماية الأطفال على الإنترنت.</w:t>
      </w:r>
    </w:p>
    <w:p w14:paraId="0F21C287" w14:textId="77777777" w:rsidR="00F51480" w:rsidRPr="00F51480" w:rsidRDefault="00F51480" w:rsidP="00F51480">
      <w:pPr>
        <w:rPr>
          <w:lang w:val="ar-SA" w:bidi="ar-EG"/>
        </w:rPr>
      </w:pPr>
      <w:r w:rsidRPr="00F51480">
        <w:rPr>
          <w:rtl/>
        </w:rPr>
        <w:t>وشدد الرئيس على أهمية مشاركة الصناعة، ومساهمة الأطفال والشباب، وتشارك الموارد بين الأعضاء.</w:t>
      </w:r>
    </w:p>
    <w:p w14:paraId="1D3074F6" w14:textId="7C948907" w:rsidR="00F51480" w:rsidRPr="00F51480" w:rsidRDefault="00F51480" w:rsidP="00F51480">
      <w:pPr>
        <w:rPr>
          <w:lang w:val="ar-SA" w:bidi="ar-EG"/>
        </w:rPr>
      </w:pPr>
      <w:r w:rsidRPr="00F51480">
        <w:rPr>
          <w:rtl/>
        </w:rPr>
        <w:t>4</w:t>
      </w:r>
      <w:r w:rsidR="00BD1445">
        <w:rPr>
          <w:rFonts w:hint="cs"/>
          <w:rtl/>
        </w:rPr>
        <w:t>.</w:t>
      </w:r>
      <w:r w:rsidRPr="00F51480">
        <w:rPr>
          <w:rtl/>
        </w:rPr>
        <w:t>2</w:t>
      </w:r>
      <w:r w:rsidRPr="00F51480">
        <w:rPr>
          <w:rtl/>
        </w:rPr>
        <w:tab/>
        <w:t>وتمثلت أهم نتائج الاجتماع في ما يلي:</w:t>
      </w:r>
    </w:p>
    <w:p w14:paraId="6703B285" w14:textId="1AA398A6" w:rsidR="00F51480" w:rsidRPr="00F51480" w:rsidRDefault="00F51480" w:rsidP="00B42045">
      <w:pPr>
        <w:pStyle w:val="enumlev1"/>
        <w:rPr>
          <w:lang w:val="ar-SA" w:bidi="ar-EG"/>
        </w:rPr>
      </w:pPr>
      <w:r w:rsidRPr="00F51480">
        <w:rPr>
          <w:lang w:bidi="ar-EG"/>
        </w:rPr>
        <w:t>–</w:t>
      </w:r>
      <w:r w:rsidRPr="00F51480">
        <w:rPr>
          <w:rtl/>
        </w:rPr>
        <w:tab/>
        <w:t>رحب الرئيس بمساهمة الشباب في أعمال الاتحاد المتعلقة بحماية الأطفال على الإنترنت وأثنى على الأمانة لإشراكها الأطفال. ودعا الأمانة إلى إطلاع منظمات الوالدين ذات الصلة وفريق الخبراء المعني بالرقم القياسي العالمي للأمن السيبراني (</w:t>
      </w:r>
      <w:r w:rsidRPr="00F51480">
        <w:rPr>
          <w:lang w:bidi="ar-EG"/>
        </w:rPr>
        <w:t>GCI</w:t>
      </w:r>
      <w:r w:rsidRPr="00F51480">
        <w:rPr>
          <w:rtl/>
        </w:rPr>
        <w:t>) على تعقيبات الأطفال على خطوط المساعدة لإدراجها في مسائل حماية الأطفال على الإنترنت. كما شجع الأعضاء على النظر في مساهمات الأطفال في البرامج ذات الصلة.</w:t>
      </w:r>
    </w:p>
    <w:p w14:paraId="13E47827" w14:textId="36038D4A" w:rsidR="00F51480" w:rsidRPr="00F51480" w:rsidRDefault="00F51480" w:rsidP="00B42045">
      <w:pPr>
        <w:pStyle w:val="enumlev1"/>
        <w:rPr>
          <w:lang w:val="ar-SA" w:bidi="ar-EG"/>
        </w:rPr>
      </w:pPr>
      <w:r w:rsidRPr="00F51480">
        <w:rPr>
          <w:lang w:bidi="ar-EG"/>
        </w:rPr>
        <w:t>–</w:t>
      </w:r>
      <w:r w:rsidRPr="00F51480">
        <w:rPr>
          <w:rtl/>
        </w:rPr>
        <w:tab/>
        <w:t>اتفق الاجتماع على أن تتحول حوارات صناعة تكنولوجيا المعلومات والاتصالات إلى إطار أقل رسمية بقيادة مكتب تنمية الاتصالات، من خلال تنظيم موائد مستديرة لقطاع تكنولوجيا المعلومات والاتصالات لتعزيز المشاركة. وقدمت الأمانة مقترحاً في الاجتماع التالي.</w:t>
      </w:r>
    </w:p>
    <w:p w14:paraId="3EE22FDB" w14:textId="655EF0F3" w:rsidR="00F51480" w:rsidRPr="00F51480" w:rsidRDefault="00F51480" w:rsidP="00B42045">
      <w:pPr>
        <w:pStyle w:val="enumlev1"/>
        <w:rPr>
          <w:lang w:val="ar-SA" w:bidi="ar-EG"/>
        </w:rPr>
      </w:pPr>
      <w:r w:rsidRPr="00F51480">
        <w:rPr>
          <w:lang w:bidi="ar-EG"/>
        </w:rPr>
        <w:t>–</w:t>
      </w:r>
      <w:r w:rsidRPr="00F51480">
        <w:rPr>
          <w:rtl/>
        </w:rPr>
        <w:tab/>
        <w:t>اتُّفق كذلك على الاحتفاظ بسجل شامل لجميع المساهمات ووثائق المعلومات التي ينشرها الأعضاء على الموقع الإلكتروني للاتحاد الخاص بحماية الأطفال على الإنترنت، وإتاحة النفاذ إليه بدون كلمة مرور.</w:t>
      </w:r>
    </w:p>
    <w:p w14:paraId="0652CD89" w14:textId="77777777" w:rsidR="00F51480" w:rsidRPr="00F51480" w:rsidRDefault="00F51480" w:rsidP="00B42045">
      <w:pPr>
        <w:pStyle w:val="enumlev1"/>
        <w:rPr>
          <w:lang w:val="ar-SA" w:bidi="ar-EG"/>
        </w:rPr>
      </w:pPr>
      <w:r w:rsidRPr="00F51480">
        <w:rPr>
          <w:lang w:bidi="ar-EG"/>
        </w:rPr>
        <w:t>–</w:t>
      </w:r>
      <w:r w:rsidRPr="00F51480">
        <w:rPr>
          <w:rtl/>
        </w:rPr>
        <w:tab/>
        <w:t>اتفق الاجتماع على إرسال نتائج هذا الاجتماع واجتماع فريق العمل التابع للمجلس والمعني بحماية الأطفال على الإنترنت في يناير 2025 إلى فريق إدارة المسألة 2/3 المسندة إلى لجنة الدراسات 2 لقطاع تنمية الاتصالات من أجل النظر فيها.</w:t>
      </w:r>
    </w:p>
    <w:p w14:paraId="31A3C69B" w14:textId="350A0722" w:rsidR="00F51480" w:rsidRPr="00F51480" w:rsidRDefault="00F51480" w:rsidP="00F51480">
      <w:pPr>
        <w:rPr>
          <w:lang w:val="ar-SA" w:bidi="ar-EG"/>
        </w:rPr>
      </w:pPr>
      <w:r w:rsidRPr="00F51480">
        <w:rPr>
          <w:rtl/>
        </w:rPr>
        <w:t>5</w:t>
      </w:r>
      <w:r w:rsidR="00BD1445">
        <w:rPr>
          <w:rFonts w:hint="cs"/>
          <w:rtl/>
        </w:rPr>
        <w:t>.</w:t>
      </w:r>
      <w:r w:rsidRPr="00F51480">
        <w:rPr>
          <w:rtl/>
        </w:rPr>
        <w:t>2</w:t>
      </w:r>
      <w:r w:rsidRPr="00F51480">
        <w:rPr>
          <w:rtl/>
        </w:rPr>
        <w:tab/>
        <w:t>وفي الاجتماع الثاني والعشرين لفريق العمل التابع للمجلس والمعني بحماية الأطفال على الإنترنت، نوقشت المساهمات ووثائق المعلومات الواردة بين المشاركين البالغ عددهم 191 مشاركاً. وشملت المواضيع الرئيسية المخاوف المتعلقة بسوء استخدام الهواتف المتنقلة في المدارس والحلول التقنية لإدارة الإفراط في استخدام الأطفال للإنترنت والوقت الذي يقضونه أمام الشاشة، من قبيل مجموعات أدوات التجفير من طرف إلى طرف والتحقق من العمر. وبالإضافة إلى ذلك، أكد الاجتماع من جديد على أهمية إشراك أصحاب المصلحة المتعددين في جهود حماية الأطفال على الإنترنت، مشدداً على الحاجة إلى إشراك الصناعة في جدول أعمال الاجتماع وفي المبادرات الأوسع نطاقاً.</w:t>
      </w:r>
    </w:p>
    <w:p w14:paraId="7306E6DF" w14:textId="5E33C21F" w:rsidR="00F51480" w:rsidRPr="00F51480" w:rsidRDefault="00F51480" w:rsidP="00F51480">
      <w:pPr>
        <w:rPr>
          <w:lang w:val="ar-SA" w:bidi="ar-EG"/>
        </w:rPr>
      </w:pPr>
      <w:r w:rsidRPr="00F51480">
        <w:rPr>
          <w:rtl/>
        </w:rPr>
        <w:t>6</w:t>
      </w:r>
      <w:r w:rsidR="00BD1445">
        <w:rPr>
          <w:rFonts w:hint="cs"/>
          <w:rtl/>
        </w:rPr>
        <w:t>.</w:t>
      </w:r>
      <w:r w:rsidRPr="00F51480">
        <w:rPr>
          <w:rtl/>
        </w:rPr>
        <w:t>2</w:t>
      </w:r>
      <w:r w:rsidRPr="00F51480">
        <w:rPr>
          <w:rtl/>
        </w:rPr>
        <w:tab/>
        <w:t>وتمثلت أهم نتائج الاجتماع في ما يلي:</w:t>
      </w:r>
    </w:p>
    <w:p w14:paraId="6AD3EC8D" w14:textId="77777777" w:rsidR="00F51480" w:rsidRPr="00F51480" w:rsidRDefault="00F51480" w:rsidP="00B42045">
      <w:pPr>
        <w:pStyle w:val="enumlev1"/>
        <w:rPr>
          <w:lang w:val="ar-SA" w:bidi="ar-EG"/>
        </w:rPr>
      </w:pPr>
      <w:r w:rsidRPr="00F51480">
        <w:rPr>
          <w:lang w:bidi="ar-EG"/>
        </w:rPr>
        <w:t>–</w:t>
      </w:r>
      <w:r w:rsidRPr="00F51480">
        <w:rPr>
          <w:rtl/>
        </w:rPr>
        <w:tab/>
        <w:t>رحب الاجتماع بمبادرة الأمانة لإتاحة جميع الموارد المقدمة خلال اجتماعات فريق العمل التابع للمجلس والمعني بحماية الأطفال على الإنترنت في الموقع الإلكتروني المخصص لها.</w:t>
      </w:r>
    </w:p>
    <w:p w14:paraId="5F26BAA8" w14:textId="77777777" w:rsidR="00F51480" w:rsidRPr="00F51480" w:rsidRDefault="00F51480" w:rsidP="00B42045">
      <w:pPr>
        <w:pStyle w:val="enumlev1"/>
        <w:rPr>
          <w:lang w:val="ar-SA" w:bidi="ar-EG"/>
        </w:rPr>
      </w:pPr>
      <w:r w:rsidRPr="00F51480">
        <w:rPr>
          <w:lang w:bidi="ar-EG"/>
        </w:rPr>
        <w:t>–</w:t>
      </w:r>
      <w:r w:rsidRPr="00F51480">
        <w:rPr>
          <w:rtl/>
        </w:rPr>
        <w:tab/>
        <w:t xml:space="preserve">أيد الاجتماع سلسلة </w:t>
      </w:r>
      <w:r w:rsidRPr="00F51480">
        <w:rPr>
          <w:i/>
          <w:iCs/>
          <w:rtl/>
        </w:rPr>
        <w:t>التواصل مع دوائر الصناعة: مناقشات فصلية بين القطاعات بشأن حماية الأطفال على الإنترنت</w:t>
      </w:r>
      <w:r w:rsidRPr="00F51480">
        <w:rPr>
          <w:rtl/>
        </w:rPr>
        <w:t xml:space="preserve"> المقترحة في الاتحاد، وهنأ مكتب تنمية الاتصالات بالاتحاد على هذه المبادرة. وأكدت الأمانة أن التسجيل للمشاركة في الحدث سيكون متاحاً عبر الموقع الإلكتروني للاتحاد الخاص بحماية الأطفال على الإنترنت. وبالإضافة إلى ذلك، دُعيت الأمانة إلى تحديث المذكرة المفاهيمية استناداً إلى التعقيبات، بما في ذلك الإشارة إلى قراري الاتحاد 179 و67، وإشراك الأطفال، وإمكانية النفاذ من خلال لغة الإشارة، والمشاركة الإقليمية. وستنفَّذ التعديلات المطلوبة وفقاً لذلك.</w:t>
      </w:r>
    </w:p>
    <w:p w14:paraId="6BD3AC59" w14:textId="77777777" w:rsidR="00F51480" w:rsidRPr="00F51480" w:rsidRDefault="00F51480" w:rsidP="00B42045">
      <w:pPr>
        <w:pStyle w:val="enumlev1"/>
        <w:rPr>
          <w:lang w:val="ar-SA" w:bidi="ar-EG"/>
        </w:rPr>
      </w:pPr>
      <w:r w:rsidRPr="00F51480">
        <w:rPr>
          <w:lang w:bidi="ar-EG"/>
        </w:rPr>
        <w:t>–</w:t>
      </w:r>
      <w:r w:rsidRPr="00F51480">
        <w:rPr>
          <w:rtl/>
        </w:rPr>
        <w:tab/>
        <w:t>أكد الاجتماع من جديد على أهمية إشراك أصحاب المصلحة المتعددين في حماية الأطفال على الإنترنت، مشدداً على الحاجة إلى مشاركة الصناعة في جدول أعمال الاجتماع وفي المبادرات الأوسع نطاقاً بشأن حماية الأطفال على الإنترنت.</w:t>
      </w:r>
    </w:p>
    <w:p w14:paraId="3287D30F" w14:textId="77777777" w:rsidR="00F51480" w:rsidRPr="00B2021D" w:rsidRDefault="00F51480" w:rsidP="00CA4C6C">
      <w:pPr>
        <w:pStyle w:val="enumlev1"/>
        <w:keepNext/>
        <w:keepLines/>
        <w:rPr>
          <w:lang w:val="ar-SA" w:bidi="ar-EG"/>
        </w:rPr>
      </w:pPr>
      <w:r w:rsidRPr="00F51480">
        <w:rPr>
          <w:lang w:bidi="ar-EG"/>
        </w:rPr>
        <w:lastRenderedPageBreak/>
        <w:t>–</w:t>
      </w:r>
      <w:r w:rsidRPr="00F51480">
        <w:rPr>
          <w:rtl/>
        </w:rPr>
        <w:tab/>
        <w:t>أعرب الاجتماع عن توقعه أن يناقَش تقرير تحليل الثغرات الذي أعده فريق العمل بالمراسلة المعني بحماية الأطفال على الإنترنت (</w:t>
      </w:r>
      <w:r w:rsidRPr="00F51480">
        <w:rPr>
          <w:lang w:bidi="ar-EG"/>
        </w:rPr>
        <w:t>CG-COP</w:t>
      </w:r>
      <w:r w:rsidRPr="00F51480">
        <w:rPr>
          <w:rtl/>
        </w:rPr>
        <w:t>) في الاجتماع المقبل في أكتوبر 2025. وأكد المنظم المشارك التابع للفريق أن التقرير لا يزال قيد التحديث</w:t>
      </w:r>
      <w:r w:rsidRPr="00B2021D">
        <w:rPr>
          <w:rtl/>
        </w:rPr>
        <w:t>. وسيناقَش التقرير في لجنة الدراسات 17 في أبريل 2025، قبل عرضه على الاجتماع المقبل لفريق العمل التابع للمجلس والمعني بحماية الأطفال على الإنترنت.</w:t>
      </w:r>
    </w:p>
    <w:p w14:paraId="1FB8C2B0" w14:textId="601EDD12" w:rsidR="00F51480" w:rsidRPr="00B2021D" w:rsidRDefault="00F51480" w:rsidP="006E4F5A">
      <w:pPr>
        <w:keepNext/>
        <w:spacing w:before="720"/>
        <w:ind w:left="3969"/>
        <w:jc w:val="center"/>
        <w:rPr>
          <w:lang w:val="ar-SA" w:bidi="ar-EG"/>
        </w:rPr>
      </w:pPr>
      <w:r w:rsidRPr="00B2021D">
        <w:rPr>
          <w:rtl/>
        </w:rPr>
        <w:t xml:space="preserve">عبد العزيز الزرعوني (الإمارات العربية المتحدة) </w:t>
      </w:r>
      <w:r w:rsidR="006F559F" w:rsidRPr="00B2021D">
        <w:br/>
      </w:r>
      <w:r w:rsidRPr="00B2021D">
        <w:rPr>
          <w:rtl/>
        </w:rPr>
        <w:t xml:space="preserve">رئيس فريق العمل التابع للمجلس والمعني بحماية الأطفال </w:t>
      </w:r>
      <w:r w:rsidR="006E4F5A">
        <w:rPr>
          <w:rtl/>
        </w:rPr>
        <w:br/>
      </w:r>
      <w:r w:rsidRPr="00B2021D">
        <w:rPr>
          <w:rtl/>
        </w:rPr>
        <w:t xml:space="preserve">على الإنترنت </w:t>
      </w:r>
      <w:r w:rsidRPr="00B2021D">
        <w:rPr>
          <w:lang w:bidi="ar-EG"/>
        </w:rPr>
        <w:t>(CWG-COP</w:t>
      </w:r>
      <w:r w:rsidRPr="00B2021D">
        <w:t>)</w:t>
      </w:r>
    </w:p>
    <w:p w14:paraId="118EB656" w14:textId="730F357E" w:rsidR="00F50E3F" w:rsidRPr="00B2021D" w:rsidRDefault="00F51480" w:rsidP="006E4F5A">
      <w:pPr>
        <w:keepNext/>
        <w:spacing w:before="720"/>
        <w:ind w:left="3969"/>
        <w:jc w:val="center"/>
        <w:rPr>
          <w:rtl/>
          <w:lang w:bidi="ar-EG"/>
        </w:rPr>
      </w:pPr>
      <w:r w:rsidRPr="00B2021D">
        <w:rPr>
          <w:rtl/>
        </w:rPr>
        <w:t xml:space="preserve">ستيلا ش. </w:t>
      </w:r>
      <w:proofErr w:type="spellStart"/>
      <w:r w:rsidRPr="00B2021D">
        <w:rPr>
          <w:rtl/>
        </w:rPr>
        <w:t>إريبور</w:t>
      </w:r>
      <w:proofErr w:type="spellEnd"/>
      <w:r w:rsidRPr="00B2021D">
        <w:rPr>
          <w:rtl/>
        </w:rPr>
        <w:t xml:space="preserve"> (نيجيريا) </w:t>
      </w:r>
      <w:r w:rsidR="006F559F" w:rsidRPr="00B2021D">
        <w:br/>
      </w:r>
      <w:r w:rsidRPr="00B2021D">
        <w:rPr>
          <w:rtl/>
        </w:rPr>
        <w:t xml:space="preserve">نائبة رئيس فريق العمل التابع للمجلس </w:t>
      </w:r>
      <w:r w:rsidR="006E4F5A">
        <w:rPr>
          <w:rtl/>
        </w:rPr>
        <w:br/>
      </w:r>
      <w:r w:rsidRPr="00B2021D">
        <w:rPr>
          <w:rtl/>
        </w:rPr>
        <w:t xml:space="preserve">والمعني بحماية الأطفال على الإنترنت </w:t>
      </w:r>
      <w:r w:rsidRPr="00B2021D">
        <w:rPr>
          <w:lang w:bidi="ar-EG"/>
        </w:rPr>
        <w:t>(CWG-COP</w:t>
      </w:r>
      <w:r w:rsidRPr="00B2021D">
        <w:t>)</w:t>
      </w:r>
    </w:p>
    <w:sectPr w:rsidR="00F50E3F" w:rsidRPr="00B2021D" w:rsidSect="006F363C">
      <w:footerReference w:type="default" r:id="rId20"/>
      <w:headerReference w:type="first" r:id="rId21"/>
      <w:footerReference w:type="first" r:id="rId22"/>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FD4A" w14:textId="77777777" w:rsidR="00AB25A8" w:rsidRDefault="00AB25A8" w:rsidP="006C3242">
      <w:pPr>
        <w:spacing w:before="0" w:line="240" w:lineRule="auto"/>
      </w:pPr>
      <w:r>
        <w:separator/>
      </w:r>
    </w:p>
  </w:endnote>
  <w:endnote w:type="continuationSeparator" w:id="0">
    <w:p w14:paraId="2AAE3230" w14:textId="77777777" w:rsidR="00AB25A8" w:rsidRDefault="00AB25A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51004054" w14:textId="77777777" w:rsidTr="00A67F05">
      <w:trPr>
        <w:jc w:val="center"/>
      </w:trPr>
      <w:tc>
        <w:tcPr>
          <w:tcW w:w="868" w:type="pct"/>
          <w:vAlign w:val="center"/>
        </w:tcPr>
        <w:p w14:paraId="3C4C7AFB" w14:textId="79821BC9" w:rsidR="00F50E3F" w:rsidRPr="007B0AA0" w:rsidRDefault="00C22AF4"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C22AF4">
            <w:rPr>
              <w:rFonts w:ascii="Calibri" w:hAnsi="Calibri" w:cs="Arial"/>
              <w:noProof/>
              <w:sz w:val="18"/>
            </w:rPr>
            <w:t>2500693</w:t>
          </w:r>
        </w:p>
      </w:tc>
      <w:tc>
        <w:tcPr>
          <w:tcW w:w="3912" w:type="pct"/>
        </w:tcPr>
        <w:p w14:paraId="5D16BE3B" w14:textId="110A12DF"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C3817">
            <w:rPr>
              <w:rFonts w:ascii="Calibri" w:hAnsi="Calibri" w:cs="Arial"/>
              <w:bCs/>
              <w:color w:val="7F7F7F"/>
              <w:sz w:val="18"/>
            </w:rPr>
            <w:t>15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C8CCF79"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1B0BB86"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447A5F6A" w14:textId="77777777" w:rsidTr="00A67F05">
      <w:trPr>
        <w:jc w:val="center"/>
      </w:trPr>
      <w:tc>
        <w:tcPr>
          <w:tcW w:w="1013" w:type="pct"/>
          <w:vAlign w:val="center"/>
        </w:tcPr>
        <w:p w14:paraId="45063FF9"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1BD0FE50" w14:textId="40430BB5"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7C3817">
            <w:rPr>
              <w:rFonts w:ascii="Calibri" w:hAnsi="Calibri" w:cs="Arial"/>
              <w:bCs/>
              <w:color w:val="7F7F7F"/>
              <w:sz w:val="18"/>
            </w:rPr>
            <w:t>15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BB90826"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5AB3588"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DF8D" w14:textId="77777777" w:rsidR="00AB25A8" w:rsidRDefault="00AB25A8" w:rsidP="006C3242">
      <w:pPr>
        <w:spacing w:before="0" w:line="240" w:lineRule="auto"/>
      </w:pPr>
      <w:r>
        <w:separator/>
      </w:r>
    </w:p>
  </w:footnote>
  <w:footnote w:type="continuationSeparator" w:id="0">
    <w:p w14:paraId="3EC98C07" w14:textId="77777777" w:rsidR="00AB25A8" w:rsidRDefault="00AB25A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D508"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E50F5C8" wp14:editId="52F1A005">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72B3A"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1A94B9A8" wp14:editId="56A333B4">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8183880">
    <w:abstractNumId w:val="9"/>
  </w:num>
  <w:num w:numId="2" w16cid:durableId="1998609255">
    <w:abstractNumId w:val="7"/>
  </w:num>
  <w:num w:numId="3" w16cid:durableId="1460764145">
    <w:abstractNumId w:val="6"/>
  </w:num>
  <w:num w:numId="4" w16cid:durableId="1101340850">
    <w:abstractNumId w:val="5"/>
  </w:num>
  <w:num w:numId="5" w16cid:durableId="1410998113">
    <w:abstractNumId w:val="4"/>
  </w:num>
  <w:num w:numId="6" w16cid:durableId="832987207">
    <w:abstractNumId w:val="8"/>
  </w:num>
  <w:num w:numId="7" w16cid:durableId="494805830">
    <w:abstractNumId w:val="3"/>
  </w:num>
  <w:num w:numId="8" w16cid:durableId="2004814932">
    <w:abstractNumId w:val="2"/>
  </w:num>
  <w:num w:numId="9" w16cid:durableId="565729014">
    <w:abstractNumId w:val="1"/>
  </w:num>
  <w:num w:numId="10" w16cid:durableId="2145922859">
    <w:abstractNumId w:val="0"/>
  </w:num>
  <w:num w:numId="11" w16cid:durableId="1785272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D1"/>
    <w:rsid w:val="000409E2"/>
    <w:rsid w:val="0006468A"/>
    <w:rsid w:val="00090574"/>
    <w:rsid w:val="000C1C0E"/>
    <w:rsid w:val="000C548A"/>
    <w:rsid w:val="00191059"/>
    <w:rsid w:val="001B6E2B"/>
    <w:rsid w:val="001B7039"/>
    <w:rsid w:val="001C0169"/>
    <w:rsid w:val="001C0C21"/>
    <w:rsid w:val="001D1D50"/>
    <w:rsid w:val="001D64C7"/>
    <w:rsid w:val="001D6745"/>
    <w:rsid w:val="001E446E"/>
    <w:rsid w:val="00206B3F"/>
    <w:rsid w:val="002154EE"/>
    <w:rsid w:val="002276D2"/>
    <w:rsid w:val="0023283D"/>
    <w:rsid w:val="00254393"/>
    <w:rsid w:val="0026373E"/>
    <w:rsid w:val="00271C43"/>
    <w:rsid w:val="00290728"/>
    <w:rsid w:val="002978F4"/>
    <w:rsid w:val="002B028D"/>
    <w:rsid w:val="002C3F32"/>
    <w:rsid w:val="002E6541"/>
    <w:rsid w:val="002F7518"/>
    <w:rsid w:val="003105E1"/>
    <w:rsid w:val="00334924"/>
    <w:rsid w:val="003409BC"/>
    <w:rsid w:val="00357185"/>
    <w:rsid w:val="00383829"/>
    <w:rsid w:val="003F4B29"/>
    <w:rsid w:val="004102B5"/>
    <w:rsid w:val="00420F8A"/>
    <w:rsid w:val="0042686F"/>
    <w:rsid w:val="004317D8"/>
    <w:rsid w:val="0043260A"/>
    <w:rsid w:val="00434183"/>
    <w:rsid w:val="00443869"/>
    <w:rsid w:val="00447F32"/>
    <w:rsid w:val="00457462"/>
    <w:rsid w:val="00491BA9"/>
    <w:rsid w:val="004A4701"/>
    <w:rsid w:val="004B7334"/>
    <w:rsid w:val="004E11DC"/>
    <w:rsid w:val="004E3DDE"/>
    <w:rsid w:val="005130DE"/>
    <w:rsid w:val="00513157"/>
    <w:rsid w:val="00525DDD"/>
    <w:rsid w:val="005409AC"/>
    <w:rsid w:val="005434E0"/>
    <w:rsid w:val="00544168"/>
    <w:rsid w:val="005546CF"/>
    <w:rsid w:val="0055516A"/>
    <w:rsid w:val="0058491B"/>
    <w:rsid w:val="00592EA5"/>
    <w:rsid w:val="005A3170"/>
    <w:rsid w:val="005F619B"/>
    <w:rsid w:val="00655D98"/>
    <w:rsid w:val="00660DEA"/>
    <w:rsid w:val="00677396"/>
    <w:rsid w:val="0069200F"/>
    <w:rsid w:val="006A65CB"/>
    <w:rsid w:val="006B12E5"/>
    <w:rsid w:val="006C3242"/>
    <w:rsid w:val="006C7CC0"/>
    <w:rsid w:val="006E4F5A"/>
    <w:rsid w:val="006F363C"/>
    <w:rsid w:val="006F559F"/>
    <w:rsid w:val="006F63F7"/>
    <w:rsid w:val="007025C7"/>
    <w:rsid w:val="00706D7A"/>
    <w:rsid w:val="00722F0D"/>
    <w:rsid w:val="0074420E"/>
    <w:rsid w:val="007648A6"/>
    <w:rsid w:val="0077110E"/>
    <w:rsid w:val="00783E26"/>
    <w:rsid w:val="007A6684"/>
    <w:rsid w:val="007B0AA0"/>
    <w:rsid w:val="007B5D9D"/>
    <w:rsid w:val="007C3817"/>
    <w:rsid w:val="007C3BC7"/>
    <w:rsid w:val="007C3BCD"/>
    <w:rsid w:val="007D4ACF"/>
    <w:rsid w:val="007D4E94"/>
    <w:rsid w:val="007F0787"/>
    <w:rsid w:val="007F1967"/>
    <w:rsid w:val="007F1F85"/>
    <w:rsid w:val="007F6390"/>
    <w:rsid w:val="00810B7B"/>
    <w:rsid w:val="0082358A"/>
    <w:rsid w:val="008235CD"/>
    <w:rsid w:val="008247DE"/>
    <w:rsid w:val="0083177F"/>
    <w:rsid w:val="008339C0"/>
    <w:rsid w:val="00840B10"/>
    <w:rsid w:val="00843AFC"/>
    <w:rsid w:val="008513CB"/>
    <w:rsid w:val="00865570"/>
    <w:rsid w:val="00874E9F"/>
    <w:rsid w:val="008A7F84"/>
    <w:rsid w:val="008B7E5A"/>
    <w:rsid w:val="008C4DE4"/>
    <w:rsid w:val="0091702E"/>
    <w:rsid w:val="00923B0C"/>
    <w:rsid w:val="00924F46"/>
    <w:rsid w:val="00935AAC"/>
    <w:rsid w:val="0094021C"/>
    <w:rsid w:val="00952F86"/>
    <w:rsid w:val="00982B28"/>
    <w:rsid w:val="009B0A1E"/>
    <w:rsid w:val="009D313F"/>
    <w:rsid w:val="009E72E2"/>
    <w:rsid w:val="009F55A3"/>
    <w:rsid w:val="00A271D1"/>
    <w:rsid w:val="00A47A5A"/>
    <w:rsid w:val="00A63AE6"/>
    <w:rsid w:val="00A6683B"/>
    <w:rsid w:val="00A67F05"/>
    <w:rsid w:val="00A97F94"/>
    <w:rsid w:val="00AA7EA2"/>
    <w:rsid w:val="00AB25A8"/>
    <w:rsid w:val="00B03099"/>
    <w:rsid w:val="00B05BC8"/>
    <w:rsid w:val="00B17C30"/>
    <w:rsid w:val="00B2021D"/>
    <w:rsid w:val="00B26219"/>
    <w:rsid w:val="00B30F5E"/>
    <w:rsid w:val="00B42045"/>
    <w:rsid w:val="00B44AEB"/>
    <w:rsid w:val="00B64B47"/>
    <w:rsid w:val="00B95654"/>
    <w:rsid w:val="00B97F32"/>
    <w:rsid w:val="00BA04B2"/>
    <w:rsid w:val="00BC6DEA"/>
    <w:rsid w:val="00BD1445"/>
    <w:rsid w:val="00BF0A3A"/>
    <w:rsid w:val="00BF6F71"/>
    <w:rsid w:val="00C002DE"/>
    <w:rsid w:val="00C0602B"/>
    <w:rsid w:val="00C17227"/>
    <w:rsid w:val="00C224DA"/>
    <w:rsid w:val="00C22AF4"/>
    <w:rsid w:val="00C53BF8"/>
    <w:rsid w:val="00C66157"/>
    <w:rsid w:val="00C674FE"/>
    <w:rsid w:val="00C67501"/>
    <w:rsid w:val="00C75633"/>
    <w:rsid w:val="00CA4C6C"/>
    <w:rsid w:val="00CE2EE1"/>
    <w:rsid w:val="00CE3349"/>
    <w:rsid w:val="00CE36E5"/>
    <w:rsid w:val="00CE4360"/>
    <w:rsid w:val="00CF27F5"/>
    <w:rsid w:val="00CF3FFD"/>
    <w:rsid w:val="00D10CCF"/>
    <w:rsid w:val="00D13941"/>
    <w:rsid w:val="00D23F5F"/>
    <w:rsid w:val="00D43F7D"/>
    <w:rsid w:val="00D50876"/>
    <w:rsid w:val="00D63735"/>
    <w:rsid w:val="00D77D0F"/>
    <w:rsid w:val="00D90F4D"/>
    <w:rsid w:val="00DA1CF0"/>
    <w:rsid w:val="00DC1E02"/>
    <w:rsid w:val="00DC24B4"/>
    <w:rsid w:val="00DC4AD6"/>
    <w:rsid w:val="00DC5FB0"/>
    <w:rsid w:val="00DE1C1D"/>
    <w:rsid w:val="00DF16DC"/>
    <w:rsid w:val="00E45211"/>
    <w:rsid w:val="00E473C5"/>
    <w:rsid w:val="00E61BE8"/>
    <w:rsid w:val="00E83FF1"/>
    <w:rsid w:val="00E92863"/>
    <w:rsid w:val="00E9500D"/>
    <w:rsid w:val="00E979B2"/>
    <w:rsid w:val="00EB796D"/>
    <w:rsid w:val="00F058DC"/>
    <w:rsid w:val="00F24FC4"/>
    <w:rsid w:val="00F2676C"/>
    <w:rsid w:val="00F363FE"/>
    <w:rsid w:val="00F50E3F"/>
    <w:rsid w:val="00F51480"/>
    <w:rsid w:val="00F71336"/>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81BE1"/>
  <w15:chartTrackingRefBased/>
  <w15:docId w15:val="{DB396CD8-44E4-4420-A758-C05700FB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after="12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after="12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after="12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_No"/>
    <w:basedOn w:val="Normal"/>
    <w:qFormat/>
    <w:rsid w:val="00F974C5"/>
    <w:pPr>
      <w:keepNext/>
      <w:spacing w:before="240" w:after="12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after="12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after="12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after="12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660DEA"/>
    <w:rPr>
      <w:rFonts w:ascii="Calibri" w:eastAsia="Calibri" w:hAnsi="Calibri" w:cs="Arial"/>
      <w:noProof/>
      <w:color w:val="5B9BD5" w:themeColor="accent1"/>
      <w:sz w:val="18"/>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BF6F71"/>
    <w:rPr>
      <w:color w:val="954F72" w:themeColor="followedHyperlink"/>
      <w:u w:val="single"/>
    </w:rPr>
  </w:style>
  <w:style w:type="paragraph" w:styleId="Revision">
    <w:name w:val="Revision"/>
    <w:hidden/>
    <w:uiPriority w:val="99"/>
    <w:semiHidden/>
    <w:rsid w:val="0083177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A.pdf" TargetMode="External"/><Relationship Id="rId13" Type="http://schemas.openxmlformats.org/officeDocument/2006/relationships/hyperlink" Target="https://www.itu.int/md/meetingdoc.asp?lang=en&amp;parent=S09-CL-C-0108" TargetMode="External"/><Relationship Id="rId18" Type="http://schemas.openxmlformats.org/officeDocument/2006/relationships/hyperlink" Target="https://www.itu.int/md/S24-CLCWGCOP21-INF-0001/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council/cwg-cop/Pages/default.aspx" TargetMode="External"/><Relationship Id="rId17" Type="http://schemas.openxmlformats.org/officeDocument/2006/relationships/hyperlink" Target="https://www.itu.int/md/S25-CLCWGCOP22-C/en" TargetMode="External"/><Relationship Id="rId2" Type="http://schemas.openxmlformats.org/officeDocument/2006/relationships/numbering" Target="numbering.xml"/><Relationship Id="rId16" Type="http://schemas.openxmlformats.org/officeDocument/2006/relationships/hyperlink" Target="https://www.itu.int/md/meetingdoc.asp?lang=en&amp;parent=S24-CLCWGCOP21-C-00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CLCWGCOP22-C/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council/cwg-cop/Documents/2025/Summary-1-WG-CP-revised%20draft-22-March-2010-final.doc" TargetMode="External"/><Relationship Id="rId23" Type="http://schemas.openxmlformats.org/officeDocument/2006/relationships/fontTable" Target="fontTable.xml"/><Relationship Id="rId10" Type="http://schemas.openxmlformats.org/officeDocument/2006/relationships/hyperlink" Target="https://www.itu.int/md/S24-CLCWGCOP21-C-0004/en" TargetMode="External"/><Relationship Id="rId19" Type="http://schemas.openxmlformats.org/officeDocument/2006/relationships/hyperlink" Target="https://www.itu.int/md/S24-CLCWGCOP21-INF-0004/en" TargetMode="External"/><Relationship Id="rId4" Type="http://schemas.openxmlformats.org/officeDocument/2006/relationships/settings" Target="settings.xml"/><Relationship Id="rId9" Type="http://schemas.openxmlformats.org/officeDocument/2006/relationships/hyperlink" Target="https://www.itu.int/en/council/cwg-cop/Pages/default.aspx" TargetMode="External"/><Relationship Id="rId14" Type="http://schemas.openxmlformats.org/officeDocument/2006/relationships/hyperlink" Target="https://www.itu.int/en/council/Documents/basic-texts-2023/RES-179-A.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5%20May\07\2500693A\Typing%20or%20Montage\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3</TotalTime>
  <Pages>4</Pages>
  <Words>1315</Words>
  <Characters>7447</Characters>
  <Application>Microsoft Office Word</Application>
  <DocSecurity>0</DocSecurity>
  <Lines>126</Lines>
  <Paragraphs>68</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of the twenty-first and twenty-second meetings of the Council Working Group on child online protection</dc:title>
  <dc:subject>ITU Council 2025</dc:subject>
  <cp:keywords>C2025, C25, Council-25</cp:keywords>
  <dc:description/>
  <dcterms:created xsi:type="dcterms:W3CDTF">2025-05-15T07:17:00Z</dcterms:created>
  <dcterms:modified xsi:type="dcterms:W3CDTF">2025-05-15T09:01:00Z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