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2119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4678A" w:rsidRPr="00BB6FD8" w14:paraId="19443F39" w14:textId="77777777" w:rsidTr="00C4678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F8F5E9" w14:textId="77777777" w:rsidR="00C4678A" w:rsidRPr="00BB6FD8" w:rsidRDefault="00C4678A" w:rsidP="00C4678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2552AC">
              <w:rPr>
                <w:b/>
              </w:rPr>
              <w:t>Punto del orden del día: ADM 1</w:t>
            </w:r>
          </w:p>
        </w:tc>
        <w:tc>
          <w:tcPr>
            <w:tcW w:w="5245" w:type="dxa"/>
          </w:tcPr>
          <w:p w14:paraId="05FEC124" w14:textId="77777777" w:rsidR="00C4678A" w:rsidRPr="00BB6FD8" w:rsidRDefault="00C4678A" w:rsidP="00C4678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Documento C25/</w:t>
            </w:r>
            <w:r>
              <w:rPr>
                <w:b/>
              </w:rPr>
              <w:t>13</w:t>
            </w:r>
            <w:r w:rsidRPr="00BB6FD8">
              <w:rPr>
                <w:b/>
              </w:rPr>
              <w:t>-S</w:t>
            </w:r>
          </w:p>
        </w:tc>
      </w:tr>
      <w:tr w:rsidR="00C4678A" w:rsidRPr="00666D09" w14:paraId="13D7A189" w14:textId="77777777" w:rsidTr="00C4678A">
        <w:trPr>
          <w:cantSplit/>
        </w:trPr>
        <w:tc>
          <w:tcPr>
            <w:tcW w:w="3969" w:type="dxa"/>
            <w:vMerge/>
          </w:tcPr>
          <w:p w14:paraId="6A3A2993" w14:textId="77777777" w:rsidR="00C4678A" w:rsidRPr="00BB6FD8" w:rsidRDefault="00C4678A" w:rsidP="00C4678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59CB43" w14:textId="77777777" w:rsidR="00C4678A" w:rsidRPr="00666D09" w:rsidRDefault="00C4678A" w:rsidP="00C4678A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</w:rPr>
              <w:t>2 de abril de 2025</w:t>
            </w:r>
          </w:p>
        </w:tc>
      </w:tr>
      <w:tr w:rsidR="00C4678A" w:rsidRPr="00BB6FD8" w14:paraId="0F3A770B" w14:textId="77777777" w:rsidTr="00C4678A">
        <w:trPr>
          <w:cantSplit/>
          <w:trHeight w:val="23"/>
        </w:trPr>
        <w:tc>
          <w:tcPr>
            <w:tcW w:w="3969" w:type="dxa"/>
            <w:vMerge/>
          </w:tcPr>
          <w:p w14:paraId="525CB03A" w14:textId="77777777" w:rsidR="00C4678A" w:rsidRPr="00666D09" w:rsidRDefault="00C4678A" w:rsidP="00C4678A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48E18865" w14:textId="77777777" w:rsidR="00C4678A" w:rsidRPr="00BB6FD8" w:rsidRDefault="00C4678A" w:rsidP="00C4678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C4678A" w:rsidRPr="00BB6FD8" w14:paraId="2B94D457" w14:textId="77777777" w:rsidTr="00C4678A">
        <w:trPr>
          <w:cantSplit/>
          <w:trHeight w:val="23"/>
        </w:trPr>
        <w:tc>
          <w:tcPr>
            <w:tcW w:w="3969" w:type="dxa"/>
          </w:tcPr>
          <w:p w14:paraId="50F58722" w14:textId="77777777" w:rsidR="00C4678A" w:rsidRPr="00BB6FD8" w:rsidRDefault="00C4678A" w:rsidP="00C4678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64E0EA5" w14:textId="77777777" w:rsidR="00C4678A" w:rsidRPr="00BB6FD8" w:rsidRDefault="00C4678A" w:rsidP="00C4678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4678A" w:rsidRPr="00BB6FD8" w14:paraId="0F5C54AD" w14:textId="77777777" w:rsidTr="00C4678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A2E5F3" w14:textId="77777777" w:rsidR="00C4678A" w:rsidRPr="00BB6FD8" w:rsidRDefault="00C4678A" w:rsidP="00C4678A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sz w:val="34"/>
                <w:szCs w:val="34"/>
              </w:rPr>
              <w:t>Informe de la Secretaria General</w:t>
            </w:r>
          </w:p>
        </w:tc>
      </w:tr>
      <w:tr w:rsidR="00C4678A" w:rsidRPr="00BB6FD8" w14:paraId="1A2C8CC6" w14:textId="77777777" w:rsidTr="00C4678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4292991" w14:textId="4970B368" w:rsidR="00C4678A" w:rsidRPr="00F92BED" w:rsidRDefault="00F62D19" w:rsidP="00C4678A">
            <w:pPr>
              <w:pStyle w:val="Subtitle"/>
              <w:framePr w:hSpace="0" w:wrap="auto" w:vAnchor="margin" w:hAnchor="text" w:xAlign="left" w:yAlign="inline"/>
            </w:pPr>
            <w:r w:rsidRPr="002552AC">
              <w:t>INFORME DE LA COMISIÓN DE CONTROL DEL PRESUPUESTO DE LA ASAMBLEA MUNDIAL DE NORMALIZACIÓN DE LAS TELECOMUNICACIONES (</w:t>
            </w:r>
            <w:proofErr w:type="spellStart"/>
            <w:r w:rsidRPr="002552AC">
              <w:t>AMNT</w:t>
            </w:r>
            <w:proofErr w:type="spellEnd"/>
            <w:r w:rsidRPr="002552AC">
              <w:t>-24)</w:t>
            </w:r>
          </w:p>
        </w:tc>
      </w:tr>
      <w:tr w:rsidR="00C4678A" w:rsidRPr="00BB6FD8" w14:paraId="40F953FE" w14:textId="77777777" w:rsidTr="00C4678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214D64" w14:textId="77777777" w:rsidR="00C4678A" w:rsidRPr="00BB6FD8" w:rsidRDefault="00C4678A" w:rsidP="00C4678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2552AC">
              <w:rPr>
                <w:b/>
                <w:bCs/>
                <w:sz w:val="26"/>
                <w:szCs w:val="26"/>
              </w:rPr>
              <w:t>Objetivo</w:t>
            </w:r>
          </w:p>
          <w:p w14:paraId="2AA2B76B" w14:textId="77777777" w:rsidR="00C4678A" w:rsidRPr="002552AC" w:rsidRDefault="00C4678A" w:rsidP="00C4678A">
            <w:r w:rsidRPr="002552AC">
              <w:t>En virtud del número 74 del Reglamento General de las Conferencias, Asambleas y Reuniones de la Unión, el informe de la Comisión de Control del Presupuesto, una vez examinado y aprobado por la Sesión Plenaria, se ha de transmitir al Secretario General, con las observaciones de aquélla, a fin de que sea presentado al Consejo en su próxima reunión ordinaria.</w:t>
            </w:r>
          </w:p>
          <w:p w14:paraId="3F633F4A" w14:textId="77777777" w:rsidR="00C4678A" w:rsidRPr="00BB6FD8" w:rsidRDefault="00C4678A" w:rsidP="00C4678A">
            <w:r w:rsidRPr="002552AC">
              <w:t xml:space="preserve">El Informe de la Comisión de Control del Presupuesto de la Asamblea Mundial de Normalización de las Telecomunicaciones (AMNT-24) figura en el Documento </w:t>
            </w:r>
            <w:hyperlink r:id="rId6" w:history="1">
              <w:r w:rsidRPr="002552AC">
                <w:rPr>
                  <w:rStyle w:val="Hyperlink"/>
                  <w:rFonts w:cs="Calibri"/>
                  <w:szCs w:val="24"/>
                </w:rPr>
                <w:t>119(Rev.1)</w:t>
              </w:r>
            </w:hyperlink>
            <w:r w:rsidRPr="002552AC">
              <w:rPr>
                <w:rStyle w:val="Hyperlink"/>
                <w:rFonts w:cs="Calibri"/>
                <w:bCs/>
                <w:szCs w:val="24"/>
              </w:rPr>
              <w:t xml:space="preserve">. </w:t>
            </w:r>
            <w:r w:rsidRPr="002552AC">
              <w:t xml:space="preserve">Las observaciones formuladas por la Sesión Plenaria al respecto figuran en el Documento </w:t>
            </w:r>
            <w:hyperlink r:id="rId7" w:history="1">
              <w:r w:rsidRPr="002552AC">
                <w:rPr>
                  <w:rStyle w:val="Hyperlink"/>
                  <w:rFonts w:cs="Calibri"/>
                  <w:szCs w:val="24"/>
                </w:rPr>
                <w:t>120</w:t>
              </w:r>
            </w:hyperlink>
            <w:r w:rsidRPr="002552AC">
              <w:rPr>
                <w:rStyle w:val="Hyperlink"/>
                <w:rFonts w:cs="Calibri"/>
                <w:szCs w:val="24"/>
              </w:rPr>
              <w:t>.</w:t>
            </w:r>
          </w:p>
          <w:p w14:paraId="5D7FD54B" w14:textId="77777777" w:rsidR="00C4678A" w:rsidRPr="00BB6FD8" w:rsidRDefault="00C4678A" w:rsidP="00C4678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Acción solicitada al Consejo</w:t>
            </w:r>
          </w:p>
          <w:p w14:paraId="0C268F2B" w14:textId="77777777" w:rsidR="00C4678A" w:rsidRPr="00F92BED" w:rsidRDefault="00C4678A" w:rsidP="00C4678A">
            <w:pPr>
              <w:spacing w:before="160"/>
              <w:rPr>
                <w:szCs w:val="24"/>
                <w:lang w:val="es-ES"/>
              </w:rPr>
            </w:pPr>
            <w:r w:rsidRPr="002552AC">
              <w:rPr>
                <w:rFonts w:cs="Calibri"/>
              </w:rPr>
              <w:t xml:space="preserve">Se invita al Consejo a </w:t>
            </w:r>
            <w:r w:rsidRPr="002552AC">
              <w:rPr>
                <w:rFonts w:cs="Calibri"/>
                <w:b/>
                <w:bCs/>
              </w:rPr>
              <w:t xml:space="preserve">tomar nota </w:t>
            </w:r>
            <w:r w:rsidRPr="002552AC">
              <w:rPr>
                <w:rFonts w:cs="Calibri"/>
              </w:rPr>
              <w:t>del presente documento.</w:t>
            </w:r>
          </w:p>
          <w:p w14:paraId="3E4F0DD5" w14:textId="77777777" w:rsidR="00C4678A" w:rsidRPr="00F24B71" w:rsidRDefault="00C4678A" w:rsidP="00C4678A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pertinente</w:t>
            </w:r>
            <w:r>
              <w:rPr>
                <w:b/>
                <w:bCs/>
                <w:sz w:val="26"/>
                <w:szCs w:val="26"/>
                <w:lang w:val="es-ES"/>
              </w:rPr>
              <w:t>(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>s</w:t>
            </w:r>
            <w:r>
              <w:rPr>
                <w:b/>
                <w:bCs/>
                <w:sz w:val="26"/>
                <w:szCs w:val="26"/>
                <w:lang w:val="es-ES"/>
              </w:rPr>
              <w:t>)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 el Plan Estratégico</w:t>
            </w:r>
          </w:p>
          <w:p w14:paraId="79D27A78" w14:textId="77777777" w:rsidR="00C4678A" w:rsidRPr="00196E17" w:rsidRDefault="00C4678A" w:rsidP="00C4678A">
            <w:r w:rsidRPr="002552AC">
              <w:t>Desarrollo y aplicación de los Reglamentos Administrativos de la UIT</w:t>
            </w:r>
            <w:r w:rsidRPr="002552AC">
              <w:rPr>
                <w:szCs w:val="24"/>
              </w:rPr>
              <w:t>; c</w:t>
            </w:r>
            <w:r w:rsidRPr="002552AC">
              <w:t>reación de plataformas</w:t>
            </w:r>
            <w:r w:rsidRPr="002552AC">
              <w:rPr>
                <w:szCs w:val="24"/>
              </w:rPr>
              <w:t>.</w:t>
            </w:r>
          </w:p>
          <w:p w14:paraId="1AB1427C" w14:textId="77777777" w:rsidR="00C4678A" w:rsidRDefault="00C4678A" w:rsidP="00C4678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1D505050" w14:textId="77777777" w:rsidR="00C4678A" w:rsidRPr="00BB6FD8" w:rsidRDefault="00C4678A" w:rsidP="00C4678A">
            <w:r w:rsidRPr="002552AC">
              <w:t>Se estima que las consecuencias financieras provisionales de las Resoluciones de la AMNT ascienden a 1</w:t>
            </w:r>
            <w:r>
              <w:t> </w:t>
            </w:r>
            <w:r w:rsidRPr="002552AC">
              <w:t>414</w:t>
            </w:r>
            <w:r>
              <w:t> </w:t>
            </w:r>
            <w:r w:rsidRPr="002552AC">
              <w:t>000</w:t>
            </w:r>
            <w:r>
              <w:t> </w:t>
            </w:r>
            <w:r w:rsidRPr="002552AC">
              <w:t>CHF para el periodo comprendido entre 2024 y 2027.</w:t>
            </w:r>
          </w:p>
          <w:p w14:paraId="2D25C88F" w14:textId="77777777" w:rsidR="00C4678A" w:rsidRPr="00BB6FD8" w:rsidRDefault="00C4678A" w:rsidP="00C4678A">
            <w:pPr>
              <w:spacing w:before="160"/>
              <w:rPr>
                <w:caps/>
                <w:sz w:val="22"/>
              </w:rPr>
            </w:pPr>
            <w:r w:rsidRPr="00BB6FD8">
              <w:rPr>
                <w:sz w:val="22"/>
              </w:rPr>
              <w:t>__________________</w:t>
            </w:r>
          </w:p>
          <w:p w14:paraId="1D8BD1F8" w14:textId="77777777" w:rsidR="00C4678A" w:rsidRPr="00BB6FD8" w:rsidRDefault="00C4678A" w:rsidP="00C4678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B6FD8">
              <w:rPr>
                <w:b/>
                <w:bCs/>
                <w:sz w:val="26"/>
                <w:szCs w:val="26"/>
              </w:rPr>
              <w:t>Referencia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BB6FD8">
              <w:rPr>
                <w:sz w:val="26"/>
                <w:szCs w:val="26"/>
              </w:rPr>
              <w:t xml:space="preserve"> </w:t>
            </w:r>
          </w:p>
          <w:p w14:paraId="1802DD87" w14:textId="77777777" w:rsidR="00C4678A" w:rsidRPr="004D3A3C" w:rsidRDefault="00C4678A" w:rsidP="00C4678A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2552AC">
              <w:rPr>
                <w:i/>
                <w:iCs/>
                <w:sz w:val="22"/>
                <w:szCs w:val="22"/>
              </w:rPr>
              <w:t xml:space="preserve">Documentos </w:t>
            </w:r>
            <w:hyperlink r:id="rId8" w:history="1">
              <w:r w:rsidRPr="002552AC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119(Rev.1)</w:t>
              </w:r>
            </w:hyperlink>
            <w:r w:rsidRPr="002552AC">
              <w:rPr>
                <w:rFonts w:cs="Calibri"/>
                <w:i/>
                <w:iCs/>
                <w:sz w:val="22"/>
                <w:szCs w:val="22"/>
              </w:rPr>
              <w:t xml:space="preserve"> y </w:t>
            </w:r>
            <w:hyperlink r:id="rId9" w:history="1">
              <w:r w:rsidRPr="002552AC">
                <w:rPr>
                  <w:rStyle w:val="Hyperlink"/>
                  <w:rFonts w:cs="Calibri"/>
                  <w:i/>
                  <w:iCs/>
                  <w:sz w:val="22"/>
                  <w:szCs w:val="22"/>
                </w:rPr>
                <w:t>120</w:t>
              </w:r>
            </w:hyperlink>
            <w:r w:rsidRPr="002552AC">
              <w:rPr>
                <w:rStyle w:val="Hyperlink"/>
                <w:rFonts w:cs="Calibri"/>
                <w:i/>
                <w:iCs/>
                <w:sz w:val="22"/>
                <w:szCs w:val="22"/>
              </w:rPr>
              <w:t xml:space="preserve"> </w:t>
            </w:r>
            <w:r w:rsidRPr="002552AC">
              <w:rPr>
                <w:i/>
                <w:iCs/>
                <w:sz w:val="22"/>
                <w:szCs w:val="22"/>
              </w:rPr>
              <w:t>de la AMNT-24</w:t>
            </w:r>
          </w:p>
        </w:tc>
      </w:tr>
      <w:bookmarkEnd w:id="0"/>
    </w:tbl>
    <w:p w14:paraId="2218AD21" w14:textId="77777777" w:rsidR="00093EEB" w:rsidRPr="00BB6FD8" w:rsidRDefault="00093EEB"/>
    <w:p w14:paraId="27B68429" w14:textId="77777777" w:rsidR="001559F5" w:rsidRPr="00BB6FD8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B6FD8">
        <w:br w:type="page"/>
      </w:r>
    </w:p>
    <w:p w14:paraId="1F1A8DED" w14:textId="77777777" w:rsidR="00196E17" w:rsidRPr="002552AC" w:rsidRDefault="00196E17" w:rsidP="00C4678A">
      <w:pPr>
        <w:pStyle w:val="Headingb"/>
        <w:tabs>
          <w:tab w:val="clear" w:pos="567"/>
          <w:tab w:val="left" w:pos="142"/>
        </w:tabs>
        <w:ind w:left="0" w:firstLine="0"/>
      </w:pPr>
      <w:r>
        <w:rPr>
          <w:lang w:val="es-ES"/>
        </w:rPr>
        <w:lastRenderedPageBreak/>
        <w:t>Consecuencias</w:t>
      </w:r>
      <w:r w:rsidRPr="002552AC">
        <w:rPr>
          <w:lang w:val="es-ES"/>
        </w:rPr>
        <w:t xml:space="preserve"> financieras de las </w:t>
      </w:r>
      <w:r>
        <w:rPr>
          <w:lang w:val="es-ES"/>
        </w:rPr>
        <w:t>R</w:t>
      </w:r>
      <w:r w:rsidRPr="002552AC">
        <w:rPr>
          <w:lang w:val="es-ES"/>
        </w:rPr>
        <w:t>esoluciones de la Asamblea Mundial de Normalización de las Telecomunicaciones (AMNT-24)</w:t>
      </w:r>
    </w:p>
    <w:p w14:paraId="58C386AD" w14:textId="6635A968" w:rsidR="00196E17" w:rsidRPr="006E4A27" w:rsidRDefault="00196E17" w:rsidP="00196E17">
      <w:pPr>
        <w:jc w:val="both"/>
        <w:rPr>
          <w:lang w:val="es-ES"/>
        </w:rPr>
      </w:pPr>
      <w:r w:rsidRPr="002552AC">
        <w:rPr>
          <w:lang w:val="es-ES"/>
        </w:rPr>
        <w:t>1</w:t>
      </w:r>
      <w:r w:rsidRPr="002552AC">
        <w:rPr>
          <w:lang w:val="es-ES"/>
        </w:rPr>
        <w:tab/>
      </w:r>
      <w:r w:rsidRPr="008A61B9">
        <w:rPr>
          <w:lang w:val="es-ES"/>
        </w:rPr>
        <w:t>La estimación de las consecuencias financieras es indicativa y volverá a ser examinada por el Consejo en su reunión de 2025 en el marco de la adopción del presupuesto para 2026</w:t>
      </w:r>
      <w:r w:rsidR="00C4678A">
        <w:rPr>
          <w:lang w:val="es-ES"/>
        </w:rPr>
        <w:noBreakHyphen/>
      </w:r>
      <w:r w:rsidRPr="008A61B9">
        <w:rPr>
          <w:lang w:val="es-ES"/>
        </w:rPr>
        <w:t xml:space="preserve">2027. </w:t>
      </w:r>
      <w:r>
        <w:rPr>
          <w:lang w:val="es-ES"/>
        </w:rPr>
        <w:t>En e</w:t>
      </w:r>
      <w:r w:rsidRPr="008A61B9">
        <w:rPr>
          <w:lang w:val="es-ES"/>
        </w:rPr>
        <w:t>l Plan Financiero para 2024-2027, aprobado por la PP-22, ya se establece el marco para los gastos correspondientes al periodo 2024-2027</w:t>
      </w:r>
      <w:r>
        <w:rPr>
          <w:lang w:val="es-ES"/>
        </w:rPr>
        <w:t>. L</w:t>
      </w:r>
      <w:r w:rsidRPr="008A61B9">
        <w:rPr>
          <w:lang w:val="es-ES"/>
        </w:rPr>
        <w:t xml:space="preserve">a </w:t>
      </w:r>
      <w:r>
        <w:rPr>
          <w:lang w:val="es-ES"/>
        </w:rPr>
        <w:t>s</w:t>
      </w:r>
      <w:r w:rsidRPr="008A61B9">
        <w:rPr>
          <w:lang w:val="es-ES"/>
        </w:rPr>
        <w:t xml:space="preserve">ecretaría </w:t>
      </w:r>
      <w:r>
        <w:rPr>
          <w:lang w:val="es-ES"/>
        </w:rPr>
        <w:t>comunicó</w:t>
      </w:r>
      <w:r w:rsidRPr="002552AC">
        <w:rPr>
          <w:lang w:val="es-ES"/>
        </w:rPr>
        <w:t xml:space="preserve"> a</w:t>
      </w:r>
      <w:r>
        <w:rPr>
          <w:lang w:val="es-ES"/>
        </w:rPr>
        <w:t xml:space="preserve"> </w:t>
      </w:r>
      <w:r w:rsidRPr="002552AC">
        <w:rPr>
          <w:lang w:val="es-ES"/>
        </w:rPr>
        <w:t>l</w:t>
      </w:r>
      <w:r>
        <w:rPr>
          <w:lang w:val="es-ES"/>
        </w:rPr>
        <w:t>a</w:t>
      </w:r>
      <w:r w:rsidRPr="002552AC">
        <w:rPr>
          <w:lang w:val="es-ES"/>
        </w:rPr>
        <w:t xml:space="preserve"> Comi</w:t>
      </w:r>
      <w:r>
        <w:rPr>
          <w:lang w:val="es-ES"/>
        </w:rPr>
        <w:t xml:space="preserve">sión </w:t>
      </w:r>
      <w:r w:rsidRPr="002552AC">
        <w:rPr>
          <w:lang w:val="es-ES"/>
        </w:rPr>
        <w:t>de Control</w:t>
      </w:r>
      <w:r>
        <w:rPr>
          <w:lang w:val="es-ES"/>
        </w:rPr>
        <w:t xml:space="preserve"> del</w:t>
      </w:r>
      <w:r w:rsidRPr="002552AC">
        <w:rPr>
          <w:lang w:val="es-ES"/>
        </w:rPr>
        <w:t xml:space="preserve"> Presupuesto de la AMNT-24 </w:t>
      </w:r>
      <w:r>
        <w:rPr>
          <w:lang w:val="es-ES"/>
        </w:rPr>
        <w:t>(COM</w:t>
      </w:r>
      <w:r w:rsidRPr="008A61B9">
        <w:rPr>
          <w:lang w:val="es-ES"/>
        </w:rPr>
        <w:t>2</w:t>
      </w:r>
      <w:r>
        <w:rPr>
          <w:lang w:val="es-ES"/>
        </w:rPr>
        <w:t>)</w:t>
      </w:r>
      <w:r w:rsidRPr="008A61B9">
        <w:rPr>
          <w:lang w:val="es-ES"/>
        </w:rPr>
        <w:t xml:space="preserve"> que resultar</w:t>
      </w:r>
      <w:r>
        <w:rPr>
          <w:lang w:val="es-ES"/>
        </w:rPr>
        <w:t>ía</w:t>
      </w:r>
      <w:r w:rsidRPr="008A61B9">
        <w:rPr>
          <w:lang w:val="es-ES"/>
        </w:rPr>
        <w:t xml:space="preserve"> difícil equilibrar el presupuesto para 2026-2027 con las Resoluciones que podían exigir una financiación adicional.</w:t>
      </w:r>
    </w:p>
    <w:p w14:paraId="601282EC" w14:textId="77777777" w:rsidR="00196E17" w:rsidRDefault="00196E17" w:rsidP="00196E17">
      <w:pPr>
        <w:jc w:val="both"/>
        <w:rPr>
          <w:lang w:val="es-ES"/>
        </w:rPr>
      </w:pPr>
      <w:r w:rsidRPr="002552AC">
        <w:rPr>
          <w:lang w:val="es-ES"/>
        </w:rPr>
        <w:t>2</w:t>
      </w:r>
      <w:r w:rsidRPr="002552AC">
        <w:rPr>
          <w:lang w:val="es-ES"/>
        </w:rPr>
        <w:tab/>
      </w:r>
      <w:r w:rsidRPr="00AD64C4">
        <w:rPr>
          <w:lang w:val="es-ES"/>
        </w:rPr>
        <w:t>Para 2025</w:t>
      </w:r>
      <w:r>
        <w:rPr>
          <w:lang w:val="es-ES"/>
        </w:rPr>
        <w:t>,</w:t>
      </w:r>
      <w:r w:rsidRPr="00AD64C4">
        <w:rPr>
          <w:lang w:val="es-ES"/>
        </w:rPr>
        <w:t xml:space="preserve"> </w:t>
      </w:r>
      <w:r w:rsidRPr="002552AC">
        <w:rPr>
          <w:lang w:val="es-ES"/>
        </w:rPr>
        <w:t xml:space="preserve">la Oficina de Normalización de las Telecomunicaciones (TSB) </w:t>
      </w:r>
      <w:r w:rsidRPr="00AD64C4">
        <w:rPr>
          <w:lang w:val="es-ES"/>
        </w:rPr>
        <w:t xml:space="preserve">hará todo lo posible por integrar los nuevos requisitos en el presupuesto aprobado para 2024-2025, aunque </w:t>
      </w:r>
      <w:r>
        <w:rPr>
          <w:lang w:val="es-ES"/>
        </w:rPr>
        <w:t xml:space="preserve">esto </w:t>
      </w:r>
      <w:r w:rsidRPr="00AD64C4">
        <w:rPr>
          <w:lang w:val="es-ES"/>
        </w:rPr>
        <w:t xml:space="preserve">podría resultar </w:t>
      </w:r>
      <w:r>
        <w:rPr>
          <w:lang w:val="es-ES"/>
        </w:rPr>
        <w:t>complejo</w:t>
      </w:r>
      <w:r w:rsidRPr="00AD64C4">
        <w:rPr>
          <w:lang w:val="es-ES"/>
        </w:rPr>
        <w:t>.</w:t>
      </w:r>
    </w:p>
    <w:p w14:paraId="41357D0A" w14:textId="77777777" w:rsidR="00196E17" w:rsidRDefault="00196E17" w:rsidP="00196E17">
      <w:pPr>
        <w:jc w:val="both"/>
        <w:rPr>
          <w:lang w:val="es-ES"/>
        </w:rPr>
      </w:pPr>
      <w:r w:rsidRPr="002552AC">
        <w:rPr>
          <w:lang w:val="es-ES"/>
        </w:rPr>
        <w:t>3</w:t>
      </w:r>
      <w:r w:rsidRPr="002552AC">
        <w:rPr>
          <w:lang w:val="es-ES"/>
        </w:rPr>
        <w:tab/>
      </w:r>
      <w:r w:rsidRPr="00AD64C4">
        <w:rPr>
          <w:lang w:val="es-ES"/>
        </w:rPr>
        <w:t xml:space="preserve">En el Anexo </w:t>
      </w:r>
      <w:r>
        <w:rPr>
          <w:lang w:val="es-ES"/>
        </w:rPr>
        <w:t>A</w:t>
      </w:r>
      <w:r w:rsidRPr="00AD64C4">
        <w:rPr>
          <w:lang w:val="es-ES"/>
        </w:rPr>
        <w:t xml:space="preserve"> se presenta un cuadro recapitulativo de las posibles consecuencias financieras de las Resoluciones de la AMNT-24, la evaluación de costes y la lista de Resoluciones de la AMNT-24 con posibles consecuencias financieras.</w:t>
      </w:r>
    </w:p>
    <w:p w14:paraId="3C0AB24A" w14:textId="07ED77D3" w:rsidR="00196E17" w:rsidRPr="002552AC" w:rsidRDefault="00196E17" w:rsidP="00196E17">
      <w:pPr>
        <w:jc w:val="both"/>
        <w:rPr>
          <w:lang w:val="es-ES"/>
        </w:rPr>
      </w:pPr>
      <w:r w:rsidRPr="002552AC">
        <w:rPr>
          <w:lang w:val="es-ES"/>
        </w:rPr>
        <w:t>4</w:t>
      </w:r>
      <w:r w:rsidRPr="002552AC">
        <w:rPr>
          <w:lang w:val="es-ES"/>
        </w:rPr>
        <w:tab/>
      </w:r>
      <w:r w:rsidRPr="00AD64C4">
        <w:rPr>
          <w:lang w:val="es-ES"/>
        </w:rPr>
        <w:t xml:space="preserve">En resumen, se estima que los gastos adicionales identificados en las diversas Resoluciones de la AMNT-24 </w:t>
      </w:r>
      <w:r>
        <w:rPr>
          <w:lang w:val="es-ES"/>
        </w:rPr>
        <w:t>ascenderán</w:t>
      </w:r>
      <w:r w:rsidRPr="00AD64C4">
        <w:rPr>
          <w:lang w:val="es-ES"/>
        </w:rPr>
        <w:t xml:space="preserve"> a 1</w:t>
      </w:r>
      <w:r w:rsidR="00C4678A">
        <w:rPr>
          <w:lang w:val="es-ES"/>
        </w:rPr>
        <w:t> </w:t>
      </w:r>
      <w:r w:rsidRPr="00AD64C4">
        <w:rPr>
          <w:lang w:val="es-ES"/>
        </w:rPr>
        <w:t>414</w:t>
      </w:r>
      <w:r w:rsidR="00C4678A">
        <w:rPr>
          <w:lang w:val="es-ES"/>
        </w:rPr>
        <w:t> </w:t>
      </w:r>
      <w:r w:rsidRPr="00AD64C4">
        <w:rPr>
          <w:lang w:val="es-ES"/>
        </w:rPr>
        <w:t>000</w:t>
      </w:r>
      <w:r w:rsidR="00C4678A">
        <w:rPr>
          <w:lang w:val="es-ES"/>
        </w:rPr>
        <w:t> </w:t>
      </w:r>
      <w:r w:rsidRPr="00AD64C4">
        <w:rPr>
          <w:lang w:val="es-ES"/>
        </w:rPr>
        <w:t xml:space="preserve">CHF para el periodo </w:t>
      </w:r>
      <w:r>
        <w:rPr>
          <w:lang w:val="es-ES"/>
        </w:rPr>
        <w:t>cuatrienal.</w:t>
      </w:r>
    </w:p>
    <w:p w14:paraId="01668991" w14:textId="5FDED118" w:rsidR="00196E17" w:rsidRPr="000874C9" w:rsidRDefault="00196E17" w:rsidP="00196E17">
      <w:pPr>
        <w:jc w:val="both"/>
        <w:rPr>
          <w:lang w:val="es-ES"/>
        </w:rPr>
      </w:pPr>
      <w:r w:rsidRPr="002552AC">
        <w:rPr>
          <w:lang w:val="es-ES"/>
        </w:rPr>
        <w:t>5</w:t>
      </w:r>
      <w:r w:rsidRPr="002552AC">
        <w:rPr>
          <w:lang w:val="es-ES"/>
        </w:rPr>
        <w:tab/>
      </w:r>
      <w:r w:rsidRPr="00AD64C4">
        <w:rPr>
          <w:lang w:val="es-ES"/>
        </w:rPr>
        <w:t>Varios delegados solicitaron que el Director de la TSB present</w:t>
      </w:r>
      <w:r>
        <w:rPr>
          <w:lang w:val="es-ES"/>
        </w:rPr>
        <w:t>as</w:t>
      </w:r>
      <w:r w:rsidRPr="00AD64C4">
        <w:rPr>
          <w:lang w:val="es-ES"/>
        </w:rPr>
        <w:t>e a la reunión del GTC</w:t>
      </w:r>
      <w:r w:rsidR="00C4678A">
        <w:rPr>
          <w:lang w:val="es-ES"/>
        </w:rPr>
        <w:noBreakHyphen/>
      </w:r>
      <w:r w:rsidRPr="00AD64C4">
        <w:rPr>
          <w:lang w:val="es-ES"/>
        </w:rPr>
        <w:t xml:space="preserve">RHF de febrero de 2025 un documento </w:t>
      </w:r>
      <w:r>
        <w:rPr>
          <w:lang w:val="es-ES"/>
        </w:rPr>
        <w:t xml:space="preserve">con información detallada sobre los trabajos que cabía realizar y los recursos que se necesitaban para aplicar </w:t>
      </w:r>
      <w:r w:rsidRPr="00AD64C4">
        <w:rPr>
          <w:lang w:val="es-ES"/>
        </w:rPr>
        <w:t xml:space="preserve">las Resoluciones adoptadas </w:t>
      </w:r>
      <w:r w:rsidRPr="002552AC">
        <w:rPr>
          <w:lang w:val="es-ES"/>
        </w:rPr>
        <w:t xml:space="preserve">en la AMNT-24, </w:t>
      </w:r>
      <w:r>
        <w:rPr>
          <w:lang w:val="es-ES"/>
        </w:rPr>
        <w:t xml:space="preserve">incluidas propuestas sobre el modo </w:t>
      </w:r>
      <w:r w:rsidRPr="002552AC">
        <w:rPr>
          <w:lang w:val="es-ES"/>
        </w:rPr>
        <w:t>en que la TSB podía garantizar la financiación de la aplicación.</w:t>
      </w:r>
    </w:p>
    <w:p w14:paraId="55B83A7E" w14:textId="4F9803BC" w:rsidR="00196E17" w:rsidRPr="002552AC" w:rsidRDefault="00196E17" w:rsidP="00196E17">
      <w:pPr>
        <w:jc w:val="both"/>
        <w:rPr>
          <w:rFonts w:eastAsia="Aptos" w:cs="Calibri"/>
          <w:lang w:val="es-ES"/>
        </w:rPr>
      </w:pPr>
      <w:r w:rsidRPr="002552AC">
        <w:rPr>
          <w:lang w:val="es-ES"/>
        </w:rPr>
        <w:t>6</w:t>
      </w:r>
      <w:r w:rsidRPr="002552AC">
        <w:rPr>
          <w:lang w:val="es-ES"/>
        </w:rPr>
        <w:tab/>
        <w:t>Durante la reunión</w:t>
      </w:r>
      <w:r w:rsidRPr="00EC4E9C">
        <w:rPr>
          <w:lang w:val="es-ES"/>
        </w:rPr>
        <w:t xml:space="preserve"> </w:t>
      </w:r>
      <w:r w:rsidRPr="00AD64C4">
        <w:rPr>
          <w:lang w:val="es-ES"/>
        </w:rPr>
        <w:t>del GTC-RHF de febrero de 2025</w:t>
      </w:r>
      <w:r>
        <w:rPr>
          <w:lang w:val="es-ES"/>
        </w:rPr>
        <w:t>,</w:t>
      </w:r>
      <w:r w:rsidRPr="002552AC">
        <w:rPr>
          <w:lang w:val="es-ES"/>
        </w:rPr>
        <w:t xml:space="preserve"> </w:t>
      </w:r>
      <w:r w:rsidRPr="002552AC">
        <w:rPr>
          <w:rFonts w:eastAsia="Aptos" w:cs="Calibri"/>
          <w:lang w:val="es-ES"/>
        </w:rPr>
        <w:t xml:space="preserve">el Director Adjunto de la TSB presentó el Documento </w:t>
      </w:r>
      <w:hyperlink r:id="rId10" w:history="1">
        <w:proofErr w:type="spellStart"/>
        <w:r w:rsidRPr="002552AC">
          <w:rPr>
            <w:rStyle w:val="Hyperlink"/>
            <w:rFonts w:eastAsia="Aptos" w:cs="Calibri"/>
            <w:lang w:val="es-ES"/>
          </w:rPr>
          <w:t>CWG</w:t>
        </w:r>
        <w:proofErr w:type="spellEnd"/>
        <w:r w:rsidRPr="002552AC">
          <w:rPr>
            <w:rStyle w:val="Hyperlink"/>
            <w:rFonts w:eastAsia="Aptos" w:cs="Calibri"/>
            <w:lang w:val="es-ES"/>
          </w:rPr>
          <w:t>-</w:t>
        </w:r>
        <w:proofErr w:type="spellStart"/>
        <w:r w:rsidRPr="002552AC">
          <w:rPr>
            <w:rStyle w:val="Hyperlink"/>
            <w:rFonts w:eastAsia="Aptos" w:cs="Calibri"/>
            <w:lang w:val="es-ES"/>
          </w:rPr>
          <w:t>FHR</w:t>
        </w:r>
        <w:proofErr w:type="spellEnd"/>
        <w:r w:rsidRPr="002552AC">
          <w:rPr>
            <w:rStyle w:val="Hyperlink"/>
            <w:rFonts w:eastAsia="Aptos" w:cs="Calibri"/>
            <w:lang w:val="es-ES"/>
          </w:rPr>
          <w:t>-20/5</w:t>
        </w:r>
      </w:hyperlink>
      <w:r w:rsidRPr="002552AC">
        <w:rPr>
          <w:lang w:val="es-ES"/>
        </w:rPr>
        <w:t xml:space="preserve"> </w:t>
      </w:r>
      <w:r w:rsidRPr="002552AC">
        <w:rPr>
          <w:rFonts w:eastAsia="Aptos" w:cs="Calibri"/>
          <w:lang w:val="es-ES"/>
        </w:rPr>
        <w:t>en nombre de</w:t>
      </w:r>
      <w:r>
        <w:rPr>
          <w:rFonts w:eastAsia="Aptos" w:cs="Calibri"/>
          <w:lang w:val="es-ES"/>
        </w:rPr>
        <w:t xml:space="preserve"> </w:t>
      </w:r>
      <w:r w:rsidRPr="002552AC">
        <w:rPr>
          <w:rFonts w:eastAsia="Aptos" w:cs="Calibri"/>
          <w:lang w:val="es-ES"/>
        </w:rPr>
        <w:t>l</w:t>
      </w:r>
      <w:r>
        <w:rPr>
          <w:rFonts w:eastAsia="Aptos" w:cs="Calibri"/>
          <w:lang w:val="es-ES"/>
        </w:rPr>
        <w:t>a</w:t>
      </w:r>
      <w:r w:rsidRPr="002552AC">
        <w:rPr>
          <w:rFonts w:eastAsia="Aptos" w:cs="Calibri"/>
          <w:lang w:val="es-ES"/>
        </w:rPr>
        <w:t xml:space="preserve"> Secretari</w:t>
      </w:r>
      <w:r>
        <w:rPr>
          <w:rFonts w:eastAsia="Aptos" w:cs="Calibri"/>
          <w:lang w:val="es-ES"/>
        </w:rPr>
        <w:t>a</w:t>
      </w:r>
      <w:r w:rsidRPr="002552AC">
        <w:rPr>
          <w:rFonts w:eastAsia="Aptos" w:cs="Calibri"/>
          <w:lang w:val="es-ES"/>
        </w:rPr>
        <w:t xml:space="preserve"> General.</w:t>
      </w:r>
    </w:p>
    <w:p w14:paraId="17A8E42B" w14:textId="77777777" w:rsidR="00196E17" w:rsidRPr="00EC4E9C" w:rsidRDefault="00196E17" w:rsidP="00196E17">
      <w:pPr>
        <w:jc w:val="both"/>
        <w:rPr>
          <w:rFonts w:eastAsia="Aptos" w:cs="Calibri"/>
          <w:lang w:val="es-ES"/>
        </w:rPr>
      </w:pPr>
      <w:r w:rsidRPr="002552AC">
        <w:rPr>
          <w:rFonts w:eastAsia="Aptos" w:cs="Calibri"/>
          <w:lang w:val="es-ES"/>
        </w:rPr>
        <w:t>7</w:t>
      </w:r>
      <w:r w:rsidRPr="002552AC">
        <w:rPr>
          <w:lang w:val="es-ES"/>
        </w:rPr>
        <w:tab/>
      </w:r>
      <w:r w:rsidRPr="002552AC">
        <w:rPr>
          <w:rFonts w:eastAsia="Aptos" w:cs="Calibri"/>
          <w:lang w:val="es-ES"/>
        </w:rPr>
        <w:t>Los delegados</w:t>
      </w:r>
      <w:r>
        <w:rPr>
          <w:rFonts w:eastAsia="Aptos" w:cs="Calibri"/>
          <w:lang w:val="es-ES"/>
        </w:rPr>
        <w:t xml:space="preserve"> formularon diversas </w:t>
      </w:r>
      <w:r w:rsidRPr="002552AC">
        <w:rPr>
          <w:rFonts w:eastAsia="Aptos" w:cs="Calibri"/>
          <w:lang w:val="es-ES"/>
        </w:rPr>
        <w:t>preguntas sobre el método utilizado para calcular la</w:t>
      </w:r>
      <w:r>
        <w:rPr>
          <w:rFonts w:eastAsia="Aptos" w:cs="Calibri"/>
          <w:lang w:val="es-ES"/>
        </w:rPr>
        <w:t xml:space="preserve">s consecuencias </w:t>
      </w:r>
      <w:r w:rsidRPr="002552AC">
        <w:rPr>
          <w:rFonts w:eastAsia="Aptos" w:cs="Calibri"/>
          <w:lang w:val="es-ES"/>
        </w:rPr>
        <w:t>financiera</w:t>
      </w:r>
      <w:r>
        <w:rPr>
          <w:rFonts w:eastAsia="Aptos" w:cs="Calibri"/>
          <w:lang w:val="es-ES"/>
        </w:rPr>
        <w:t>s</w:t>
      </w:r>
      <w:r w:rsidRPr="002552AC">
        <w:rPr>
          <w:rFonts w:eastAsia="Aptos" w:cs="Calibri"/>
          <w:lang w:val="es-ES"/>
        </w:rPr>
        <w:t xml:space="preserve">, </w:t>
      </w:r>
      <w:r>
        <w:rPr>
          <w:rFonts w:eastAsia="Aptos" w:cs="Calibri"/>
          <w:lang w:val="es-ES"/>
        </w:rPr>
        <w:t>el nivel de prioridad</w:t>
      </w:r>
      <w:r w:rsidRPr="002552AC">
        <w:rPr>
          <w:rFonts w:eastAsia="Aptos" w:cs="Calibri"/>
          <w:lang w:val="es-ES"/>
        </w:rPr>
        <w:t xml:space="preserve"> de los temas</w:t>
      </w:r>
      <w:r>
        <w:rPr>
          <w:rFonts w:eastAsia="Aptos" w:cs="Calibri"/>
          <w:lang w:val="es-ES"/>
        </w:rPr>
        <w:t xml:space="preserve"> correspondientes</w:t>
      </w:r>
      <w:r w:rsidRPr="002552AC">
        <w:rPr>
          <w:rFonts w:eastAsia="Aptos" w:cs="Calibri"/>
          <w:lang w:val="es-ES"/>
        </w:rPr>
        <w:t xml:space="preserve"> y la viabilidad de las seis opciones propuestas.</w:t>
      </w:r>
    </w:p>
    <w:p w14:paraId="4546163E" w14:textId="0E78A4C3" w:rsidR="00196E17" w:rsidRPr="002552AC" w:rsidRDefault="00196E17" w:rsidP="00196E17">
      <w:pPr>
        <w:jc w:val="both"/>
        <w:rPr>
          <w:rFonts w:eastAsia="Aptos" w:cs="Calibri"/>
          <w:lang w:val="es-ES"/>
        </w:rPr>
      </w:pPr>
      <w:r w:rsidRPr="002552AC">
        <w:rPr>
          <w:rFonts w:eastAsia="Aptos" w:cs="Calibri"/>
          <w:lang w:val="es-ES"/>
        </w:rPr>
        <w:t>8</w:t>
      </w:r>
      <w:r w:rsidRPr="002552AC">
        <w:rPr>
          <w:lang w:val="es-ES"/>
        </w:rPr>
        <w:tab/>
      </w:r>
      <w:r w:rsidRPr="002552AC">
        <w:rPr>
          <w:rFonts w:eastAsia="Aptos" w:cs="Calibri"/>
          <w:lang w:val="es-ES"/>
        </w:rPr>
        <w:t xml:space="preserve">La secretaría explicó que, </w:t>
      </w:r>
      <w:r>
        <w:rPr>
          <w:rFonts w:eastAsia="Aptos" w:cs="Calibri"/>
          <w:lang w:val="es-ES"/>
        </w:rPr>
        <w:t>si bien</w:t>
      </w:r>
      <w:r w:rsidRPr="002552AC">
        <w:rPr>
          <w:rFonts w:eastAsia="Aptos" w:cs="Calibri"/>
          <w:lang w:val="es-ES"/>
        </w:rPr>
        <w:t xml:space="preserve"> la AMNT-24 </w:t>
      </w:r>
      <w:r>
        <w:rPr>
          <w:rFonts w:eastAsia="Aptos" w:cs="Calibri"/>
          <w:lang w:val="es-ES"/>
        </w:rPr>
        <w:t>había aprobado</w:t>
      </w:r>
      <w:r w:rsidRPr="002552AC">
        <w:rPr>
          <w:rFonts w:eastAsia="Aptos" w:cs="Calibri"/>
          <w:lang w:val="es-ES"/>
        </w:rPr>
        <w:t xml:space="preserve"> ocho nuevas Resoluciones, </w:t>
      </w:r>
      <w:r>
        <w:rPr>
          <w:rFonts w:eastAsia="Aptos" w:cs="Calibri"/>
          <w:lang w:val="es-ES"/>
        </w:rPr>
        <w:t xml:space="preserve">revisado </w:t>
      </w:r>
      <w:r w:rsidRPr="002552AC">
        <w:rPr>
          <w:rFonts w:eastAsia="Aptos" w:cs="Calibri"/>
          <w:lang w:val="es-ES"/>
        </w:rPr>
        <w:t xml:space="preserve">44 </w:t>
      </w:r>
      <w:r>
        <w:rPr>
          <w:rFonts w:eastAsia="Aptos" w:cs="Calibri"/>
          <w:lang w:val="es-ES"/>
        </w:rPr>
        <w:t>R</w:t>
      </w:r>
      <w:r w:rsidRPr="002552AC">
        <w:rPr>
          <w:rFonts w:eastAsia="Aptos" w:cs="Calibri"/>
          <w:lang w:val="es-ES"/>
        </w:rPr>
        <w:t>esoluciones</w:t>
      </w:r>
      <w:r>
        <w:rPr>
          <w:rFonts w:eastAsia="Aptos" w:cs="Calibri"/>
          <w:lang w:val="es-ES"/>
        </w:rPr>
        <w:t xml:space="preserve"> existentes y adoptado quince medidas cuya aplicación encargó al</w:t>
      </w:r>
      <w:r w:rsidRPr="002552AC">
        <w:rPr>
          <w:rFonts w:eastAsia="Aptos" w:cs="Calibri"/>
          <w:lang w:val="es-ES"/>
        </w:rPr>
        <w:t xml:space="preserve"> Director de la TSB</w:t>
      </w:r>
      <w:r>
        <w:rPr>
          <w:rFonts w:eastAsia="Aptos" w:cs="Calibri"/>
          <w:lang w:val="es-ES"/>
        </w:rPr>
        <w:t xml:space="preserve">, </w:t>
      </w:r>
      <w:r w:rsidRPr="002552AC">
        <w:rPr>
          <w:rFonts w:eastAsia="Aptos" w:cs="Calibri"/>
          <w:lang w:val="es-ES"/>
        </w:rPr>
        <w:t>la COM2 y l</w:t>
      </w:r>
      <w:r>
        <w:rPr>
          <w:rFonts w:eastAsia="Aptos" w:cs="Calibri"/>
          <w:lang w:val="es-ES"/>
        </w:rPr>
        <w:t>a</w:t>
      </w:r>
      <w:r w:rsidRPr="002552AC">
        <w:rPr>
          <w:rFonts w:eastAsia="Aptos" w:cs="Calibri"/>
          <w:lang w:val="es-ES"/>
        </w:rPr>
        <w:t xml:space="preserve"> </w:t>
      </w:r>
      <w:r>
        <w:rPr>
          <w:rFonts w:eastAsia="Aptos" w:cs="Calibri"/>
          <w:lang w:val="es-ES"/>
        </w:rPr>
        <w:t>Plenaria</w:t>
      </w:r>
      <w:r w:rsidRPr="002552AC">
        <w:rPr>
          <w:rFonts w:eastAsia="Aptos" w:cs="Calibri"/>
          <w:lang w:val="es-ES"/>
        </w:rPr>
        <w:t xml:space="preserve"> de la AMNT-24 </w:t>
      </w:r>
      <w:r>
        <w:rPr>
          <w:rFonts w:eastAsia="Aptos" w:cs="Calibri"/>
          <w:lang w:val="es-ES"/>
        </w:rPr>
        <w:t xml:space="preserve">también </w:t>
      </w:r>
      <w:r w:rsidRPr="002552AC">
        <w:rPr>
          <w:rFonts w:eastAsia="Aptos" w:cs="Calibri"/>
          <w:lang w:val="es-ES"/>
        </w:rPr>
        <w:t>aprobaron una</w:t>
      </w:r>
      <w:r>
        <w:rPr>
          <w:rFonts w:eastAsia="Aptos" w:cs="Calibri"/>
          <w:lang w:val="es-ES"/>
        </w:rPr>
        <w:t>s consecuencias</w:t>
      </w:r>
      <w:r w:rsidRPr="002552AC">
        <w:rPr>
          <w:rFonts w:eastAsia="Aptos" w:cs="Calibri"/>
          <w:lang w:val="es-ES"/>
        </w:rPr>
        <w:t xml:space="preserve"> presupuestaria</w:t>
      </w:r>
      <w:r>
        <w:rPr>
          <w:rFonts w:eastAsia="Aptos" w:cs="Calibri"/>
          <w:lang w:val="es-ES"/>
        </w:rPr>
        <w:t>s</w:t>
      </w:r>
      <w:r w:rsidRPr="002552AC">
        <w:rPr>
          <w:rFonts w:eastAsia="Aptos" w:cs="Calibri"/>
          <w:lang w:val="es-ES"/>
        </w:rPr>
        <w:t xml:space="preserve"> estimada</w:t>
      </w:r>
      <w:r>
        <w:rPr>
          <w:rFonts w:eastAsia="Aptos" w:cs="Calibri"/>
          <w:lang w:val="es-ES"/>
        </w:rPr>
        <w:t>s</w:t>
      </w:r>
      <w:r w:rsidRPr="002552AC">
        <w:rPr>
          <w:rFonts w:eastAsia="Aptos" w:cs="Calibri"/>
          <w:lang w:val="es-ES"/>
        </w:rPr>
        <w:t xml:space="preserve"> e</w:t>
      </w:r>
      <w:r>
        <w:rPr>
          <w:rFonts w:eastAsia="Aptos" w:cs="Calibri"/>
          <w:lang w:val="es-ES"/>
        </w:rPr>
        <w:t>n</w:t>
      </w:r>
      <w:r w:rsidRPr="002552AC">
        <w:rPr>
          <w:rFonts w:eastAsia="Aptos" w:cs="Calibri"/>
          <w:lang w:val="es-ES"/>
        </w:rPr>
        <w:t xml:space="preserve"> </w:t>
      </w:r>
      <w:r w:rsidRPr="002552AC">
        <w:rPr>
          <w:rFonts w:eastAsia="Aptos" w:cs="Calibri"/>
          <w:b/>
          <w:bCs/>
          <w:lang w:val="es-ES"/>
        </w:rPr>
        <w:t>1</w:t>
      </w:r>
      <w:r w:rsidR="00C4678A">
        <w:rPr>
          <w:rFonts w:eastAsia="Aptos" w:cs="Calibri"/>
          <w:b/>
          <w:bCs/>
          <w:lang w:val="es-ES"/>
        </w:rPr>
        <w:t> </w:t>
      </w:r>
      <w:r w:rsidRPr="002552AC">
        <w:rPr>
          <w:rFonts w:eastAsia="Aptos" w:cs="Calibri"/>
          <w:b/>
          <w:bCs/>
          <w:lang w:val="es-ES"/>
        </w:rPr>
        <w:t>414</w:t>
      </w:r>
      <w:r>
        <w:rPr>
          <w:rFonts w:eastAsia="Aptos" w:cs="Calibri"/>
          <w:b/>
          <w:bCs/>
          <w:lang w:val="es-ES"/>
        </w:rPr>
        <w:t> 000</w:t>
      </w:r>
      <w:r w:rsidR="00C4678A">
        <w:rPr>
          <w:rFonts w:eastAsia="Aptos" w:cs="Calibri"/>
          <w:b/>
          <w:bCs/>
          <w:lang w:val="es-ES"/>
        </w:rPr>
        <w:t> </w:t>
      </w:r>
      <w:r w:rsidRPr="002552AC">
        <w:rPr>
          <w:rFonts w:eastAsia="Aptos" w:cs="Calibri"/>
          <w:b/>
          <w:bCs/>
          <w:lang w:val="es-ES"/>
        </w:rPr>
        <w:t>CHF</w:t>
      </w:r>
      <w:r w:rsidRPr="002552AC">
        <w:rPr>
          <w:rFonts w:eastAsia="Aptos" w:cs="Calibri"/>
          <w:lang w:val="es-ES"/>
        </w:rPr>
        <w:t xml:space="preserve">, </w:t>
      </w:r>
      <w:r>
        <w:rPr>
          <w:rFonts w:eastAsia="Aptos" w:cs="Calibri"/>
          <w:lang w:val="es-ES"/>
        </w:rPr>
        <w:t xml:space="preserve">lo </w:t>
      </w:r>
      <w:r w:rsidRPr="002552AC">
        <w:rPr>
          <w:rFonts w:eastAsia="Aptos" w:cs="Calibri"/>
          <w:lang w:val="es-ES"/>
        </w:rPr>
        <w:t xml:space="preserve">que abarcaba únicamente la Resolución 101 sobre inteligencia artificial (IA), la Resolución 103 </w:t>
      </w:r>
      <w:r w:rsidRPr="00063783">
        <w:rPr>
          <w:rFonts w:eastAsia="Aptos" w:cs="Calibri"/>
          <w:lang w:val="es-ES"/>
        </w:rPr>
        <w:t xml:space="preserve">sobre infraestructuras públicas digitales </w:t>
      </w:r>
      <w:r w:rsidRPr="002552AC">
        <w:rPr>
          <w:rFonts w:eastAsia="Aptos" w:cs="Calibri"/>
          <w:lang w:val="es-ES"/>
        </w:rPr>
        <w:t>(IPD) y la Resolución 106 sobre transformación digital sostenible (TDS).</w:t>
      </w:r>
    </w:p>
    <w:p w14:paraId="2CD03373" w14:textId="77777777" w:rsidR="00196E17" w:rsidRPr="00063783" w:rsidRDefault="00196E17" w:rsidP="00196E17">
      <w:pPr>
        <w:jc w:val="both"/>
        <w:rPr>
          <w:rFonts w:eastAsia="Aptos" w:cs="Calibri"/>
          <w:lang w:val="es-ES"/>
        </w:rPr>
      </w:pPr>
      <w:r w:rsidRPr="002552AC">
        <w:rPr>
          <w:rFonts w:eastAsia="Aptos" w:cs="Calibri"/>
          <w:lang w:val="es-ES"/>
        </w:rPr>
        <w:t>9</w:t>
      </w:r>
      <w:r w:rsidRPr="002552AC">
        <w:rPr>
          <w:lang w:val="es-ES"/>
        </w:rPr>
        <w:tab/>
      </w:r>
      <w:r w:rsidRPr="002552AC">
        <w:rPr>
          <w:rFonts w:eastAsia="Aptos" w:cs="Calibri"/>
          <w:lang w:val="es-ES"/>
        </w:rPr>
        <w:t xml:space="preserve">La secretaría informó al </w:t>
      </w:r>
      <w:r>
        <w:rPr>
          <w:rFonts w:eastAsia="Aptos" w:cs="Calibri"/>
          <w:lang w:val="es-ES"/>
        </w:rPr>
        <w:t>GTC-RHF</w:t>
      </w:r>
      <w:r w:rsidRPr="002552AC">
        <w:rPr>
          <w:rFonts w:eastAsia="Aptos" w:cs="Calibri"/>
          <w:lang w:val="es-ES"/>
        </w:rPr>
        <w:t xml:space="preserve"> de que se</w:t>
      </w:r>
      <w:r>
        <w:rPr>
          <w:rFonts w:eastAsia="Aptos" w:cs="Calibri"/>
          <w:lang w:val="es-ES"/>
        </w:rPr>
        <w:t xml:space="preserve"> habían entablado</w:t>
      </w:r>
      <w:r w:rsidRPr="002552AC">
        <w:rPr>
          <w:rFonts w:eastAsia="Aptos" w:cs="Calibri"/>
          <w:lang w:val="es-ES"/>
        </w:rPr>
        <w:t xml:space="preserve"> conversaciones con</w:t>
      </w:r>
      <w:r>
        <w:rPr>
          <w:rFonts w:eastAsia="Aptos" w:cs="Calibri"/>
          <w:lang w:val="es-ES"/>
        </w:rPr>
        <w:t xml:space="preserve"> la</w:t>
      </w:r>
      <w:r w:rsidRPr="002552AC">
        <w:rPr>
          <w:rFonts w:eastAsia="Aptos" w:cs="Calibri"/>
          <w:lang w:val="es-ES"/>
        </w:rPr>
        <w:t xml:space="preserve"> </w:t>
      </w:r>
      <w:r w:rsidRPr="002552AC">
        <w:rPr>
          <w:rFonts w:eastAsia="Aptos" w:cs="Calibri"/>
          <w:b/>
          <w:bCs/>
          <w:lang w:val="es-ES"/>
        </w:rPr>
        <w:t xml:space="preserve">India </w:t>
      </w:r>
      <w:r w:rsidRPr="002552AC">
        <w:rPr>
          <w:rFonts w:eastAsia="Aptos" w:cs="Calibri"/>
          <w:lang w:val="es-ES"/>
        </w:rPr>
        <w:t>para estudiar la opción 1 (</w:t>
      </w:r>
      <w:r>
        <w:rPr>
          <w:rFonts w:eastAsia="Aptos" w:cs="Calibri"/>
          <w:lang w:val="es-ES"/>
        </w:rPr>
        <w:t xml:space="preserve">basada en los </w:t>
      </w:r>
      <w:r w:rsidRPr="002552AC">
        <w:rPr>
          <w:rFonts w:eastAsia="Aptos" w:cs="Calibri"/>
          <w:lang w:val="es-ES"/>
        </w:rPr>
        <w:t>ahorro</w:t>
      </w:r>
      <w:r>
        <w:rPr>
          <w:rFonts w:eastAsia="Aptos" w:cs="Calibri"/>
          <w:lang w:val="es-ES"/>
        </w:rPr>
        <w:t>s</w:t>
      </w:r>
      <w:r w:rsidRPr="002552AC">
        <w:rPr>
          <w:rFonts w:eastAsia="Aptos" w:cs="Calibri"/>
          <w:lang w:val="es-ES"/>
        </w:rPr>
        <w:t xml:space="preserve"> </w:t>
      </w:r>
      <w:r>
        <w:rPr>
          <w:rFonts w:eastAsia="Aptos" w:cs="Calibri"/>
          <w:lang w:val="es-ES"/>
        </w:rPr>
        <w:t xml:space="preserve">derivados </w:t>
      </w:r>
      <w:r w:rsidRPr="002552AC">
        <w:rPr>
          <w:rFonts w:eastAsia="Aptos" w:cs="Calibri"/>
          <w:lang w:val="es-ES"/>
        </w:rPr>
        <w:t xml:space="preserve">de la financiación proporcionada por el país anfitrión para organizar la Asamblea, previo acuerdo del país anfitrión). El importe exacto de </w:t>
      </w:r>
      <w:r>
        <w:rPr>
          <w:rFonts w:eastAsia="Aptos" w:cs="Calibri"/>
          <w:lang w:val="es-ES"/>
        </w:rPr>
        <w:t>dicho</w:t>
      </w:r>
      <w:r w:rsidRPr="002552AC">
        <w:rPr>
          <w:rFonts w:eastAsia="Aptos" w:cs="Calibri"/>
          <w:lang w:val="es-ES"/>
        </w:rPr>
        <w:t xml:space="preserve"> ahorro</w:t>
      </w:r>
      <w:r>
        <w:rPr>
          <w:rFonts w:eastAsia="Aptos" w:cs="Calibri"/>
          <w:lang w:val="es-ES"/>
        </w:rPr>
        <w:t xml:space="preserve"> era incierto en el momento en que se</w:t>
      </w:r>
      <w:r w:rsidRPr="002552AC">
        <w:rPr>
          <w:rFonts w:eastAsia="Aptos" w:cs="Calibri"/>
          <w:lang w:val="es-ES"/>
        </w:rPr>
        <w:t xml:space="preserve"> present</w:t>
      </w:r>
      <w:r>
        <w:rPr>
          <w:rFonts w:eastAsia="Aptos" w:cs="Calibri"/>
          <w:lang w:val="es-ES"/>
        </w:rPr>
        <w:t>ó el</w:t>
      </w:r>
      <w:r w:rsidRPr="002552AC">
        <w:rPr>
          <w:rFonts w:eastAsia="Aptos" w:cs="Calibri"/>
          <w:lang w:val="es-ES"/>
        </w:rPr>
        <w:t xml:space="preserve"> documento, </w:t>
      </w:r>
      <w:r>
        <w:rPr>
          <w:rFonts w:eastAsia="Aptos" w:cs="Calibri"/>
          <w:lang w:val="es-ES"/>
        </w:rPr>
        <w:t>puesto</w:t>
      </w:r>
      <w:r w:rsidRPr="002552AC">
        <w:rPr>
          <w:rFonts w:eastAsia="Aptos" w:cs="Calibri"/>
          <w:lang w:val="es-ES"/>
        </w:rPr>
        <w:t xml:space="preserve"> que aún no se habían cerrado </w:t>
      </w:r>
      <w:r>
        <w:rPr>
          <w:rFonts w:eastAsia="Aptos" w:cs="Calibri"/>
          <w:lang w:val="es-ES"/>
        </w:rPr>
        <w:t>las cuentas de</w:t>
      </w:r>
      <w:r w:rsidRPr="002552AC">
        <w:rPr>
          <w:rFonts w:eastAsia="Aptos" w:cs="Calibri"/>
          <w:lang w:val="es-ES"/>
        </w:rPr>
        <w:t xml:space="preserve"> gastos de la AMNT-24.</w:t>
      </w:r>
    </w:p>
    <w:p w14:paraId="4A527DF8" w14:textId="17589B59" w:rsidR="00196E17" w:rsidRPr="002552AC" w:rsidRDefault="00196E17" w:rsidP="00196E17">
      <w:pPr>
        <w:jc w:val="both"/>
        <w:rPr>
          <w:rFonts w:eastAsia="Aptos" w:cs="Calibri"/>
          <w:lang w:val="es-ES"/>
        </w:rPr>
      </w:pPr>
      <w:r w:rsidRPr="002552AC">
        <w:rPr>
          <w:rFonts w:eastAsia="Aptos" w:cs="Calibri"/>
          <w:lang w:val="es-ES"/>
        </w:rPr>
        <w:t>10</w:t>
      </w:r>
      <w:r w:rsidRPr="002552AC">
        <w:rPr>
          <w:lang w:val="es-ES"/>
        </w:rPr>
        <w:tab/>
      </w:r>
      <w:r>
        <w:rPr>
          <w:rFonts w:eastAsia="Aptos" w:cs="Calibri"/>
          <w:spacing w:val="-2"/>
          <w:lang w:val="es-ES"/>
        </w:rPr>
        <w:t>L</w:t>
      </w:r>
      <w:r w:rsidRPr="002552AC">
        <w:rPr>
          <w:rFonts w:eastAsia="Aptos" w:cs="Calibri"/>
          <w:spacing w:val="-2"/>
          <w:lang w:val="es-ES"/>
        </w:rPr>
        <w:t xml:space="preserve">a secretaría destacó </w:t>
      </w:r>
      <w:r>
        <w:rPr>
          <w:rFonts w:eastAsia="Aptos" w:cs="Calibri"/>
          <w:spacing w:val="-2"/>
          <w:lang w:val="es-ES"/>
        </w:rPr>
        <w:t xml:space="preserve">asimismo </w:t>
      </w:r>
      <w:r w:rsidRPr="002552AC">
        <w:rPr>
          <w:rFonts w:eastAsia="Aptos" w:cs="Calibri"/>
          <w:spacing w:val="-2"/>
          <w:lang w:val="es-ES"/>
        </w:rPr>
        <w:t xml:space="preserve">el Documento </w:t>
      </w:r>
      <w:hyperlink r:id="rId11">
        <w:r w:rsidRPr="002552AC">
          <w:rPr>
            <w:rStyle w:val="Hyperlink"/>
            <w:rFonts w:eastAsia="Aptos" w:cs="Calibri"/>
            <w:spacing w:val="-2"/>
            <w:lang w:val="es-ES"/>
          </w:rPr>
          <w:t>CWG-FHR-20/14</w:t>
        </w:r>
      </w:hyperlink>
      <w:r>
        <w:rPr>
          <w:rFonts w:eastAsia="Aptos" w:cs="Calibri"/>
          <w:spacing w:val="-2"/>
          <w:lang w:val="es-ES"/>
        </w:rPr>
        <w:t>, p</w:t>
      </w:r>
      <w:r w:rsidRPr="002552AC">
        <w:rPr>
          <w:rFonts w:eastAsia="Aptos" w:cs="Calibri"/>
          <w:spacing w:val="-2"/>
          <w:lang w:val="es-ES"/>
        </w:rPr>
        <w:t xml:space="preserve">resentado en </w:t>
      </w:r>
      <w:r>
        <w:rPr>
          <w:rFonts w:eastAsia="Aptos" w:cs="Calibri"/>
          <w:spacing w:val="-2"/>
          <w:lang w:val="es-ES"/>
        </w:rPr>
        <w:t>la citada reunión del GTC-RHF</w:t>
      </w:r>
      <w:r w:rsidRPr="002552AC">
        <w:rPr>
          <w:rFonts w:eastAsia="Aptos" w:cs="Calibri"/>
          <w:lang w:val="es-ES"/>
        </w:rPr>
        <w:t>, en el que se propon</w:t>
      </w:r>
      <w:r>
        <w:rPr>
          <w:rFonts w:eastAsia="Aptos" w:cs="Calibri"/>
          <w:lang w:val="es-ES"/>
        </w:rPr>
        <w:t>ía</w:t>
      </w:r>
      <w:r w:rsidRPr="002552AC">
        <w:rPr>
          <w:rFonts w:eastAsia="Aptos" w:cs="Calibri"/>
          <w:lang w:val="es-ES"/>
        </w:rPr>
        <w:t xml:space="preserve"> </w:t>
      </w:r>
      <w:r>
        <w:rPr>
          <w:rFonts w:eastAsia="Aptos" w:cs="Calibri"/>
          <w:lang w:val="es-ES"/>
        </w:rPr>
        <w:t xml:space="preserve">financiar </w:t>
      </w:r>
      <w:r w:rsidRPr="00063783">
        <w:rPr>
          <w:rFonts w:eastAsia="Aptos" w:cs="Calibri"/>
          <w:lang w:val="es-ES"/>
        </w:rPr>
        <w:t xml:space="preserve">el gasto puntual y el primer año de </w:t>
      </w:r>
      <w:r>
        <w:rPr>
          <w:rFonts w:eastAsia="Aptos" w:cs="Calibri"/>
          <w:lang w:val="es-ES"/>
        </w:rPr>
        <w:t xml:space="preserve">aplicación </w:t>
      </w:r>
      <w:r w:rsidRPr="002552AC">
        <w:rPr>
          <w:rFonts w:eastAsia="Aptos" w:cs="Calibri"/>
          <w:lang w:val="es-ES"/>
        </w:rPr>
        <w:t>la</w:t>
      </w:r>
      <w:r>
        <w:rPr>
          <w:rFonts w:eastAsia="Aptos" w:cs="Calibri"/>
          <w:lang w:val="es-ES"/>
        </w:rPr>
        <w:t>s Resoluciones</w:t>
      </w:r>
      <w:r w:rsidRPr="002552AC">
        <w:rPr>
          <w:rFonts w:eastAsia="Aptos" w:cs="Calibri"/>
          <w:lang w:val="es-ES"/>
        </w:rPr>
        <w:t xml:space="preserve"> de la AMNT-24</w:t>
      </w:r>
      <w:r w:rsidRPr="00063783">
        <w:rPr>
          <w:rFonts w:eastAsia="Aptos" w:cs="Calibri"/>
          <w:lang w:val="es-ES"/>
        </w:rPr>
        <w:t>, cuyo importe ascend</w:t>
      </w:r>
      <w:r>
        <w:rPr>
          <w:rFonts w:eastAsia="Aptos" w:cs="Calibri"/>
          <w:lang w:val="es-ES"/>
        </w:rPr>
        <w:t>ía</w:t>
      </w:r>
      <w:r w:rsidRPr="00063783">
        <w:rPr>
          <w:rFonts w:eastAsia="Aptos" w:cs="Calibri"/>
          <w:lang w:val="es-ES"/>
        </w:rPr>
        <w:t xml:space="preserve"> a </w:t>
      </w:r>
      <w:r w:rsidRPr="00063783">
        <w:rPr>
          <w:rFonts w:eastAsia="Aptos" w:cs="Calibri"/>
          <w:b/>
          <w:bCs/>
          <w:lang w:val="es-ES"/>
        </w:rPr>
        <w:t>556</w:t>
      </w:r>
      <w:r w:rsidR="00C4678A">
        <w:rPr>
          <w:rFonts w:eastAsia="Aptos" w:cs="Calibri"/>
          <w:b/>
          <w:bCs/>
          <w:lang w:val="es-ES"/>
        </w:rPr>
        <w:t> </w:t>
      </w:r>
      <w:r w:rsidRPr="00063783">
        <w:rPr>
          <w:rFonts w:eastAsia="Aptos" w:cs="Calibri"/>
          <w:b/>
          <w:bCs/>
          <w:lang w:val="es-ES"/>
        </w:rPr>
        <w:t>000</w:t>
      </w:r>
      <w:r w:rsidR="00C4678A">
        <w:rPr>
          <w:rFonts w:eastAsia="Aptos" w:cs="Calibri"/>
          <w:b/>
          <w:bCs/>
          <w:lang w:val="es-ES"/>
        </w:rPr>
        <w:t> </w:t>
      </w:r>
      <w:r w:rsidRPr="002552AC">
        <w:rPr>
          <w:rFonts w:eastAsia="Aptos" w:cs="Calibri"/>
          <w:b/>
          <w:bCs/>
          <w:lang w:val="es-ES"/>
        </w:rPr>
        <w:t>CHF</w:t>
      </w:r>
      <w:r>
        <w:rPr>
          <w:rFonts w:eastAsia="Aptos" w:cs="Calibri"/>
          <w:lang w:val="es-ES"/>
        </w:rPr>
        <w:t xml:space="preserve">, </w:t>
      </w:r>
      <w:r w:rsidRPr="002552AC">
        <w:rPr>
          <w:rFonts w:eastAsia="Aptos" w:cs="Calibri"/>
          <w:lang w:val="es-ES"/>
        </w:rPr>
        <w:t>con los ahorros presupuestarios de 2024.</w:t>
      </w:r>
    </w:p>
    <w:p w14:paraId="59B77FF7" w14:textId="77777777" w:rsidR="00196E17" w:rsidRPr="002552AC" w:rsidRDefault="00196E17" w:rsidP="00196E17">
      <w:pPr>
        <w:jc w:val="both"/>
        <w:rPr>
          <w:rFonts w:eastAsia="Aptos"/>
          <w:lang w:val="es-ES"/>
        </w:rPr>
      </w:pPr>
      <w:r w:rsidRPr="002552AC">
        <w:rPr>
          <w:rFonts w:eastAsia="Aptos"/>
          <w:lang w:val="es-ES"/>
        </w:rPr>
        <w:lastRenderedPageBreak/>
        <w:t>11</w:t>
      </w:r>
      <w:r w:rsidRPr="002552AC">
        <w:rPr>
          <w:lang w:val="es-ES"/>
        </w:rPr>
        <w:tab/>
      </w:r>
      <w:r>
        <w:rPr>
          <w:rFonts w:eastAsia="Aptos"/>
          <w:lang w:val="es-ES"/>
        </w:rPr>
        <w:t>Por otro lado, l</w:t>
      </w:r>
      <w:r w:rsidRPr="002552AC">
        <w:rPr>
          <w:rFonts w:eastAsia="Aptos"/>
          <w:lang w:val="es-ES"/>
        </w:rPr>
        <w:t xml:space="preserve">a secretaría explicó que las </w:t>
      </w:r>
      <w:r w:rsidRPr="002552AC">
        <w:rPr>
          <w:rFonts w:eastAsia="Aptos"/>
          <w:b/>
          <w:bCs/>
          <w:lang w:val="es-ES"/>
        </w:rPr>
        <w:t xml:space="preserve">prioridades </w:t>
      </w:r>
      <w:r>
        <w:rPr>
          <w:rFonts w:eastAsia="Aptos"/>
          <w:lang w:val="es-ES"/>
        </w:rPr>
        <w:t>establecidas</w:t>
      </w:r>
      <w:r w:rsidRPr="002552AC">
        <w:rPr>
          <w:rFonts w:eastAsia="Aptos"/>
          <w:lang w:val="es-ES"/>
        </w:rPr>
        <w:t xml:space="preserve"> por las </w:t>
      </w:r>
      <w:r>
        <w:rPr>
          <w:rFonts w:eastAsia="Aptos"/>
          <w:lang w:val="es-ES"/>
        </w:rPr>
        <w:t>R</w:t>
      </w:r>
      <w:r w:rsidRPr="002552AC">
        <w:rPr>
          <w:rFonts w:eastAsia="Aptos"/>
          <w:lang w:val="es-ES"/>
        </w:rPr>
        <w:t xml:space="preserve">esoluciones de la AMNT-24 y las </w:t>
      </w:r>
      <w:r>
        <w:rPr>
          <w:rFonts w:eastAsia="Aptos"/>
          <w:lang w:val="es-ES"/>
        </w:rPr>
        <w:t>solicitudes</w:t>
      </w:r>
      <w:r w:rsidRPr="002552AC">
        <w:rPr>
          <w:rFonts w:eastAsia="Aptos"/>
          <w:lang w:val="es-ES"/>
        </w:rPr>
        <w:t xml:space="preserve"> periódicas de los miembros</w:t>
      </w:r>
      <w:r>
        <w:rPr>
          <w:rFonts w:eastAsia="Aptos"/>
          <w:lang w:val="es-ES"/>
        </w:rPr>
        <w:t xml:space="preserve"> versaban sobre temas tales como la</w:t>
      </w:r>
      <w:r w:rsidRPr="002552AC">
        <w:rPr>
          <w:rFonts w:eastAsia="Aptos"/>
          <w:lang w:val="es-ES"/>
        </w:rPr>
        <w:t xml:space="preserve"> IA, l</w:t>
      </w:r>
      <w:r>
        <w:rPr>
          <w:rFonts w:eastAsia="Aptos"/>
          <w:lang w:val="es-ES"/>
        </w:rPr>
        <w:t>as IPD</w:t>
      </w:r>
      <w:r w:rsidRPr="002552AC">
        <w:rPr>
          <w:rFonts w:eastAsia="Aptos"/>
          <w:lang w:val="es-ES"/>
        </w:rPr>
        <w:t>, la sostenibilidad,</w:t>
      </w:r>
      <w:r>
        <w:rPr>
          <w:rFonts w:eastAsia="Aptos"/>
          <w:lang w:val="es-ES"/>
        </w:rPr>
        <w:t xml:space="preserve"> l</w:t>
      </w:r>
      <w:r w:rsidRPr="00EB5904">
        <w:rPr>
          <w:rFonts w:eastAsia="Aptos"/>
          <w:lang w:val="es-ES"/>
        </w:rPr>
        <w:t>as tecnologías cuánticas</w:t>
      </w:r>
      <w:r>
        <w:rPr>
          <w:rFonts w:eastAsia="Aptos"/>
          <w:lang w:val="es-ES"/>
        </w:rPr>
        <w:t xml:space="preserve"> </w:t>
      </w:r>
      <w:r w:rsidRPr="002552AC">
        <w:rPr>
          <w:rFonts w:eastAsia="Aptos"/>
          <w:lang w:val="es-ES"/>
        </w:rPr>
        <w:t xml:space="preserve">y las comunicaciones </w:t>
      </w:r>
      <w:r>
        <w:rPr>
          <w:rFonts w:eastAsia="Aptos"/>
          <w:lang w:val="es-ES"/>
        </w:rPr>
        <w:t xml:space="preserve">para casos </w:t>
      </w:r>
      <w:r w:rsidRPr="002552AC">
        <w:rPr>
          <w:rFonts w:eastAsia="Aptos"/>
          <w:lang w:val="es-ES"/>
        </w:rPr>
        <w:t>de catástrofe/emergencia.</w:t>
      </w:r>
    </w:p>
    <w:p w14:paraId="37664F05" w14:textId="77777777" w:rsidR="00C4678A" w:rsidRDefault="00196E17" w:rsidP="00196E17">
      <w:pPr>
        <w:jc w:val="both"/>
        <w:rPr>
          <w:rFonts w:eastAsia="Aptos"/>
          <w:lang w:val="es-ES"/>
        </w:rPr>
      </w:pPr>
      <w:r w:rsidRPr="002552AC">
        <w:rPr>
          <w:rFonts w:eastAsia="Aptos"/>
          <w:lang w:val="es-ES"/>
        </w:rPr>
        <w:t>12</w:t>
      </w:r>
      <w:r w:rsidRPr="002552AC">
        <w:rPr>
          <w:lang w:val="es-ES"/>
        </w:rPr>
        <w:tab/>
      </w:r>
      <w:r w:rsidRPr="002552AC">
        <w:rPr>
          <w:rFonts w:eastAsia="Aptos"/>
          <w:lang w:val="es-ES"/>
        </w:rPr>
        <w:t xml:space="preserve">Varios delegados </w:t>
      </w:r>
      <w:r>
        <w:rPr>
          <w:rFonts w:eastAsia="Aptos"/>
          <w:lang w:val="es-ES"/>
        </w:rPr>
        <w:t>expresaron su apoyo a</w:t>
      </w:r>
      <w:r w:rsidRPr="002552AC">
        <w:rPr>
          <w:rFonts w:eastAsia="Aptos"/>
          <w:lang w:val="es-ES"/>
        </w:rPr>
        <w:t xml:space="preserve"> la opción 3 (</w:t>
      </w:r>
      <w:r>
        <w:rPr>
          <w:rFonts w:eastAsia="Aptos" w:cs="Calibri"/>
          <w:lang w:val="es-ES"/>
        </w:rPr>
        <w:t xml:space="preserve">basada en los </w:t>
      </w:r>
      <w:r w:rsidRPr="002552AC">
        <w:rPr>
          <w:rFonts w:eastAsia="Aptos" w:cs="Calibri"/>
          <w:lang w:val="es-ES"/>
        </w:rPr>
        <w:t>ahorro</w:t>
      </w:r>
      <w:r>
        <w:rPr>
          <w:rFonts w:eastAsia="Aptos" w:cs="Calibri"/>
          <w:lang w:val="es-ES"/>
        </w:rPr>
        <w:t>s</w:t>
      </w:r>
      <w:r w:rsidRPr="002552AC">
        <w:rPr>
          <w:rFonts w:eastAsia="Aptos" w:cs="Calibri"/>
          <w:lang w:val="es-ES"/>
        </w:rPr>
        <w:t xml:space="preserve"> </w:t>
      </w:r>
      <w:r>
        <w:rPr>
          <w:rFonts w:eastAsia="Aptos" w:cs="Calibri"/>
          <w:lang w:val="es-ES"/>
        </w:rPr>
        <w:t xml:space="preserve">derivados </w:t>
      </w:r>
      <w:r w:rsidRPr="002552AC">
        <w:rPr>
          <w:rFonts w:eastAsia="Aptos" w:cs="Calibri"/>
          <w:lang w:val="es-ES"/>
        </w:rPr>
        <w:t>de la</w:t>
      </w:r>
      <w:r w:rsidRPr="002552AC">
        <w:rPr>
          <w:rFonts w:eastAsia="Aptos"/>
          <w:lang w:val="es-ES"/>
        </w:rPr>
        <w:t xml:space="preserve"> </w:t>
      </w:r>
      <w:r>
        <w:rPr>
          <w:rFonts w:eastAsia="Aptos"/>
          <w:lang w:val="es-ES"/>
        </w:rPr>
        <w:t xml:space="preserve">ejecución </w:t>
      </w:r>
      <w:r w:rsidRPr="002552AC">
        <w:rPr>
          <w:rFonts w:eastAsia="Aptos"/>
          <w:lang w:val="es-ES"/>
        </w:rPr>
        <w:t>del presupuesto de la UIT) para financiar la aplicación de los resultados de la AMNT-24.</w:t>
      </w:r>
      <w:r>
        <w:rPr>
          <w:rFonts w:eastAsia="Aptos"/>
          <w:lang w:val="es-ES"/>
        </w:rPr>
        <w:t xml:space="preserve"> </w:t>
      </w:r>
      <w:r w:rsidRPr="002552AC">
        <w:rPr>
          <w:rFonts w:eastAsia="Aptos"/>
          <w:lang w:val="es-ES"/>
        </w:rPr>
        <w:t xml:space="preserve">Otros </w:t>
      </w:r>
      <w:r>
        <w:rPr>
          <w:rFonts w:eastAsia="Aptos"/>
          <w:lang w:val="es-ES"/>
        </w:rPr>
        <w:t>abogaron por ampliar la</w:t>
      </w:r>
      <w:r w:rsidRPr="002552AC">
        <w:rPr>
          <w:rFonts w:eastAsia="Aptos"/>
          <w:lang w:val="es-ES"/>
        </w:rPr>
        <w:t xml:space="preserve"> movilización de recursos, </w:t>
      </w:r>
      <w:r>
        <w:rPr>
          <w:rFonts w:eastAsia="Aptos"/>
          <w:lang w:val="es-ES"/>
        </w:rPr>
        <w:t>aportar</w:t>
      </w:r>
      <w:r w:rsidRPr="002552AC">
        <w:rPr>
          <w:rFonts w:eastAsia="Aptos"/>
          <w:lang w:val="es-ES"/>
        </w:rPr>
        <w:t xml:space="preserve"> contribuciones voluntarias y </w:t>
      </w:r>
      <w:r>
        <w:rPr>
          <w:rFonts w:eastAsia="Aptos"/>
          <w:lang w:val="es-ES"/>
        </w:rPr>
        <w:t xml:space="preserve">examinar </w:t>
      </w:r>
      <w:r w:rsidRPr="002552AC">
        <w:rPr>
          <w:rFonts w:eastAsia="Aptos"/>
          <w:lang w:val="es-ES"/>
        </w:rPr>
        <w:t>mecanismos adicionales de recuperación de costes.</w:t>
      </w:r>
    </w:p>
    <w:p w14:paraId="6FB4FDA5" w14:textId="03D5AD4F" w:rsidR="00196E17" w:rsidRPr="00EB5904" w:rsidRDefault="00196E17" w:rsidP="00196E17">
      <w:pPr>
        <w:jc w:val="both"/>
        <w:rPr>
          <w:b/>
          <w:bCs/>
          <w:sz w:val="28"/>
          <w:szCs w:val="28"/>
          <w:lang w:val="es-ES"/>
        </w:rPr>
      </w:pPr>
      <w:r w:rsidRPr="00EB5904">
        <w:rPr>
          <w:lang w:val="es-ES"/>
        </w:rPr>
        <w:br w:type="page"/>
      </w:r>
    </w:p>
    <w:p w14:paraId="0D7397C2" w14:textId="77777777" w:rsidR="00196E17" w:rsidRPr="002552AC" w:rsidRDefault="00196E17" w:rsidP="00196E17">
      <w:pPr>
        <w:pStyle w:val="AnnexNo"/>
        <w:rPr>
          <w:b/>
          <w:lang w:val="es-ES"/>
        </w:rPr>
      </w:pPr>
      <w:r w:rsidRPr="002552AC">
        <w:rPr>
          <w:lang w:val="es-ES"/>
        </w:rPr>
        <w:lastRenderedPageBreak/>
        <w:t>ANEXO A</w:t>
      </w:r>
    </w:p>
    <w:p w14:paraId="2691A7D9" w14:textId="4B88378E" w:rsidR="00196E17" w:rsidRDefault="00196E17" w:rsidP="00196E17">
      <w:pPr>
        <w:pStyle w:val="Annextitle"/>
        <w:rPr>
          <w:lang w:val="es-ES"/>
        </w:rPr>
      </w:pPr>
      <w:r>
        <w:rPr>
          <w:lang w:val="es-ES"/>
        </w:rPr>
        <w:t>Consecuencias</w:t>
      </w:r>
      <w:r w:rsidRPr="002552AC">
        <w:rPr>
          <w:lang w:val="es-ES"/>
        </w:rPr>
        <w:t xml:space="preserve"> financieras de las </w:t>
      </w:r>
      <w:r>
        <w:rPr>
          <w:lang w:val="es-ES"/>
        </w:rPr>
        <w:t>R</w:t>
      </w:r>
      <w:r w:rsidRPr="002552AC">
        <w:rPr>
          <w:lang w:val="es-ES"/>
        </w:rPr>
        <w:t>esoluciones de la Asamblea Mundial de</w:t>
      </w:r>
      <w:r w:rsidR="002E510B">
        <w:rPr>
          <w:lang w:val="es-ES"/>
        </w:rPr>
        <w:br/>
      </w:r>
      <w:r w:rsidRPr="002552AC">
        <w:rPr>
          <w:lang w:val="es-ES"/>
        </w:rPr>
        <w:t>Normalización de las Telecomunicaciones (AMNT-24)</w:t>
      </w:r>
    </w:p>
    <w:p w14:paraId="3CE0F66A" w14:textId="77777777" w:rsidR="00196E17" w:rsidRPr="00430C7F" w:rsidRDefault="00196E17" w:rsidP="00196E17">
      <w:pPr>
        <w:ind w:left="6804"/>
        <w:rPr>
          <w:i/>
          <w:iCs/>
          <w:lang w:val="es-ES"/>
        </w:rPr>
      </w:pPr>
      <w:r w:rsidRPr="00430C7F">
        <w:rPr>
          <w:i/>
          <w:iCs/>
          <w:lang w:val="es-ES"/>
        </w:rPr>
        <w:t>En miles CHF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1133"/>
        <w:gridCol w:w="1526"/>
        <w:gridCol w:w="1356"/>
      </w:tblGrid>
      <w:tr w:rsidR="00196E17" w:rsidRPr="00854AF9" w14:paraId="0D0B0E4A" w14:textId="77777777" w:rsidTr="0069293E">
        <w:tc>
          <w:tcPr>
            <w:tcW w:w="5524" w:type="dxa"/>
            <w:shd w:val="clear" w:color="auto" w:fill="FDE9D9" w:themeFill="accent6" w:themeFillTint="33"/>
          </w:tcPr>
          <w:p w14:paraId="1D5A1E65" w14:textId="77777777" w:rsidR="00196E17" w:rsidRPr="00430C7F" w:rsidRDefault="00196E17" w:rsidP="0069293E">
            <w:pPr>
              <w:pStyle w:val="Tablehead"/>
              <w:rPr>
                <w:lang w:val="es-ES"/>
              </w:rPr>
            </w:pPr>
            <w:r w:rsidRPr="00430C7F">
              <w:rPr>
                <w:lang w:val="es-ES"/>
              </w:rPr>
              <w:t>Resolución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54CD306" w14:textId="77777777" w:rsidR="00196E17" w:rsidRPr="00430C7F" w:rsidRDefault="00196E17" w:rsidP="00424F6D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G</w:t>
            </w:r>
            <w:r w:rsidRPr="00430C7F">
              <w:rPr>
                <w:lang w:val="es-ES"/>
              </w:rPr>
              <w:t>astos puntuales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F4847DA" w14:textId="77777777" w:rsidR="00196E17" w:rsidRPr="00430C7F" w:rsidRDefault="00196E17" w:rsidP="00424F6D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G</w:t>
            </w:r>
            <w:r w:rsidRPr="00430C7F">
              <w:rPr>
                <w:lang w:val="es-ES"/>
              </w:rPr>
              <w:t>astos anuales recurrentes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62F93249" w14:textId="77777777" w:rsidR="00196E17" w:rsidRPr="00430C7F" w:rsidRDefault="00196E17" w:rsidP="00424F6D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G</w:t>
            </w:r>
            <w:r w:rsidRPr="00430C7F">
              <w:rPr>
                <w:lang w:val="es-ES"/>
              </w:rPr>
              <w:t>astos para el periodo de 4 años</w:t>
            </w:r>
          </w:p>
        </w:tc>
      </w:tr>
      <w:tr w:rsidR="00196E17" w:rsidRPr="00430C7F" w14:paraId="36F895B2" w14:textId="77777777" w:rsidTr="0069293E">
        <w:tc>
          <w:tcPr>
            <w:tcW w:w="5524" w:type="dxa"/>
            <w:shd w:val="clear" w:color="auto" w:fill="DAEEF3" w:themeFill="accent5" w:themeFillTint="33"/>
          </w:tcPr>
          <w:p w14:paraId="7C2FD258" w14:textId="77777777" w:rsidR="00196E17" w:rsidRPr="00430C7F" w:rsidRDefault="00196E17" w:rsidP="0069293E">
            <w:pPr>
              <w:pStyle w:val="Tabletext"/>
              <w:rPr>
                <w:lang w:val="es-ES"/>
              </w:rPr>
            </w:pPr>
            <w:r w:rsidRPr="00430C7F">
              <w:rPr>
                <w:lang w:val="es-ES"/>
              </w:rPr>
              <w:t>PROYECTO DE NUEVA RESOLUCIÓN [ADHOC-DPI]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1A57347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134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34447A1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120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7D7CC759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614</w:t>
            </w:r>
          </w:p>
        </w:tc>
      </w:tr>
      <w:tr w:rsidR="00196E17" w:rsidRPr="00430C7F" w14:paraId="43CBA8FD" w14:textId="77777777" w:rsidTr="0069293E">
        <w:tc>
          <w:tcPr>
            <w:tcW w:w="5524" w:type="dxa"/>
            <w:shd w:val="clear" w:color="auto" w:fill="EAF1DD" w:themeFill="accent3" w:themeFillTint="33"/>
          </w:tcPr>
          <w:p w14:paraId="7993AAF2" w14:textId="77777777" w:rsidR="00196E17" w:rsidRPr="00430C7F" w:rsidRDefault="00196E17" w:rsidP="0069293E">
            <w:pPr>
              <w:pStyle w:val="Tabletext"/>
              <w:rPr>
                <w:lang w:val="es-ES"/>
              </w:rPr>
            </w:pPr>
            <w:r w:rsidRPr="00430C7F">
              <w:rPr>
                <w:lang w:val="es-ES"/>
              </w:rPr>
              <w:t>PROYECTO DE NUEVA RESOLUCIÓN [ADHOC-SDT]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1120B96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1C535522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46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14:paraId="43F5B272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184</w:t>
            </w:r>
          </w:p>
        </w:tc>
      </w:tr>
      <w:tr w:rsidR="00196E17" w:rsidRPr="00430C7F" w14:paraId="22BEBE4C" w14:textId="77777777" w:rsidTr="0069293E">
        <w:tc>
          <w:tcPr>
            <w:tcW w:w="5524" w:type="dxa"/>
            <w:shd w:val="clear" w:color="auto" w:fill="DAEEF3" w:themeFill="accent5" w:themeFillTint="33"/>
          </w:tcPr>
          <w:p w14:paraId="771EC920" w14:textId="77777777" w:rsidR="00196E17" w:rsidRPr="00430C7F" w:rsidRDefault="00196E17" w:rsidP="0069293E">
            <w:pPr>
              <w:pStyle w:val="Tabletext"/>
              <w:rPr>
                <w:lang w:val="es-ES"/>
              </w:rPr>
            </w:pPr>
            <w:r w:rsidRPr="00430C7F">
              <w:rPr>
                <w:lang w:val="es-ES"/>
              </w:rPr>
              <w:t>PROYECTO DE NUEVA RESOLUCIÓN [ADHOC-AI]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316BAF2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136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A0ECC86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120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34C91F33" w14:textId="77777777" w:rsidR="00196E17" w:rsidRPr="00430C7F" w:rsidRDefault="00196E17" w:rsidP="00424F6D">
            <w:pPr>
              <w:pStyle w:val="Tabletext"/>
              <w:jc w:val="center"/>
              <w:rPr>
                <w:lang w:val="es-ES"/>
              </w:rPr>
            </w:pPr>
            <w:r w:rsidRPr="00430C7F">
              <w:rPr>
                <w:lang w:val="es-ES"/>
              </w:rPr>
              <w:t>616</w:t>
            </w:r>
          </w:p>
        </w:tc>
      </w:tr>
      <w:tr w:rsidR="00196E17" w:rsidRPr="00430C7F" w14:paraId="517949DD" w14:textId="77777777" w:rsidTr="0069293E">
        <w:tc>
          <w:tcPr>
            <w:tcW w:w="5524" w:type="dxa"/>
            <w:shd w:val="clear" w:color="auto" w:fill="FDE9D9" w:themeFill="accent6" w:themeFillTint="33"/>
          </w:tcPr>
          <w:p w14:paraId="0A972A20" w14:textId="77777777" w:rsidR="00196E17" w:rsidRPr="00430C7F" w:rsidRDefault="00196E17" w:rsidP="0069293E">
            <w:pPr>
              <w:pStyle w:val="Tabletext"/>
              <w:rPr>
                <w:b/>
                <w:bCs/>
                <w:lang w:val="es-ES"/>
              </w:rPr>
            </w:pPr>
            <w:r w:rsidRPr="00430C7F">
              <w:rPr>
                <w:b/>
                <w:bCs/>
                <w:lang w:val="es-ES"/>
              </w:rPr>
              <w:t>Total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437D029" w14:textId="77777777" w:rsidR="00196E17" w:rsidRPr="00430C7F" w:rsidRDefault="00196E17" w:rsidP="00424F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30C7F">
              <w:rPr>
                <w:b/>
                <w:bCs/>
                <w:lang w:val="es-ES"/>
              </w:rPr>
              <w:t>270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4C399A1F" w14:textId="77777777" w:rsidR="00196E17" w:rsidRPr="00430C7F" w:rsidRDefault="00196E17" w:rsidP="00424F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30C7F">
              <w:rPr>
                <w:b/>
                <w:bCs/>
                <w:lang w:val="es-ES"/>
              </w:rPr>
              <w:t>286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58DA804F" w14:textId="77777777" w:rsidR="00196E17" w:rsidRPr="00430C7F" w:rsidRDefault="00196E17" w:rsidP="00424F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430C7F">
              <w:rPr>
                <w:b/>
                <w:bCs/>
                <w:lang w:val="es-ES"/>
              </w:rPr>
              <w:t>1 414</w:t>
            </w:r>
          </w:p>
        </w:tc>
      </w:tr>
    </w:tbl>
    <w:p w14:paraId="5BB72114" w14:textId="77777777" w:rsidR="002E510B" w:rsidRDefault="002E510B" w:rsidP="00411C49">
      <w:pPr>
        <w:pStyle w:val="Reasons"/>
      </w:pPr>
    </w:p>
    <w:p w14:paraId="1B7CF3EE" w14:textId="77777777" w:rsidR="002E510B" w:rsidRDefault="002E510B">
      <w:pPr>
        <w:jc w:val="center"/>
      </w:pPr>
      <w:r>
        <w:t>______________</w:t>
      </w:r>
    </w:p>
    <w:sectPr w:rsidR="002E510B" w:rsidSect="00C538FC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CE05" w14:textId="77777777" w:rsidR="00196E17" w:rsidRDefault="00196E17">
      <w:r>
        <w:separator/>
      </w:r>
    </w:p>
  </w:endnote>
  <w:endnote w:type="continuationSeparator" w:id="0">
    <w:p w14:paraId="35A49E6F" w14:textId="77777777" w:rsidR="00196E17" w:rsidRDefault="0019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C4F82E9" w14:textId="77777777" w:rsidTr="00E31DCE">
      <w:trPr>
        <w:jc w:val="center"/>
      </w:trPr>
      <w:tc>
        <w:tcPr>
          <w:tcW w:w="1803" w:type="dxa"/>
          <w:vAlign w:val="center"/>
        </w:tcPr>
        <w:p w14:paraId="67F69C8B" w14:textId="27C12D91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F62D19" w:rsidRPr="00F62D19">
            <w:rPr>
              <w:noProof/>
            </w:rPr>
            <w:t>R2500718</w:t>
          </w:r>
        </w:p>
      </w:tc>
      <w:tc>
        <w:tcPr>
          <w:tcW w:w="8261" w:type="dxa"/>
        </w:tcPr>
        <w:p w14:paraId="7AE05CA8" w14:textId="1D208687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C4678A">
            <w:rPr>
              <w:bCs/>
            </w:rPr>
            <w:t>13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5DCB15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88638CB" w14:textId="77777777" w:rsidTr="00E31DCE">
      <w:trPr>
        <w:jc w:val="center"/>
      </w:trPr>
      <w:tc>
        <w:tcPr>
          <w:tcW w:w="1803" w:type="dxa"/>
          <w:vAlign w:val="center"/>
        </w:tcPr>
        <w:p w14:paraId="54C590CF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3A5135B5" w14:textId="67775772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B16E62">
            <w:rPr>
              <w:bCs/>
            </w:rPr>
            <w:t>13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03DADFF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FD79" w14:textId="77777777" w:rsidR="00196E17" w:rsidRDefault="00196E17">
      <w:r>
        <w:t>____________________</w:t>
      </w:r>
    </w:p>
  </w:footnote>
  <w:footnote w:type="continuationSeparator" w:id="0">
    <w:p w14:paraId="01C43E1B" w14:textId="77777777" w:rsidR="00196E17" w:rsidRDefault="0019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59F3D6F3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7757273C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7691BF0" wp14:editId="06618DF9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58928E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A8A13B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03D61" wp14:editId="238FADB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07C9C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17"/>
    <w:rsid w:val="000007D1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96E17"/>
    <w:rsid w:val="001B6E2B"/>
    <w:rsid w:val="001F14A2"/>
    <w:rsid w:val="00264D56"/>
    <w:rsid w:val="002801AA"/>
    <w:rsid w:val="002946E2"/>
    <w:rsid w:val="002C3F32"/>
    <w:rsid w:val="002C4676"/>
    <w:rsid w:val="002C70B0"/>
    <w:rsid w:val="002E510B"/>
    <w:rsid w:val="002F3CC4"/>
    <w:rsid w:val="003032E2"/>
    <w:rsid w:val="0031300A"/>
    <w:rsid w:val="003273A4"/>
    <w:rsid w:val="0034796E"/>
    <w:rsid w:val="00424F6D"/>
    <w:rsid w:val="00473962"/>
    <w:rsid w:val="004A6007"/>
    <w:rsid w:val="004B5D49"/>
    <w:rsid w:val="004D3A3C"/>
    <w:rsid w:val="00513630"/>
    <w:rsid w:val="00527BEC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24053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F6ABC"/>
    <w:rsid w:val="00913B9C"/>
    <w:rsid w:val="00927F93"/>
    <w:rsid w:val="00956E77"/>
    <w:rsid w:val="009A338E"/>
    <w:rsid w:val="009F4811"/>
    <w:rsid w:val="00A14742"/>
    <w:rsid w:val="00A94438"/>
    <w:rsid w:val="00AA390C"/>
    <w:rsid w:val="00B0200A"/>
    <w:rsid w:val="00B060DF"/>
    <w:rsid w:val="00B16E62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4678A"/>
    <w:rsid w:val="00C538FC"/>
    <w:rsid w:val="00C55B1F"/>
    <w:rsid w:val="00C72E86"/>
    <w:rsid w:val="00CF1A67"/>
    <w:rsid w:val="00D2750E"/>
    <w:rsid w:val="00D375E0"/>
    <w:rsid w:val="00D50A36"/>
    <w:rsid w:val="00D62446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62D19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60057D"/>
  <w15:docId w15:val="{ACC8ADF9-5064-47B9-8533-3470EDDB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qFormat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qFormat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196E17"/>
    <w:rPr>
      <w:rFonts w:ascii="Calibri" w:hAnsi="Calibr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t/md/22/wtsa.24/c/T22-WTSA.24-C-0119!R1!MSW-E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T22-WTSA.24-C-0120/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t/md/22/wtsa.24/c/T22-WTSA.24-C-0119!R1!MSW-E.docx" TargetMode="External"/><Relationship Id="rId11" Type="http://schemas.openxmlformats.org/officeDocument/2006/relationships/hyperlink" Target="https://www.itu.int/md/S25-CWGFHR20-C-0014/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5-CWGFHR20-C-0005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T22-WTSA.24-C-0120/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</TotalTime>
  <Pages>4</Pages>
  <Words>880</Words>
  <Characters>4833</Characters>
  <Application>Microsoft Office Word</Application>
  <DocSecurity>0</DocSecurity>
  <Lines>116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5659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Control del Presupuesto de la Asamblea Mundial de Normalización de las Telecomunicaciones (AMNT-24)</dc:title>
  <dc:subject>Consejo 2025 de la UIT</dc:subject>
  <cp:keywords>C2025, C25, Council-25</cp:keywords>
  <dc:description/>
  <cp:lastPrinted>2006-03-24T09:51:00Z</cp:lastPrinted>
  <dcterms:created xsi:type="dcterms:W3CDTF">2025-04-24T14:53:00Z</dcterms:created>
  <dcterms:modified xsi:type="dcterms:W3CDTF">2025-04-24T14:53:00Z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