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1E3F7E" w14:paraId="4A1D1961" w14:textId="77777777" w:rsidTr="00D72F49">
        <w:trPr>
          <w:cantSplit/>
          <w:trHeight w:val="23"/>
        </w:trPr>
        <w:tc>
          <w:tcPr>
            <w:tcW w:w="3969" w:type="dxa"/>
            <w:vMerge w:val="restart"/>
            <w:tcMar>
              <w:left w:w="0" w:type="dxa"/>
            </w:tcMar>
          </w:tcPr>
          <w:p w14:paraId="4214F950" w14:textId="2587EF42" w:rsidR="00D72F49" w:rsidRPr="001E3F7E" w:rsidRDefault="00D72F49" w:rsidP="00D72F49">
            <w:pPr>
              <w:tabs>
                <w:tab w:val="left" w:pos="851"/>
              </w:tabs>
              <w:spacing w:before="0" w:line="240" w:lineRule="atLeast"/>
              <w:rPr>
                <w:b/>
              </w:rPr>
            </w:pPr>
            <w:r w:rsidRPr="001E3F7E">
              <w:rPr>
                <w:b/>
              </w:rPr>
              <w:t>Point de l'ordre du jour:</w:t>
            </w:r>
            <w:r w:rsidR="00C347E9" w:rsidRPr="001E3F7E">
              <w:rPr>
                <w:b/>
              </w:rPr>
              <w:t xml:space="preserve"> A</w:t>
            </w:r>
            <w:r w:rsidR="00FD4B3A" w:rsidRPr="001E3F7E">
              <w:rPr>
                <w:b/>
              </w:rPr>
              <w:t>DM</w:t>
            </w:r>
            <w:r w:rsidR="00C347E9" w:rsidRPr="001E3F7E">
              <w:rPr>
                <w:b/>
              </w:rPr>
              <w:t xml:space="preserve"> 1</w:t>
            </w:r>
          </w:p>
        </w:tc>
        <w:tc>
          <w:tcPr>
            <w:tcW w:w="5245" w:type="dxa"/>
          </w:tcPr>
          <w:p w14:paraId="39AD5831" w14:textId="14CE9643" w:rsidR="00D72F49" w:rsidRPr="001E3F7E" w:rsidRDefault="00D72F49" w:rsidP="00D72F49">
            <w:pPr>
              <w:tabs>
                <w:tab w:val="left" w:pos="851"/>
              </w:tabs>
              <w:spacing w:before="0" w:line="240" w:lineRule="atLeast"/>
              <w:jc w:val="right"/>
              <w:rPr>
                <w:b/>
              </w:rPr>
            </w:pPr>
            <w:r w:rsidRPr="001E3F7E">
              <w:rPr>
                <w:b/>
              </w:rPr>
              <w:t>Document C2</w:t>
            </w:r>
            <w:r w:rsidR="00FC6D7D" w:rsidRPr="001E3F7E">
              <w:rPr>
                <w:b/>
              </w:rPr>
              <w:t>5</w:t>
            </w:r>
            <w:r w:rsidRPr="001E3F7E">
              <w:rPr>
                <w:b/>
              </w:rPr>
              <w:t>/</w:t>
            </w:r>
            <w:r w:rsidR="00C347E9" w:rsidRPr="001E3F7E">
              <w:rPr>
                <w:b/>
              </w:rPr>
              <w:t>13</w:t>
            </w:r>
            <w:r w:rsidRPr="001E3F7E">
              <w:rPr>
                <w:b/>
              </w:rPr>
              <w:t>-F</w:t>
            </w:r>
          </w:p>
        </w:tc>
      </w:tr>
      <w:tr w:rsidR="00D72F49" w:rsidRPr="001E3F7E" w14:paraId="47C32FCE" w14:textId="77777777" w:rsidTr="00D72F49">
        <w:trPr>
          <w:cantSplit/>
        </w:trPr>
        <w:tc>
          <w:tcPr>
            <w:tcW w:w="3969" w:type="dxa"/>
            <w:vMerge/>
          </w:tcPr>
          <w:p w14:paraId="59638650" w14:textId="77777777" w:rsidR="00D72F49" w:rsidRPr="001E3F7E" w:rsidRDefault="00D72F49" w:rsidP="00D72F49">
            <w:pPr>
              <w:tabs>
                <w:tab w:val="left" w:pos="851"/>
              </w:tabs>
              <w:spacing w:line="240" w:lineRule="atLeast"/>
              <w:rPr>
                <w:b/>
              </w:rPr>
            </w:pPr>
          </w:p>
        </w:tc>
        <w:tc>
          <w:tcPr>
            <w:tcW w:w="5245" w:type="dxa"/>
          </w:tcPr>
          <w:p w14:paraId="5A24905D" w14:textId="1F2338A7" w:rsidR="00D72F49" w:rsidRPr="001E3F7E" w:rsidRDefault="00CF2682" w:rsidP="00D72F49">
            <w:pPr>
              <w:tabs>
                <w:tab w:val="left" w:pos="851"/>
              </w:tabs>
              <w:spacing w:before="0"/>
              <w:jc w:val="right"/>
              <w:rPr>
                <w:b/>
              </w:rPr>
            </w:pPr>
            <w:r>
              <w:rPr>
                <w:b/>
              </w:rPr>
              <w:t>17</w:t>
            </w:r>
            <w:r w:rsidR="00C347E9" w:rsidRPr="001E3F7E">
              <w:rPr>
                <w:b/>
              </w:rPr>
              <w:t xml:space="preserve"> avril 2025</w:t>
            </w:r>
          </w:p>
        </w:tc>
      </w:tr>
      <w:tr w:rsidR="00D72F49" w:rsidRPr="001E3F7E" w14:paraId="181E77BF" w14:textId="77777777" w:rsidTr="00D72F49">
        <w:trPr>
          <w:cantSplit/>
          <w:trHeight w:val="23"/>
        </w:trPr>
        <w:tc>
          <w:tcPr>
            <w:tcW w:w="3969" w:type="dxa"/>
            <w:vMerge/>
          </w:tcPr>
          <w:p w14:paraId="260DBA85" w14:textId="77777777" w:rsidR="00D72F49" w:rsidRPr="001E3F7E" w:rsidRDefault="00D72F49" w:rsidP="00D72F49">
            <w:pPr>
              <w:tabs>
                <w:tab w:val="left" w:pos="851"/>
              </w:tabs>
              <w:spacing w:line="240" w:lineRule="atLeast"/>
              <w:rPr>
                <w:b/>
              </w:rPr>
            </w:pPr>
          </w:p>
        </w:tc>
        <w:tc>
          <w:tcPr>
            <w:tcW w:w="5245" w:type="dxa"/>
          </w:tcPr>
          <w:p w14:paraId="77B93B22" w14:textId="77777777" w:rsidR="00D72F49" w:rsidRPr="001E3F7E" w:rsidRDefault="00D72F49" w:rsidP="00D72F49">
            <w:pPr>
              <w:tabs>
                <w:tab w:val="left" w:pos="851"/>
              </w:tabs>
              <w:spacing w:before="0" w:line="240" w:lineRule="atLeast"/>
              <w:jc w:val="right"/>
              <w:rPr>
                <w:b/>
              </w:rPr>
            </w:pPr>
            <w:r w:rsidRPr="001E3F7E">
              <w:rPr>
                <w:b/>
              </w:rPr>
              <w:t>Original: anglais</w:t>
            </w:r>
          </w:p>
        </w:tc>
      </w:tr>
      <w:tr w:rsidR="00D72F49" w:rsidRPr="001E3F7E" w14:paraId="52D0B697" w14:textId="77777777" w:rsidTr="00D72F49">
        <w:trPr>
          <w:cantSplit/>
          <w:trHeight w:val="23"/>
        </w:trPr>
        <w:tc>
          <w:tcPr>
            <w:tcW w:w="3969" w:type="dxa"/>
          </w:tcPr>
          <w:p w14:paraId="63E49F8B" w14:textId="77777777" w:rsidR="00D72F49" w:rsidRPr="001E3F7E" w:rsidRDefault="00D72F49" w:rsidP="00D72F49">
            <w:pPr>
              <w:tabs>
                <w:tab w:val="left" w:pos="851"/>
              </w:tabs>
              <w:spacing w:line="240" w:lineRule="atLeast"/>
              <w:rPr>
                <w:b/>
              </w:rPr>
            </w:pPr>
          </w:p>
        </w:tc>
        <w:tc>
          <w:tcPr>
            <w:tcW w:w="5245" w:type="dxa"/>
          </w:tcPr>
          <w:p w14:paraId="54C98A6F" w14:textId="77777777" w:rsidR="00D72F49" w:rsidRPr="001E3F7E" w:rsidRDefault="00D72F49" w:rsidP="00D72F49">
            <w:pPr>
              <w:tabs>
                <w:tab w:val="left" w:pos="851"/>
              </w:tabs>
              <w:spacing w:before="0" w:line="240" w:lineRule="atLeast"/>
              <w:jc w:val="right"/>
              <w:rPr>
                <w:b/>
              </w:rPr>
            </w:pPr>
          </w:p>
        </w:tc>
      </w:tr>
      <w:tr w:rsidR="00D72F49" w:rsidRPr="001E3F7E" w14:paraId="21669635" w14:textId="77777777" w:rsidTr="00D72F49">
        <w:trPr>
          <w:cantSplit/>
        </w:trPr>
        <w:tc>
          <w:tcPr>
            <w:tcW w:w="9214" w:type="dxa"/>
            <w:gridSpan w:val="2"/>
            <w:tcMar>
              <w:left w:w="0" w:type="dxa"/>
            </w:tcMar>
          </w:tcPr>
          <w:p w14:paraId="2BF998C5" w14:textId="77777777" w:rsidR="00D72F49" w:rsidRPr="001E3F7E" w:rsidRDefault="00D72F49" w:rsidP="00D72F49">
            <w:pPr>
              <w:pStyle w:val="Source"/>
              <w:jc w:val="left"/>
              <w:rPr>
                <w:sz w:val="34"/>
                <w:szCs w:val="34"/>
              </w:rPr>
            </w:pPr>
            <w:r w:rsidRPr="001E3F7E">
              <w:rPr>
                <w:rFonts w:cstheme="minorHAnsi"/>
                <w:color w:val="000000"/>
                <w:sz w:val="34"/>
                <w:szCs w:val="34"/>
              </w:rPr>
              <w:t xml:space="preserve">Rapport </w:t>
            </w:r>
            <w:r w:rsidR="00E95647" w:rsidRPr="001E3F7E">
              <w:rPr>
                <w:rFonts w:cstheme="minorHAnsi"/>
                <w:color w:val="000000"/>
                <w:sz w:val="34"/>
                <w:szCs w:val="34"/>
              </w:rPr>
              <w:t xml:space="preserve">de la </w:t>
            </w:r>
            <w:r w:rsidRPr="001E3F7E">
              <w:rPr>
                <w:rFonts w:cstheme="minorHAnsi"/>
                <w:color w:val="000000"/>
                <w:sz w:val="34"/>
                <w:szCs w:val="34"/>
              </w:rPr>
              <w:t>Secrétaire général</w:t>
            </w:r>
            <w:r w:rsidR="00E95647" w:rsidRPr="001E3F7E">
              <w:rPr>
                <w:rFonts w:cstheme="minorHAnsi"/>
                <w:color w:val="000000"/>
                <w:sz w:val="34"/>
                <w:szCs w:val="34"/>
              </w:rPr>
              <w:t>e</w:t>
            </w:r>
          </w:p>
        </w:tc>
      </w:tr>
      <w:tr w:rsidR="00D72F49" w:rsidRPr="001E3F7E" w14:paraId="675A9747" w14:textId="77777777" w:rsidTr="00D72F49">
        <w:trPr>
          <w:cantSplit/>
        </w:trPr>
        <w:tc>
          <w:tcPr>
            <w:tcW w:w="9214" w:type="dxa"/>
            <w:gridSpan w:val="2"/>
            <w:tcMar>
              <w:left w:w="0" w:type="dxa"/>
            </w:tcMar>
          </w:tcPr>
          <w:p w14:paraId="779D4485" w14:textId="69A7F877" w:rsidR="00D72F49" w:rsidRPr="001E3F7E" w:rsidRDefault="00550D61" w:rsidP="00D72F49">
            <w:pPr>
              <w:pStyle w:val="Subtitle"/>
              <w:framePr w:hSpace="0" w:wrap="auto" w:hAnchor="text" w:xAlign="left" w:yAlign="inline"/>
              <w:rPr>
                <w:sz w:val="32"/>
                <w:szCs w:val="32"/>
                <w:lang w:val="fr-FR"/>
              </w:rPr>
            </w:pPr>
            <w:r w:rsidRPr="001E3F7E">
              <w:rPr>
                <w:rFonts w:cstheme="minorHAnsi"/>
                <w:sz w:val="32"/>
                <w:szCs w:val="32"/>
                <w:lang w:val="fr-FR"/>
              </w:rPr>
              <w:t>RAPPORT DE LA COMMISSION DE CONTRÔLE BUDGÉTAIRE DE L'ASSEMBLÉE MONDIALE DE NORMALISATION DES TÉLÉCOMMUNICATIONS (</w:t>
            </w:r>
            <w:proofErr w:type="spellStart"/>
            <w:r w:rsidRPr="001E3F7E">
              <w:rPr>
                <w:rFonts w:cstheme="minorHAnsi"/>
                <w:sz w:val="32"/>
                <w:szCs w:val="32"/>
                <w:lang w:val="fr-FR"/>
              </w:rPr>
              <w:t>AMNT</w:t>
            </w:r>
            <w:proofErr w:type="spellEnd"/>
            <w:r w:rsidRPr="001E3F7E">
              <w:rPr>
                <w:rFonts w:cstheme="minorHAnsi"/>
                <w:sz w:val="32"/>
                <w:szCs w:val="32"/>
                <w:lang w:val="fr-FR"/>
              </w:rPr>
              <w:t>-24)</w:t>
            </w:r>
          </w:p>
        </w:tc>
      </w:tr>
      <w:tr w:rsidR="00D72F49" w:rsidRPr="001E3F7E" w14:paraId="76C42E55" w14:textId="77777777" w:rsidTr="00D72F49">
        <w:trPr>
          <w:cantSplit/>
        </w:trPr>
        <w:tc>
          <w:tcPr>
            <w:tcW w:w="9214" w:type="dxa"/>
            <w:gridSpan w:val="2"/>
            <w:tcBorders>
              <w:top w:val="single" w:sz="4" w:space="0" w:color="auto"/>
              <w:bottom w:val="single" w:sz="4" w:space="0" w:color="auto"/>
            </w:tcBorders>
            <w:tcMar>
              <w:left w:w="0" w:type="dxa"/>
            </w:tcMar>
          </w:tcPr>
          <w:p w14:paraId="196A6D77" w14:textId="77777777" w:rsidR="00D72F49" w:rsidRPr="001E3F7E" w:rsidRDefault="00F37FE5" w:rsidP="00D72F49">
            <w:pPr>
              <w:spacing w:before="160"/>
              <w:rPr>
                <w:b/>
                <w:bCs/>
                <w:sz w:val="26"/>
                <w:szCs w:val="26"/>
              </w:rPr>
            </w:pPr>
            <w:r w:rsidRPr="001E3F7E">
              <w:rPr>
                <w:b/>
                <w:bCs/>
                <w:sz w:val="26"/>
                <w:szCs w:val="26"/>
              </w:rPr>
              <w:t>Objet</w:t>
            </w:r>
          </w:p>
          <w:p w14:paraId="410999DF" w14:textId="45482293" w:rsidR="00C347E9" w:rsidRPr="001E3F7E" w:rsidRDefault="00C347E9" w:rsidP="00C347E9">
            <w:r w:rsidRPr="001E3F7E">
              <w:t>Conformément au numéro 74 des Règles générales régissant les conférences, assemblées et réunions de l</w:t>
            </w:r>
            <w:r w:rsidR="008935E7" w:rsidRPr="001E3F7E">
              <w:t>'</w:t>
            </w:r>
            <w:r w:rsidRPr="001E3F7E">
              <w:t>Union, le rapport de la Commission de contrôle budgétaire ainsi que les observations de la séance plénière sont, après examen et approbation par la séance plénière, transmis au Secrétaire général afin qu'il en saisisse le Conseil à sa session ordinaire suivante.</w:t>
            </w:r>
          </w:p>
          <w:p w14:paraId="22F62C93" w14:textId="5E5E1A57" w:rsidR="00D72F49" w:rsidRDefault="00C347E9" w:rsidP="00C347E9">
            <w:r w:rsidRPr="001E3F7E">
              <w:t xml:space="preserve">Le Rapport de la Commission de contrôle budgétaire de l'Assemblée mondiale de normalisation des télécommunications (AMNT-24) figure dans le Document </w:t>
            </w:r>
            <w:hyperlink r:id="rId6" w:history="1">
              <w:r w:rsidRPr="001E3F7E">
                <w:rPr>
                  <w:rStyle w:val="Hyperlink"/>
                  <w:rFonts w:eastAsia="Times New Roman" w:cs="Times New Roman"/>
                  <w:szCs w:val="20"/>
                </w:rPr>
                <w:t>119(Rév.1)</w:t>
              </w:r>
            </w:hyperlink>
            <w:r w:rsidRPr="001E3F7E">
              <w:t xml:space="preserve">. Les observations formulées par la séance plénière sur ce rapport figurent dans le Document </w:t>
            </w:r>
            <w:hyperlink r:id="rId7" w:history="1">
              <w:r w:rsidRPr="001E3F7E">
                <w:rPr>
                  <w:rStyle w:val="Hyperlink"/>
                  <w:rFonts w:eastAsia="Times New Roman" w:cs="Times New Roman"/>
                  <w:szCs w:val="20"/>
                </w:rPr>
                <w:t>120</w:t>
              </w:r>
            </w:hyperlink>
            <w:r w:rsidRPr="001E3F7E">
              <w:t>.</w:t>
            </w:r>
          </w:p>
          <w:p w14:paraId="4E86EE69" w14:textId="6C10DF94" w:rsidR="00CF2682" w:rsidRPr="001E3F7E" w:rsidRDefault="00CF2682" w:rsidP="00C347E9">
            <w:r>
              <w:t xml:space="preserve">La Commission de contrôle budgétaire de l'AMNT-24 a par ailleurs demandé que le Directeur du TSB présente </w:t>
            </w:r>
            <w:r w:rsidRPr="001E3F7E">
              <w:t>à la réunion</w:t>
            </w:r>
            <w:r w:rsidR="00D53ED8" w:rsidRPr="001E3F7E">
              <w:t xml:space="preserve"> de février 2025 </w:t>
            </w:r>
            <w:r w:rsidRPr="001E3F7E">
              <w:t>du GTC</w:t>
            </w:r>
            <w:r w:rsidRPr="001E3F7E">
              <w:noBreakHyphen/>
              <w:t>FHR un document donnant des informations sur les travaux à mener et les ressources nécessaires pour la mise en œuvre des Résolutions approuvées à l'AMNT</w:t>
            </w:r>
            <w:r w:rsidRPr="001E3F7E">
              <w:noBreakHyphen/>
              <w:t>24 et contenant des propositions sur la manière dont le TSB pourrait garantir le financement de cette mise en œuvre.</w:t>
            </w:r>
            <w:r w:rsidRPr="00CF2682">
              <w:t xml:space="preserve"> </w:t>
            </w:r>
            <w:r>
              <w:t xml:space="preserve">Les résultats des discussions tenues à la réunion du GTC-FHR sont disponibles dans le Document </w:t>
            </w:r>
            <w:hyperlink r:id="rId8" w:history="1">
              <w:r w:rsidRPr="00BA4012">
                <w:rPr>
                  <w:rStyle w:val="Hyperlink"/>
                  <w:rFonts w:eastAsia="Times New Roman" w:cs="Times New Roman"/>
                  <w:szCs w:val="20"/>
                </w:rPr>
                <w:t>C25/50</w:t>
              </w:r>
            </w:hyperlink>
            <w:r>
              <w:t>.</w:t>
            </w:r>
          </w:p>
          <w:p w14:paraId="5918BBAC" w14:textId="77777777" w:rsidR="00D72F49" w:rsidRPr="001E3F7E" w:rsidRDefault="00D72F49" w:rsidP="00D72F49">
            <w:pPr>
              <w:spacing w:before="160"/>
              <w:rPr>
                <w:b/>
                <w:bCs/>
                <w:sz w:val="26"/>
                <w:szCs w:val="26"/>
              </w:rPr>
            </w:pPr>
            <w:r w:rsidRPr="001E3F7E">
              <w:rPr>
                <w:b/>
                <w:bCs/>
                <w:sz w:val="26"/>
                <w:szCs w:val="26"/>
              </w:rPr>
              <w:t>Suite à donner par le Conseil</w:t>
            </w:r>
          </w:p>
          <w:p w14:paraId="24E49F23" w14:textId="4E3A85D1" w:rsidR="00D72F49" w:rsidRPr="001E3F7E" w:rsidRDefault="00C347E9" w:rsidP="00D72F49">
            <w:r w:rsidRPr="001E3F7E">
              <w:t xml:space="preserve">Le Conseil est invité à </w:t>
            </w:r>
            <w:r w:rsidRPr="001E3F7E">
              <w:rPr>
                <w:b/>
                <w:bCs/>
              </w:rPr>
              <w:t>prendre note</w:t>
            </w:r>
            <w:r w:rsidRPr="001E3F7E">
              <w:t xml:space="preserve"> du présent document.</w:t>
            </w:r>
          </w:p>
          <w:p w14:paraId="71B9B989" w14:textId="77777777" w:rsidR="00D72F49" w:rsidRPr="001E3F7E" w:rsidRDefault="00D72F49" w:rsidP="00D72F49">
            <w:pPr>
              <w:spacing w:before="160"/>
              <w:rPr>
                <w:b/>
                <w:bCs/>
                <w:sz w:val="26"/>
                <w:szCs w:val="26"/>
              </w:rPr>
            </w:pPr>
            <w:r w:rsidRPr="001E3F7E">
              <w:rPr>
                <w:b/>
                <w:bCs/>
                <w:sz w:val="26"/>
                <w:szCs w:val="26"/>
              </w:rPr>
              <w:t xml:space="preserve">Lien(s) pertinent(s) avec le </w:t>
            </w:r>
            <w:r w:rsidR="00F37FE5" w:rsidRPr="001E3F7E">
              <w:rPr>
                <w:b/>
                <w:bCs/>
                <w:sz w:val="26"/>
                <w:szCs w:val="26"/>
              </w:rPr>
              <w:t>p</w:t>
            </w:r>
            <w:r w:rsidRPr="001E3F7E">
              <w:rPr>
                <w:b/>
                <w:bCs/>
                <w:sz w:val="26"/>
                <w:szCs w:val="26"/>
              </w:rPr>
              <w:t>lan stratégique</w:t>
            </w:r>
          </w:p>
          <w:p w14:paraId="7D0FA2F8" w14:textId="1EE7705A" w:rsidR="00D72F49" w:rsidRPr="001E3F7E" w:rsidRDefault="00C347E9" w:rsidP="00D72F49">
            <w:r w:rsidRPr="001E3F7E">
              <w:t xml:space="preserve">Élaboration et application des Règlements administratifs de l'UIT; </w:t>
            </w:r>
            <w:r w:rsidR="00E93B7E">
              <w:t>p</w:t>
            </w:r>
            <w:r w:rsidRPr="001E3F7E">
              <w:t>lates-formes fédératrices.</w:t>
            </w:r>
          </w:p>
          <w:p w14:paraId="5BEBFB01" w14:textId="77777777" w:rsidR="00E95647" w:rsidRPr="001E3F7E" w:rsidRDefault="00D72F49" w:rsidP="00D72F49">
            <w:pPr>
              <w:spacing w:before="160"/>
              <w:rPr>
                <w:b/>
                <w:bCs/>
                <w:sz w:val="26"/>
                <w:szCs w:val="26"/>
              </w:rPr>
            </w:pPr>
            <w:r w:rsidRPr="001E3F7E">
              <w:rPr>
                <w:b/>
                <w:bCs/>
                <w:sz w:val="26"/>
                <w:szCs w:val="26"/>
              </w:rPr>
              <w:t>Incidences financières</w:t>
            </w:r>
          </w:p>
          <w:p w14:paraId="07093965" w14:textId="665F5068" w:rsidR="00D72F49" w:rsidRPr="001E3F7E" w:rsidRDefault="00C347E9" w:rsidP="00882919">
            <w:pPr>
              <w:rPr>
                <w:szCs w:val="24"/>
              </w:rPr>
            </w:pPr>
            <w:r w:rsidRPr="001E3F7E">
              <w:rPr>
                <w:szCs w:val="24"/>
              </w:rPr>
              <w:t>Les incidences financières provisoires de l'AMNT-24 sont estimées à 1,414 millions CHF pour la période 202</w:t>
            </w:r>
            <w:r w:rsidR="00CF2682">
              <w:rPr>
                <w:szCs w:val="24"/>
              </w:rPr>
              <w:t>5</w:t>
            </w:r>
            <w:r w:rsidRPr="001E3F7E">
              <w:rPr>
                <w:szCs w:val="24"/>
              </w:rPr>
              <w:t>-202</w:t>
            </w:r>
            <w:r w:rsidR="00D53ED8">
              <w:rPr>
                <w:szCs w:val="24"/>
              </w:rPr>
              <w:t>8</w:t>
            </w:r>
            <w:r w:rsidRPr="001E3F7E">
              <w:rPr>
                <w:szCs w:val="24"/>
              </w:rPr>
              <w:t>.</w:t>
            </w:r>
          </w:p>
          <w:p w14:paraId="07EB9DFA" w14:textId="77777777" w:rsidR="00D72F49" w:rsidRPr="001E3F7E" w:rsidRDefault="00D72F49" w:rsidP="00D72F49">
            <w:pPr>
              <w:spacing w:before="160"/>
              <w:rPr>
                <w:caps/>
                <w:sz w:val="22"/>
              </w:rPr>
            </w:pPr>
            <w:r w:rsidRPr="001E3F7E">
              <w:rPr>
                <w:sz w:val="22"/>
              </w:rPr>
              <w:t>__________________</w:t>
            </w:r>
          </w:p>
          <w:p w14:paraId="751841D4" w14:textId="77777777" w:rsidR="00D72F49" w:rsidRPr="001E3F7E" w:rsidRDefault="00D72F49" w:rsidP="00D72F49">
            <w:pPr>
              <w:spacing w:before="160"/>
              <w:rPr>
                <w:b/>
                <w:bCs/>
                <w:sz w:val="26"/>
                <w:szCs w:val="26"/>
              </w:rPr>
            </w:pPr>
            <w:r w:rsidRPr="001E3F7E">
              <w:rPr>
                <w:b/>
                <w:bCs/>
                <w:sz w:val="26"/>
                <w:szCs w:val="26"/>
              </w:rPr>
              <w:t>Références</w:t>
            </w:r>
          </w:p>
          <w:p w14:paraId="3EA26331" w14:textId="5C49665F" w:rsidR="00D72F49" w:rsidRPr="001E3F7E" w:rsidRDefault="00C347E9" w:rsidP="00D72F49">
            <w:pPr>
              <w:spacing w:after="160"/>
              <w:rPr>
                <w:i/>
                <w:iCs/>
                <w:szCs w:val="24"/>
              </w:rPr>
            </w:pPr>
            <w:r w:rsidRPr="001E3F7E">
              <w:rPr>
                <w:i/>
                <w:iCs/>
                <w:szCs w:val="24"/>
              </w:rPr>
              <w:t xml:space="preserve">Documents </w:t>
            </w:r>
            <w:hyperlink r:id="rId9" w:history="1">
              <w:r w:rsidRPr="001E3F7E">
                <w:rPr>
                  <w:rStyle w:val="Hyperlink"/>
                  <w:rFonts w:eastAsia="Times New Roman" w:cs="Times New Roman"/>
                  <w:i/>
                  <w:iCs/>
                  <w:szCs w:val="24"/>
                </w:rPr>
                <w:t>119(Rév.1)</w:t>
              </w:r>
            </w:hyperlink>
            <w:r w:rsidRPr="001E3F7E">
              <w:rPr>
                <w:i/>
                <w:iCs/>
                <w:szCs w:val="24"/>
              </w:rPr>
              <w:t xml:space="preserve"> et </w:t>
            </w:r>
            <w:hyperlink r:id="rId10" w:history="1">
              <w:r w:rsidRPr="001E3F7E">
                <w:rPr>
                  <w:rStyle w:val="Hyperlink"/>
                  <w:rFonts w:eastAsia="Times New Roman" w:cs="Times New Roman"/>
                  <w:i/>
                  <w:iCs/>
                  <w:szCs w:val="24"/>
                </w:rPr>
                <w:t>120</w:t>
              </w:r>
            </w:hyperlink>
            <w:r w:rsidRPr="001E3F7E">
              <w:rPr>
                <w:i/>
                <w:iCs/>
                <w:szCs w:val="24"/>
              </w:rPr>
              <w:t xml:space="preserve"> de l</w:t>
            </w:r>
            <w:r w:rsidR="008935E7" w:rsidRPr="001E3F7E">
              <w:rPr>
                <w:i/>
                <w:iCs/>
                <w:szCs w:val="24"/>
              </w:rPr>
              <w:t>'</w:t>
            </w:r>
            <w:r w:rsidRPr="001E3F7E">
              <w:rPr>
                <w:i/>
                <w:iCs/>
                <w:szCs w:val="24"/>
              </w:rPr>
              <w:t>AMNT-24</w:t>
            </w:r>
            <w:r w:rsidR="00CF2682">
              <w:rPr>
                <w:i/>
                <w:iCs/>
                <w:szCs w:val="24"/>
              </w:rPr>
              <w:t xml:space="preserve">; Document </w:t>
            </w:r>
            <w:hyperlink r:id="rId11" w:history="1">
              <w:r w:rsidR="00CF2682" w:rsidRPr="00BA4012">
                <w:rPr>
                  <w:rStyle w:val="Hyperlink"/>
                  <w:rFonts w:eastAsia="Times New Roman" w:cs="Times New Roman"/>
                  <w:i/>
                  <w:iCs/>
                  <w:szCs w:val="24"/>
                </w:rPr>
                <w:t>C25/43</w:t>
              </w:r>
            </w:hyperlink>
            <w:r w:rsidR="00CF2682">
              <w:rPr>
                <w:i/>
                <w:iCs/>
                <w:szCs w:val="24"/>
              </w:rPr>
              <w:t xml:space="preserve"> du Conseil</w:t>
            </w:r>
          </w:p>
        </w:tc>
      </w:tr>
    </w:tbl>
    <w:p w14:paraId="4C49576A" w14:textId="77777777" w:rsidR="00CF2682" w:rsidRDefault="00C347E9" w:rsidP="006624CA">
      <w:pPr>
        <w:jc w:val="both"/>
      </w:pPr>
      <w:r w:rsidRPr="001E3F7E">
        <w:lastRenderedPageBreak/>
        <w:t>1</w:t>
      </w:r>
      <w:r w:rsidRPr="001E3F7E">
        <w:tab/>
      </w:r>
      <w:r w:rsidR="00CF2682" w:rsidRPr="001E3F7E">
        <w:t>Conformément au numéro 74 des Règles générales régissant les conférences, assemblées et réunions de l'Union, le rapport de la Commission de contrôle budgétaire ainsi que les observations de la séance plénière sont, après examen et approbation par la séance plénière, transmis au Secrétaire général afin qu'il en saisisse le Conseil à sa session ordinaire suivante.</w:t>
      </w:r>
    </w:p>
    <w:p w14:paraId="6E5D4FB3" w14:textId="33ECBA63" w:rsidR="00CF2682" w:rsidRPr="001E3F7E" w:rsidRDefault="00CF2682" w:rsidP="006624CA">
      <w:pPr>
        <w:jc w:val="both"/>
      </w:pPr>
      <w:r>
        <w:t>2</w:t>
      </w:r>
      <w:r>
        <w:tab/>
      </w:r>
      <w:r w:rsidRPr="001E3F7E">
        <w:t xml:space="preserve">Le Rapport de la Commission de contrôle budgétaire de l'Assemblée mondiale de normalisation des télécommunications (AMNT-24) figure dans le Document </w:t>
      </w:r>
      <w:hyperlink r:id="rId12" w:history="1">
        <w:r w:rsidRPr="001E3F7E">
          <w:rPr>
            <w:rStyle w:val="Hyperlink"/>
            <w:rFonts w:eastAsia="Times New Roman" w:cs="Times New Roman"/>
            <w:szCs w:val="20"/>
          </w:rPr>
          <w:t>119(Rév.1)</w:t>
        </w:r>
      </w:hyperlink>
      <w:r w:rsidRPr="001E3F7E">
        <w:t xml:space="preserve">. Les observations formulées par la séance plénière sur ce rapport figurent dans le Document </w:t>
      </w:r>
      <w:hyperlink r:id="rId13" w:history="1">
        <w:r w:rsidRPr="001E3F7E">
          <w:rPr>
            <w:rStyle w:val="Hyperlink"/>
            <w:rFonts w:eastAsia="Times New Roman" w:cs="Times New Roman"/>
            <w:szCs w:val="20"/>
          </w:rPr>
          <w:t>120</w:t>
        </w:r>
      </w:hyperlink>
      <w:r w:rsidRPr="001E3F7E">
        <w:t>.</w:t>
      </w:r>
    </w:p>
    <w:p w14:paraId="0E1C70C0" w14:textId="7D56B277" w:rsidR="00C347E9" w:rsidRDefault="00BA4012" w:rsidP="006624CA">
      <w:pPr>
        <w:jc w:val="both"/>
      </w:pPr>
      <w:r>
        <w:t>3</w:t>
      </w:r>
      <w:r w:rsidR="00C347E9" w:rsidRPr="001E3F7E">
        <w:tab/>
      </w:r>
      <w:r w:rsidR="00CF2682">
        <w:t xml:space="preserve">La Commission de contrôle budgétaire de l'AMNT-24 a par ailleurs demandé que le Directeur du TSB présente </w:t>
      </w:r>
      <w:r w:rsidR="00C347E9" w:rsidRPr="001E3F7E">
        <w:t xml:space="preserve">à la réunion </w:t>
      </w:r>
      <w:r w:rsidR="00D53ED8" w:rsidRPr="001E3F7E">
        <w:t xml:space="preserve">de février 2025 </w:t>
      </w:r>
      <w:r w:rsidR="00C347E9" w:rsidRPr="001E3F7E">
        <w:t>du GTC</w:t>
      </w:r>
      <w:r w:rsidR="00C347E9" w:rsidRPr="001E3F7E">
        <w:noBreakHyphen/>
        <w:t>FHR un document donnant des informations sur les travaux à mener et les ressources nécessaires pour la mise en œuvre des Résolutions approuvées à l'AMNT</w:t>
      </w:r>
      <w:r w:rsidR="00C347E9" w:rsidRPr="001E3F7E">
        <w:noBreakHyphen/>
        <w:t>24 et contenant des propositions sur la manière dont le TSB pourrait garantir le financement de cette mise en œuvre.</w:t>
      </w:r>
      <w:r w:rsidR="00CF2682" w:rsidRPr="00CF2682">
        <w:t xml:space="preserve"> </w:t>
      </w:r>
      <w:r w:rsidR="00CF2682">
        <w:t xml:space="preserve">Les résultats des discussions tenues à la réunion du GTC-FHR sont disponibles dans le Document </w:t>
      </w:r>
      <w:hyperlink r:id="rId14" w:history="1">
        <w:r w:rsidR="00CF2682" w:rsidRPr="00265C86">
          <w:rPr>
            <w:rStyle w:val="Hyperlink"/>
            <w:rFonts w:eastAsia="Times New Roman" w:cs="Times New Roman"/>
            <w:szCs w:val="20"/>
          </w:rPr>
          <w:t>C25/50</w:t>
        </w:r>
      </w:hyperlink>
      <w:r w:rsidR="00CF2682">
        <w:t>.</w:t>
      </w:r>
    </w:p>
    <w:p w14:paraId="17FA7734" w14:textId="6E7D754D" w:rsidR="00C347E9" w:rsidRDefault="00CF2682" w:rsidP="006624CA">
      <w:pPr>
        <w:jc w:val="both"/>
      </w:pPr>
      <w:r>
        <w:t>4</w:t>
      </w:r>
      <w:r>
        <w:tab/>
        <w:t xml:space="preserve">Les </w:t>
      </w:r>
      <w:r w:rsidRPr="00CF2682">
        <w:t>dépenses supplémentaires engendrées par les différentes Résolutions de l'AMNT</w:t>
      </w:r>
      <w:r w:rsidR="00265C86">
        <w:noBreakHyphen/>
      </w:r>
      <w:r w:rsidRPr="00CF2682">
        <w:t>24 sont estimées à 1,414 millions CHF pour la période de quatre ans</w:t>
      </w:r>
      <w:r w:rsidR="00D53ED8">
        <w:t>, conformément au tableau ci-dessous</w:t>
      </w:r>
      <w:r w:rsidR="00265C86">
        <w:t>:</w:t>
      </w:r>
    </w:p>
    <w:p w14:paraId="1D083E26" w14:textId="1B924E21" w:rsidR="00D53ED8" w:rsidRPr="00265C86" w:rsidRDefault="00D53ED8" w:rsidP="00265C86">
      <w:pPr>
        <w:pStyle w:val="Tabletitle"/>
        <w:spacing w:before="240"/>
      </w:pPr>
      <w:r w:rsidRPr="00265C86">
        <w:t>Décisions de l'AMNT-24 – Incidences financières</w:t>
      </w:r>
    </w:p>
    <w:p w14:paraId="0F257DC3" w14:textId="784F80AC" w:rsidR="00145875" w:rsidRPr="00265C86" w:rsidRDefault="00145875" w:rsidP="00265C86">
      <w:pPr>
        <w:pStyle w:val="Tabletitle"/>
        <w:jc w:val="right"/>
        <w:rPr>
          <w:i/>
          <w:iCs/>
        </w:rPr>
      </w:pPr>
      <w:r w:rsidRPr="00265C86">
        <w:rPr>
          <w:i/>
          <w:iCs/>
        </w:rPr>
        <w:t>En milliers de CHF</w:t>
      </w:r>
    </w:p>
    <w:tbl>
      <w:tblPr>
        <w:tblStyle w:val="TableGrid"/>
        <w:tblW w:w="9133" w:type="dxa"/>
        <w:tblLook w:val="04A0" w:firstRow="1" w:lastRow="0" w:firstColumn="1" w:lastColumn="0" w:noHBand="0" w:noVBand="1"/>
      </w:tblPr>
      <w:tblGrid>
        <w:gridCol w:w="4248"/>
        <w:gridCol w:w="1559"/>
        <w:gridCol w:w="1701"/>
        <w:gridCol w:w="1625"/>
      </w:tblGrid>
      <w:tr w:rsidR="00145875" w:rsidRPr="001E3F7E" w14:paraId="01697396" w14:textId="77777777" w:rsidTr="00145875">
        <w:tc>
          <w:tcPr>
            <w:tcW w:w="4248" w:type="dxa"/>
            <w:shd w:val="clear" w:color="auto" w:fill="FDE9D9" w:themeFill="accent6" w:themeFillTint="33"/>
            <w:vAlign w:val="center"/>
          </w:tcPr>
          <w:p w14:paraId="07360FE4" w14:textId="2C01E726" w:rsidR="00145875" w:rsidRPr="00265C86" w:rsidRDefault="00145875" w:rsidP="00265C86">
            <w:pPr>
              <w:pStyle w:val="Tablehead"/>
            </w:pPr>
            <w:r w:rsidRPr="00265C86">
              <w:t>Résolution</w:t>
            </w:r>
          </w:p>
        </w:tc>
        <w:tc>
          <w:tcPr>
            <w:tcW w:w="1559" w:type="dxa"/>
            <w:shd w:val="clear" w:color="auto" w:fill="FDE9D9" w:themeFill="accent6" w:themeFillTint="33"/>
            <w:vAlign w:val="center"/>
          </w:tcPr>
          <w:p w14:paraId="400C5DAB" w14:textId="1936342D" w:rsidR="00145875" w:rsidRPr="00265C86" w:rsidRDefault="00145875" w:rsidP="00265C86">
            <w:pPr>
              <w:pStyle w:val="Tablehead"/>
            </w:pPr>
            <w:r w:rsidRPr="00265C86">
              <w:t>Coûts ponctuels</w:t>
            </w:r>
          </w:p>
        </w:tc>
        <w:tc>
          <w:tcPr>
            <w:tcW w:w="1701" w:type="dxa"/>
            <w:shd w:val="clear" w:color="auto" w:fill="FDE9D9" w:themeFill="accent6" w:themeFillTint="33"/>
            <w:vAlign w:val="center"/>
          </w:tcPr>
          <w:p w14:paraId="357239AC" w14:textId="795CAEB5" w:rsidR="00145875" w:rsidRPr="00265C86" w:rsidRDefault="00145875" w:rsidP="00265C86">
            <w:pPr>
              <w:pStyle w:val="Tablehead"/>
            </w:pPr>
            <w:r w:rsidRPr="00265C86">
              <w:t>Coûts annuels récurrents</w:t>
            </w:r>
          </w:p>
        </w:tc>
        <w:tc>
          <w:tcPr>
            <w:tcW w:w="1625" w:type="dxa"/>
            <w:shd w:val="clear" w:color="auto" w:fill="FDE9D9" w:themeFill="accent6" w:themeFillTint="33"/>
            <w:vAlign w:val="center"/>
          </w:tcPr>
          <w:p w14:paraId="7A1B3912" w14:textId="7247CD7D" w:rsidR="00145875" w:rsidRPr="00265C86" w:rsidRDefault="00145875" w:rsidP="00265C86">
            <w:pPr>
              <w:pStyle w:val="Tablehead"/>
            </w:pPr>
            <w:r w:rsidRPr="00265C86">
              <w:t>Coûts sur 4 ans</w:t>
            </w:r>
          </w:p>
        </w:tc>
      </w:tr>
      <w:tr w:rsidR="00145875" w:rsidRPr="001E3F7E" w14:paraId="7317F3C2" w14:textId="77777777" w:rsidTr="00145875">
        <w:tc>
          <w:tcPr>
            <w:tcW w:w="4248" w:type="dxa"/>
            <w:shd w:val="clear" w:color="auto" w:fill="DAEEF3" w:themeFill="accent5" w:themeFillTint="33"/>
          </w:tcPr>
          <w:p w14:paraId="4583E156" w14:textId="7B5D29DA" w:rsidR="00145875" w:rsidRPr="001E3F7E" w:rsidRDefault="00D53ED8" w:rsidP="00145875">
            <w:pPr>
              <w:pStyle w:val="Tabletext"/>
            </w:pPr>
            <w:r>
              <w:t xml:space="preserve">Résolution </w:t>
            </w:r>
            <w:hyperlink r:id="rId15" w:history="1">
              <w:r w:rsidRPr="00265C86">
                <w:rPr>
                  <w:rStyle w:val="Hyperlink"/>
                </w:rPr>
                <w:t>103</w:t>
              </w:r>
            </w:hyperlink>
            <w:r>
              <w:t xml:space="preserve"> DPI</w:t>
            </w:r>
          </w:p>
        </w:tc>
        <w:tc>
          <w:tcPr>
            <w:tcW w:w="1559" w:type="dxa"/>
            <w:shd w:val="clear" w:color="auto" w:fill="DAEEF3" w:themeFill="accent5" w:themeFillTint="33"/>
            <w:vAlign w:val="center"/>
          </w:tcPr>
          <w:p w14:paraId="6F6881A6" w14:textId="029A7371" w:rsidR="00145875" w:rsidRPr="00265C86" w:rsidRDefault="00145875" w:rsidP="00265C86">
            <w:pPr>
              <w:pStyle w:val="Tabletext"/>
              <w:jc w:val="center"/>
            </w:pPr>
            <w:r w:rsidRPr="00265C86">
              <w:t>134</w:t>
            </w:r>
          </w:p>
        </w:tc>
        <w:tc>
          <w:tcPr>
            <w:tcW w:w="1701" w:type="dxa"/>
            <w:shd w:val="clear" w:color="auto" w:fill="DAEEF3" w:themeFill="accent5" w:themeFillTint="33"/>
            <w:vAlign w:val="center"/>
          </w:tcPr>
          <w:p w14:paraId="1742A7B5" w14:textId="72349F5C" w:rsidR="00145875" w:rsidRPr="00265C86" w:rsidRDefault="00145875" w:rsidP="00265C86">
            <w:pPr>
              <w:pStyle w:val="Tabletext"/>
              <w:jc w:val="center"/>
            </w:pPr>
            <w:r w:rsidRPr="00265C86">
              <w:t>120</w:t>
            </w:r>
          </w:p>
        </w:tc>
        <w:tc>
          <w:tcPr>
            <w:tcW w:w="1625" w:type="dxa"/>
            <w:shd w:val="clear" w:color="auto" w:fill="DAEEF3" w:themeFill="accent5" w:themeFillTint="33"/>
            <w:vAlign w:val="center"/>
          </w:tcPr>
          <w:p w14:paraId="73287B88" w14:textId="20492FDA" w:rsidR="00145875" w:rsidRPr="00265C86" w:rsidRDefault="00145875" w:rsidP="00265C86">
            <w:pPr>
              <w:pStyle w:val="Tabletext"/>
              <w:jc w:val="center"/>
            </w:pPr>
            <w:r w:rsidRPr="00265C86">
              <w:t>614</w:t>
            </w:r>
          </w:p>
        </w:tc>
      </w:tr>
      <w:tr w:rsidR="00145875" w:rsidRPr="001E3F7E" w14:paraId="19E7AF48" w14:textId="77777777" w:rsidTr="00145875">
        <w:tc>
          <w:tcPr>
            <w:tcW w:w="4248" w:type="dxa"/>
            <w:shd w:val="clear" w:color="auto" w:fill="EAF1DD" w:themeFill="accent3" w:themeFillTint="33"/>
          </w:tcPr>
          <w:p w14:paraId="78EF5448" w14:textId="7B862B6C" w:rsidR="00145875" w:rsidRPr="001E3F7E" w:rsidRDefault="00D53ED8" w:rsidP="00145875">
            <w:pPr>
              <w:pStyle w:val="Tabletext"/>
            </w:pPr>
            <w:r>
              <w:t xml:space="preserve">Résolution </w:t>
            </w:r>
            <w:hyperlink r:id="rId16" w:history="1">
              <w:r w:rsidRPr="00265C86">
                <w:rPr>
                  <w:rStyle w:val="Hyperlink"/>
                </w:rPr>
                <w:t>106</w:t>
              </w:r>
            </w:hyperlink>
            <w:r>
              <w:t xml:space="preserve"> SDT</w:t>
            </w:r>
          </w:p>
        </w:tc>
        <w:tc>
          <w:tcPr>
            <w:tcW w:w="1559" w:type="dxa"/>
            <w:shd w:val="clear" w:color="auto" w:fill="EAF1DD" w:themeFill="accent3" w:themeFillTint="33"/>
            <w:vAlign w:val="center"/>
          </w:tcPr>
          <w:p w14:paraId="10814346" w14:textId="32BD77D1" w:rsidR="00145875" w:rsidRPr="00265C86" w:rsidRDefault="00145875" w:rsidP="00265C86">
            <w:pPr>
              <w:pStyle w:val="Tabletext"/>
              <w:jc w:val="center"/>
            </w:pPr>
            <w:r w:rsidRPr="00265C86">
              <w:t>0</w:t>
            </w:r>
          </w:p>
        </w:tc>
        <w:tc>
          <w:tcPr>
            <w:tcW w:w="1701" w:type="dxa"/>
            <w:shd w:val="clear" w:color="auto" w:fill="EAF1DD" w:themeFill="accent3" w:themeFillTint="33"/>
            <w:vAlign w:val="center"/>
          </w:tcPr>
          <w:p w14:paraId="49FE844F" w14:textId="0760B3F5" w:rsidR="00145875" w:rsidRPr="00265C86" w:rsidRDefault="00145875" w:rsidP="00265C86">
            <w:pPr>
              <w:pStyle w:val="Tabletext"/>
              <w:jc w:val="center"/>
            </w:pPr>
            <w:r w:rsidRPr="00265C86">
              <w:t>46</w:t>
            </w:r>
          </w:p>
        </w:tc>
        <w:tc>
          <w:tcPr>
            <w:tcW w:w="1625" w:type="dxa"/>
            <w:shd w:val="clear" w:color="auto" w:fill="EAF1DD" w:themeFill="accent3" w:themeFillTint="33"/>
            <w:vAlign w:val="center"/>
          </w:tcPr>
          <w:p w14:paraId="4426A729" w14:textId="15E1EF92" w:rsidR="00145875" w:rsidRPr="00265C86" w:rsidRDefault="00145875" w:rsidP="00265C86">
            <w:pPr>
              <w:pStyle w:val="Tabletext"/>
              <w:jc w:val="center"/>
            </w:pPr>
            <w:r w:rsidRPr="00265C86">
              <w:t>184</w:t>
            </w:r>
          </w:p>
        </w:tc>
      </w:tr>
      <w:tr w:rsidR="00145875" w:rsidRPr="001E3F7E" w14:paraId="00D17F35" w14:textId="77777777" w:rsidTr="00145875">
        <w:tc>
          <w:tcPr>
            <w:tcW w:w="4248" w:type="dxa"/>
            <w:shd w:val="clear" w:color="auto" w:fill="DAEEF3" w:themeFill="accent5" w:themeFillTint="33"/>
          </w:tcPr>
          <w:p w14:paraId="683C1965" w14:textId="2D36DB96" w:rsidR="00145875" w:rsidRPr="001E3F7E" w:rsidRDefault="00D53ED8" w:rsidP="00145875">
            <w:pPr>
              <w:pStyle w:val="Tabletext"/>
            </w:pPr>
            <w:r>
              <w:t xml:space="preserve">Résolution </w:t>
            </w:r>
            <w:hyperlink r:id="rId17" w:history="1">
              <w:r w:rsidRPr="00265C86">
                <w:rPr>
                  <w:rStyle w:val="Hyperlink"/>
                </w:rPr>
                <w:t>101</w:t>
              </w:r>
            </w:hyperlink>
            <w:r>
              <w:t xml:space="preserve"> AI</w:t>
            </w:r>
          </w:p>
        </w:tc>
        <w:tc>
          <w:tcPr>
            <w:tcW w:w="1559" w:type="dxa"/>
            <w:shd w:val="clear" w:color="auto" w:fill="DAEEF3" w:themeFill="accent5" w:themeFillTint="33"/>
            <w:vAlign w:val="center"/>
          </w:tcPr>
          <w:p w14:paraId="64A73964" w14:textId="55A5FD04" w:rsidR="00145875" w:rsidRPr="00265C86" w:rsidRDefault="00145875" w:rsidP="00265C86">
            <w:pPr>
              <w:pStyle w:val="Tabletext"/>
              <w:jc w:val="center"/>
            </w:pPr>
            <w:r w:rsidRPr="00265C86">
              <w:t>136</w:t>
            </w:r>
          </w:p>
        </w:tc>
        <w:tc>
          <w:tcPr>
            <w:tcW w:w="1701" w:type="dxa"/>
            <w:shd w:val="clear" w:color="auto" w:fill="DAEEF3" w:themeFill="accent5" w:themeFillTint="33"/>
            <w:vAlign w:val="center"/>
          </w:tcPr>
          <w:p w14:paraId="7E519B46" w14:textId="5DC1D139" w:rsidR="00145875" w:rsidRPr="00265C86" w:rsidRDefault="00145875" w:rsidP="00265C86">
            <w:pPr>
              <w:pStyle w:val="Tabletext"/>
              <w:jc w:val="center"/>
            </w:pPr>
            <w:r w:rsidRPr="00265C86">
              <w:t>120</w:t>
            </w:r>
          </w:p>
        </w:tc>
        <w:tc>
          <w:tcPr>
            <w:tcW w:w="1625" w:type="dxa"/>
            <w:shd w:val="clear" w:color="auto" w:fill="DAEEF3" w:themeFill="accent5" w:themeFillTint="33"/>
            <w:vAlign w:val="center"/>
          </w:tcPr>
          <w:p w14:paraId="1BBEC67E" w14:textId="239A3EF7" w:rsidR="00145875" w:rsidRPr="00265C86" w:rsidRDefault="00145875" w:rsidP="00265C86">
            <w:pPr>
              <w:pStyle w:val="Tabletext"/>
              <w:jc w:val="center"/>
            </w:pPr>
            <w:r w:rsidRPr="00265C86">
              <w:t>616</w:t>
            </w:r>
          </w:p>
        </w:tc>
      </w:tr>
      <w:tr w:rsidR="00145875" w:rsidRPr="001E3F7E" w14:paraId="47BC0482" w14:textId="77777777" w:rsidTr="008935E7">
        <w:tc>
          <w:tcPr>
            <w:tcW w:w="4248" w:type="dxa"/>
            <w:shd w:val="clear" w:color="auto" w:fill="FDE9D9" w:themeFill="accent6" w:themeFillTint="33"/>
            <w:vAlign w:val="center"/>
          </w:tcPr>
          <w:p w14:paraId="0009C6E9" w14:textId="09E11A2C" w:rsidR="00145875" w:rsidRPr="00265C86" w:rsidRDefault="00145875" w:rsidP="00E93B7E">
            <w:pPr>
              <w:pStyle w:val="Tabletext"/>
              <w:jc w:val="right"/>
              <w:rPr>
                <w:b/>
                <w:bCs/>
              </w:rPr>
            </w:pPr>
            <w:r w:rsidRPr="00265C86">
              <w:rPr>
                <w:b/>
                <w:bCs/>
              </w:rPr>
              <w:t>Total</w:t>
            </w:r>
          </w:p>
        </w:tc>
        <w:tc>
          <w:tcPr>
            <w:tcW w:w="1559" w:type="dxa"/>
            <w:shd w:val="clear" w:color="auto" w:fill="FDE9D9" w:themeFill="accent6" w:themeFillTint="33"/>
            <w:vAlign w:val="center"/>
          </w:tcPr>
          <w:p w14:paraId="12208408" w14:textId="7973FA2D" w:rsidR="00145875" w:rsidRPr="00265C86" w:rsidRDefault="00145875" w:rsidP="00265C86">
            <w:pPr>
              <w:pStyle w:val="Tabletext"/>
              <w:jc w:val="center"/>
              <w:rPr>
                <w:b/>
                <w:bCs/>
              </w:rPr>
            </w:pPr>
            <w:r w:rsidRPr="00265C86">
              <w:rPr>
                <w:b/>
                <w:bCs/>
              </w:rPr>
              <w:t>270</w:t>
            </w:r>
          </w:p>
        </w:tc>
        <w:tc>
          <w:tcPr>
            <w:tcW w:w="1701" w:type="dxa"/>
            <w:shd w:val="clear" w:color="auto" w:fill="FDE9D9" w:themeFill="accent6" w:themeFillTint="33"/>
            <w:vAlign w:val="center"/>
          </w:tcPr>
          <w:p w14:paraId="0475EC67" w14:textId="0D0D6D40" w:rsidR="00145875" w:rsidRPr="00265C86" w:rsidRDefault="00145875" w:rsidP="00265C86">
            <w:pPr>
              <w:pStyle w:val="Tabletext"/>
              <w:jc w:val="center"/>
              <w:rPr>
                <w:b/>
                <w:bCs/>
              </w:rPr>
            </w:pPr>
            <w:r w:rsidRPr="00265C86">
              <w:rPr>
                <w:b/>
                <w:bCs/>
              </w:rPr>
              <w:t>286</w:t>
            </w:r>
          </w:p>
        </w:tc>
        <w:tc>
          <w:tcPr>
            <w:tcW w:w="1625" w:type="dxa"/>
            <w:shd w:val="clear" w:color="auto" w:fill="FDE9D9" w:themeFill="accent6" w:themeFillTint="33"/>
            <w:vAlign w:val="center"/>
          </w:tcPr>
          <w:p w14:paraId="3AFAEF53" w14:textId="3C0DD2BA" w:rsidR="00145875" w:rsidRPr="00265C86" w:rsidRDefault="00145875" w:rsidP="00265C86">
            <w:pPr>
              <w:pStyle w:val="Tabletext"/>
              <w:jc w:val="center"/>
              <w:rPr>
                <w:b/>
                <w:bCs/>
              </w:rPr>
            </w:pPr>
            <w:r w:rsidRPr="00265C86">
              <w:rPr>
                <w:b/>
                <w:bCs/>
              </w:rPr>
              <w:t>1 414</w:t>
            </w:r>
          </w:p>
        </w:tc>
      </w:tr>
    </w:tbl>
    <w:p w14:paraId="273A8221" w14:textId="77777777" w:rsidR="00897553" w:rsidRPr="001E3F7E" w:rsidRDefault="006A11AE" w:rsidP="00265C86">
      <w:pPr>
        <w:spacing w:before="240"/>
        <w:jc w:val="center"/>
      </w:pPr>
      <w:r w:rsidRPr="001E3F7E">
        <w:t>______________</w:t>
      </w:r>
    </w:p>
    <w:sectPr w:rsidR="00897553" w:rsidRPr="001E3F7E" w:rsidSect="00D72F49">
      <w:headerReference w:type="even" r:id="rId18"/>
      <w:footerReference w:type="even" r:id="rId19"/>
      <w:footerReference w:type="default" r:id="rId20"/>
      <w:headerReference w:type="first" r:id="rId21"/>
      <w:footerReference w:type="first" r:id="rId2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C33D" w14:textId="77777777" w:rsidR="00B97668" w:rsidRDefault="00B97668">
      <w:r>
        <w:separator/>
      </w:r>
    </w:p>
  </w:endnote>
  <w:endnote w:type="continuationSeparator" w:id="0">
    <w:p w14:paraId="42844875" w14:textId="77777777" w:rsidR="00B97668" w:rsidRDefault="00B9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2173" w14:textId="36FC28D0" w:rsidR="00732045" w:rsidRDefault="00B97668">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50D61">
      <w:t>29.04.25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0871F52" w14:textId="77777777" w:rsidTr="00E31DCE">
      <w:trPr>
        <w:jc w:val="center"/>
      </w:trPr>
      <w:tc>
        <w:tcPr>
          <w:tcW w:w="1803" w:type="dxa"/>
          <w:vAlign w:val="center"/>
        </w:tcPr>
        <w:p w14:paraId="66D0A373" w14:textId="07CAD6A6" w:rsidR="00A51849" w:rsidRDefault="00C347E9" w:rsidP="00A51849">
          <w:pPr>
            <w:pStyle w:val="Header"/>
            <w:jc w:val="left"/>
            <w:rPr>
              <w:noProof/>
            </w:rPr>
          </w:pPr>
          <w:r>
            <w:rPr>
              <w:noProof/>
            </w:rPr>
            <w:t>2500718</w:t>
          </w:r>
        </w:p>
      </w:tc>
      <w:tc>
        <w:tcPr>
          <w:tcW w:w="8261" w:type="dxa"/>
        </w:tcPr>
        <w:p w14:paraId="6D1B6F3B" w14:textId="6BEE81D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347E9">
            <w:rPr>
              <w:bCs/>
            </w:rPr>
            <w:t>13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AC9746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E2A5A9B" w14:textId="77777777" w:rsidTr="00E31DCE">
      <w:trPr>
        <w:jc w:val="center"/>
      </w:trPr>
      <w:tc>
        <w:tcPr>
          <w:tcW w:w="1803" w:type="dxa"/>
          <w:vAlign w:val="center"/>
        </w:tcPr>
        <w:p w14:paraId="60B21746"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2B33D2CA" w14:textId="6F62C5D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347E9">
            <w:rPr>
              <w:bCs/>
            </w:rPr>
            <w:t>13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9E2FA9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6C82" w14:textId="77777777" w:rsidR="00B97668" w:rsidRDefault="00B97668">
      <w:r>
        <w:t>____________________</w:t>
      </w:r>
    </w:p>
  </w:footnote>
  <w:footnote w:type="continuationSeparator" w:id="0">
    <w:p w14:paraId="7703DA29" w14:textId="77777777" w:rsidR="00B97668" w:rsidRDefault="00B9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249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BA4A9D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33D37ED1" w14:textId="77777777" w:rsidTr="00D37B53">
      <w:trPr>
        <w:trHeight w:val="1104"/>
        <w:jc w:val="center"/>
      </w:trPr>
      <w:tc>
        <w:tcPr>
          <w:tcW w:w="5317" w:type="dxa"/>
          <w:vAlign w:val="center"/>
        </w:tcPr>
        <w:p w14:paraId="58761A51"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EAC822C" wp14:editId="2B0A9439">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45DC69CC" w14:textId="77777777" w:rsidR="00524E8D" w:rsidRDefault="00524E8D" w:rsidP="00A51849">
          <w:pPr>
            <w:pStyle w:val="Header"/>
            <w:jc w:val="right"/>
            <w:rPr>
              <w:rFonts w:ascii="Arial" w:hAnsi="Arial" w:cs="Arial"/>
              <w:b/>
              <w:bCs/>
              <w:color w:val="009CD6"/>
              <w:szCs w:val="18"/>
            </w:rPr>
          </w:pPr>
        </w:p>
      </w:tc>
    </w:tr>
  </w:tbl>
  <w:p w14:paraId="53B4EB3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FE51810" wp14:editId="22D8F0FC">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F809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68"/>
    <w:rsid w:val="00076A2C"/>
    <w:rsid w:val="000D0B6F"/>
    <w:rsid w:val="000D0D0A"/>
    <w:rsid w:val="00103163"/>
    <w:rsid w:val="00106B19"/>
    <w:rsid w:val="001133EF"/>
    <w:rsid w:val="00115D93"/>
    <w:rsid w:val="00123FCB"/>
    <w:rsid w:val="001247A8"/>
    <w:rsid w:val="001370B2"/>
    <w:rsid w:val="001378C0"/>
    <w:rsid w:val="00145875"/>
    <w:rsid w:val="0018694A"/>
    <w:rsid w:val="001A3287"/>
    <w:rsid w:val="001A6508"/>
    <w:rsid w:val="001D4C31"/>
    <w:rsid w:val="001E3F7E"/>
    <w:rsid w:val="001E4D21"/>
    <w:rsid w:val="00207CD1"/>
    <w:rsid w:val="00226657"/>
    <w:rsid w:val="0024636C"/>
    <w:rsid w:val="002477A2"/>
    <w:rsid w:val="00263A51"/>
    <w:rsid w:val="00265C86"/>
    <w:rsid w:val="00267E02"/>
    <w:rsid w:val="002A5D44"/>
    <w:rsid w:val="002C3D0B"/>
    <w:rsid w:val="002C3F32"/>
    <w:rsid w:val="002C4E3D"/>
    <w:rsid w:val="002E0BC4"/>
    <w:rsid w:val="002F1B76"/>
    <w:rsid w:val="0033568E"/>
    <w:rsid w:val="00355FF5"/>
    <w:rsid w:val="00361350"/>
    <w:rsid w:val="003C3FAE"/>
    <w:rsid w:val="003E18BE"/>
    <w:rsid w:val="004038CB"/>
    <w:rsid w:val="0040546F"/>
    <w:rsid w:val="004177BD"/>
    <w:rsid w:val="0042404A"/>
    <w:rsid w:val="0044618F"/>
    <w:rsid w:val="0046769A"/>
    <w:rsid w:val="00475FB3"/>
    <w:rsid w:val="004C37A9"/>
    <w:rsid w:val="004D1D50"/>
    <w:rsid w:val="004F259E"/>
    <w:rsid w:val="00511F1D"/>
    <w:rsid w:val="00520F36"/>
    <w:rsid w:val="00524E8D"/>
    <w:rsid w:val="00534E13"/>
    <w:rsid w:val="00540615"/>
    <w:rsid w:val="00540A6D"/>
    <w:rsid w:val="00545904"/>
    <w:rsid w:val="00550D61"/>
    <w:rsid w:val="00566679"/>
    <w:rsid w:val="00571EEA"/>
    <w:rsid w:val="00575417"/>
    <w:rsid w:val="005768E1"/>
    <w:rsid w:val="005B1938"/>
    <w:rsid w:val="005C3890"/>
    <w:rsid w:val="005F7BFE"/>
    <w:rsid w:val="00600017"/>
    <w:rsid w:val="006235CA"/>
    <w:rsid w:val="0062366E"/>
    <w:rsid w:val="006624CA"/>
    <w:rsid w:val="006643AB"/>
    <w:rsid w:val="006A11AE"/>
    <w:rsid w:val="006F0A53"/>
    <w:rsid w:val="007210CD"/>
    <w:rsid w:val="00732045"/>
    <w:rsid w:val="0073275D"/>
    <w:rsid w:val="007369DB"/>
    <w:rsid w:val="0077110E"/>
    <w:rsid w:val="007956C2"/>
    <w:rsid w:val="007A187E"/>
    <w:rsid w:val="007C72C2"/>
    <w:rsid w:val="007D4436"/>
    <w:rsid w:val="007F257A"/>
    <w:rsid w:val="007F3665"/>
    <w:rsid w:val="00800037"/>
    <w:rsid w:val="0082299A"/>
    <w:rsid w:val="0083391C"/>
    <w:rsid w:val="00861D73"/>
    <w:rsid w:val="00882919"/>
    <w:rsid w:val="008935E7"/>
    <w:rsid w:val="00897553"/>
    <w:rsid w:val="008A4E87"/>
    <w:rsid w:val="008D76E6"/>
    <w:rsid w:val="008F3A25"/>
    <w:rsid w:val="0092392D"/>
    <w:rsid w:val="0093234A"/>
    <w:rsid w:val="00956A78"/>
    <w:rsid w:val="0097363B"/>
    <w:rsid w:val="00973F53"/>
    <w:rsid w:val="009A6BAA"/>
    <w:rsid w:val="009C0FF3"/>
    <w:rsid w:val="009C307F"/>
    <w:rsid w:val="009C353C"/>
    <w:rsid w:val="009F0FB8"/>
    <w:rsid w:val="00A2113E"/>
    <w:rsid w:val="00A23A51"/>
    <w:rsid w:val="00A24607"/>
    <w:rsid w:val="00A25CD3"/>
    <w:rsid w:val="00A51849"/>
    <w:rsid w:val="00A709FE"/>
    <w:rsid w:val="00A73C60"/>
    <w:rsid w:val="00A82767"/>
    <w:rsid w:val="00AA332F"/>
    <w:rsid w:val="00AA7BBB"/>
    <w:rsid w:val="00AB64A8"/>
    <w:rsid w:val="00AC0266"/>
    <w:rsid w:val="00AD24EC"/>
    <w:rsid w:val="00AD759B"/>
    <w:rsid w:val="00B12D4B"/>
    <w:rsid w:val="00B27B00"/>
    <w:rsid w:val="00B309F9"/>
    <w:rsid w:val="00B32B60"/>
    <w:rsid w:val="00B51005"/>
    <w:rsid w:val="00B61619"/>
    <w:rsid w:val="00B97668"/>
    <w:rsid w:val="00BA4012"/>
    <w:rsid w:val="00BA52B8"/>
    <w:rsid w:val="00BB4545"/>
    <w:rsid w:val="00BD5873"/>
    <w:rsid w:val="00BF4B60"/>
    <w:rsid w:val="00C049D7"/>
    <w:rsid w:val="00C04BE3"/>
    <w:rsid w:val="00C25D29"/>
    <w:rsid w:val="00C27A7C"/>
    <w:rsid w:val="00C347E9"/>
    <w:rsid w:val="00C42437"/>
    <w:rsid w:val="00CA08ED"/>
    <w:rsid w:val="00CC6EAA"/>
    <w:rsid w:val="00CF183B"/>
    <w:rsid w:val="00CF2682"/>
    <w:rsid w:val="00D23F76"/>
    <w:rsid w:val="00D375CD"/>
    <w:rsid w:val="00D37B53"/>
    <w:rsid w:val="00D53ED8"/>
    <w:rsid w:val="00D553A2"/>
    <w:rsid w:val="00D72F49"/>
    <w:rsid w:val="00D774D3"/>
    <w:rsid w:val="00D904E8"/>
    <w:rsid w:val="00DA08C3"/>
    <w:rsid w:val="00DB5A3E"/>
    <w:rsid w:val="00DC22AA"/>
    <w:rsid w:val="00DD1A99"/>
    <w:rsid w:val="00DF74DD"/>
    <w:rsid w:val="00E25AD0"/>
    <w:rsid w:val="00E4428F"/>
    <w:rsid w:val="00E47427"/>
    <w:rsid w:val="00E93668"/>
    <w:rsid w:val="00E93B7E"/>
    <w:rsid w:val="00E95647"/>
    <w:rsid w:val="00EB6350"/>
    <w:rsid w:val="00F05C7A"/>
    <w:rsid w:val="00F15B57"/>
    <w:rsid w:val="00F35EF4"/>
    <w:rsid w:val="00F37FE5"/>
    <w:rsid w:val="00F427DB"/>
    <w:rsid w:val="00FA5EB1"/>
    <w:rsid w:val="00FA7439"/>
    <w:rsid w:val="00FC4EC0"/>
    <w:rsid w:val="00FC6D7D"/>
    <w:rsid w:val="00FD4B3A"/>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1A7D1"/>
  <w15:docId w15:val="{49A8FC74-D887-40FA-8CAB-DFA2E2F1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styleId="ListParagraph">
    <w:name w:val="List Paragraph"/>
    <w:basedOn w:val="Normal"/>
    <w:uiPriority w:val="34"/>
    <w:qFormat/>
    <w:rsid w:val="00CF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0/en" TargetMode="External"/><Relationship Id="rId13" Type="http://schemas.openxmlformats.org/officeDocument/2006/relationships/hyperlink" Target="https://www.itu.int/md/T22-WTSA.24-C-0120/fr"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itu.int/md/T22-WTSA.24-C-0120/fr" TargetMode="External"/><Relationship Id="rId12" Type="http://schemas.openxmlformats.org/officeDocument/2006/relationships/hyperlink" Target="https://www.itu.int/md/T22-WTSA.24-C-0119/fr" TargetMode="External"/><Relationship Id="rId17" Type="http://schemas.openxmlformats.org/officeDocument/2006/relationships/hyperlink" Target="https://www.itu.int/pub/T-RES-T.101-2024/fr" TargetMode="External"/><Relationship Id="rId2" Type="http://schemas.openxmlformats.org/officeDocument/2006/relationships/settings" Target="settings.xml"/><Relationship Id="rId16" Type="http://schemas.openxmlformats.org/officeDocument/2006/relationships/hyperlink" Target="https://www.itu.int/pub/T-RES-T.106-2024/fr"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md/T22-WTSA.24-C-0119/fr" TargetMode="External"/><Relationship Id="rId11" Type="http://schemas.openxmlformats.org/officeDocument/2006/relationships/hyperlink" Target="https://www.itu.int/md/S25-CL-C-0043/en"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pub/T-RES-T.103-2024/fr" TargetMode="External"/><Relationship Id="rId23" Type="http://schemas.openxmlformats.org/officeDocument/2006/relationships/fontTable" Target="fontTable.xml"/><Relationship Id="rId10" Type="http://schemas.openxmlformats.org/officeDocument/2006/relationships/hyperlink" Target="https://www.itu.int/md/T22-WTSA.24-C-0120/f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T22-WTSA.24-C-0119/fr" TargetMode="External"/><Relationship Id="rId14" Type="http://schemas.openxmlformats.org/officeDocument/2006/relationships/hyperlink" Target="https://www.itu.int/md/S25-CL-C-0050/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1</TotalTime>
  <Pages>2</Pages>
  <Words>520</Words>
  <Characters>2916</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3391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Commission de contrôle budgétaire de l'Assemblée mondiale de normalisation des télécommunications (AMNT-24)</dc:title>
  <dc:subject>Conseil 2025 de l'UIT</dc:subject>
  <cp:keywords>C2025, C25, Council-25</cp:keywords>
  <dc:description/>
  <cp:lastPrinted>2000-07-18T08:55:00Z</cp:lastPrinted>
  <dcterms:created xsi:type="dcterms:W3CDTF">2025-05-02T13:32:00Z</dcterms:created>
  <dcterms:modified xsi:type="dcterms:W3CDTF">2025-05-02T13:32:00Z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