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395" w:tblpY="2317"/>
        <w:tblW w:w="9214" w:type="dxa"/>
        <w:tblBorders>
          <w:bottom w:val="single" w:sz="4" w:space="0" w:color="auto"/>
        </w:tblBorders>
        <w:tblLayout w:type="fixed"/>
        <w:tblLook w:val="0000" w:firstRow="0" w:lastRow="0" w:firstColumn="0" w:lastColumn="0" w:noHBand="0" w:noVBand="0"/>
      </w:tblPr>
      <w:tblGrid>
        <w:gridCol w:w="3969"/>
        <w:gridCol w:w="5245"/>
      </w:tblGrid>
      <w:tr w:rsidR="00AD3606" w:rsidRPr="00C0458D" w14:paraId="3E1C2769" w14:textId="77777777" w:rsidTr="400F3A66">
        <w:trPr>
          <w:cantSplit/>
          <w:trHeight w:val="23"/>
        </w:trPr>
        <w:tc>
          <w:tcPr>
            <w:tcW w:w="3969" w:type="dxa"/>
            <w:vMerge w:val="restart"/>
            <w:tcMar>
              <w:left w:w="0" w:type="dxa"/>
            </w:tcMar>
          </w:tcPr>
          <w:p w14:paraId="7147B863" w14:textId="3471FA9C" w:rsidR="00AD3606" w:rsidRPr="00C0458D" w:rsidRDefault="00AD3606" w:rsidP="00617DEE">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F16C4F">
              <w:rPr>
                <w:b/>
              </w:rPr>
              <w:t>ADM 1</w:t>
            </w:r>
          </w:p>
        </w:tc>
        <w:tc>
          <w:tcPr>
            <w:tcW w:w="5245" w:type="dxa"/>
          </w:tcPr>
          <w:p w14:paraId="6779937E" w14:textId="284C4652" w:rsidR="00AD3606" w:rsidRPr="00C0458D" w:rsidRDefault="00AD3606" w:rsidP="400F3A66">
            <w:pPr>
              <w:tabs>
                <w:tab w:val="left" w:pos="851"/>
              </w:tabs>
              <w:spacing w:before="0" w:line="240" w:lineRule="atLeast"/>
              <w:jc w:val="right"/>
              <w:rPr>
                <w:b/>
                <w:bCs/>
              </w:rPr>
            </w:pPr>
            <w:r w:rsidRPr="400F3A66">
              <w:rPr>
                <w:b/>
                <w:bCs/>
              </w:rPr>
              <w:t>Document C2</w:t>
            </w:r>
            <w:r w:rsidR="00BF1FDE" w:rsidRPr="400F3A66">
              <w:rPr>
                <w:b/>
                <w:bCs/>
              </w:rPr>
              <w:t>5</w:t>
            </w:r>
            <w:r w:rsidRPr="400F3A66">
              <w:rPr>
                <w:b/>
                <w:bCs/>
              </w:rPr>
              <w:t>/</w:t>
            </w:r>
            <w:r w:rsidR="00B80B2F" w:rsidRPr="400F3A66">
              <w:rPr>
                <w:b/>
                <w:bCs/>
              </w:rPr>
              <w:t>13</w:t>
            </w:r>
            <w:r w:rsidRPr="400F3A66">
              <w:rPr>
                <w:b/>
                <w:bCs/>
              </w:rPr>
              <w:t>-E</w:t>
            </w:r>
          </w:p>
        </w:tc>
      </w:tr>
      <w:tr w:rsidR="00AD3606" w:rsidRPr="00C0458D" w14:paraId="3E3F9DA5" w14:textId="77777777" w:rsidTr="400F3A66">
        <w:trPr>
          <w:cantSplit/>
        </w:trPr>
        <w:tc>
          <w:tcPr>
            <w:tcW w:w="3969" w:type="dxa"/>
            <w:vMerge/>
          </w:tcPr>
          <w:p w14:paraId="5920AA6E" w14:textId="77777777" w:rsidR="00AD3606" w:rsidRPr="00C0458D" w:rsidRDefault="00AD3606" w:rsidP="00617DEE">
            <w:pPr>
              <w:tabs>
                <w:tab w:val="left" w:pos="851"/>
              </w:tabs>
              <w:spacing w:line="240" w:lineRule="atLeast"/>
              <w:rPr>
                <w:b/>
              </w:rPr>
            </w:pPr>
            <w:bookmarkStart w:id="6" w:name="ddate" w:colFirst="1" w:colLast="1"/>
            <w:bookmarkEnd w:id="0"/>
            <w:bookmarkEnd w:id="1"/>
          </w:p>
        </w:tc>
        <w:tc>
          <w:tcPr>
            <w:tcW w:w="5245" w:type="dxa"/>
          </w:tcPr>
          <w:p w14:paraId="55371C25" w14:textId="591DF1CE" w:rsidR="00AD3606" w:rsidRPr="00C0458D" w:rsidRDefault="00CA0297" w:rsidP="00617DEE">
            <w:pPr>
              <w:tabs>
                <w:tab w:val="left" w:pos="851"/>
              </w:tabs>
              <w:spacing w:before="0"/>
              <w:jc w:val="right"/>
              <w:rPr>
                <w:b/>
              </w:rPr>
            </w:pPr>
            <w:r>
              <w:rPr>
                <w:b/>
              </w:rPr>
              <w:t xml:space="preserve">17 </w:t>
            </w:r>
            <w:r w:rsidR="00706E5D">
              <w:rPr>
                <w:b/>
              </w:rPr>
              <w:t>April</w:t>
            </w:r>
            <w:r w:rsidR="004F3934">
              <w:rPr>
                <w:b/>
              </w:rPr>
              <w:t xml:space="preserve"> 2025</w:t>
            </w:r>
          </w:p>
        </w:tc>
      </w:tr>
      <w:tr w:rsidR="00AD3606" w:rsidRPr="00C0458D" w14:paraId="75730376" w14:textId="77777777" w:rsidTr="400F3A66">
        <w:trPr>
          <w:cantSplit/>
          <w:trHeight w:val="23"/>
        </w:trPr>
        <w:tc>
          <w:tcPr>
            <w:tcW w:w="3969" w:type="dxa"/>
            <w:vMerge/>
          </w:tcPr>
          <w:p w14:paraId="298F937E" w14:textId="77777777" w:rsidR="00AD3606" w:rsidRPr="00C0458D" w:rsidRDefault="00AD3606" w:rsidP="00617DEE">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617DEE">
            <w:pPr>
              <w:tabs>
                <w:tab w:val="left" w:pos="851"/>
              </w:tabs>
              <w:spacing w:before="0" w:line="240" w:lineRule="atLeast"/>
              <w:jc w:val="right"/>
              <w:rPr>
                <w:b/>
              </w:rPr>
            </w:pPr>
            <w:r w:rsidRPr="00C0458D">
              <w:rPr>
                <w:b/>
              </w:rPr>
              <w:t>Original: English</w:t>
            </w:r>
          </w:p>
        </w:tc>
      </w:tr>
      <w:tr w:rsidR="00472BAD" w:rsidRPr="00C0458D" w14:paraId="14DA91C4" w14:textId="77777777" w:rsidTr="400F3A66">
        <w:trPr>
          <w:cantSplit/>
          <w:trHeight w:val="23"/>
        </w:trPr>
        <w:tc>
          <w:tcPr>
            <w:tcW w:w="3969" w:type="dxa"/>
          </w:tcPr>
          <w:p w14:paraId="5858B25D" w14:textId="77777777" w:rsidR="00472BAD" w:rsidRPr="00C0458D" w:rsidRDefault="00472BAD" w:rsidP="00617DEE">
            <w:pPr>
              <w:tabs>
                <w:tab w:val="left" w:pos="851"/>
              </w:tabs>
              <w:spacing w:line="240" w:lineRule="atLeast"/>
              <w:rPr>
                <w:b/>
              </w:rPr>
            </w:pPr>
          </w:p>
        </w:tc>
        <w:tc>
          <w:tcPr>
            <w:tcW w:w="5245" w:type="dxa"/>
          </w:tcPr>
          <w:p w14:paraId="5DBF7439" w14:textId="77777777" w:rsidR="00472BAD" w:rsidRPr="00C0458D" w:rsidRDefault="00472BAD" w:rsidP="00617DEE">
            <w:pPr>
              <w:tabs>
                <w:tab w:val="left" w:pos="851"/>
              </w:tabs>
              <w:spacing w:before="0" w:line="240" w:lineRule="atLeast"/>
              <w:jc w:val="right"/>
              <w:rPr>
                <w:b/>
              </w:rPr>
            </w:pPr>
          </w:p>
        </w:tc>
      </w:tr>
      <w:tr w:rsidR="00AD3606" w:rsidRPr="00C0458D" w14:paraId="2481FF59" w14:textId="77777777" w:rsidTr="400F3A66">
        <w:trPr>
          <w:cantSplit/>
        </w:trPr>
        <w:tc>
          <w:tcPr>
            <w:tcW w:w="9214" w:type="dxa"/>
            <w:gridSpan w:val="2"/>
            <w:tcBorders>
              <w:bottom w:val="nil"/>
            </w:tcBorders>
            <w:tcMar>
              <w:left w:w="0" w:type="dxa"/>
            </w:tcMar>
          </w:tcPr>
          <w:p w14:paraId="2016C4A0" w14:textId="77777777" w:rsidR="00AD3606" w:rsidRPr="000F7289" w:rsidRDefault="00AD3606" w:rsidP="00617DEE">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400F3A66">
        <w:trPr>
          <w:cantSplit/>
        </w:trPr>
        <w:tc>
          <w:tcPr>
            <w:tcW w:w="9214" w:type="dxa"/>
            <w:gridSpan w:val="2"/>
            <w:tcBorders>
              <w:bottom w:val="single" w:sz="4" w:space="0" w:color="auto"/>
            </w:tcBorders>
            <w:tcMar>
              <w:left w:w="0" w:type="dxa"/>
            </w:tcMar>
          </w:tcPr>
          <w:p w14:paraId="2A2DCF47" w14:textId="3E90FFE2" w:rsidR="00AD3606" w:rsidRPr="000F7289" w:rsidRDefault="00896FF4" w:rsidP="00617DEE">
            <w:pPr>
              <w:pStyle w:val="Subtitle"/>
              <w:framePr w:hSpace="0" w:wrap="auto" w:xAlign="left" w:yAlign="inline"/>
            </w:pPr>
            <w:bookmarkStart w:id="9" w:name="dtitle1" w:colFirst="0" w:colLast="0"/>
            <w:bookmarkEnd w:id="8"/>
            <w:r>
              <w:t>REPORT OF THE BUDGET CONTROL COMMITTEE OF THE WORLD TELECOMMUNICATION STANDARDIZATION ASSEMBLY (WTSA-24)</w:t>
            </w:r>
          </w:p>
        </w:tc>
      </w:tr>
      <w:tr w:rsidR="00AD3606" w:rsidRPr="00C0458D" w14:paraId="72B25568" w14:textId="77777777" w:rsidTr="400F3A66">
        <w:trPr>
          <w:cantSplit/>
        </w:trPr>
        <w:tc>
          <w:tcPr>
            <w:tcW w:w="9214" w:type="dxa"/>
            <w:gridSpan w:val="2"/>
            <w:tcBorders>
              <w:top w:val="single" w:sz="4" w:space="0" w:color="auto"/>
            </w:tcBorders>
            <w:tcMar>
              <w:left w:w="0" w:type="dxa"/>
            </w:tcMar>
          </w:tcPr>
          <w:p w14:paraId="4C3D541B" w14:textId="1024FD2F" w:rsidR="00AD3606" w:rsidRPr="00C0458D" w:rsidRDefault="00F16BAB" w:rsidP="00617DEE">
            <w:pPr>
              <w:spacing w:before="160"/>
              <w:rPr>
                <w:b/>
                <w:bCs/>
                <w:sz w:val="26"/>
                <w:szCs w:val="26"/>
              </w:rPr>
            </w:pPr>
            <w:r w:rsidRPr="00C0458D">
              <w:rPr>
                <w:b/>
                <w:bCs/>
                <w:sz w:val="26"/>
                <w:szCs w:val="26"/>
              </w:rPr>
              <w:t>Purpose</w:t>
            </w:r>
          </w:p>
          <w:p w14:paraId="5A39CDB7" w14:textId="77777777" w:rsidR="00896FF4" w:rsidRDefault="00896FF4" w:rsidP="5B84DDC0">
            <w:r w:rsidRPr="007747DF">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7695D33F" w14:textId="6728544B" w:rsidR="00896FF4" w:rsidRDefault="00896FF4" w:rsidP="5B84DDC0">
            <w:pPr>
              <w:rPr>
                <w:rStyle w:val="Hyperlink"/>
                <w:rFonts w:cs="Calibri"/>
                <w:color w:val="auto"/>
                <w:u w:val="none"/>
              </w:rPr>
            </w:pPr>
            <w:r w:rsidRPr="008C54A9">
              <w:t xml:space="preserve">The report of the Budget Control Committee of the </w:t>
            </w:r>
            <w:r>
              <w:t xml:space="preserve">World Telecommunication Standardization Assembly (WTSA-24) </w:t>
            </w:r>
            <w:r w:rsidRPr="008C54A9">
              <w:t>is contained in Document</w:t>
            </w:r>
            <w:r>
              <w:t xml:space="preserve"> </w:t>
            </w:r>
            <w:hyperlink r:id="rId11" w:history="1">
              <w:r w:rsidRPr="5B84DDC0">
                <w:rPr>
                  <w:rStyle w:val="Hyperlink"/>
                  <w:rFonts w:cs="Calibri"/>
                </w:rPr>
                <w:t>119(Rev.1)</w:t>
              </w:r>
            </w:hyperlink>
            <w:r w:rsidRPr="5B84DDC0">
              <w:rPr>
                <w:rStyle w:val="Hyperlink"/>
                <w:rFonts w:cs="Calibri"/>
                <w:color w:val="auto"/>
                <w:u w:val="none"/>
              </w:rPr>
              <w:t xml:space="preserve">. The observations made on the report by the Plenary Meeting are contained in Document </w:t>
            </w:r>
            <w:hyperlink r:id="rId12" w:history="1">
              <w:r w:rsidRPr="5B84DDC0">
                <w:rPr>
                  <w:rStyle w:val="Hyperlink"/>
                  <w:rFonts w:cs="Calibri"/>
                </w:rPr>
                <w:t>120</w:t>
              </w:r>
            </w:hyperlink>
            <w:r w:rsidRPr="5B84DDC0">
              <w:rPr>
                <w:rStyle w:val="Hyperlink"/>
                <w:rFonts w:cs="Calibri"/>
                <w:color w:val="auto"/>
                <w:u w:val="none"/>
              </w:rPr>
              <w:t>.</w:t>
            </w:r>
          </w:p>
          <w:p w14:paraId="16569972" w14:textId="4E5BDAA9" w:rsidR="00D445CF" w:rsidRDefault="00D445CF" w:rsidP="00D445CF">
            <w:pPr>
              <w:jc w:val="both"/>
              <w:rPr>
                <w:lang w:val="en-US"/>
              </w:rPr>
            </w:pPr>
            <w:r>
              <w:t xml:space="preserve">The </w:t>
            </w:r>
            <w:r w:rsidR="00885EC2">
              <w:t>B</w:t>
            </w:r>
            <w:r w:rsidR="00120947">
              <w:t xml:space="preserve">udget </w:t>
            </w:r>
            <w:r w:rsidR="00885EC2">
              <w:t>C</w:t>
            </w:r>
            <w:r w:rsidR="00120947">
              <w:t>ontrol</w:t>
            </w:r>
            <w:r>
              <w:t xml:space="preserve"> </w:t>
            </w:r>
            <w:r w:rsidR="00885EC2">
              <w:t>C</w:t>
            </w:r>
            <w:r>
              <w:t xml:space="preserve">ommittee </w:t>
            </w:r>
            <w:r w:rsidR="00695840">
              <w:t>of WTSA-2</w:t>
            </w:r>
            <w:r w:rsidR="003A2C80">
              <w:t>4 further</w:t>
            </w:r>
            <w:r>
              <w:t xml:space="preserve"> </w:t>
            </w:r>
            <w:r w:rsidRPr="507A25B0">
              <w:rPr>
                <w:lang w:val="en-US"/>
              </w:rPr>
              <w:t>requested that the TSB Director presents a document to the CWG-FHR meeting in February 2025 providing details on the work to be undertaken, resources required for implementation of the resolutions approved at WTSA-24, and proposals for how TSB could ensure funding for implementation.</w:t>
            </w:r>
            <w:r w:rsidR="003A2C80">
              <w:rPr>
                <w:lang w:val="en-US"/>
              </w:rPr>
              <w:t xml:space="preserve"> </w:t>
            </w:r>
            <w:r w:rsidR="1C64B2F9" w:rsidRPr="46A07FC3">
              <w:rPr>
                <w:lang w:val="en-US"/>
              </w:rPr>
              <w:t xml:space="preserve">The </w:t>
            </w:r>
            <w:r w:rsidR="77A4F989" w:rsidRPr="46A07FC3">
              <w:rPr>
                <w:lang w:val="en-US"/>
              </w:rPr>
              <w:t xml:space="preserve">outcome of </w:t>
            </w:r>
            <w:r w:rsidR="006B4247">
              <w:rPr>
                <w:lang w:val="en-US"/>
              </w:rPr>
              <w:t xml:space="preserve">the </w:t>
            </w:r>
            <w:r w:rsidR="1C64B2F9" w:rsidRPr="46A07FC3">
              <w:rPr>
                <w:lang w:val="en-US"/>
              </w:rPr>
              <w:t xml:space="preserve">discussions </w:t>
            </w:r>
            <w:r w:rsidR="544896C4" w:rsidRPr="46A07FC3">
              <w:rPr>
                <w:lang w:val="en-US"/>
              </w:rPr>
              <w:t>from</w:t>
            </w:r>
            <w:r w:rsidR="1C64B2F9" w:rsidRPr="46A07FC3">
              <w:rPr>
                <w:lang w:val="en-US"/>
              </w:rPr>
              <w:t xml:space="preserve"> the CWG-FHR meeting </w:t>
            </w:r>
            <w:r w:rsidR="006B4247" w:rsidRPr="46A07FC3">
              <w:rPr>
                <w:lang w:val="en-US"/>
              </w:rPr>
              <w:t>is</w:t>
            </w:r>
            <w:r w:rsidR="1C64B2F9" w:rsidRPr="46A07FC3">
              <w:rPr>
                <w:lang w:val="en-US"/>
              </w:rPr>
              <w:t xml:space="preserve"> </w:t>
            </w:r>
            <w:r w:rsidR="51A9A289" w:rsidRPr="46A07FC3">
              <w:rPr>
                <w:lang w:val="en-US"/>
              </w:rPr>
              <w:t xml:space="preserve">available in </w:t>
            </w:r>
            <w:r w:rsidR="006B4247" w:rsidRPr="46A07FC3">
              <w:rPr>
                <w:lang w:val="en-US"/>
              </w:rPr>
              <w:t xml:space="preserve">Document </w:t>
            </w:r>
            <w:hyperlink r:id="rId13" w:history="1">
              <w:r w:rsidR="3818FA6A" w:rsidRPr="00DB55BA">
                <w:rPr>
                  <w:rStyle w:val="Hyperlink"/>
                  <w:lang w:val="en-US"/>
                </w:rPr>
                <w:t>C25/50</w:t>
              </w:r>
            </w:hyperlink>
            <w:r w:rsidR="003A2C80">
              <w:rPr>
                <w:lang w:val="en-US"/>
              </w:rPr>
              <w:t>.</w:t>
            </w:r>
          </w:p>
          <w:p w14:paraId="4288AA6F" w14:textId="77777777" w:rsidR="00AD3606" w:rsidRDefault="00AD3606" w:rsidP="00617DEE">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5DEFB1FA" w:rsidR="00722551" w:rsidRDefault="004F3934" w:rsidP="00617DEE">
            <w:r w:rsidRPr="00176B6E">
              <w:rPr>
                <w:rFonts w:cs="Calibri"/>
              </w:rPr>
              <w:t>Th</w:t>
            </w:r>
            <w:r>
              <w:rPr>
                <w:rFonts w:cs="Calibri"/>
              </w:rPr>
              <w:t xml:space="preserve">e </w:t>
            </w:r>
            <w:r w:rsidRPr="00176B6E">
              <w:rPr>
                <w:rFonts w:cs="Calibri"/>
              </w:rPr>
              <w:t xml:space="preserve">Council </w:t>
            </w:r>
            <w:r>
              <w:rPr>
                <w:rFonts w:cs="Calibri"/>
              </w:rPr>
              <w:t xml:space="preserve">is invited to </w:t>
            </w:r>
            <w:r w:rsidRPr="00706E5D">
              <w:rPr>
                <w:rFonts w:cs="Calibri"/>
                <w:b/>
                <w:bCs/>
              </w:rPr>
              <w:t>note</w:t>
            </w:r>
            <w:r>
              <w:rPr>
                <w:rFonts w:cs="Calibri"/>
              </w:rPr>
              <w:t xml:space="preserve"> this document.</w:t>
            </w:r>
          </w:p>
          <w:p w14:paraId="4B855F83" w14:textId="7E0F2BB7" w:rsidR="00722551" w:rsidRDefault="00722551" w:rsidP="00617DEE">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449F1BDE" w:rsidR="00722551" w:rsidRPr="00F16BAB" w:rsidRDefault="004F3934" w:rsidP="00617DEE">
            <w:r w:rsidRPr="00176B6E">
              <w:t>D</w:t>
            </w:r>
            <w:r w:rsidRPr="00176B6E">
              <w:rPr>
                <w:szCs w:val="24"/>
              </w:rPr>
              <w:t xml:space="preserve">evelopment and application of the ITU Administrative Regulations; </w:t>
            </w:r>
            <w:r w:rsidRPr="00176B6E">
              <w:t>C</w:t>
            </w:r>
            <w:r w:rsidRPr="00176B6E">
              <w:rPr>
                <w:szCs w:val="24"/>
              </w:rPr>
              <w:t>onvening platforms.</w:t>
            </w:r>
          </w:p>
          <w:p w14:paraId="6A77059B" w14:textId="270D1307" w:rsidR="00722551" w:rsidRDefault="00722551" w:rsidP="00617DEE">
            <w:pPr>
              <w:spacing w:before="160"/>
              <w:rPr>
                <w:b/>
                <w:bCs/>
                <w:sz w:val="26"/>
                <w:szCs w:val="26"/>
              </w:rPr>
            </w:pPr>
            <w:r>
              <w:rPr>
                <w:b/>
                <w:bCs/>
                <w:sz w:val="26"/>
                <w:szCs w:val="26"/>
              </w:rPr>
              <w:t>Financial implications</w:t>
            </w:r>
          </w:p>
          <w:p w14:paraId="0B28A699" w14:textId="5EC77B45" w:rsidR="009D3C59" w:rsidRPr="00BF3BC3" w:rsidRDefault="004F3934" w:rsidP="006B4247">
            <w:pPr>
              <w:jc w:val="both"/>
              <w:rPr>
                <w:lang w:val="en-US"/>
              </w:rPr>
            </w:pPr>
            <w:r w:rsidRPr="00BF3BC3">
              <w:rPr>
                <w:lang w:val="en-US"/>
              </w:rPr>
              <w:t xml:space="preserve">The provisional financial implications of the WTSA-24 </w:t>
            </w:r>
            <w:r w:rsidR="00A841A9" w:rsidRPr="00BF3BC3">
              <w:rPr>
                <w:lang w:val="en-US"/>
              </w:rPr>
              <w:t xml:space="preserve">resolutions </w:t>
            </w:r>
            <w:r w:rsidRPr="00BF3BC3">
              <w:rPr>
                <w:lang w:val="en-US"/>
              </w:rPr>
              <w:t xml:space="preserve">were estimated at </w:t>
            </w:r>
            <w:r w:rsidR="00E820AD" w:rsidRPr="00BF3BC3">
              <w:rPr>
                <w:lang w:val="en-US"/>
              </w:rPr>
              <w:t>K</w:t>
            </w:r>
            <w:r w:rsidRPr="00BF3BC3">
              <w:rPr>
                <w:lang w:val="en-US"/>
              </w:rPr>
              <w:t>CHF</w:t>
            </w:r>
            <w:r w:rsidR="00D80A3D" w:rsidRPr="00BF3BC3">
              <w:rPr>
                <w:lang w:val="en-US"/>
              </w:rPr>
              <w:t> </w:t>
            </w:r>
            <w:r w:rsidR="00E820AD" w:rsidRPr="00BF3BC3">
              <w:rPr>
                <w:lang w:val="en-US"/>
              </w:rPr>
              <w:t>1</w:t>
            </w:r>
            <w:r w:rsidR="0079256D" w:rsidRPr="00BF3BC3">
              <w:rPr>
                <w:lang w:val="en-US"/>
              </w:rPr>
              <w:t> </w:t>
            </w:r>
            <w:r w:rsidR="00E820AD" w:rsidRPr="00BF3BC3">
              <w:rPr>
                <w:lang w:val="en-US"/>
              </w:rPr>
              <w:t>414</w:t>
            </w:r>
            <w:r w:rsidRPr="00BF3BC3">
              <w:rPr>
                <w:lang w:val="en-US"/>
              </w:rPr>
              <w:t xml:space="preserve"> over the </w:t>
            </w:r>
            <w:r w:rsidR="0C18AF2D" w:rsidRPr="46A07FC3">
              <w:rPr>
                <w:lang w:val="en-US"/>
              </w:rPr>
              <w:t>202</w:t>
            </w:r>
            <w:r w:rsidR="50E5F389" w:rsidRPr="46A07FC3">
              <w:rPr>
                <w:lang w:val="en-US"/>
              </w:rPr>
              <w:t>5</w:t>
            </w:r>
            <w:r w:rsidR="0C18AF2D" w:rsidRPr="46A07FC3">
              <w:rPr>
                <w:lang w:val="en-US"/>
              </w:rPr>
              <w:t>-202</w:t>
            </w:r>
            <w:r w:rsidR="5538B415" w:rsidRPr="46A07FC3">
              <w:rPr>
                <w:lang w:val="en-US"/>
              </w:rPr>
              <w:t>8</w:t>
            </w:r>
            <w:r w:rsidRPr="00BF3BC3">
              <w:rPr>
                <w:lang w:val="en-US"/>
              </w:rPr>
              <w:t xml:space="preserve"> timeframe.</w:t>
            </w:r>
            <w:r w:rsidR="611429F0" w:rsidRPr="779A0BF5">
              <w:rPr>
                <w:lang w:val="en-US"/>
              </w:rPr>
              <w:t xml:space="preserve"> </w:t>
            </w:r>
          </w:p>
          <w:p w14:paraId="08939791" w14:textId="77777777" w:rsidR="00C0458D" w:rsidRDefault="00C0458D" w:rsidP="00617DEE">
            <w:r>
              <w:t>_______________</w:t>
            </w:r>
          </w:p>
          <w:p w14:paraId="212A584A" w14:textId="77777777" w:rsidR="00AD3606" w:rsidRPr="00C0458D" w:rsidRDefault="00AD3606" w:rsidP="00617DEE">
            <w:pPr>
              <w:spacing w:before="160"/>
              <w:rPr>
                <w:b/>
                <w:bCs/>
                <w:sz w:val="26"/>
                <w:szCs w:val="26"/>
              </w:rPr>
            </w:pPr>
            <w:r w:rsidRPr="00C0458D">
              <w:rPr>
                <w:b/>
                <w:bCs/>
                <w:sz w:val="26"/>
                <w:szCs w:val="26"/>
              </w:rPr>
              <w:lastRenderedPageBreak/>
              <w:t>References</w:t>
            </w:r>
          </w:p>
          <w:p w14:paraId="7089D4B7" w14:textId="593A48A2" w:rsidR="00AD3606" w:rsidRPr="00CA0297" w:rsidRDefault="0079256D" w:rsidP="00617DEE">
            <w:pPr>
              <w:spacing w:after="160"/>
              <w:rPr>
                <w:i/>
                <w:iCs/>
                <w:sz w:val="22"/>
                <w:szCs w:val="22"/>
              </w:rPr>
            </w:pPr>
            <w:r w:rsidRPr="00CA0297">
              <w:rPr>
                <w:i/>
                <w:iCs/>
                <w:sz w:val="22"/>
                <w:szCs w:val="22"/>
              </w:rPr>
              <w:t xml:space="preserve">WTSA-24 </w:t>
            </w:r>
            <w:r w:rsidR="004F3934" w:rsidRPr="00CA0297">
              <w:rPr>
                <w:i/>
                <w:iCs/>
                <w:sz w:val="22"/>
                <w:szCs w:val="22"/>
              </w:rPr>
              <w:t xml:space="preserve">Documents </w:t>
            </w:r>
            <w:hyperlink r:id="rId14" w:history="1">
              <w:r w:rsidR="004F3934" w:rsidRPr="00CA0297">
                <w:rPr>
                  <w:rStyle w:val="Hyperlink"/>
                  <w:rFonts w:cs="Calibri"/>
                  <w:i/>
                  <w:iCs/>
                  <w:sz w:val="22"/>
                  <w:szCs w:val="22"/>
                </w:rPr>
                <w:t>119(Rev.1)</w:t>
              </w:r>
            </w:hyperlink>
            <w:r w:rsidR="004F3934" w:rsidRPr="00CA0297">
              <w:rPr>
                <w:rFonts w:cs="Calibri"/>
                <w:i/>
                <w:iCs/>
                <w:sz w:val="22"/>
                <w:szCs w:val="22"/>
              </w:rPr>
              <w:t xml:space="preserve"> and </w:t>
            </w:r>
            <w:hyperlink r:id="rId15" w:history="1">
              <w:r w:rsidR="004F3934" w:rsidRPr="00CA0297">
                <w:rPr>
                  <w:rStyle w:val="Hyperlink"/>
                  <w:rFonts w:cs="Calibri"/>
                  <w:i/>
                  <w:iCs/>
                  <w:sz w:val="22"/>
                  <w:szCs w:val="22"/>
                </w:rPr>
                <w:t>120</w:t>
              </w:r>
            </w:hyperlink>
            <w:r w:rsidR="009C133E" w:rsidRPr="006B4247">
              <w:rPr>
                <w:i/>
                <w:iCs/>
                <w:sz w:val="22"/>
                <w:szCs w:val="22"/>
              </w:rPr>
              <w:t xml:space="preserve">; Council </w:t>
            </w:r>
            <w:r w:rsidR="006B4247" w:rsidRPr="006B4247">
              <w:rPr>
                <w:i/>
                <w:iCs/>
                <w:sz w:val="22"/>
                <w:szCs w:val="22"/>
              </w:rPr>
              <w:t xml:space="preserve">Document </w:t>
            </w:r>
            <w:hyperlink r:id="rId16" w:history="1">
              <w:r w:rsidR="009C133E" w:rsidRPr="006B4247">
                <w:rPr>
                  <w:rStyle w:val="Hyperlink"/>
                  <w:i/>
                  <w:iCs/>
                  <w:sz w:val="22"/>
                  <w:szCs w:val="22"/>
                </w:rPr>
                <w:t>C25/43</w:t>
              </w:r>
            </w:hyperlink>
          </w:p>
        </w:tc>
      </w:tr>
      <w:bookmarkEnd w:id="2"/>
      <w:bookmarkEnd w:id="3"/>
      <w:bookmarkEnd w:id="4"/>
      <w:bookmarkEnd w:id="5"/>
      <w:bookmarkEnd w:id="9"/>
    </w:tbl>
    <w:p w14:paraId="610DC4B8" w14:textId="07693716" w:rsidR="00D80A3D" w:rsidRDefault="00D80A3D" w:rsidP="00D80A3D">
      <w:pPr>
        <w:tabs>
          <w:tab w:val="clear" w:pos="567"/>
          <w:tab w:val="clear" w:pos="1134"/>
          <w:tab w:val="clear" w:pos="1701"/>
          <w:tab w:val="clear" w:pos="2268"/>
          <w:tab w:val="clear" w:pos="2835"/>
        </w:tabs>
        <w:overflowPunct/>
        <w:autoSpaceDE/>
        <w:autoSpaceDN/>
        <w:adjustRightInd/>
        <w:spacing w:before="0"/>
        <w:textAlignment w:val="auto"/>
      </w:pPr>
      <w:r>
        <w:lastRenderedPageBreak/>
        <w:br w:type="page"/>
      </w:r>
    </w:p>
    <w:p w14:paraId="6D6FA357" w14:textId="77777777" w:rsidR="00955796" w:rsidRDefault="00617DEE" w:rsidP="006B4247">
      <w:pPr>
        <w:jc w:val="both"/>
      </w:pPr>
      <w:r>
        <w:rPr>
          <w:lang w:val="en-US"/>
        </w:rPr>
        <w:lastRenderedPageBreak/>
        <w:t>1</w:t>
      </w:r>
      <w:r>
        <w:rPr>
          <w:lang w:val="en-US"/>
        </w:rPr>
        <w:tab/>
      </w:r>
      <w:r w:rsidR="00955796" w:rsidRPr="007747DF">
        <w:t>Under No. 74 of the General Rules of Conferences, Assemblies and Meetings of the Union, the report of the Budget Control Committee, together with the observations of the Plenary Meeting shall, after consideration and approval by the Plenary Meeting, be transmitted to the Secretary-General for submission to the Council at its next ordinary session.</w:t>
      </w:r>
    </w:p>
    <w:p w14:paraId="6EDA3198" w14:textId="38755073" w:rsidR="00955796" w:rsidRPr="008C54A9" w:rsidRDefault="005C1C41" w:rsidP="006B4247">
      <w:pPr>
        <w:jc w:val="both"/>
      </w:pPr>
      <w:r>
        <w:t>2</w:t>
      </w:r>
      <w:r w:rsidR="0039563C">
        <w:tab/>
      </w:r>
      <w:r w:rsidR="00955796" w:rsidRPr="008C54A9">
        <w:t xml:space="preserve">The report of the Budget Control Committee of the </w:t>
      </w:r>
      <w:r w:rsidR="00955796">
        <w:t xml:space="preserve">World Telecommunication Standardization Assembly (WTSA-24) </w:t>
      </w:r>
      <w:r w:rsidR="00955796" w:rsidRPr="008C54A9">
        <w:t>is contained in Document</w:t>
      </w:r>
      <w:r w:rsidR="00955796">
        <w:t xml:space="preserve"> </w:t>
      </w:r>
      <w:hyperlink r:id="rId17" w:history="1">
        <w:r w:rsidR="00955796" w:rsidRPr="00896FF4">
          <w:rPr>
            <w:rStyle w:val="Hyperlink"/>
            <w:rFonts w:cs="Calibri"/>
            <w:szCs w:val="24"/>
          </w:rPr>
          <w:t>119(Rev.1)</w:t>
        </w:r>
      </w:hyperlink>
      <w:r w:rsidR="00955796" w:rsidRPr="00896FF4">
        <w:rPr>
          <w:rStyle w:val="Hyperlink"/>
          <w:rFonts w:cs="Calibri"/>
          <w:bCs/>
          <w:color w:val="auto"/>
          <w:szCs w:val="24"/>
          <w:u w:val="none"/>
        </w:rPr>
        <w:t xml:space="preserve">. The </w:t>
      </w:r>
      <w:r w:rsidR="00955796" w:rsidRPr="008C54A9">
        <w:rPr>
          <w:rStyle w:val="Hyperlink"/>
          <w:rFonts w:cs="Calibri"/>
          <w:color w:val="auto"/>
          <w:szCs w:val="24"/>
          <w:u w:val="none"/>
        </w:rPr>
        <w:t xml:space="preserve">observations </w:t>
      </w:r>
      <w:r w:rsidR="00955796">
        <w:rPr>
          <w:rStyle w:val="Hyperlink"/>
          <w:rFonts w:cs="Calibri"/>
          <w:color w:val="auto"/>
          <w:szCs w:val="24"/>
          <w:u w:val="none"/>
        </w:rPr>
        <w:t xml:space="preserve">made </w:t>
      </w:r>
      <w:r w:rsidR="00955796" w:rsidRPr="008C54A9">
        <w:rPr>
          <w:rStyle w:val="Hyperlink"/>
          <w:rFonts w:cs="Calibri"/>
          <w:color w:val="auto"/>
          <w:szCs w:val="24"/>
          <w:u w:val="none"/>
        </w:rPr>
        <w:t>on the report by the Plenary Meeting</w:t>
      </w:r>
      <w:r w:rsidR="00955796">
        <w:rPr>
          <w:rStyle w:val="Hyperlink"/>
          <w:rFonts w:cs="Calibri"/>
          <w:color w:val="auto"/>
          <w:szCs w:val="24"/>
          <w:u w:val="none"/>
        </w:rPr>
        <w:t xml:space="preserve"> are contained in Document </w:t>
      </w:r>
      <w:hyperlink r:id="rId18" w:history="1">
        <w:r w:rsidR="00955796" w:rsidRPr="00896FF4">
          <w:rPr>
            <w:rStyle w:val="Hyperlink"/>
            <w:rFonts w:cs="Calibri"/>
            <w:szCs w:val="24"/>
          </w:rPr>
          <w:t>120</w:t>
        </w:r>
      </w:hyperlink>
      <w:r w:rsidR="00955796" w:rsidRPr="008C54A9">
        <w:rPr>
          <w:rStyle w:val="Hyperlink"/>
          <w:rFonts w:cs="Calibri"/>
          <w:color w:val="auto"/>
          <w:szCs w:val="24"/>
          <w:u w:val="none"/>
        </w:rPr>
        <w:t>.</w:t>
      </w:r>
    </w:p>
    <w:p w14:paraId="1971E78F" w14:textId="6A18FD12" w:rsidR="00E820AD" w:rsidRPr="003A68CE" w:rsidRDefault="00C62F7B" w:rsidP="0079256D">
      <w:pPr>
        <w:jc w:val="both"/>
        <w:rPr>
          <w:lang w:val="en-US"/>
        </w:rPr>
      </w:pPr>
      <w:r>
        <w:rPr>
          <w:lang w:val="en-US"/>
        </w:rPr>
        <w:t>3</w:t>
      </w:r>
      <w:r w:rsidR="00481624">
        <w:tab/>
      </w:r>
      <w:r w:rsidR="00D3354B">
        <w:t xml:space="preserve">The </w:t>
      </w:r>
      <w:r w:rsidR="00196826">
        <w:t>B</w:t>
      </w:r>
      <w:r w:rsidR="00D3354B">
        <w:t xml:space="preserve">udget </w:t>
      </w:r>
      <w:r w:rsidR="00196826">
        <w:t>C</w:t>
      </w:r>
      <w:r w:rsidR="00D3354B">
        <w:t xml:space="preserve">ontrol </w:t>
      </w:r>
      <w:r w:rsidR="00196826">
        <w:t>C</w:t>
      </w:r>
      <w:r w:rsidR="00D3354B">
        <w:t xml:space="preserve">ommittee of WTSA-24 further </w:t>
      </w:r>
      <w:r w:rsidR="00D3354B" w:rsidRPr="507A25B0">
        <w:rPr>
          <w:lang w:val="en-US"/>
        </w:rPr>
        <w:t>requested that the TSB Director presents a document to the CWG-FHR meeting in February 2025 providing details on the work to be undertaken, resources required for implementation of the resolutions approved at WTSA-24, and proposals for how TSB could ensure funding for implementation.</w:t>
      </w:r>
      <w:r w:rsidR="00D3354B">
        <w:rPr>
          <w:lang w:val="en-US"/>
        </w:rPr>
        <w:t xml:space="preserve"> The discussions from the CWG-FHR meeting are also reflected in </w:t>
      </w:r>
      <w:r w:rsidR="00505CC8">
        <w:rPr>
          <w:lang w:val="en-US"/>
        </w:rPr>
        <w:t>Document</w:t>
      </w:r>
      <w:r w:rsidR="00505CC8" w:rsidRPr="46A07FC3">
        <w:rPr>
          <w:lang w:val="en-US"/>
        </w:rPr>
        <w:t xml:space="preserve"> </w:t>
      </w:r>
      <w:hyperlink r:id="rId19" w:history="1">
        <w:r w:rsidR="69375338" w:rsidRPr="00560FB9">
          <w:rPr>
            <w:rStyle w:val="Hyperlink"/>
            <w:lang w:val="en-US"/>
          </w:rPr>
          <w:t>C25/50</w:t>
        </w:r>
      </w:hyperlink>
      <w:r w:rsidR="00D3354B" w:rsidRPr="46A07FC3">
        <w:rPr>
          <w:lang w:val="en-US"/>
        </w:rPr>
        <w:t>.</w:t>
      </w:r>
      <w:r w:rsidR="005413F6">
        <w:rPr>
          <w:lang w:val="en-US"/>
        </w:rPr>
        <w:t xml:space="preserve"> </w:t>
      </w:r>
    </w:p>
    <w:p w14:paraId="41CD1771" w14:textId="6161FA8B" w:rsidR="00E820AD" w:rsidRDefault="00560FB9" w:rsidP="0079256D">
      <w:pPr>
        <w:jc w:val="both"/>
        <w:rPr>
          <w:lang w:val="en-US"/>
        </w:rPr>
      </w:pPr>
      <w:r>
        <w:rPr>
          <w:lang w:val="en-US"/>
        </w:rPr>
        <w:t>4</w:t>
      </w:r>
      <w:r w:rsidR="00617DEE">
        <w:rPr>
          <w:lang w:val="en-US"/>
        </w:rPr>
        <w:tab/>
      </w:r>
      <w:r w:rsidR="630A9E6B" w:rsidRPr="46A07FC3">
        <w:rPr>
          <w:lang w:val="en-US"/>
        </w:rPr>
        <w:t>T</w:t>
      </w:r>
      <w:r w:rsidR="00E820AD" w:rsidRPr="507A25B0">
        <w:rPr>
          <w:lang w:val="en-US"/>
        </w:rPr>
        <w:t xml:space="preserve">he additional expenses identified in the various </w:t>
      </w:r>
      <w:r w:rsidR="3A437BA2" w:rsidRPr="507A25B0">
        <w:rPr>
          <w:lang w:val="en-US"/>
        </w:rPr>
        <w:t xml:space="preserve">WTSA-24 </w:t>
      </w:r>
      <w:r w:rsidR="00E820AD" w:rsidRPr="507A25B0">
        <w:rPr>
          <w:lang w:val="en-US"/>
        </w:rPr>
        <w:t xml:space="preserve">resolutions </w:t>
      </w:r>
      <w:r w:rsidR="00D80A3D" w:rsidRPr="507A25B0">
        <w:rPr>
          <w:lang w:val="en-US"/>
        </w:rPr>
        <w:t>we</w:t>
      </w:r>
      <w:r w:rsidR="00E820AD" w:rsidRPr="507A25B0">
        <w:rPr>
          <w:lang w:val="en-US"/>
        </w:rPr>
        <w:t>re estimated at KCHF 1</w:t>
      </w:r>
      <w:r w:rsidR="00891F7C" w:rsidRPr="507A25B0">
        <w:rPr>
          <w:lang w:val="en-US"/>
        </w:rPr>
        <w:t> </w:t>
      </w:r>
      <w:r w:rsidR="00E820AD" w:rsidRPr="507A25B0">
        <w:rPr>
          <w:lang w:val="en-US"/>
        </w:rPr>
        <w:t>414 for the four</w:t>
      </w:r>
      <w:r w:rsidR="00891F7C" w:rsidRPr="507A25B0">
        <w:rPr>
          <w:lang w:val="en-US"/>
        </w:rPr>
        <w:t>-</w:t>
      </w:r>
      <w:r w:rsidR="00E820AD" w:rsidRPr="507A25B0">
        <w:rPr>
          <w:lang w:val="en-US"/>
        </w:rPr>
        <w:t>year period</w:t>
      </w:r>
      <w:r w:rsidR="5E94BDDE" w:rsidRPr="46A07FC3">
        <w:rPr>
          <w:lang w:val="en-US"/>
        </w:rPr>
        <w:t xml:space="preserve"> as per the table below</w:t>
      </w:r>
      <w:r w:rsidR="008D7D40">
        <w:rPr>
          <w:lang w:val="en-US"/>
        </w:rPr>
        <w:t>:</w:t>
      </w:r>
    </w:p>
    <w:p w14:paraId="444C1D23" w14:textId="78CF3DA6" w:rsidR="46A07FC3" w:rsidRDefault="46A07FC3" w:rsidP="46A07FC3">
      <w:pPr>
        <w:jc w:val="both"/>
        <w:rPr>
          <w:lang w:val="en-US"/>
        </w:rPr>
      </w:pPr>
    </w:p>
    <w:tbl>
      <w:tblPr>
        <w:tblStyle w:val="TableGrid"/>
        <w:tblW w:w="0" w:type="auto"/>
        <w:jc w:val="center"/>
        <w:tblLook w:val="04A0" w:firstRow="1" w:lastRow="0" w:firstColumn="1" w:lastColumn="0" w:noHBand="0" w:noVBand="1"/>
      </w:tblPr>
      <w:tblGrid>
        <w:gridCol w:w="2885"/>
        <w:gridCol w:w="2186"/>
        <w:gridCol w:w="2226"/>
        <w:gridCol w:w="2190"/>
      </w:tblGrid>
      <w:tr w:rsidR="46A07FC3" w14:paraId="50B64A74" w14:textId="77777777" w:rsidTr="46A07FC3">
        <w:trPr>
          <w:trHeight w:val="300"/>
          <w:jc w:val="center"/>
        </w:trPr>
        <w:tc>
          <w:tcPr>
            <w:tcW w:w="9487" w:type="dxa"/>
            <w:gridSpan w:val="4"/>
            <w:vAlign w:val="center"/>
          </w:tcPr>
          <w:p w14:paraId="0E935B98" w14:textId="77777777" w:rsidR="46A07FC3" w:rsidRDefault="46A07FC3" w:rsidP="46A07FC3">
            <w:pPr>
              <w:pStyle w:val="Tablehead"/>
              <w:rPr>
                <w:i/>
                <w:iCs/>
              </w:rPr>
            </w:pPr>
            <w:r>
              <w:t>WTSA-24 decisions – financial implications</w:t>
            </w:r>
            <w:r>
              <w:br/>
            </w:r>
            <w:r>
              <w:tab/>
            </w:r>
            <w:r w:rsidRPr="46A07FC3">
              <w:rPr>
                <w:i/>
                <w:iCs/>
              </w:rPr>
              <w:t>KCHF</w:t>
            </w:r>
          </w:p>
        </w:tc>
      </w:tr>
      <w:tr w:rsidR="46A07FC3" w14:paraId="44CFC708" w14:textId="77777777" w:rsidTr="46A07FC3">
        <w:trPr>
          <w:trHeight w:val="300"/>
          <w:jc w:val="center"/>
        </w:trPr>
        <w:tc>
          <w:tcPr>
            <w:tcW w:w="2885" w:type="dxa"/>
            <w:shd w:val="clear" w:color="auto" w:fill="FDE9D9" w:themeFill="accent6" w:themeFillTint="33"/>
          </w:tcPr>
          <w:p w14:paraId="346B062F" w14:textId="77777777" w:rsidR="46A07FC3" w:rsidRDefault="46A07FC3" w:rsidP="46A07FC3">
            <w:pPr>
              <w:pStyle w:val="Tablehead"/>
            </w:pPr>
            <w:r>
              <w:t>Resolution</w:t>
            </w:r>
          </w:p>
        </w:tc>
        <w:tc>
          <w:tcPr>
            <w:tcW w:w="2186" w:type="dxa"/>
            <w:shd w:val="clear" w:color="auto" w:fill="FDE9D9" w:themeFill="accent6" w:themeFillTint="33"/>
          </w:tcPr>
          <w:p w14:paraId="2B62179F" w14:textId="77777777" w:rsidR="46A07FC3" w:rsidRDefault="46A07FC3" w:rsidP="46A07FC3">
            <w:pPr>
              <w:pStyle w:val="Tablehead"/>
            </w:pPr>
            <w:r>
              <w:t>One-time costs</w:t>
            </w:r>
          </w:p>
        </w:tc>
        <w:tc>
          <w:tcPr>
            <w:tcW w:w="2226" w:type="dxa"/>
            <w:shd w:val="clear" w:color="auto" w:fill="FDE9D9" w:themeFill="accent6" w:themeFillTint="33"/>
          </w:tcPr>
          <w:p w14:paraId="400E8C12" w14:textId="77777777" w:rsidR="46A07FC3" w:rsidRDefault="46A07FC3" w:rsidP="46A07FC3">
            <w:pPr>
              <w:pStyle w:val="Tablehead"/>
            </w:pPr>
            <w:r>
              <w:t>Recurrent annual costs</w:t>
            </w:r>
          </w:p>
        </w:tc>
        <w:tc>
          <w:tcPr>
            <w:tcW w:w="2190" w:type="dxa"/>
            <w:shd w:val="clear" w:color="auto" w:fill="FDE9D9" w:themeFill="accent6" w:themeFillTint="33"/>
          </w:tcPr>
          <w:p w14:paraId="6A719FEA" w14:textId="77777777" w:rsidR="46A07FC3" w:rsidRDefault="46A07FC3" w:rsidP="46A07FC3">
            <w:pPr>
              <w:pStyle w:val="Tablehead"/>
            </w:pPr>
            <w:r>
              <w:t>4-year costs</w:t>
            </w:r>
          </w:p>
        </w:tc>
      </w:tr>
      <w:tr w:rsidR="46A07FC3" w14:paraId="20F5FA80" w14:textId="77777777" w:rsidTr="46A07FC3">
        <w:trPr>
          <w:trHeight w:val="300"/>
          <w:jc w:val="center"/>
        </w:trPr>
        <w:tc>
          <w:tcPr>
            <w:tcW w:w="2885" w:type="dxa"/>
            <w:shd w:val="clear" w:color="auto" w:fill="DAEEF3" w:themeFill="accent5" w:themeFillTint="33"/>
          </w:tcPr>
          <w:p w14:paraId="27117210" w14:textId="77777777" w:rsidR="46A07FC3" w:rsidRDefault="46A07FC3" w:rsidP="46A07FC3">
            <w:pPr>
              <w:pStyle w:val="Tabletext"/>
            </w:pPr>
            <w:hyperlink r:id="rId20" w:history="1">
              <w:hyperlink r:id="rId21" w:history="1">
                <w:r w:rsidRPr="46A07FC3">
                  <w:rPr>
                    <w:color w:val="0563C1"/>
                    <w:u w:val="single"/>
                  </w:rPr>
                  <w:t>Resolution 103</w:t>
                </w:r>
              </w:hyperlink>
            </w:hyperlink>
            <w:r>
              <w:t xml:space="preserve"> DPI</w:t>
            </w:r>
          </w:p>
        </w:tc>
        <w:tc>
          <w:tcPr>
            <w:tcW w:w="2186" w:type="dxa"/>
            <w:shd w:val="clear" w:color="auto" w:fill="DAEEF3" w:themeFill="accent5" w:themeFillTint="33"/>
          </w:tcPr>
          <w:p w14:paraId="276D91EB" w14:textId="77777777" w:rsidR="46A07FC3" w:rsidRDefault="46A07FC3" w:rsidP="46A07FC3">
            <w:pPr>
              <w:pStyle w:val="Tabletext"/>
              <w:jc w:val="center"/>
            </w:pPr>
            <w:r>
              <w:t>134</w:t>
            </w:r>
          </w:p>
        </w:tc>
        <w:tc>
          <w:tcPr>
            <w:tcW w:w="2226" w:type="dxa"/>
            <w:shd w:val="clear" w:color="auto" w:fill="DAEEF3" w:themeFill="accent5" w:themeFillTint="33"/>
          </w:tcPr>
          <w:p w14:paraId="57C9CAC4" w14:textId="77777777" w:rsidR="46A07FC3" w:rsidRDefault="46A07FC3" w:rsidP="46A07FC3">
            <w:pPr>
              <w:pStyle w:val="Tabletext"/>
              <w:jc w:val="center"/>
            </w:pPr>
            <w:r>
              <w:t>120</w:t>
            </w:r>
          </w:p>
        </w:tc>
        <w:tc>
          <w:tcPr>
            <w:tcW w:w="2190" w:type="dxa"/>
            <w:shd w:val="clear" w:color="auto" w:fill="DAEEF3" w:themeFill="accent5" w:themeFillTint="33"/>
          </w:tcPr>
          <w:p w14:paraId="0FC707DA" w14:textId="77777777" w:rsidR="46A07FC3" w:rsidRDefault="46A07FC3" w:rsidP="46A07FC3">
            <w:pPr>
              <w:pStyle w:val="Tabletext"/>
              <w:jc w:val="center"/>
            </w:pPr>
            <w:r>
              <w:t>614</w:t>
            </w:r>
          </w:p>
        </w:tc>
      </w:tr>
      <w:tr w:rsidR="46A07FC3" w14:paraId="7297DB41" w14:textId="77777777" w:rsidTr="46A07FC3">
        <w:trPr>
          <w:trHeight w:val="300"/>
          <w:jc w:val="center"/>
        </w:trPr>
        <w:tc>
          <w:tcPr>
            <w:tcW w:w="2885" w:type="dxa"/>
            <w:shd w:val="clear" w:color="auto" w:fill="EAF1DD" w:themeFill="accent3" w:themeFillTint="33"/>
          </w:tcPr>
          <w:p w14:paraId="762AF485" w14:textId="77777777" w:rsidR="46A07FC3" w:rsidRDefault="46A07FC3" w:rsidP="46A07FC3">
            <w:pPr>
              <w:pStyle w:val="Tabletext"/>
            </w:pPr>
            <w:hyperlink r:id="rId22" w:history="1">
              <w:hyperlink r:id="rId23" w:history="1">
                <w:r w:rsidRPr="46A07FC3">
                  <w:rPr>
                    <w:color w:val="0563C1"/>
                    <w:u w:val="single"/>
                  </w:rPr>
                  <w:t>Resolution 106</w:t>
                </w:r>
              </w:hyperlink>
            </w:hyperlink>
            <w:r>
              <w:t xml:space="preserve"> SDT</w:t>
            </w:r>
          </w:p>
        </w:tc>
        <w:tc>
          <w:tcPr>
            <w:tcW w:w="2186" w:type="dxa"/>
            <w:shd w:val="clear" w:color="auto" w:fill="EAF1DD" w:themeFill="accent3" w:themeFillTint="33"/>
          </w:tcPr>
          <w:p w14:paraId="3B271D28" w14:textId="77777777" w:rsidR="46A07FC3" w:rsidRDefault="46A07FC3" w:rsidP="46A07FC3">
            <w:pPr>
              <w:pStyle w:val="Tabletext"/>
              <w:jc w:val="center"/>
            </w:pPr>
            <w:r>
              <w:t>0</w:t>
            </w:r>
          </w:p>
        </w:tc>
        <w:tc>
          <w:tcPr>
            <w:tcW w:w="2226" w:type="dxa"/>
            <w:shd w:val="clear" w:color="auto" w:fill="EAF1DD" w:themeFill="accent3" w:themeFillTint="33"/>
          </w:tcPr>
          <w:p w14:paraId="1D1CFCF1" w14:textId="77777777" w:rsidR="46A07FC3" w:rsidRDefault="46A07FC3" w:rsidP="46A07FC3">
            <w:pPr>
              <w:pStyle w:val="Tabletext"/>
              <w:jc w:val="center"/>
            </w:pPr>
            <w:r>
              <w:t>46</w:t>
            </w:r>
          </w:p>
        </w:tc>
        <w:tc>
          <w:tcPr>
            <w:tcW w:w="2190" w:type="dxa"/>
            <w:shd w:val="clear" w:color="auto" w:fill="EAF1DD" w:themeFill="accent3" w:themeFillTint="33"/>
          </w:tcPr>
          <w:p w14:paraId="34C56F15" w14:textId="77777777" w:rsidR="46A07FC3" w:rsidRDefault="46A07FC3" w:rsidP="46A07FC3">
            <w:pPr>
              <w:pStyle w:val="Tabletext"/>
              <w:jc w:val="center"/>
            </w:pPr>
            <w:r>
              <w:t>184</w:t>
            </w:r>
          </w:p>
        </w:tc>
      </w:tr>
      <w:tr w:rsidR="46A07FC3" w14:paraId="275ECB54" w14:textId="77777777" w:rsidTr="46A07FC3">
        <w:trPr>
          <w:trHeight w:val="300"/>
          <w:jc w:val="center"/>
        </w:trPr>
        <w:tc>
          <w:tcPr>
            <w:tcW w:w="2885" w:type="dxa"/>
            <w:shd w:val="clear" w:color="auto" w:fill="DAEEF3" w:themeFill="accent5" w:themeFillTint="33"/>
          </w:tcPr>
          <w:p w14:paraId="13275C4A" w14:textId="77777777" w:rsidR="46A07FC3" w:rsidRDefault="46A07FC3" w:rsidP="46A07FC3">
            <w:pPr>
              <w:pStyle w:val="Tabletext"/>
            </w:pPr>
            <w:hyperlink r:id="rId24" w:history="1">
              <w:hyperlink r:id="rId25" w:history="1">
                <w:r w:rsidRPr="46A07FC3">
                  <w:rPr>
                    <w:color w:val="0563C1"/>
                    <w:u w:val="single"/>
                  </w:rPr>
                  <w:t>Resolution 101</w:t>
                </w:r>
              </w:hyperlink>
            </w:hyperlink>
            <w:r>
              <w:t xml:space="preserve"> AI</w:t>
            </w:r>
          </w:p>
        </w:tc>
        <w:tc>
          <w:tcPr>
            <w:tcW w:w="2186" w:type="dxa"/>
            <w:shd w:val="clear" w:color="auto" w:fill="DAEEF3" w:themeFill="accent5" w:themeFillTint="33"/>
          </w:tcPr>
          <w:p w14:paraId="64F28E54" w14:textId="77777777" w:rsidR="46A07FC3" w:rsidRDefault="46A07FC3" w:rsidP="46A07FC3">
            <w:pPr>
              <w:pStyle w:val="Tabletext"/>
              <w:jc w:val="center"/>
            </w:pPr>
            <w:r>
              <w:t>136</w:t>
            </w:r>
          </w:p>
        </w:tc>
        <w:tc>
          <w:tcPr>
            <w:tcW w:w="2226" w:type="dxa"/>
            <w:shd w:val="clear" w:color="auto" w:fill="DAEEF3" w:themeFill="accent5" w:themeFillTint="33"/>
          </w:tcPr>
          <w:p w14:paraId="04C10409" w14:textId="77777777" w:rsidR="46A07FC3" w:rsidRDefault="46A07FC3" w:rsidP="46A07FC3">
            <w:pPr>
              <w:pStyle w:val="Tabletext"/>
              <w:jc w:val="center"/>
            </w:pPr>
            <w:r>
              <w:t>120</w:t>
            </w:r>
          </w:p>
        </w:tc>
        <w:tc>
          <w:tcPr>
            <w:tcW w:w="2190" w:type="dxa"/>
            <w:shd w:val="clear" w:color="auto" w:fill="DAEEF3" w:themeFill="accent5" w:themeFillTint="33"/>
          </w:tcPr>
          <w:p w14:paraId="737A8F42" w14:textId="77777777" w:rsidR="46A07FC3" w:rsidRDefault="46A07FC3" w:rsidP="46A07FC3">
            <w:pPr>
              <w:pStyle w:val="Tabletext"/>
              <w:jc w:val="center"/>
            </w:pPr>
            <w:r>
              <w:t>616</w:t>
            </w:r>
          </w:p>
        </w:tc>
      </w:tr>
      <w:tr w:rsidR="46A07FC3" w14:paraId="031FD566" w14:textId="77777777" w:rsidTr="46A07FC3">
        <w:trPr>
          <w:trHeight w:val="300"/>
          <w:jc w:val="center"/>
        </w:trPr>
        <w:tc>
          <w:tcPr>
            <w:tcW w:w="2885" w:type="dxa"/>
            <w:shd w:val="clear" w:color="auto" w:fill="FDE9D9" w:themeFill="accent6" w:themeFillTint="33"/>
          </w:tcPr>
          <w:p w14:paraId="7BC104DA" w14:textId="77777777" w:rsidR="46A07FC3" w:rsidRDefault="46A07FC3" w:rsidP="46A07FC3">
            <w:pPr>
              <w:pStyle w:val="Tabletext"/>
              <w:jc w:val="right"/>
              <w:rPr>
                <w:b/>
                <w:bCs/>
              </w:rPr>
            </w:pPr>
            <w:r w:rsidRPr="46A07FC3">
              <w:rPr>
                <w:b/>
                <w:bCs/>
              </w:rPr>
              <w:t xml:space="preserve">Total </w:t>
            </w:r>
          </w:p>
        </w:tc>
        <w:tc>
          <w:tcPr>
            <w:tcW w:w="2186" w:type="dxa"/>
            <w:shd w:val="clear" w:color="auto" w:fill="FDE9D9" w:themeFill="accent6" w:themeFillTint="33"/>
          </w:tcPr>
          <w:p w14:paraId="2A8E5F43" w14:textId="77777777" w:rsidR="46A07FC3" w:rsidRDefault="46A07FC3" w:rsidP="46A07FC3">
            <w:pPr>
              <w:pStyle w:val="Tabletext"/>
              <w:jc w:val="center"/>
              <w:rPr>
                <w:b/>
                <w:bCs/>
              </w:rPr>
            </w:pPr>
            <w:r w:rsidRPr="46A07FC3">
              <w:rPr>
                <w:b/>
                <w:bCs/>
              </w:rPr>
              <w:t>270</w:t>
            </w:r>
          </w:p>
        </w:tc>
        <w:tc>
          <w:tcPr>
            <w:tcW w:w="2226" w:type="dxa"/>
            <w:shd w:val="clear" w:color="auto" w:fill="FDE9D9" w:themeFill="accent6" w:themeFillTint="33"/>
          </w:tcPr>
          <w:p w14:paraId="1990A7BC" w14:textId="77777777" w:rsidR="46A07FC3" w:rsidRDefault="46A07FC3" w:rsidP="46A07FC3">
            <w:pPr>
              <w:pStyle w:val="Tabletext"/>
              <w:jc w:val="center"/>
              <w:rPr>
                <w:b/>
                <w:bCs/>
              </w:rPr>
            </w:pPr>
            <w:r w:rsidRPr="46A07FC3">
              <w:rPr>
                <w:b/>
                <w:bCs/>
              </w:rPr>
              <w:t>286</w:t>
            </w:r>
          </w:p>
        </w:tc>
        <w:tc>
          <w:tcPr>
            <w:tcW w:w="2190" w:type="dxa"/>
            <w:shd w:val="clear" w:color="auto" w:fill="FDE9D9" w:themeFill="accent6" w:themeFillTint="33"/>
          </w:tcPr>
          <w:p w14:paraId="4746332A" w14:textId="77777777" w:rsidR="46A07FC3" w:rsidRDefault="46A07FC3" w:rsidP="46A07FC3">
            <w:pPr>
              <w:pStyle w:val="Tabletext"/>
              <w:jc w:val="center"/>
              <w:rPr>
                <w:b/>
                <w:bCs/>
              </w:rPr>
            </w:pPr>
            <w:r w:rsidRPr="46A07FC3">
              <w:rPr>
                <w:b/>
                <w:bCs/>
              </w:rPr>
              <w:t>1 414</w:t>
            </w:r>
          </w:p>
        </w:tc>
      </w:tr>
    </w:tbl>
    <w:p w14:paraId="0E0BDBE8" w14:textId="77777777" w:rsidR="007F6707" w:rsidRDefault="007F6707" w:rsidP="00706E5D">
      <w:pPr>
        <w:spacing w:before="720"/>
        <w:jc w:val="center"/>
      </w:pPr>
      <w:r>
        <w:t>______________</w:t>
      </w:r>
    </w:p>
    <w:sectPr w:rsidR="007F6707" w:rsidSect="00617DEE">
      <w:headerReference w:type="even" r:id="rId26"/>
      <w:headerReference w:type="default" r:id="rId27"/>
      <w:footerReference w:type="even" r:id="rId28"/>
      <w:footerReference w:type="default" r:id="rId29"/>
      <w:headerReference w:type="first" r:id="rId30"/>
      <w:footerReference w:type="first" r:id="rId31"/>
      <w:pgSz w:w="11907" w:h="16834"/>
      <w:pgMar w:top="1418" w:right="992"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48A7" w14:textId="77777777" w:rsidR="00607638" w:rsidRDefault="00607638">
      <w:r>
        <w:separator/>
      </w:r>
    </w:p>
  </w:endnote>
  <w:endnote w:type="continuationSeparator" w:id="0">
    <w:p w14:paraId="32C370E8" w14:textId="77777777" w:rsidR="00607638" w:rsidRDefault="00607638">
      <w:r>
        <w:continuationSeparator/>
      </w:r>
    </w:p>
  </w:endnote>
  <w:endnote w:type="continuationNotice" w:id="1">
    <w:p w14:paraId="40FD980E" w14:textId="77777777" w:rsidR="00607638" w:rsidRDefault="006076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1875" w14:textId="77777777" w:rsidR="00B80B2F" w:rsidRDefault="00B80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51227C">
      <w:trPr>
        <w:jc w:val="center"/>
      </w:trPr>
      <w:tc>
        <w:tcPr>
          <w:tcW w:w="1803" w:type="dxa"/>
          <w:vAlign w:val="center"/>
        </w:tcPr>
        <w:p w14:paraId="5B3DDD9A" w14:textId="7150AD47" w:rsidR="00EE49E8" w:rsidRDefault="00C6520B" w:rsidP="00EE49E8">
          <w:pPr>
            <w:pStyle w:val="Header"/>
            <w:jc w:val="left"/>
            <w:rPr>
              <w:noProof/>
            </w:rPr>
          </w:pPr>
          <w:r>
            <w:rPr>
              <w:noProof/>
            </w:rPr>
            <w:t xml:space="preserve">gDoc </w:t>
          </w:r>
          <w:r w:rsidR="00EC3C3E" w:rsidRPr="00EC3C3E">
            <w:rPr>
              <w:noProof/>
            </w:rPr>
            <w:t>R2500718</w:t>
          </w:r>
        </w:p>
      </w:tc>
      <w:tc>
        <w:tcPr>
          <w:tcW w:w="8261" w:type="dxa"/>
        </w:tcPr>
        <w:p w14:paraId="6F6B3A01" w14:textId="4E31FFFC" w:rsidR="00EE49E8" w:rsidRPr="00E06FD5" w:rsidRDefault="00EE49E8" w:rsidP="00891F7C">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B80B2F">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9591A7B" w:rsidR="00EE49E8" w:rsidRPr="00E06FD5" w:rsidRDefault="00EE49E8" w:rsidP="00891F7C">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B80B2F">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8313" w14:textId="77777777" w:rsidR="00607638" w:rsidRDefault="00607638">
      <w:r>
        <w:t>____________________</w:t>
      </w:r>
    </w:p>
  </w:footnote>
  <w:footnote w:type="continuationSeparator" w:id="0">
    <w:p w14:paraId="21B5BCF6" w14:textId="77777777" w:rsidR="00607638" w:rsidRDefault="00607638">
      <w:r>
        <w:continuationSeparator/>
      </w:r>
    </w:p>
  </w:footnote>
  <w:footnote w:type="continuationNotice" w:id="1">
    <w:p w14:paraId="42697558" w14:textId="77777777" w:rsidR="00607638" w:rsidRDefault="0060763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B4B5" w14:textId="77777777" w:rsidR="00B80B2F" w:rsidRDefault="00B80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B0A2" w14:textId="77777777" w:rsidR="00B80B2F" w:rsidRDefault="00B80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51227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19074538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16F2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788634"/>
    <w:multiLevelType w:val="hybridMultilevel"/>
    <w:tmpl w:val="FFFFFFFF"/>
    <w:lvl w:ilvl="0" w:tplc="D0028186">
      <w:start w:val="1"/>
      <w:numFmt w:val="decimal"/>
      <w:lvlText w:val="%1."/>
      <w:lvlJc w:val="left"/>
      <w:pPr>
        <w:ind w:left="720" w:hanging="360"/>
      </w:pPr>
    </w:lvl>
    <w:lvl w:ilvl="1" w:tplc="5800566A">
      <w:start w:val="1"/>
      <w:numFmt w:val="lowerLetter"/>
      <w:lvlText w:val="%2."/>
      <w:lvlJc w:val="left"/>
      <w:pPr>
        <w:ind w:left="1440" w:hanging="360"/>
      </w:pPr>
    </w:lvl>
    <w:lvl w:ilvl="2" w:tplc="85A0BE28">
      <w:start w:val="1"/>
      <w:numFmt w:val="lowerRoman"/>
      <w:lvlText w:val="%3."/>
      <w:lvlJc w:val="right"/>
      <w:pPr>
        <w:ind w:left="2160" w:hanging="180"/>
      </w:pPr>
    </w:lvl>
    <w:lvl w:ilvl="3" w:tplc="BD3ACAAC">
      <w:start w:val="1"/>
      <w:numFmt w:val="decimal"/>
      <w:lvlText w:val="%4."/>
      <w:lvlJc w:val="left"/>
      <w:pPr>
        <w:ind w:left="2880" w:hanging="360"/>
      </w:pPr>
    </w:lvl>
    <w:lvl w:ilvl="4" w:tplc="9CA84F76">
      <w:start w:val="1"/>
      <w:numFmt w:val="lowerLetter"/>
      <w:lvlText w:val="%5."/>
      <w:lvlJc w:val="left"/>
      <w:pPr>
        <w:ind w:left="3600" w:hanging="360"/>
      </w:pPr>
    </w:lvl>
    <w:lvl w:ilvl="5" w:tplc="EEE0ABBE">
      <w:start w:val="1"/>
      <w:numFmt w:val="lowerRoman"/>
      <w:lvlText w:val="%6."/>
      <w:lvlJc w:val="right"/>
      <w:pPr>
        <w:ind w:left="4320" w:hanging="180"/>
      </w:pPr>
    </w:lvl>
    <w:lvl w:ilvl="6" w:tplc="13F87E54">
      <w:start w:val="1"/>
      <w:numFmt w:val="decimal"/>
      <w:lvlText w:val="%7."/>
      <w:lvlJc w:val="left"/>
      <w:pPr>
        <w:ind w:left="5040" w:hanging="360"/>
      </w:pPr>
    </w:lvl>
    <w:lvl w:ilvl="7" w:tplc="03BA6D74">
      <w:start w:val="1"/>
      <w:numFmt w:val="lowerLetter"/>
      <w:lvlText w:val="%8."/>
      <w:lvlJc w:val="left"/>
      <w:pPr>
        <w:ind w:left="5760" w:hanging="360"/>
      </w:pPr>
    </w:lvl>
    <w:lvl w:ilvl="8" w:tplc="53682DA8">
      <w:start w:val="1"/>
      <w:numFmt w:val="lowerRoman"/>
      <w:lvlText w:val="%9."/>
      <w:lvlJc w:val="right"/>
      <w:pPr>
        <w:ind w:left="6480" w:hanging="180"/>
      </w:pPr>
    </w:lvl>
  </w:abstractNum>
  <w:num w:numId="1" w16cid:durableId="1374816267">
    <w:abstractNumId w:val="0"/>
  </w:num>
  <w:num w:numId="2" w16cid:durableId="60269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47077"/>
    <w:rsid w:val="0005766B"/>
    <w:rsid w:val="0006007D"/>
    <w:rsid w:val="00060E86"/>
    <w:rsid w:val="000614F9"/>
    <w:rsid w:val="00063016"/>
    <w:rsid w:val="00066795"/>
    <w:rsid w:val="000745AB"/>
    <w:rsid w:val="00074B5C"/>
    <w:rsid w:val="00076858"/>
    <w:rsid w:val="00076AF6"/>
    <w:rsid w:val="00082111"/>
    <w:rsid w:val="00085CF2"/>
    <w:rsid w:val="000A1F16"/>
    <w:rsid w:val="000B1705"/>
    <w:rsid w:val="000B2ECC"/>
    <w:rsid w:val="000D2C0F"/>
    <w:rsid w:val="000D75B2"/>
    <w:rsid w:val="000E49FB"/>
    <w:rsid w:val="000E7790"/>
    <w:rsid w:val="000F5DDB"/>
    <w:rsid w:val="000F5F2E"/>
    <w:rsid w:val="000F7248"/>
    <w:rsid w:val="000F7289"/>
    <w:rsid w:val="001071AD"/>
    <w:rsid w:val="001121F5"/>
    <w:rsid w:val="00120947"/>
    <w:rsid w:val="001372D6"/>
    <w:rsid w:val="001400DC"/>
    <w:rsid w:val="00140CE1"/>
    <w:rsid w:val="001562EA"/>
    <w:rsid w:val="0017539C"/>
    <w:rsid w:val="00175AC2"/>
    <w:rsid w:val="0017609F"/>
    <w:rsid w:val="001763A7"/>
    <w:rsid w:val="001933AF"/>
    <w:rsid w:val="00194747"/>
    <w:rsid w:val="00196826"/>
    <w:rsid w:val="001A3154"/>
    <w:rsid w:val="001A5BD7"/>
    <w:rsid w:val="001A7D1D"/>
    <w:rsid w:val="001B51DD"/>
    <w:rsid w:val="001C628E"/>
    <w:rsid w:val="001D2CBD"/>
    <w:rsid w:val="001E0F7B"/>
    <w:rsid w:val="001F0187"/>
    <w:rsid w:val="001F5569"/>
    <w:rsid w:val="002075AC"/>
    <w:rsid w:val="002119FD"/>
    <w:rsid w:val="002130E0"/>
    <w:rsid w:val="0021644F"/>
    <w:rsid w:val="00220BE3"/>
    <w:rsid w:val="00221F46"/>
    <w:rsid w:val="002312D5"/>
    <w:rsid w:val="00235F72"/>
    <w:rsid w:val="00245162"/>
    <w:rsid w:val="0025E2F6"/>
    <w:rsid w:val="00264425"/>
    <w:rsid w:val="00265875"/>
    <w:rsid w:val="0027303B"/>
    <w:rsid w:val="00280689"/>
    <w:rsid w:val="0028109B"/>
    <w:rsid w:val="0028358F"/>
    <w:rsid w:val="002A2188"/>
    <w:rsid w:val="002A7797"/>
    <w:rsid w:val="002B1F58"/>
    <w:rsid w:val="002C1C7A"/>
    <w:rsid w:val="002C54E2"/>
    <w:rsid w:val="0030160F"/>
    <w:rsid w:val="00310641"/>
    <w:rsid w:val="00320223"/>
    <w:rsid w:val="00322D0D"/>
    <w:rsid w:val="00341F06"/>
    <w:rsid w:val="0035240E"/>
    <w:rsid w:val="00361465"/>
    <w:rsid w:val="003877F5"/>
    <w:rsid w:val="003936D3"/>
    <w:rsid w:val="003942D4"/>
    <w:rsid w:val="0039563C"/>
    <w:rsid w:val="003958A8"/>
    <w:rsid w:val="003A2C80"/>
    <w:rsid w:val="003B03F6"/>
    <w:rsid w:val="003B29C2"/>
    <w:rsid w:val="003B6F03"/>
    <w:rsid w:val="003C1DFC"/>
    <w:rsid w:val="003C2533"/>
    <w:rsid w:val="003D5A7F"/>
    <w:rsid w:val="003E1FDF"/>
    <w:rsid w:val="003F0305"/>
    <w:rsid w:val="0040435A"/>
    <w:rsid w:val="00406D9C"/>
    <w:rsid w:val="00407023"/>
    <w:rsid w:val="00407CE7"/>
    <w:rsid w:val="0041190F"/>
    <w:rsid w:val="00416A24"/>
    <w:rsid w:val="00425B84"/>
    <w:rsid w:val="00427BFF"/>
    <w:rsid w:val="00431D9E"/>
    <w:rsid w:val="00433CE8"/>
    <w:rsid w:val="00434A5C"/>
    <w:rsid w:val="00436B58"/>
    <w:rsid w:val="00453079"/>
    <w:rsid w:val="004544D9"/>
    <w:rsid w:val="00472BAD"/>
    <w:rsid w:val="004811F8"/>
    <w:rsid w:val="00481624"/>
    <w:rsid w:val="00484009"/>
    <w:rsid w:val="004845D0"/>
    <w:rsid w:val="00490E72"/>
    <w:rsid w:val="00491157"/>
    <w:rsid w:val="00491BA9"/>
    <w:rsid w:val="004921C8"/>
    <w:rsid w:val="00495B0B"/>
    <w:rsid w:val="00495EB2"/>
    <w:rsid w:val="004A1B8B"/>
    <w:rsid w:val="004A5CB6"/>
    <w:rsid w:val="004B25A1"/>
    <w:rsid w:val="004B5829"/>
    <w:rsid w:val="004D1851"/>
    <w:rsid w:val="004D4417"/>
    <w:rsid w:val="004D599D"/>
    <w:rsid w:val="004E2EA5"/>
    <w:rsid w:val="004E3AEB"/>
    <w:rsid w:val="004F3934"/>
    <w:rsid w:val="0050223C"/>
    <w:rsid w:val="00502A3E"/>
    <w:rsid w:val="00505CC8"/>
    <w:rsid w:val="00507316"/>
    <w:rsid w:val="0051227C"/>
    <w:rsid w:val="005243FF"/>
    <w:rsid w:val="0053269D"/>
    <w:rsid w:val="005413F6"/>
    <w:rsid w:val="00543008"/>
    <w:rsid w:val="00543F3A"/>
    <w:rsid w:val="0055730E"/>
    <w:rsid w:val="00560FB9"/>
    <w:rsid w:val="00564FBC"/>
    <w:rsid w:val="005800BC"/>
    <w:rsid w:val="00582442"/>
    <w:rsid w:val="005A5FFF"/>
    <w:rsid w:val="005B6A77"/>
    <w:rsid w:val="005C1C41"/>
    <w:rsid w:val="005D68EC"/>
    <w:rsid w:val="005E4B4A"/>
    <w:rsid w:val="005F3269"/>
    <w:rsid w:val="00600B8C"/>
    <w:rsid w:val="00607638"/>
    <w:rsid w:val="00616013"/>
    <w:rsid w:val="00617DEE"/>
    <w:rsid w:val="00623AE3"/>
    <w:rsid w:val="00626018"/>
    <w:rsid w:val="00626B95"/>
    <w:rsid w:val="00630C4D"/>
    <w:rsid w:val="00636ABC"/>
    <w:rsid w:val="00644EC6"/>
    <w:rsid w:val="0064737F"/>
    <w:rsid w:val="006535F1"/>
    <w:rsid w:val="0065557D"/>
    <w:rsid w:val="00660D50"/>
    <w:rsid w:val="00662984"/>
    <w:rsid w:val="006716BB"/>
    <w:rsid w:val="00671D85"/>
    <w:rsid w:val="00682DD2"/>
    <w:rsid w:val="00695840"/>
    <w:rsid w:val="00697EF0"/>
    <w:rsid w:val="006B1859"/>
    <w:rsid w:val="006B4247"/>
    <w:rsid w:val="006B47ED"/>
    <w:rsid w:val="006B6680"/>
    <w:rsid w:val="006B6DCC"/>
    <w:rsid w:val="006B77F1"/>
    <w:rsid w:val="006C0014"/>
    <w:rsid w:val="006C5ECF"/>
    <w:rsid w:val="006E6909"/>
    <w:rsid w:val="006E6F50"/>
    <w:rsid w:val="00702DEF"/>
    <w:rsid w:val="00706861"/>
    <w:rsid w:val="00706E5D"/>
    <w:rsid w:val="00712A20"/>
    <w:rsid w:val="00714065"/>
    <w:rsid w:val="00722551"/>
    <w:rsid w:val="0074520C"/>
    <w:rsid w:val="0075051B"/>
    <w:rsid w:val="00763A66"/>
    <w:rsid w:val="00763C88"/>
    <w:rsid w:val="00770EB8"/>
    <w:rsid w:val="0077110E"/>
    <w:rsid w:val="00776D7B"/>
    <w:rsid w:val="00790092"/>
    <w:rsid w:val="00791F27"/>
    <w:rsid w:val="0079256D"/>
    <w:rsid w:val="00793188"/>
    <w:rsid w:val="00794C55"/>
    <w:rsid w:val="00794D34"/>
    <w:rsid w:val="007A3D10"/>
    <w:rsid w:val="007A3FCD"/>
    <w:rsid w:val="007B19CF"/>
    <w:rsid w:val="007C55A7"/>
    <w:rsid w:val="007D01AF"/>
    <w:rsid w:val="007F5136"/>
    <w:rsid w:val="007F633E"/>
    <w:rsid w:val="007F6707"/>
    <w:rsid w:val="00810F08"/>
    <w:rsid w:val="00813E5E"/>
    <w:rsid w:val="0082034D"/>
    <w:rsid w:val="0083130E"/>
    <w:rsid w:val="0083581B"/>
    <w:rsid w:val="00845B1F"/>
    <w:rsid w:val="00863874"/>
    <w:rsid w:val="00864AFF"/>
    <w:rsid w:val="00865621"/>
    <w:rsid w:val="00865925"/>
    <w:rsid w:val="008715C8"/>
    <w:rsid w:val="00880689"/>
    <w:rsid w:val="00885EC2"/>
    <w:rsid w:val="00891F7C"/>
    <w:rsid w:val="00896FF4"/>
    <w:rsid w:val="0089779A"/>
    <w:rsid w:val="008A55B5"/>
    <w:rsid w:val="008A7327"/>
    <w:rsid w:val="008B4A6A"/>
    <w:rsid w:val="008B4AF1"/>
    <w:rsid w:val="008B5613"/>
    <w:rsid w:val="008C7E27"/>
    <w:rsid w:val="008D7D40"/>
    <w:rsid w:val="008E7DCA"/>
    <w:rsid w:val="008F7448"/>
    <w:rsid w:val="0090147A"/>
    <w:rsid w:val="00901607"/>
    <w:rsid w:val="00914B37"/>
    <w:rsid w:val="009173EF"/>
    <w:rsid w:val="00932906"/>
    <w:rsid w:val="00955796"/>
    <w:rsid w:val="00961B0B"/>
    <w:rsid w:val="00962D33"/>
    <w:rsid w:val="009B1365"/>
    <w:rsid w:val="009B38C3"/>
    <w:rsid w:val="009B4300"/>
    <w:rsid w:val="009B6975"/>
    <w:rsid w:val="009C133E"/>
    <w:rsid w:val="009D3C59"/>
    <w:rsid w:val="009D7432"/>
    <w:rsid w:val="009E0DC2"/>
    <w:rsid w:val="009E1765"/>
    <w:rsid w:val="009E17BD"/>
    <w:rsid w:val="009E485A"/>
    <w:rsid w:val="009E57F5"/>
    <w:rsid w:val="00A04CEC"/>
    <w:rsid w:val="00A25E71"/>
    <w:rsid w:val="00A27F92"/>
    <w:rsid w:val="00A31D48"/>
    <w:rsid w:val="00A32257"/>
    <w:rsid w:val="00A36D20"/>
    <w:rsid w:val="00A514A4"/>
    <w:rsid w:val="00A55622"/>
    <w:rsid w:val="00A7295B"/>
    <w:rsid w:val="00A83502"/>
    <w:rsid w:val="00A841A9"/>
    <w:rsid w:val="00A94BAB"/>
    <w:rsid w:val="00AA4725"/>
    <w:rsid w:val="00AD15B3"/>
    <w:rsid w:val="00AD3606"/>
    <w:rsid w:val="00AD4A3D"/>
    <w:rsid w:val="00AD677D"/>
    <w:rsid w:val="00AF6E49"/>
    <w:rsid w:val="00B04A67"/>
    <w:rsid w:val="00B0583C"/>
    <w:rsid w:val="00B106CC"/>
    <w:rsid w:val="00B110BE"/>
    <w:rsid w:val="00B40A81"/>
    <w:rsid w:val="00B4316A"/>
    <w:rsid w:val="00B44910"/>
    <w:rsid w:val="00B5654C"/>
    <w:rsid w:val="00B62522"/>
    <w:rsid w:val="00B72267"/>
    <w:rsid w:val="00B76EB6"/>
    <w:rsid w:val="00B7737B"/>
    <w:rsid w:val="00B80B2F"/>
    <w:rsid w:val="00B824C8"/>
    <w:rsid w:val="00B84B9D"/>
    <w:rsid w:val="00B9131F"/>
    <w:rsid w:val="00B96CB4"/>
    <w:rsid w:val="00BB0646"/>
    <w:rsid w:val="00BC251A"/>
    <w:rsid w:val="00BD032B"/>
    <w:rsid w:val="00BD7FED"/>
    <w:rsid w:val="00BE01C6"/>
    <w:rsid w:val="00BE24E5"/>
    <w:rsid w:val="00BE2640"/>
    <w:rsid w:val="00BE3206"/>
    <w:rsid w:val="00BF1FDE"/>
    <w:rsid w:val="00BF3BC3"/>
    <w:rsid w:val="00C01189"/>
    <w:rsid w:val="00C0458D"/>
    <w:rsid w:val="00C214E7"/>
    <w:rsid w:val="00C26312"/>
    <w:rsid w:val="00C374DE"/>
    <w:rsid w:val="00C44A34"/>
    <w:rsid w:val="00C47AD4"/>
    <w:rsid w:val="00C52D81"/>
    <w:rsid w:val="00C53964"/>
    <w:rsid w:val="00C55198"/>
    <w:rsid w:val="00C62F7B"/>
    <w:rsid w:val="00C6520B"/>
    <w:rsid w:val="00CA0297"/>
    <w:rsid w:val="00CA6393"/>
    <w:rsid w:val="00CA7995"/>
    <w:rsid w:val="00CA7FBA"/>
    <w:rsid w:val="00CB18FF"/>
    <w:rsid w:val="00CC1DE0"/>
    <w:rsid w:val="00CC5CC7"/>
    <w:rsid w:val="00CD0C08"/>
    <w:rsid w:val="00CE03FB"/>
    <w:rsid w:val="00CE0B2D"/>
    <w:rsid w:val="00CE2CDE"/>
    <w:rsid w:val="00CE433C"/>
    <w:rsid w:val="00CF0161"/>
    <w:rsid w:val="00CF33F3"/>
    <w:rsid w:val="00CF4A2B"/>
    <w:rsid w:val="00D024CA"/>
    <w:rsid w:val="00D06183"/>
    <w:rsid w:val="00D22C42"/>
    <w:rsid w:val="00D26D31"/>
    <w:rsid w:val="00D3354B"/>
    <w:rsid w:val="00D4317A"/>
    <w:rsid w:val="00D445CF"/>
    <w:rsid w:val="00D52197"/>
    <w:rsid w:val="00D65041"/>
    <w:rsid w:val="00D762C9"/>
    <w:rsid w:val="00D80A3D"/>
    <w:rsid w:val="00D8632B"/>
    <w:rsid w:val="00DB1936"/>
    <w:rsid w:val="00DB384B"/>
    <w:rsid w:val="00DB55BA"/>
    <w:rsid w:val="00DD03B5"/>
    <w:rsid w:val="00DD11ED"/>
    <w:rsid w:val="00DF0189"/>
    <w:rsid w:val="00DF26C9"/>
    <w:rsid w:val="00E06FD5"/>
    <w:rsid w:val="00E07955"/>
    <w:rsid w:val="00E10E80"/>
    <w:rsid w:val="00E124F0"/>
    <w:rsid w:val="00E21604"/>
    <w:rsid w:val="00E227F3"/>
    <w:rsid w:val="00E330FE"/>
    <w:rsid w:val="00E50CF7"/>
    <w:rsid w:val="00E534C7"/>
    <w:rsid w:val="00E545C6"/>
    <w:rsid w:val="00E54C15"/>
    <w:rsid w:val="00E60235"/>
    <w:rsid w:val="00E60F04"/>
    <w:rsid w:val="00E65B24"/>
    <w:rsid w:val="00E70888"/>
    <w:rsid w:val="00E70FEE"/>
    <w:rsid w:val="00E75E1E"/>
    <w:rsid w:val="00E820AD"/>
    <w:rsid w:val="00E854E4"/>
    <w:rsid w:val="00E86DBF"/>
    <w:rsid w:val="00E92E5D"/>
    <w:rsid w:val="00E969AF"/>
    <w:rsid w:val="00EB0D6F"/>
    <w:rsid w:val="00EB2232"/>
    <w:rsid w:val="00EC3C3E"/>
    <w:rsid w:val="00EC5337"/>
    <w:rsid w:val="00EE49E8"/>
    <w:rsid w:val="00EE7681"/>
    <w:rsid w:val="00F0332D"/>
    <w:rsid w:val="00F114F0"/>
    <w:rsid w:val="00F16BAB"/>
    <w:rsid w:val="00F16C4F"/>
    <w:rsid w:val="00F2150A"/>
    <w:rsid w:val="00F231D8"/>
    <w:rsid w:val="00F33408"/>
    <w:rsid w:val="00F41209"/>
    <w:rsid w:val="00F44C00"/>
    <w:rsid w:val="00F45D2C"/>
    <w:rsid w:val="00F46C5F"/>
    <w:rsid w:val="00F513A6"/>
    <w:rsid w:val="00F56767"/>
    <w:rsid w:val="00F56F5F"/>
    <w:rsid w:val="00F632C0"/>
    <w:rsid w:val="00F641E1"/>
    <w:rsid w:val="00F77846"/>
    <w:rsid w:val="00F87E43"/>
    <w:rsid w:val="00F94A63"/>
    <w:rsid w:val="00F9742C"/>
    <w:rsid w:val="00FA0C63"/>
    <w:rsid w:val="00FA1C28"/>
    <w:rsid w:val="00FA6803"/>
    <w:rsid w:val="00FA7EB7"/>
    <w:rsid w:val="00FB1279"/>
    <w:rsid w:val="00FB6B76"/>
    <w:rsid w:val="00FB7596"/>
    <w:rsid w:val="00FC6DFA"/>
    <w:rsid w:val="00FD298A"/>
    <w:rsid w:val="00FE4077"/>
    <w:rsid w:val="00FE500D"/>
    <w:rsid w:val="00FE77D2"/>
    <w:rsid w:val="00FF39B1"/>
    <w:rsid w:val="00FF5495"/>
    <w:rsid w:val="00FF5E8F"/>
    <w:rsid w:val="01101CA6"/>
    <w:rsid w:val="014FA403"/>
    <w:rsid w:val="01C2B669"/>
    <w:rsid w:val="0393B3C0"/>
    <w:rsid w:val="04B32AE7"/>
    <w:rsid w:val="059ADB00"/>
    <w:rsid w:val="060068FE"/>
    <w:rsid w:val="0755C225"/>
    <w:rsid w:val="08084A08"/>
    <w:rsid w:val="083C4FDC"/>
    <w:rsid w:val="0C18AF2D"/>
    <w:rsid w:val="0F22ED30"/>
    <w:rsid w:val="12955A34"/>
    <w:rsid w:val="1302E843"/>
    <w:rsid w:val="17E36104"/>
    <w:rsid w:val="1AE125E6"/>
    <w:rsid w:val="1B5CBFC6"/>
    <w:rsid w:val="1BD310D5"/>
    <w:rsid w:val="1C2D4BB0"/>
    <w:rsid w:val="1C64B2F9"/>
    <w:rsid w:val="1C673E6B"/>
    <w:rsid w:val="1E31322D"/>
    <w:rsid w:val="2062D17C"/>
    <w:rsid w:val="21295EB2"/>
    <w:rsid w:val="21296C0D"/>
    <w:rsid w:val="2257FB63"/>
    <w:rsid w:val="22E2E7CA"/>
    <w:rsid w:val="239650CF"/>
    <w:rsid w:val="25EE7C99"/>
    <w:rsid w:val="26A4363D"/>
    <w:rsid w:val="26E1AF20"/>
    <w:rsid w:val="28894CC7"/>
    <w:rsid w:val="29CA1316"/>
    <w:rsid w:val="2B4C6709"/>
    <w:rsid w:val="2CACC5FE"/>
    <w:rsid w:val="2F527C6B"/>
    <w:rsid w:val="3186C060"/>
    <w:rsid w:val="31BFCB42"/>
    <w:rsid w:val="34154A34"/>
    <w:rsid w:val="3612E46C"/>
    <w:rsid w:val="363ED448"/>
    <w:rsid w:val="3818FA6A"/>
    <w:rsid w:val="3A437BA2"/>
    <w:rsid w:val="3AA72525"/>
    <w:rsid w:val="3F019464"/>
    <w:rsid w:val="400F3A66"/>
    <w:rsid w:val="414432C5"/>
    <w:rsid w:val="42AB6C50"/>
    <w:rsid w:val="43DD3F7B"/>
    <w:rsid w:val="46A07FC3"/>
    <w:rsid w:val="46D3D364"/>
    <w:rsid w:val="48609998"/>
    <w:rsid w:val="495DF653"/>
    <w:rsid w:val="4AFB0FFF"/>
    <w:rsid w:val="4F7E03CF"/>
    <w:rsid w:val="507A25B0"/>
    <w:rsid w:val="50E5F389"/>
    <w:rsid w:val="519A514A"/>
    <w:rsid w:val="51A9A289"/>
    <w:rsid w:val="520E9C0C"/>
    <w:rsid w:val="525698EA"/>
    <w:rsid w:val="52C194D6"/>
    <w:rsid w:val="5369BF50"/>
    <w:rsid w:val="544896C4"/>
    <w:rsid w:val="5538B415"/>
    <w:rsid w:val="5693A367"/>
    <w:rsid w:val="5A1396FF"/>
    <w:rsid w:val="5B84DDC0"/>
    <w:rsid w:val="5C20434D"/>
    <w:rsid w:val="5D355457"/>
    <w:rsid w:val="5E94BDDE"/>
    <w:rsid w:val="5F61CF18"/>
    <w:rsid w:val="603C2ABB"/>
    <w:rsid w:val="60F46B7F"/>
    <w:rsid w:val="611429F0"/>
    <w:rsid w:val="6265B0BD"/>
    <w:rsid w:val="6290F142"/>
    <w:rsid w:val="630A9E6B"/>
    <w:rsid w:val="64AFC9F7"/>
    <w:rsid w:val="66CE3674"/>
    <w:rsid w:val="66F555DA"/>
    <w:rsid w:val="682A838F"/>
    <w:rsid w:val="6876390D"/>
    <w:rsid w:val="69003414"/>
    <w:rsid w:val="69375338"/>
    <w:rsid w:val="6CA0913E"/>
    <w:rsid w:val="708815FE"/>
    <w:rsid w:val="732C26CE"/>
    <w:rsid w:val="7388C53A"/>
    <w:rsid w:val="739C1BB7"/>
    <w:rsid w:val="763FAEF7"/>
    <w:rsid w:val="772DCBB9"/>
    <w:rsid w:val="779A0BF5"/>
    <w:rsid w:val="77A4F989"/>
    <w:rsid w:val="79B6C18D"/>
    <w:rsid w:val="7AC9497A"/>
    <w:rsid w:val="7B48098F"/>
    <w:rsid w:val="7C071764"/>
    <w:rsid w:val="7C9816F2"/>
    <w:rsid w:val="7D14401F"/>
    <w:rsid w:val="7F51DAB8"/>
    <w:rsid w:val="7FA29D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2B17A21D-840F-487B-BD93-599DB29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F670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BodyTextIndent">
    <w:name w:val="Body Text Indent"/>
    <w:basedOn w:val="Normal"/>
    <w:link w:val="BodyTextIndentChar"/>
    <w:rsid w:val="00896FF4"/>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896FF4"/>
    <w:rPr>
      <w:rFonts w:ascii="Times New Roman" w:hAnsi="Times New Roman"/>
      <w:sz w:val="22"/>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071A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50/en" TargetMode="External"/><Relationship Id="rId18" Type="http://schemas.openxmlformats.org/officeDocument/2006/relationships/hyperlink" Target="https://www.itu.int/md/T22-WTSA.24-C-0120/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pub/T-RES-T.103-2024" TargetMode="External"/><Relationship Id="rId7" Type="http://schemas.openxmlformats.org/officeDocument/2006/relationships/settings" Target="settings.xml"/><Relationship Id="rId12" Type="http://schemas.openxmlformats.org/officeDocument/2006/relationships/hyperlink" Target="https://www.itu.int/md/T22-WTSA.24-C-0120/en" TargetMode="External"/><Relationship Id="rId17" Type="http://schemas.openxmlformats.org/officeDocument/2006/relationships/hyperlink" Target="https://www.itu.int/dms_ties/itu-t/md/22/wtsa.24/c/T22-WTSA.24-C-0119!R1!MSW-E.docx" TargetMode="External"/><Relationship Id="rId25" Type="http://schemas.openxmlformats.org/officeDocument/2006/relationships/hyperlink" Target="https://www.itu.int/pub/T-RES-T.101-202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5-CL-C-0043/en" TargetMode="External"/><Relationship Id="rId20" Type="http://schemas.openxmlformats.org/officeDocument/2006/relationships/hyperlink" Target="https://www.itu.int/pub/T-RES-T.103-20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t/md/22/wtsa.24/c/T22-WTSA.24-C-0119!R1!MSW-E.docx" TargetMode="External"/><Relationship Id="rId24" Type="http://schemas.openxmlformats.org/officeDocument/2006/relationships/hyperlink" Target="https://www.itu.int/pub/T-RES-T.101-202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WTSA.24-C-0120/en" TargetMode="External"/><Relationship Id="rId23" Type="http://schemas.openxmlformats.org/officeDocument/2006/relationships/hyperlink" Target="https://www.itu.int/pub/T-RES-T.106-202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5-CL-C-0050/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t/md/22/wtsa.24/c/T22-WTSA.24-C-0119!R1!MSW-E.docx" TargetMode="External"/><Relationship Id="rId22" Type="http://schemas.openxmlformats.org/officeDocument/2006/relationships/hyperlink" Target="https://www.itu.int/pub/T-RES-T.106-202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D8B34B6E-0AC0-4D01-9C11-A55BB7E66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2598</Characters>
  <Application>Microsoft Office Word</Application>
  <DocSecurity>0</DocSecurity>
  <Lines>74</Lines>
  <Paragraphs>45</Paragraphs>
  <ScaleCrop>false</ScaleCrop>
  <HeadingPairs>
    <vt:vector size="2" baseType="variant">
      <vt:variant>
        <vt:lpstr>Title</vt:lpstr>
      </vt:variant>
      <vt:variant>
        <vt:i4>1</vt:i4>
      </vt:variant>
    </vt:vector>
  </HeadingPairs>
  <TitlesOfParts>
    <vt:vector size="1" baseType="lpstr">
      <vt:lpstr>Report of the budget control committee of the World Telecommunication Standardization Assembly (WTSA-24)</vt:lpstr>
    </vt:vector>
  </TitlesOfParts>
  <Manager>General Secretariat</Manager>
  <Company>International Telecommunication Union (ITU)</Company>
  <LinksUpToDate>false</LinksUpToDate>
  <CharactersWithSpaces>3013</CharactersWithSpaces>
  <SharedDoc>false</SharedDoc>
  <HLinks>
    <vt:vector size="90" baseType="variant">
      <vt:variant>
        <vt:i4>5963858</vt:i4>
      </vt:variant>
      <vt:variant>
        <vt:i4>36</vt:i4>
      </vt:variant>
      <vt:variant>
        <vt:i4>0</vt:i4>
      </vt:variant>
      <vt:variant>
        <vt:i4>5</vt:i4>
      </vt:variant>
      <vt:variant>
        <vt:lpwstr>https://www.itu.int/pub/T-RES-T.101-2024</vt:lpwstr>
      </vt:variant>
      <vt:variant>
        <vt:lpwstr/>
      </vt:variant>
      <vt:variant>
        <vt:i4>5963861</vt:i4>
      </vt:variant>
      <vt:variant>
        <vt:i4>33</vt:i4>
      </vt:variant>
      <vt:variant>
        <vt:i4>0</vt:i4>
      </vt:variant>
      <vt:variant>
        <vt:i4>5</vt:i4>
      </vt:variant>
      <vt:variant>
        <vt:lpwstr>https://www.itu.int/pub/T-RES-T.106-2024</vt:lpwstr>
      </vt:variant>
      <vt:variant>
        <vt:lpwstr/>
      </vt:variant>
      <vt:variant>
        <vt:i4>5963856</vt:i4>
      </vt:variant>
      <vt:variant>
        <vt:i4>30</vt:i4>
      </vt:variant>
      <vt:variant>
        <vt:i4>0</vt:i4>
      </vt:variant>
      <vt:variant>
        <vt:i4>5</vt:i4>
      </vt:variant>
      <vt:variant>
        <vt:lpwstr>https://www.itu.int/pub/T-RES-T.103-2024</vt:lpwstr>
      </vt:variant>
      <vt:variant>
        <vt:lpwstr/>
      </vt:variant>
      <vt:variant>
        <vt:i4>5111810</vt:i4>
      </vt:variant>
      <vt:variant>
        <vt:i4>27</vt:i4>
      </vt:variant>
      <vt:variant>
        <vt:i4>0</vt:i4>
      </vt:variant>
      <vt:variant>
        <vt:i4>5</vt:i4>
      </vt:variant>
      <vt:variant>
        <vt:lpwstr>https://www.itu.int/md/S25-CWGFHR20-C-0014/en</vt:lpwstr>
      </vt:variant>
      <vt:variant>
        <vt:lpwstr/>
      </vt:variant>
      <vt:variant>
        <vt:i4>5177347</vt:i4>
      </vt:variant>
      <vt:variant>
        <vt:i4>24</vt:i4>
      </vt:variant>
      <vt:variant>
        <vt:i4>0</vt:i4>
      </vt:variant>
      <vt:variant>
        <vt:i4>5</vt:i4>
      </vt:variant>
      <vt:variant>
        <vt:lpwstr>https://www.itu.int/md/S25-CWGFHR20-C-0005/en</vt:lpwstr>
      </vt:variant>
      <vt:variant>
        <vt:lpwstr/>
      </vt:variant>
      <vt:variant>
        <vt:i4>6946935</vt:i4>
      </vt:variant>
      <vt:variant>
        <vt:i4>21</vt:i4>
      </vt:variant>
      <vt:variant>
        <vt:i4>0</vt:i4>
      </vt:variant>
      <vt:variant>
        <vt:i4>5</vt:i4>
      </vt:variant>
      <vt:variant>
        <vt:lpwstr/>
      </vt:variant>
      <vt:variant>
        <vt:lpwstr>AnnexA</vt:lpwstr>
      </vt:variant>
      <vt:variant>
        <vt:i4>5177439</vt:i4>
      </vt:variant>
      <vt:variant>
        <vt:i4>18</vt:i4>
      </vt:variant>
      <vt:variant>
        <vt:i4>0</vt:i4>
      </vt:variant>
      <vt:variant>
        <vt:i4>5</vt:i4>
      </vt:variant>
      <vt:variant>
        <vt:lpwstr>https://www.itu.int/md/T22-WTSA.24-C-0120/en</vt:lpwstr>
      </vt:variant>
      <vt:variant>
        <vt:lpwstr/>
      </vt:variant>
      <vt:variant>
        <vt:i4>4980796</vt:i4>
      </vt:variant>
      <vt:variant>
        <vt:i4>15</vt:i4>
      </vt:variant>
      <vt:variant>
        <vt:i4>0</vt:i4>
      </vt:variant>
      <vt:variant>
        <vt:i4>5</vt:i4>
      </vt:variant>
      <vt:variant>
        <vt:lpwstr>https://www.itu.int/dms_ties/itu-t/md/22/wtsa.24/c/T22-WTSA.24-C-0119!R1!MSW-E.docx</vt:lpwstr>
      </vt:variant>
      <vt:variant>
        <vt:lpwstr/>
      </vt:variant>
      <vt:variant>
        <vt:i4>7602232</vt:i4>
      </vt:variant>
      <vt:variant>
        <vt:i4>12</vt:i4>
      </vt:variant>
      <vt:variant>
        <vt:i4>0</vt:i4>
      </vt:variant>
      <vt:variant>
        <vt:i4>5</vt:i4>
      </vt:variant>
      <vt:variant>
        <vt:lpwstr>https://www.itu.int/md/S25-CL-C-0043/en</vt:lpwstr>
      </vt:variant>
      <vt:variant>
        <vt:lpwstr/>
      </vt:variant>
      <vt:variant>
        <vt:i4>5177439</vt:i4>
      </vt:variant>
      <vt:variant>
        <vt:i4>9</vt:i4>
      </vt:variant>
      <vt:variant>
        <vt:i4>0</vt:i4>
      </vt:variant>
      <vt:variant>
        <vt:i4>5</vt:i4>
      </vt:variant>
      <vt:variant>
        <vt:lpwstr>https://www.itu.int/md/T22-WTSA.24-C-0120/en</vt:lpwstr>
      </vt:variant>
      <vt:variant>
        <vt:lpwstr/>
      </vt:variant>
      <vt:variant>
        <vt:i4>4980796</vt:i4>
      </vt:variant>
      <vt:variant>
        <vt:i4>6</vt:i4>
      </vt:variant>
      <vt:variant>
        <vt:i4>0</vt:i4>
      </vt:variant>
      <vt:variant>
        <vt:i4>5</vt:i4>
      </vt:variant>
      <vt:variant>
        <vt:lpwstr>https://www.itu.int/dms_ties/itu-t/md/22/wtsa.24/c/T22-WTSA.24-C-0119!R1!MSW-E.docx</vt:lpwstr>
      </vt:variant>
      <vt:variant>
        <vt:lpwstr/>
      </vt:variant>
      <vt:variant>
        <vt:i4>5177439</vt:i4>
      </vt:variant>
      <vt:variant>
        <vt:i4>3</vt:i4>
      </vt:variant>
      <vt:variant>
        <vt:i4>0</vt:i4>
      </vt:variant>
      <vt:variant>
        <vt:i4>5</vt:i4>
      </vt:variant>
      <vt:variant>
        <vt:lpwstr>https://www.itu.int/md/T22-WTSA.24-C-0120/en</vt:lpwstr>
      </vt:variant>
      <vt:variant>
        <vt:lpwstr/>
      </vt:variant>
      <vt:variant>
        <vt:i4>4980796</vt:i4>
      </vt:variant>
      <vt:variant>
        <vt:i4>0</vt:i4>
      </vt:variant>
      <vt:variant>
        <vt:i4>0</vt:i4>
      </vt:variant>
      <vt:variant>
        <vt:i4>5</vt:i4>
      </vt:variant>
      <vt:variant>
        <vt:lpwstr>https://www.itu.int/dms_ties/itu-t/md/22/wtsa.24/c/T22-WTSA.24-C-0119!R1!MSW-E.docx</vt:lpwstr>
      </vt:variant>
      <vt:variant>
        <vt:lpwstr/>
      </vt:variant>
      <vt:variant>
        <vt:i4>196633</vt:i4>
      </vt:variant>
      <vt:variant>
        <vt:i4>3</vt:i4>
      </vt:variant>
      <vt:variant>
        <vt:i4>0</vt:i4>
      </vt:variant>
      <vt:variant>
        <vt:i4>5</vt:i4>
      </vt:variant>
      <vt:variant>
        <vt:lpwstr>https://council.itu.int/2025/en/</vt:lpwstr>
      </vt:variant>
      <vt:variant>
        <vt:lpwstr/>
      </vt:variant>
      <vt:variant>
        <vt:i4>3211335</vt:i4>
      </vt:variant>
      <vt:variant>
        <vt:i4>0</vt:i4>
      </vt:variant>
      <vt:variant>
        <vt:i4>0</vt:i4>
      </vt:variant>
      <vt:variant>
        <vt:i4>5</vt:i4>
      </vt:variant>
      <vt:variant>
        <vt:lpwstr>mailto:alassane.ba@itu.int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budget control committee of the World Telecommunication Standardization Assembly (WTSA-24)</dc:title>
  <dc:subject>Council 2025</dc:subject>
  <dc:creator>LRT</dc:creator>
  <cp:keywords>C25; C2025; Council 2025; ITU160</cp:keywords>
  <dc:description/>
  <cp:lastModifiedBy>LRT</cp:lastModifiedBy>
  <cp:revision>3</cp:revision>
  <cp:lastPrinted>2000-07-18T22:30:00Z</cp:lastPrinted>
  <dcterms:created xsi:type="dcterms:W3CDTF">2025-04-22T13:37:00Z</dcterms:created>
  <dcterms:modified xsi:type="dcterms:W3CDTF">2025-04-22T13:38:00Z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