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2D012B" w:rsidRPr="00BB6FD8" w14:paraId="4C94FC2B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5AA6F22" w14:textId="4B74897D" w:rsidR="002D012B" w:rsidRPr="00BB6FD8" w:rsidRDefault="002D012B" w:rsidP="002D012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9C7C24">
              <w:rPr>
                <w:b/>
                <w:lang w:val="es-ES"/>
              </w:rPr>
              <w:t>Punto del orden del día: PL 2</w:t>
            </w:r>
          </w:p>
        </w:tc>
        <w:tc>
          <w:tcPr>
            <w:tcW w:w="5245" w:type="dxa"/>
          </w:tcPr>
          <w:p w14:paraId="16761F21" w14:textId="6EAFFD6E" w:rsidR="002D012B" w:rsidRPr="00BB6FD8" w:rsidRDefault="002D012B" w:rsidP="002D012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</w:t>
            </w:r>
            <w:r>
              <w:rPr>
                <w:b/>
              </w:rPr>
              <w:t>o</w:t>
            </w:r>
            <w:r w:rsidRPr="00C0458D">
              <w:rPr>
                <w:b/>
              </w:rPr>
              <w:t xml:space="preserve"> C25/</w:t>
            </w:r>
            <w:r>
              <w:rPr>
                <w:b/>
              </w:rPr>
              <w:t>12</w:t>
            </w:r>
            <w:r w:rsidRPr="00C0458D">
              <w:rPr>
                <w:b/>
              </w:rPr>
              <w:t>-</w:t>
            </w:r>
            <w:r>
              <w:rPr>
                <w:b/>
              </w:rPr>
              <w:t>S</w:t>
            </w:r>
          </w:p>
        </w:tc>
      </w:tr>
      <w:tr w:rsidR="002D012B" w:rsidRPr="00666D09" w14:paraId="3C2E2341" w14:textId="77777777" w:rsidTr="00C538FC">
        <w:trPr>
          <w:cantSplit/>
        </w:trPr>
        <w:tc>
          <w:tcPr>
            <w:tcW w:w="3969" w:type="dxa"/>
            <w:vMerge/>
          </w:tcPr>
          <w:p w14:paraId="0A9AECE5" w14:textId="77777777" w:rsidR="002D012B" w:rsidRPr="00BB6FD8" w:rsidRDefault="002D012B" w:rsidP="002D012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47EB68D" w14:textId="6383C744" w:rsidR="002D012B" w:rsidRPr="00666D09" w:rsidRDefault="002D012B" w:rsidP="002D012B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</w:rPr>
              <w:t>1</w:t>
            </w:r>
            <w:r w:rsidR="000A2803">
              <w:rPr>
                <w:b/>
              </w:rPr>
              <w:t>6</w:t>
            </w:r>
            <w:r>
              <w:rPr>
                <w:b/>
              </w:rPr>
              <w:t xml:space="preserve"> de </w:t>
            </w:r>
            <w:r w:rsidR="000A2803">
              <w:rPr>
                <w:b/>
              </w:rPr>
              <w:t>mayo</w:t>
            </w:r>
            <w:r>
              <w:rPr>
                <w:b/>
              </w:rPr>
              <w:t xml:space="preserve"> de 2025</w:t>
            </w:r>
          </w:p>
        </w:tc>
      </w:tr>
      <w:tr w:rsidR="002D012B" w:rsidRPr="00BB6FD8" w14:paraId="1DA93E62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510B3AF8" w14:textId="77777777" w:rsidR="002D012B" w:rsidRPr="00666D09" w:rsidRDefault="002D012B" w:rsidP="002D012B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36E22B70" w14:textId="2290AB76" w:rsidR="002D012B" w:rsidRPr="00BB6FD8" w:rsidRDefault="002D012B" w:rsidP="002D012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C0458D">
              <w:rPr>
                <w:b/>
              </w:rPr>
              <w:t xml:space="preserve">Original: </w:t>
            </w:r>
            <w:r>
              <w:rPr>
                <w:b/>
              </w:rPr>
              <w:t>inglés</w:t>
            </w:r>
          </w:p>
        </w:tc>
      </w:tr>
      <w:tr w:rsidR="00FE57F6" w:rsidRPr="00BB6FD8" w14:paraId="716CD2B8" w14:textId="77777777" w:rsidTr="00C538FC">
        <w:trPr>
          <w:cantSplit/>
          <w:trHeight w:val="23"/>
        </w:trPr>
        <w:tc>
          <w:tcPr>
            <w:tcW w:w="3969" w:type="dxa"/>
          </w:tcPr>
          <w:p w14:paraId="00CAEF27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454B77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10E0D72C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CD4E9" w14:textId="395BE282" w:rsidR="00FE57F6" w:rsidRPr="00BB6FD8" w:rsidRDefault="002D012B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2D012B">
              <w:rPr>
                <w:rFonts w:cstheme="minorHAnsi"/>
                <w:sz w:val="34"/>
                <w:szCs w:val="34"/>
              </w:rPr>
              <w:t>Informe de la Presidenta</w:t>
            </w:r>
            <w:r w:rsidR="008F0FF9">
              <w:rPr>
                <w:rFonts w:cstheme="minorHAnsi"/>
                <w:sz w:val="34"/>
                <w:szCs w:val="34"/>
              </w:rPr>
              <w:t xml:space="preserve"> del Grupo de Trabajo del Consejo sobre los Idiomas (GTC-IDIOMAS)</w:t>
            </w:r>
          </w:p>
        </w:tc>
      </w:tr>
      <w:tr w:rsidR="00FE57F6" w:rsidRPr="00BB6FD8" w14:paraId="78C574AC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CAB7573" w14:textId="1C212E7F" w:rsidR="00FE57F6" w:rsidRPr="00F92BED" w:rsidRDefault="00204E40" w:rsidP="00F92BED">
            <w:pPr>
              <w:pStyle w:val="Subtitle"/>
              <w:framePr w:hSpace="0" w:wrap="auto" w:vAnchor="margin" w:hAnchor="text" w:xAlign="left" w:yAlign="inline"/>
            </w:pPr>
            <w:r>
              <w:rPr>
                <w:lang w:val="es-ES"/>
              </w:rPr>
              <w:t xml:space="preserve">RESULTADOS DE LA </w:t>
            </w:r>
            <w:r w:rsidR="00B04F59">
              <w:rPr>
                <w:lang w:val="es-ES"/>
              </w:rPr>
              <w:t xml:space="preserve">16ª </w:t>
            </w:r>
            <w:r>
              <w:rPr>
                <w:lang w:val="es-ES"/>
              </w:rPr>
              <w:t>REUNIÓN DEL GTC-IDIOMAS</w:t>
            </w:r>
          </w:p>
        </w:tc>
      </w:tr>
      <w:tr w:rsidR="00FE57F6" w:rsidRPr="00BB6FD8" w14:paraId="3146ACDD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A19D7A8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Finalidad</w:t>
            </w:r>
          </w:p>
          <w:p w14:paraId="770E251C" w14:textId="6498E2C1" w:rsidR="002D012B" w:rsidRPr="009C7C24" w:rsidRDefault="002D012B" w:rsidP="00204E40">
            <w:pPr>
              <w:jc w:val="both"/>
              <w:rPr>
                <w:lang w:val="es-ES"/>
              </w:rPr>
            </w:pPr>
            <w:r w:rsidRPr="009C7C24">
              <w:rPr>
                <w:lang w:val="es-ES"/>
              </w:rPr>
              <w:t>En este Informe se resumen las actividades y logros de la 16ª reunión del Grupo de Trabajo del Consejo sobre los Idiomas (GTC-IDIOMAS), de conformidad con la Resolución 154 (Rev.</w:t>
            </w:r>
            <w:r w:rsidR="00DD134A">
              <w:rPr>
                <w:lang w:val="es-ES"/>
              </w:rPr>
              <w:t> </w:t>
            </w:r>
            <w:r w:rsidRPr="009C7C24">
              <w:rPr>
                <w:lang w:val="es-ES"/>
              </w:rPr>
              <w:t xml:space="preserve">Bucarest, 2022) </w:t>
            </w:r>
            <w:r>
              <w:rPr>
                <w:lang w:val="es-ES"/>
              </w:rPr>
              <w:t>y la Resolución</w:t>
            </w:r>
            <w:r w:rsidRPr="009C7C24">
              <w:rPr>
                <w:lang w:val="es-ES"/>
              </w:rPr>
              <w:t xml:space="preserve"> 1372 (Mod. 2024)</w:t>
            </w:r>
            <w:r>
              <w:rPr>
                <w:lang w:val="es-ES"/>
              </w:rPr>
              <w:t xml:space="preserve"> del Consejo</w:t>
            </w:r>
            <w:r w:rsidRPr="009C7C24">
              <w:rPr>
                <w:lang w:val="es-ES"/>
              </w:rPr>
              <w:t>.</w:t>
            </w:r>
          </w:p>
          <w:p w14:paraId="45E790B4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BB6FD8">
              <w:rPr>
                <w:b/>
                <w:bCs/>
                <w:sz w:val="26"/>
                <w:szCs w:val="26"/>
              </w:rPr>
              <w:t>al</w:t>
            </w:r>
            <w:r w:rsidRPr="00BB6FD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3FC5C369" w14:textId="0892E1D7" w:rsidR="002D012B" w:rsidRPr="009C7C24" w:rsidRDefault="002D012B" w:rsidP="002D012B">
            <w:pPr>
              <w:rPr>
                <w:lang w:val="es-ES"/>
              </w:rPr>
            </w:pPr>
            <w:r w:rsidRPr="009C7C24">
              <w:rPr>
                <w:rFonts w:asciiTheme="minorHAnsi" w:hAnsiTheme="minorHAnsi" w:cstheme="minorHAnsi"/>
                <w:szCs w:val="24"/>
                <w:lang w:val="es-ES"/>
              </w:rPr>
              <w:t xml:space="preserve">Se invita al Consejo a </w:t>
            </w:r>
            <w:r w:rsidR="008F0FF9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 xml:space="preserve">tomar nota </w:t>
            </w:r>
            <w:r w:rsidR="008F0FF9" w:rsidRPr="000A2803">
              <w:rPr>
                <w:rFonts w:asciiTheme="minorHAnsi" w:hAnsiTheme="minorHAnsi" w:cstheme="minorHAnsi"/>
                <w:szCs w:val="24"/>
                <w:lang w:val="es-ES"/>
              </w:rPr>
              <w:t>de</w:t>
            </w:r>
            <w:r w:rsidR="008F0FF9" w:rsidRPr="009C7C24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 xml:space="preserve"> </w:t>
            </w:r>
            <w:r w:rsidRPr="009C7C24">
              <w:rPr>
                <w:rFonts w:asciiTheme="minorHAnsi" w:hAnsiTheme="minorHAnsi" w:cstheme="minorHAnsi"/>
                <w:szCs w:val="24"/>
                <w:lang w:val="es-ES"/>
              </w:rPr>
              <w:t>este Informe.</w:t>
            </w:r>
          </w:p>
          <w:p w14:paraId="2AA058DD" w14:textId="77777777" w:rsidR="00F92BED" w:rsidRPr="00F24B71" w:rsidRDefault="00F92BED" w:rsidP="00F92BED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</w:t>
            </w:r>
            <w:r>
              <w:rPr>
                <w:b/>
                <w:bCs/>
                <w:sz w:val="26"/>
                <w:szCs w:val="26"/>
                <w:lang w:val="es-ES"/>
              </w:rPr>
              <w:t>(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>s</w:t>
            </w:r>
            <w:r>
              <w:rPr>
                <w:b/>
                <w:bCs/>
                <w:sz w:val="26"/>
                <w:szCs w:val="26"/>
                <w:lang w:val="es-ES"/>
              </w:rPr>
              <w:t>)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pertinente</w:t>
            </w:r>
            <w:r>
              <w:rPr>
                <w:b/>
                <w:bCs/>
                <w:sz w:val="26"/>
                <w:szCs w:val="26"/>
                <w:lang w:val="es-ES"/>
              </w:rPr>
              <w:t>(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>s</w:t>
            </w:r>
            <w:r>
              <w:rPr>
                <w:b/>
                <w:bCs/>
                <w:sz w:val="26"/>
                <w:szCs w:val="26"/>
                <w:lang w:val="es-ES"/>
              </w:rPr>
              <w:t>)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 el Plan Estratégico</w:t>
            </w:r>
          </w:p>
          <w:p w14:paraId="35735993" w14:textId="77777777" w:rsidR="002D012B" w:rsidRDefault="002D012B" w:rsidP="00F92BED">
            <w:pPr>
              <w:spacing w:before="160"/>
              <w:rPr>
                <w:lang w:val="es-ES"/>
              </w:rPr>
            </w:pPr>
            <w:r w:rsidRPr="009C7C24">
              <w:rPr>
                <w:lang w:val="es-ES"/>
              </w:rPr>
              <w:t>Excelencia en materia de recursos humanos e innovació</w:t>
            </w:r>
            <w:r>
              <w:rPr>
                <w:lang w:val="es-ES"/>
              </w:rPr>
              <w:t>n institucional</w:t>
            </w:r>
            <w:r w:rsidRPr="009C7C24">
              <w:rPr>
                <w:lang w:val="es-ES"/>
              </w:rPr>
              <w:t>.</w:t>
            </w:r>
          </w:p>
          <w:p w14:paraId="4E498F1B" w14:textId="7E05895B" w:rsidR="00F92BED" w:rsidRDefault="00F92BED" w:rsidP="00F92BE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05F49F10" w14:textId="41AC4320" w:rsidR="002D012B" w:rsidRPr="009C7C24" w:rsidRDefault="002D012B" w:rsidP="002D012B">
            <w:pPr>
              <w:spacing w:before="160"/>
              <w:rPr>
                <w:szCs w:val="24"/>
                <w:lang w:val="es-ES"/>
              </w:rPr>
            </w:pPr>
            <w:r w:rsidRPr="009C7C24">
              <w:rPr>
                <w:szCs w:val="24"/>
                <w:lang w:val="es-ES"/>
              </w:rPr>
              <w:t>Con cargo al presupuesto asignado</w:t>
            </w:r>
            <w:r w:rsidR="008F0FF9">
              <w:rPr>
                <w:szCs w:val="24"/>
                <w:lang w:val="es-ES"/>
              </w:rPr>
              <w:t xml:space="preserve"> para 2024-2025</w:t>
            </w:r>
            <w:r w:rsidRPr="009C7C24">
              <w:rPr>
                <w:szCs w:val="24"/>
                <w:lang w:val="es-ES"/>
              </w:rPr>
              <w:t>.</w:t>
            </w:r>
          </w:p>
          <w:p w14:paraId="6C6F8962" w14:textId="77777777" w:rsidR="00FE57F6" w:rsidRPr="00BB6FD8" w:rsidRDefault="00FE57F6" w:rsidP="00C538FC">
            <w:pPr>
              <w:spacing w:before="160"/>
              <w:rPr>
                <w:caps/>
                <w:sz w:val="22"/>
              </w:rPr>
            </w:pPr>
            <w:r w:rsidRPr="00BB6FD8">
              <w:rPr>
                <w:sz w:val="22"/>
              </w:rPr>
              <w:t>__________________</w:t>
            </w:r>
          </w:p>
          <w:p w14:paraId="0DF671CF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Referencia</w:t>
            </w:r>
            <w:r w:rsidR="00F92BED">
              <w:rPr>
                <w:b/>
                <w:bCs/>
                <w:sz w:val="26"/>
                <w:szCs w:val="26"/>
              </w:rPr>
              <w:t>s</w:t>
            </w:r>
            <w:r w:rsidR="00D375E0" w:rsidRPr="00BB6FD8">
              <w:rPr>
                <w:sz w:val="26"/>
                <w:szCs w:val="26"/>
              </w:rPr>
              <w:t xml:space="preserve"> </w:t>
            </w:r>
          </w:p>
          <w:p w14:paraId="4278D9C2" w14:textId="55C3B814" w:rsidR="00FE57F6" w:rsidRPr="004D3A3C" w:rsidRDefault="002D012B" w:rsidP="00C538FC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6" w:history="1">
              <w:r w:rsidRPr="003850FD">
                <w:rPr>
                  <w:rStyle w:val="Hyperlink"/>
                  <w:i/>
                  <w:iCs/>
                  <w:sz w:val="22"/>
                  <w:szCs w:val="22"/>
                </w:rPr>
                <w:t>Resolución 154 (Rev. Bucarest, 2022) de la Conferencia de Plenipotenciarios</w:t>
              </w:r>
            </w:hyperlink>
            <w:r w:rsidRPr="003850F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>;</w:t>
            </w:r>
            <w:r w:rsidRPr="009C7C24">
              <w:rPr>
                <w:rFonts w:cs="Calibri"/>
                <w:i/>
                <w:iCs/>
                <w:sz w:val="22"/>
                <w:szCs w:val="22"/>
                <w:lang w:val="es-ES"/>
              </w:rPr>
              <w:t xml:space="preserve"> </w:t>
            </w:r>
            <w:r w:rsidRPr="009C7C24">
              <w:rPr>
                <w:rFonts w:cs="Calibri"/>
                <w:i/>
                <w:iCs/>
                <w:sz w:val="22"/>
                <w:szCs w:val="22"/>
                <w:lang w:val="es-ES"/>
              </w:rPr>
              <w:br/>
            </w:r>
            <w:hyperlink r:id="rId7" w:anchor="/es" w:history="1">
              <w:r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Resolución 1372 (Mod. 2024) del Consejo</w:t>
              </w:r>
            </w:hyperlink>
            <w:r w:rsidR="008F0FF9">
              <w:rPr>
                <w:rStyle w:val="Hyperlink"/>
                <w:i/>
                <w:iCs/>
                <w:sz w:val="22"/>
                <w:szCs w:val="22"/>
                <w:lang w:val="es-ES"/>
              </w:rPr>
              <w:t xml:space="preserve">; </w:t>
            </w:r>
            <w:r w:rsidR="008F0FF9" w:rsidRPr="002021BE">
              <w:rPr>
                <w:i/>
                <w:iCs/>
                <w:sz w:val="22"/>
                <w:szCs w:val="22"/>
              </w:rPr>
              <w:t>Document</w:t>
            </w:r>
            <w:r w:rsidR="008F0FF9">
              <w:rPr>
                <w:i/>
                <w:iCs/>
                <w:sz w:val="22"/>
                <w:szCs w:val="22"/>
              </w:rPr>
              <w:t>o</w:t>
            </w:r>
            <w:r w:rsidR="008F0FF9" w:rsidRPr="002021BE">
              <w:rPr>
                <w:i/>
                <w:iCs/>
                <w:sz w:val="22"/>
                <w:szCs w:val="22"/>
              </w:rPr>
              <w:t xml:space="preserve">s </w:t>
            </w:r>
            <w:hyperlink r:id="rId8" w:history="1">
              <w:hyperlink r:id="rId9" w:history="1">
                <w:hyperlink r:id="rId10" w:history="1">
                  <w:r w:rsidR="008F0FF9" w:rsidRPr="002021BE">
                    <w:rPr>
                      <w:rStyle w:val="Hyperlink"/>
                      <w:rFonts w:asciiTheme="minorHAnsi" w:eastAsia="SimSun" w:hAnsiTheme="minorHAnsi" w:cstheme="minorBidi"/>
                      <w:i/>
                      <w:iCs/>
                      <w:sz w:val="22"/>
                      <w:szCs w:val="22"/>
                    </w:rPr>
                    <w:t>CWG-LANG-16/5</w:t>
                  </w:r>
                </w:hyperlink>
              </w:hyperlink>
            </w:hyperlink>
            <w:r w:rsidR="008F0FF9" w:rsidRPr="002021BE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11" w:history="1">
              <w:hyperlink r:id="rId12" w:history="1">
                <w:r w:rsidR="008F0FF9" w:rsidRPr="002021BE">
                  <w:rPr>
                    <w:rStyle w:val="Hyperlink"/>
                    <w:i/>
                    <w:iCs/>
                    <w:sz w:val="22"/>
                    <w:szCs w:val="22"/>
                  </w:rPr>
                  <w:t>CWG-LANG/16-3</w:t>
                </w:r>
              </w:hyperlink>
            </w:hyperlink>
            <w:r w:rsidR="008F0FF9">
              <w:t xml:space="preserve"> y</w:t>
            </w:r>
            <w:r w:rsidR="008F0FF9" w:rsidRPr="002021BE">
              <w:rPr>
                <w:i/>
                <w:iCs/>
                <w:sz w:val="22"/>
                <w:szCs w:val="22"/>
              </w:rPr>
              <w:t xml:space="preserve"> </w:t>
            </w:r>
            <w:hyperlink r:id="rId13" w:history="1">
              <w:r w:rsidR="008F0FF9" w:rsidRPr="002021BE">
                <w:rPr>
                  <w:rStyle w:val="Hyperlink"/>
                  <w:i/>
                  <w:iCs/>
                  <w:sz w:val="22"/>
                  <w:szCs w:val="22"/>
                </w:rPr>
                <w:t>C25/INF/7</w:t>
              </w:r>
            </w:hyperlink>
          </w:p>
        </w:tc>
      </w:tr>
      <w:bookmarkEnd w:id="0"/>
    </w:tbl>
    <w:p w14:paraId="7F625566" w14:textId="77777777" w:rsidR="00093EEB" w:rsidRPr="00BB6FD8" w:rsidRDefault="00093EEB"/>
    <w:p w14:paraId="7A733651" w14:textId="77777777" w:rsidR="001559F5" w:rsidRPr="00BB6FD8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B6FD8">
        <w:br w:type="page"/>
      </w:r>
    </w:p>
    <w:p w14:paraId="1AAA7328" w14:textId="77777777" w:rsidR="002D012B" w:rsidRPr="003850FD" w:rsidRDefault="002D012B" w:rsidP="002D012B">
      <w:pPr>
        <w:pStyle w:val="Heading1"/>
        <w:rPr>
          <w:rFonts w:eastAsia="Calibri"/>
          <w:sz w:val="24"/>
          <w:szCs w:val="24"/>
          <w:lang w:val="es-ES"/>
        </w:rPr>
      </w:pPr>
      <w:r w:rsidRPr="003850FD">
        <w:rPr>
          <w:rFonts w:eastAsia="Calibri"/>
          <w:sz w:val="24"/>
          <w:szCs w:val="24"/>
          <w:lang w:val="es-ES"/>
        </w:rPr>
        <w:lastRenderedPageBreak/>
        <w:t>1</w:t>
      </w:r>
      <w:r w:rsidRPr="003850FD">
        <w:rPr>
          <w:rFonts w:eastAsia="Calibri"/>
          <w:sz w:val="24"/>
          <w:szCs w:val="24"/>
          <w:lang w:val="es-ES"/>
        </w:rPr>
        <w:tab/>
      </w:r>
      <w:r w:rsidRPr="003850FD">
        <w:rPr>
          <w:rFonts w:eastAsia="SimSun"/>
          <w:sz w:val="24"/>
          <w:szCs w:val="24"/>
          <w:lang w:val="es-ES"/>
        </w:rPr>
        <w:t>Introducción</w:t>
      </w:r>
    </w:p>
    <w:p w14:paraId="18108D9D" w14:textId="15AC4077" w:rsidR="002D012B" w:rsidRPr="009C7C24" w:rsidRDefault="002D012B" w:rsidP="002D01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cs="Calibri"/>
          <w:bCs/>
          <w:kern w:val="2"/>
          <w:szCs w:val="24"/>
          <w:lang w:val="es-ES"/>
          <w14:ligatures w14:val="standardContextual"/>
        </w:rPr>
      </w:pPr>
      <w:r w:rsidRPr="009C7C24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>Este documento contiene el Informe resumido de la Presidenta correspondiente a la 16ª</w:t>
      </w:r>
      <w:r w:rsidR="003850FD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> </w:t>
      </w:r>
      <w:r w:rsidRPr="009C7C24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>reunión del Grupo de Trabajo del Consejo sobre l</w:t>
      </w:r>
      <w:r w:rsidR="008F0FF9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>a utilización de los seis idiomas oficiales de la Unión</w:t>
      </w:r>
      <w:r w:rsidRPr="009C7C24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 xml:space="preserve"> (GTC-IDIOMAS), celebrada el 12</w:t>
      </w:r>
      <w:r w:rsidR="003850FD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> </w:t>
      </w:r>
      <w:r w:rsidRPr="009C7C24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>de febrero de 2025, basado en las actas de la reunión (Doc</w:t>
      </w:r>
      <w:r w:rsidR="00204E40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>.</w:t>
      </w:r>
      <w:r w:rsidRPr="009C7C24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 xml:space="preserve"> </w:t>
      </w:r>
      <w:hyperlink r:id="rId14" w:history="1">
        <w:r w:rsidRPr="009C7C24">
          <w:rPr>
            <w:rStyle w:val="Hyperlink"/>
            <w:rFonts w:asciiTheme="minorHAnsi" w:eastAsia="SimSun" w:hAnsiTheme="minorHAnsi" w:cstheme="minorHAnsi"/>
            <w:bCs/>
            <w:kern w:val="2"/>
            <w:szCs w:val="24"/>
            <w:lang w:val="es-ES"/>
            <w14:ligatures w14:val="standardContextual"/>
          </w:rPr>
          <w:t>CWG-LANG-16/5</w:t>
        </w:r>
      </w:hyperlink>
      <w:r w:rsidRPr="009C7C24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 xml:space="preserve">). </w:t>
      </w:r>
      <w:r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>En ausencia de la Presidenta del GTC-IDIOMAS, Sra.</w:t>
      </w:r>
      <w:r w:rsidR="00DD134A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> </w:t>
      </w:r>
      <w:r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>Sharon Bosire (Kenya), l</w:t>
      </w:r>
      <w:r w:rsidRPr="009C7C24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>a reunión fue presidida por la Vicepresidenta, Sra.</w:t>
      </w:r>
      <w:r w:rsidRPr="009C7C24">
        <w:rPr>
          <w:rFonts w:cs="Calibri"/>
          <w:bCs/>
          <w:kern w:val="2"/>
          <w:szCs w:val="24"/>
          <w:lang w:val="es-ES"/>
          <w14:ligatures w14:val="standardContextual"/>
        </w:rPr>
        <w:t> Blanca González (</w:t>
      </w:r>
      <w:r>
        <w:rPr>
          <w:rFonts w:cs="Calibri"/>
          <w:bCs/>
          <w:kern w:val="2"/>
          <w:szCs w:val="24"/>
          <w:lang w:val="es-ES"/>
          <w14:ligatures w14:val="standardContextual"/>
        </w:rPr>
        <w:t>España)</w:t>
      </w:r>
      <w:r w:rsidRPr="009C7C24">
        <w:rPr>
          <w:rFonts w:cs="Calibri"/>
          <w:bCs/>
          <w:kern w:val="2"/>
          <w:szCs w:val="24"/>
          <w:lang w:val="es-ES"/>
          <w14:ligatures w14:val="standardContextual"/>
        </w:rPr>
        <w:t xml:space="preserve">. </w:t>
      </w:r>
    </w:p>
    <w:p w14:paraId="4E158FD5" w14:textId="5B99EA0F" w:rsidR="002D012B" w:rsidRPr="0086053E" w:rsidRDefault="002D012B" w:rsidP="002D012B">
      <w:pPr>
        <w:jc w:val="both"/>
        <w:rPr>
          <w:rFonts w:asciiTheme="minorHAnsi" w:eastAsia="SimSun" w:hAnsiTheme="minorHAnsi" w:cstheme="minorHAnsi"/>
          <w:lang w:val="es-ES"/>
        </w:rPr>
      </w:pPr>
      <w:r w:rsidRPr="0086053E">
        <w:rPr>
          <w:lang w:val="es-ES"/>
        </w:rPr>
        <w:t>De conformidad con la Resolución 154</w:t>
      </w:r>
      <w:r w:rsidR="008F0FF9">
        <w:rPr>
          <w:lang w:val="es-ES"/>
        </w:rPr>
        <w:t xml:space="preserve"> y con el Informe de la Secretaria General reproducido en el Documento CWG-LANG-16/2</w:t>
      </w:r>
      <w:r w:rsidRPr="0086053E">
        <w:rPr>
          <w:lang w:val="es-ES"/>
        </w:rPr>
        <w:t>, el GTC-IDIOMAS c</w:t>
      </w:r>
      <w:r>
        <w:rPr>
          <w:lang w:val="es-ES"/>
        </w:rPr>
        <w:t>entró sus trabajos en</w:t>
      </w:r>
      <w:r w:rsidRPr="0086053E">
        <w:rPr>
          <w:lang w:val="es-ES"/>
        </w:rPr>
        <w:t>:</w:t>
      </w:r>
    </w:p>
    <w:p w14:paraId="2C3BC961" w14:textId="4386F29F" w:rsidR="002D012B" w:rsidRPr="0086053E" w:rsidRDefault="002D012B" w:rsidP="002D012B">
      <w:pPr>
        <w:pStyle w:val="enumlev1"/>
        <w:jc w:val="both"/>
        <w:rPr>
          <w:rFonts w:eastAsia="SimSun"/>
          <w:lang w:val="es-ES"/>
        </w:rPr>
      </w:pPr>
      <w:r w:rsidRPr="0086053E">
        <w:rPr>
          <w:rFonts w:eastAsia="SimSun"/>
          <w:lang w:val="es-ES"/>
        </w:rPr>
        <w:t>a)</w:t>
      </w:r>
      <w:r w:rsidRPr="0086053E">
        <w:rPr>
          <w:rFonts w:eastAsia="SimSun"/>
          <w:lang w:val="es-ES"/>
        </w:rPr>
        <w:tab/>
        <w:t>El análisis de los presupuestos y volúmenes de traducción e interpretación</w:t>
      </w:r>
      <w:r>
        <w:rPr>
          <w:rFonts w:eastAsia="SimSun"/>
          <w:lang w:val="es-ES"/>
        </w:rPr>
        <w:t xml:space="preserve"> en los seis idiomas oficiales para el periodo</w:t>
      </w:r>
      <w:r w:rsidRPr="0086053E">
        <w:rPr>
          <w:rFonts w:eastAsia="SimSun"/>
          <w:lang w:val="es-ES"/>
        </w:rPr>
        <w:t xml:space="preserve"> 2019-2024</w:t>
      </w:r>
      <w:r w:rsidR="009B5A40">
        <w:rPr>
          <w:rFonts w:eastAsia="SimSun"/>
          <w:lang w:val="es-ES"/>
        </w:rPr>
        <w:t>.</w:t>
      </w:r>
    </w:p>
    <w:p w14:paraId="0CA95067" w14:textId="19DA421D" w:rsidR="002D012B" w:rsidRPr="0086053E" w:rsidRDefault="002D012B" w:rsidP="002D012B">
      <w:pPr>
        <w:pStyle w:val="enumlev1"/>
        <w:jc w:val="both"/>
        <w:rPr>
          <w:rFonts w:eastAsia="SimSun"/>
          <w:lang w:val="es-ES"/>
        </w:rPr>
      </w:pPr>
      <w:r w:rsidRPr="0086053E">
        <w:rPr>
          <w:rFonts w:eastAsia="SimSun"/>
          <w:lang w:val="es-ES"/>
        </w:rPr>
        <w:t>b)</w:t>
      </w:r>
      <w:r w:rsidRPr="0086053E">
        <w:rPr>
          <w:rFonts w:eastAsia="SimSun"/>
          <w:lang w:val="es-ES"/>
        </w:rPr>
        <w:tab/>
        <w:t xml:space="preserve">La utilización de nuevas tecnologías para aumentar la eficiencia y la rentabilidad del suministro de servicios lingüísticos, en </w:t>
      </w:r>
      <w:r>
        <w:rPr>
          <w:rFonts w:eastAsia="SimSun"/>
          <w:lang w:val="es-ES"/>
        </w:rPr>
        <w:t xml:space="preserve">particular la traducción automática mediante el conjunto de herramientas de IA </w:t>
      </w:r>
      <w:r w:rsidRPr="0086053E">
        <w:rPr>
          <w:rFonts w:eastAsia="SimSun"/>
          <w:lang w:val="es-ES"/>
        </w:rPr>
        <w:t>ITU Translate</w:t>
      </w:r>
      <w:r w:rsidR="009B5A40">
        <w:rPr>
          <w:rFonts w:eastAsia="SimSun"/>
          <w:lang w:val="es-ES"/>
        </w:rPr>
        <w:t>.</w:t>
      </w:r>
      <w:r w:rsidRPr="0086053E">
        <w:rPr>
          <w:rFonts w:eastAsia="SimSun"/>
          <w:lang w:val="es-ES"/>
        </w:rPr>
        <w:t xml:space="preserve"> </w:t>
      </w:r>
    </w:p>
    <w:p w14:paraId="567E41CE" w14:textId="29C75D18" w:rsidR="002D012B" w:rsidRPr="0086053E" w:rsidRDefault="002D012B" w:rsidP="002D012B">
      <w:pPr>
        <w:pStyle w:val="enumlev1"/>
        <w:jc w:val="both"/>
        <w:rPr>
          <w:rFonts w:eastAsia="SimSun"/>
          <w:lang w:val="es-ES"/>
        </w:rPr>
      </w:pPr>
      <w:r w:rsidRPr="0086053E">
        <w:rPr>
          <w:rFonts w:eastAsia="SimSun"/>
          <w:lang w:val="es-ES"/>
        </w:rPr>
        <w:t>c)</w:t>
      </w:r>
      <w:r w:rsidRPr="0086053E">
        <w:rPr>
          <w:rFonts w:eastAsia="SimSun"/>
          <w:lang w:val="es-ES"/>
        </w:rPr>
        <w:tab/>
        <w:t>Los retos y oportunidades que plantea la interpretación por IA y la eval</w:t>
      </w:r>
      <w:r>
        <w:rPr>
          <w:rFonts w:eastAsia="SimSun"/>
          <w:lang w:val="es-ES"/>
        </w:rPr>
        <w:t>uación de la interpretación por IA probada durante la reunión</w:t>
      </w:r>
      <w:r w:rsidR="009B5A40">
        <w:rPr>
          <w:rFonts w:eastAsia="SimSun"/>
          <w:lang w:val="es-ES"/>
        </w:rPr>
        <w:t>.</w:t>
      </w:r>
    </w:p>
    <w:p w14:paraId="44AF5321" w14:textId="08500936" w:rsidR="002D012B" w:rsidRPr="0086053E" w:rsidRDefault="002D012B" w:rsidP="002D012B">
      <w:pPr>
        <w:pStyle w:val="enumlev1"/>
        <w:jc w:val="both"/>
        <w:rPr>
          <w:rFonts w:eastAsia="SimSun"/>
          <w:lang w:val="es-ES"/>
        </w:rPr>
      </w:pPr>
      <w:r w:rsidRPr="0086053E">
        <w:rPr>
          <w:rFonts w:eastAsia="SimSun"/>
          <w:lang w:val="es-ES"/>
        </w:rPr>
        <w:t>d)</w:t>
      </w:r>
      <w:r w:rsidRPr="0086053E">
        <w:rPr>
          <w:rFonts w:eastAsia="SimSun"/>
          <w:lang w:val="es-ES"/>
        </w:rPr>
        <w:tab/>
        <w:t xml:space="preserve">La aplicación de la Guía de prácticas actuales y futuras en materia de multilingüismo en la UIT y </w:t>
      </w:r>
      <w:r>
        <w:rPr>
          <w:rFonts w:eastAsia="SimSun"/>
          <w:lang w:val="es-ES"/>
        </w:rPr>
        <w:t>sus directrices conexas para el personal sobre la utilización de la traducción automática</w:t>
      </w:r>
      <w:r w:rsidR="004243DA">
        <w:rPr>
          <w:rFonts w:eastAsia="SimSun"/>
          <w:lang w:val="es-ES"/>
        </w:rPr>
        <w:t>.</w:t>
      </w:r>
    </w:p>
    <w:p w14:paraId="1514E3EB" w14:textId="3DD1B5CF" w:rsidR="002D012B" w:rsidRPr="0086053E" w:rsidRDefault="002D012B" w:rsidP="002D012B">
      <w:pPr>
        <w:pStyle w:val="enumlev1"/>
        <w:jc w:val="both"/>
        <w:rPr>
          <w:rFonts w:eastAsia="SimSun"/>
          <w:lang w:val="es-ES"/>
        </w:rPr>
      </w:pPr>
      <w:r w:rsidRPr="0086053E">
        <w:rPr>
          <w:rFonts w:eastAsia="SimSun"/>
          <w:lang w:val="es-ES"/>
        </w:rPr>
        <w:t>e)</w:t>
      </w:r>
      <w:r w:rsidRPr="0086053E">
        <w:rPr>
          <w:rFonts w:eastAsia="SimSun"/>
          <w:lang w:val="es-ES"/>
        </w:rPr>
        <w:tab/>
        <w:t>Las novedades sobre los trabajos del Comité de Coordinación de la Terminología de la UIT (CCT), e</w:t>
      </w:r>
      <w:r>
        <w:rPr>
          <w:rFonts w:eastAsia="SimSun"/>
          <w:lang w:val="es-ES"/>
        </w:rPr>
        <w:t>n particular el nuevo flujo de trabajo y la colaboración con los Estados Miembros para la traducción de términos y definiciones</w:t>
      </w:r>
      <w:r w:rsidR="009B5A40">
        <w:rPr>
          <w:rFonts w:eastAsia="SimSun"/>
          <w:lang w:val="es-ES"/>
        </w:rPr>
        <w:t>.</w:t>
      </w:r>
    </w:p>
    <w:p w14:paraId="5D787A6C" w14:textId="61B72FF4" w:rsidR="002D012B" w:rsidRPr="0086053E" w:rsidRDefault="002D012B" w:rsidP="002D012B">
      <w:pPr>
        <w:pStyle w:val="enumlev1"/>
        <w:jc w:val="both"/>
        <w:rPr>
          <w:rFonts w:eastAsia="SimSun"/>
          <w:lang w:val="es-ES"/>
        </w:rPr>
      </w:pPr>
      <w:r w:rsidRPr="0086053E">
        <w:rPr>
          <w:rFonts w:eastAsia="SimSun"/>
          <w:lang w:val="es-ES"/>
        </w:rPr>
        <w:t>f)</w:t>
      </w:r>
      <w:r w:rsidRPr="0086053E">
        <w:rPr>
          <w:rFonts w:eastAsia="SimSun"/>
          <w:lang w:val="es-ES"/>
        </w:rPr>
        <w:tab/>
        <w:t>Las medidas para mejorar la armonización del sitio web de la UIT en los seis idio</w:t>
      </w:r>
      <w:r>
        <w:rPr>
          <w:rFonts w:eastAsia="SimSun"/>
          <w:lang w:val="es-ES"/>
        </w:rPr>
        <w:t>mas y mejorar la función de búsqueda</w:t>
      </w:r>
      <w:r w:rsidR="009B5A40">
        <w:rPr>
          <w:rFonts w:eastAsia="SimSun"/>
          <w:lang w:val="es-ES"/>
        </w:rPr>
        <w:t>.</w:t>
      </w:r>
    </w:p>
    <w:p w14:paraId="71FD6915" w14:textId="77777777" w:rsidR="002D012B" w:rsidRPr="0086053E" w:rsidRDefault="002D012B" w:rsidP="002D012B">
      <w:pPr>
        <w:pStyle w:val="enumlev1"/>
        <w:jc w:val="both"/>
        <w:rPr>
          <w:rFonts w:eastAsia="SimSun"/>
          <w:lang w:val="es-ES"/>
        </w:rPr>
      </w:pPr>
      <w:r w:rsidRPr="0086053E">
        <w:rPr>
          <w:rFonts w:eastAsia="SimSun"/>
          <w:lang w:val="es-ES"/>
        </w:rPr>
        <w:t>g)</w:t>
      </w:r>
      <w:r w:rsidRPr="0086053E">
        <w:rPr>
          <w:rFonts w:eastAsia="SimSun"/>
          <w:lang w:val="es-ES"/>
        </w:rPr>
        <w:tab/>
        <w:t xml:space="preserve">La participación en reuniones interinstitucionales para evaluar herramientas y </w:t>
      </w:r>
      <w:r>
        <w:rPr>
          <w:rFonts w:eastAsia="SimSun"/>
          <w:lang w:val="es-ES"/>
        </w:rPr>
        <w:t>procedimientos</w:t>
      </w:r>
      <w:r w:rsidRPr="0086053E">
        <w:rPr>
          <w:rFonts w:eastAsia="SimSun"/>
          <w:lang w:val="es-ES"/>
        </w:rPr>
        <w:t>.</w:t>
      </w:r>
    </w:p>
    <w:p w14:paraId="21B54164" w14:textId="77777777" w:rsidR="002D012B" w:rsidRPr="003850FD" w:rsidRDefault="002D012B" w:rsidP="002D012B">
      <w:pPr>
        <w:pStyle w:val="Heading1"/>
        <w:rPr>
          <w:rFonts w:eastAsia="SimSun"/>
          <w:sz w:val="24"/>
          <w:szCs w:val="24"/>
          <w:lang w:val="es-ES"/>
        </w:rPr>
      </w:pPr>
      <w:r w:rsidRPr="003850FD">
        <w:rPr>
          <w:rFonts w:eastAsia="SimSun"/>
          <w:sz w:val="24"/>
          <w:szCs w:val="24"/>
          <w:lang w:val="es-ES"/>
        </w:rPr>
        <w:t>2</w:t>
      </w:r>
      <w:r w:rsidRPr="003850FD">
        <w:rPr>
          <w:rFonts w:eastAsia="SimSun"/>
          <w:sz w:val="24"/>
          <w:szCs w:val="24"/>
          <w:lang w:val="es-ES"/>
        </w:rPr>
        <w:tab/>
        <w:t>Principales temas de debate</w:t>
      </w:r>
    </w:p>
    <w:p w14:paraId="419A6F6C" w14:textId="77777777" w:rsidR="002D012B" w:rsidRPr="00C20506" w:rsidRDefault="002D012B" w:rsidP="002D012B">
      <w:pPr>
        <w:pStyle w:val="enumlev1"/>
        <w:jc w:val="both"/>
        <w:rPr>
          <w:rFonts w:eastAsia="SimSun"/>
          <w:lang w:val="es-ES"/>
        </w:rPr>
      </w:pPr>
      <w:r w:rsidRPr="00C20506">
        <w:rPr>
          <w:rFonts w:eastAsia="Calibri" w:cs="Arial"/>
          <w:lang w:val="es-ES"/>
        </w:rPr>
        <w:t>a)</w:t>
      </w:r>
      <w:r w:rsidRPr="00C20506">
        <w:rPr>
          <w:rFonts w:eastAsia="Calibri" w:cs="Arial"/>
          <w:lang w:val="es-ES"/>
        </w:rPr>
        <w:tab/>
        <w:t>Los delegados se felicitaron de los logros alcanzados en relación con la rentabilidad de los servicios lingüísticos y la transparenc</w:t>
      </w:r>
      <w:r>
        <w:rPr>
          <w:rFonts w:eastAsia="Calibri" w:cs="Arial"/>
          <w:lang w:val="es-ES"/>
        </w:rPr>
        <w:t xml:space="preserve">ia de la rendición de cuentas. </w:t>
      </w:r>
      <w:r w:rsidRPr="00C20506">
        <w:rPr>
          <w:rFonts w:eastAsia="Calibri" w:cs="Arial"/>
          <w:lang w:val="es-ES"/>
        </w:rPr>
        <w:t xml:space="preserve">Los ahorros realizados podrían dedicarse a una mayor inversión en nuevas tecnologías, garantizando al </w:t>
      </w:r>
      <w:r>
        <w:rPr>
          <w:rFonts w:eastAsia="Calibri" w:cs="Arial"/>
          <w:lang w:val="es-ES"/>
        </w:rPr>
        <w:t>mismo tiempo que se conserva el nivel de calidad de los servicios lingüísticos</w:t>
      </w:r>
      <w:r>
        <w:rPr>
          <w:rFonts w:eastAsia="SimSun"/>
          <w:lang w:val="es-ES"/>
        </w:rPr>
        <w:t>.</w:t>
      </w:r>
      <w:r w:rsidRPr="00C20506">
        <w:rPr>
          <w:rFonts w:eastAsia="SimSun"/>
          <w:lang w:val="es-ES"/>
        </w:rPr>
        <w:t xml:space="preserve"> </w:t>
      </w:r>
    </w:p>
    <w:p w14:paraId="5CB150C2" w14:textId="77777777" w:rsidR="002D012B" w:rsidRPr="00C20506" w:rsidRDefault="002D012B" w:rsidP="002D012B">
      <w:pPr>
        <w:pStyle w:val="enumlev1"/>
        <w:jc w:val="both"/>
        <w:rPr>
          <w:rFonts w:eastAsia="SimSun"/>
          <w:lang w:val="es-ES"/>
        </w:rPr>
      </w:pPr>
      <w:r w:rsidRPr="00C20506">
        <w:rPr>
          <w:rFonts w:eastAsia="Calibri" w:cs="Arial"/>
          <w:lang w:val="es-ES"/>
        </w:rPr>
        <w:t>b)</w:t>
      </w:r>
      <w:r w:rsidRPr="00C20506">
        <w:rPr>
          <w:rFonts w:eastAsia="Calibri" w:cs="Arial"/>
          <w:lang w:val="es-ES"/>
        </w:rPr>
        <w:tab/>
        <w:t>Se acogió con satisfacción la evolución y mayor utilización de la traducción a</w:t>
      </w:r>
      <w:r>
        <w:rPr>
          <w:rFonts w:eastAsia="Calibri" w:cs="Arial"/>
          <w:lang w:val="es-ES"/>
        </w:rPr>
        <w:t>utomática con</w:t>
      </w:r>
      <w:r w:rsidRPr="00C20506">
        <w:rPr>
          <w:rFonts w:eastAsia="SimSun"/>
          <w:lang w:val="es-ES"/>
        </w:rPr>
        <w:t xml:space="preserve"> ITU Translate</w:t>
      </w:r>
      <w:r>
        <w:rPr>
          <w:rFonts w:eastAsia="SimSun"/>
          <w:lang w:val="es-ES"/>
        </w:rPr>
        <w:t xml:space="preserve">. </w:t>
      </w:r>
      <w:r w:rsidRPr="00C20506">
        <w:rPr>
          <w:rFonts w:eastAsia="SimSun"/>
          <w:lang w:val="es-ES"/>
        </w:rPr>
        <w:t xml:space="preserve">Debe seguir mejorándose la calidad de ITU Translate para las páginas web empleando mecanismos de supervisión, post edición y </w:t>
      </w:r>
      <w:r>
        <w:rPr>
          <w:rFonts w:eastAsia="SimSun"/>
          <w:lang w:val="es-ES"/>
        </w:rPr>
        <w:t>retroinformación que permitan a los delegados intervenir directamente.</w:t>
      </w:r>
    </w:p>
    <w:p w14:paraId="19740A1B" w14:textId="77777777" w:rsidR="002D012B" w:rsidRPr="00C20506" w:rsidRDefault="002D012B" w:rsidP="002D012B">
      <w:pPr>
        <w:pStyle w:val="enumlev1"/>
        <w:jc w:val="both"/>
        <w:rPr>
          <w:rFonts w:eastAsia="SimSun"/>
          <w:lang w:val="es-ES"/>
        </w:rPr>
      </w:pPr>
      <w:r w:rsidRPr="00C20506">
        <w:rPr>
          <w:rFonts w:eastAsia="Calibri" w:cs="Arial"/>
          <w:lang w:val="es-ES"/>
        </w:rPr>
        <w:t>c)</w:t>
      </w:r>
      <w:r w:rsidRPr="00C20506">
        <w:rPr>
          <w:rFonts w:eastAsia="Calibri" w:cs="Arial"/>
          <w:lang w:val="es-ES"/>
        </w:rPr>
        <w:tab/>
        <w:t xml:space="preserve">La prueba del sistema de interpretación por IA </w:t>
      </w:r>
      <w:r>
        <w:rPr>
          <w:rFonts w:eastAsia="Calibri" w:cs="Arial"/>
          <w:lang w:val="es-ES"/>
        </w:rPr>
        <w:t xml:space="preserve">durante la reunión tuvo una buena acogida. </w:t>
      </w:r>
      <w:r w:rsidRPr="00C20506">
        <w:rPr>
          <w:rFonts w:eastAsia="Calibri" w:cs="Arial"/>
          <w:lang w:val="es-ES"/>
        </w:rPr>
        <w:t>Se recomendó seguir probando el sistema, incluso en las Co</w:t>
      </w:r>
      <w:r>
        <w:rPr>
          <w:rFonts w:eastAsia="Calibri" w:cs="Arial"/>
          <w:lang w:val="es-ES"/>
        </w:rPr>
        <w:t>misiones de Estudio de los Sectores, garantizando que los participantes sean conscientes de su utilización y puedan evaluar su calidad técnica y lingüística</w:t>
      </w:r>
      <w:r>
        <w:rPr>
          <w:rFonts w:eastAsia="SimSun"/>
          <w:lang w:val="es-ES"/>
        </w:rPr>
        <w:t>.</w:t>
      </w:r>
    </w:p>
    <w:p w14:paraId="13B4694E" w14:textId="77777777" w:rsidR="002D012B" w:rsidRPr="00C20506" w:rsidRDefault="002D012B" w:rsidP="002D012B">
      <w:pPr>
        <w:pStyle w:val="enumlev1"/>
        <w:jc w:val="both"/>
        <w:rPr>
          <w:rFonts w:eastAsia="SimSun"/>
          <w:lang w:val="es-ES"/>
        </w:rPr>
      </w:pPr>
      <w:r w:rsidRPr="00C20506">
        <w:rPr>
          <w:rFonts w:eastAsia="Calibri" w:cs="Arial"/>
          <w:lang w:val="es-ES"/>
        </w:rPr>
        <w:t>d)</w:t>
      </w:r>
      <w:r w:rsidRPr="00C20506">
        <w:rPr>
          <w:rFonts w:eastAsia="Calibri" w:cs="Arial"/>
          <w:lang w:val="es-ES"/>
        </w:rPr>
        <w:tab/>
        <w:t>Debe abrirse al debate el documento sobre Medidas y principios para la interpretación y la traducción en la UIT a fin de integrar claramente la utilizació</w:t>
      </w:r>
      <w:r>
        <w:rPr>
          <w:rFonts w:eastAsia="Calibri" w:cs="Arial"/>
          <w:lang w:val="es-ES"/>
        </w:rPr>
        <w:t>n de la traducción automática para los documentos, páginas web y publicaciones pertinentes</w:t>
      </w:r>
      <w:r>
        <w:rPr>
          <w:rFonts w:eastAsia="SimSun"/>
          <w:lang w:val="es-ES"/>
        </w:rPr>
        <w:t>.</w:t>
      </w:r>
    </w:p>
    <w:p w14:paraId="0B38915B" w14:textId="77777777" w:rsidR="002D012B" w:rsidRPr="00C20506" w:rsidRDefault="002D012B" w:rsidP="002D012B">
      <w:pPr>
        <w:pStyle w:val="enumlev1"/>
        <w:jc w:val="both"/>
        <w:rPr>
          <w:rFonts w:eastAsia="SimSun"/>
          <w:lang w:val="es-ES"/>
        </w:rPr>
      </w:pPr>
      <w:r w:rsidRPr="00C20506">
        <w:rPr>
          <w:rFonts w:eastAsia="Calibri" w:cs="Arial"/>
          <w:lang w:val="es-ES"/>
        </w:rPr>
        <w:lastRenderedPageBreak/>
        <w:t>e)</w:t>
      </w:r>
      <w:r w:rsidRPr="00C20506">
        <w:rPr>
          <w:rFonts w:eastAsia="Calibri" w:cs="Arial"/>
          <w:lang w:val="es-ES"/>
        </w:rPr>
        <w:tab/>
        <w:t>Deberá considerarse en el futuro la utilización de la traducción</w:t>
      </w:r>
      <w:r>
        <w:rPr>
          <w:rFonts w:eastAsia="Calibri" w:cs="Arial"/>
          <w:lang w:val="es-ES"/>
        </w:rPr>
        <w:t xml:space="preserve"> automática y la interpretación por IA a idiomas no oficiales</w:t>
      </w:r>
      <w:r>
        <w:rPr>
          <w:rFonts w:eastAsia="SimSun"/>
          <w:lang w:val="es-ES"/>
        </w:rPr>
        <w:t>.</w:t>
      </w:r>
    </w:p>
    <w:p w14:paraId="142D167F" w14:textId="13079B35" w:rsidR="002D012B" w:rsidRPr="00C20506" w:rsidRDefault="002D012B" w:rsidP="002D012B">
      <w:pPr>
        <w:pStyle w:val="enumlev1"/>
        <w:jc w:val="both"/>
        <w:rPr>
          <w:rFonts w:eastAsia="SimSun"/>
          <w:lang w:val="es-ES"/>
        </w:rPr>
      </w:pPr>
      <w:r w:rsidRPr="00C20506">
        <w:rPr>
          <w:rFonts w:eastAsia="Calibri" w:cs="Arial"/>
          <w:lang w:val="es-ES"/>
        </w:rPr>
        <w:t>f)</w:t>
      </w:r>
      <w:r w:rsidRPr="00C20506">
        <w:rPr>
          <w:rFonts w:eastAsia="Calibri" w:cs="Arial"/>
          <w:lang w:val="es-ES"/>
        </w:rPr>
        <w:tab/>
        <w:t xml:space="preserve">En respuesta a una solicitud de información detallada formulada en la contribución de la Federación de Rusia </w:t>
      </w:r>
      <w:r w:rsidRPr="00C20506"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  <w:t xml:space="preserve">(Doc. </w:t>
      </w:r>
      <w:hyperlink r:id="rId15" w:history="1">
        <w:r w:rsidRPr="00C20506">
          <w:rPr>
            <w:rStyle w:val="Hyperlink"/>
            <w:rFonts w:asciiTheme="minorHAnsi" w:eastAsia="SimSun" w:hAnsiTheme="minorHAnsi" w:cstheme="minorHAnsi"/>
            <w:bCs/>
            <w:kern w:val="2"/>
            <w:szCs w:val="24"/>
            <w:lang w:val="es-ES"/>
            <w14:ligatures w14:val="standardContextual"/>
          </w:rPr>
          <w:t>CWG-LANG-16/4</w:t>
        </w:r>
      </w:hyperlink>
      <w:r w:rsidRPr="00C20506">
        <w:rPr>
          <w:rFonts w:eastAsia="SimSun"/>
          <w:lang w:val="es-ES"/>
        </w:rPr>
        <w:t>), se presentó al GTC-IDIOMAS el siguiente informe oral sobre las medidas adoptadas para mejorar el sitio web de la UIT:</w:t>
      </w:r>
    </w:p>
    <w:p w14:paraId="20C4AFB9" w14:textId="42942978" w:rsidR="002D012B" w:rsidRPr="00AA413C" w:rsidRDefault="002D012B" w:rsidP="002D012B">
      <w:pPr>
        <w:pStyle w:val="enumlev2"/>
        <w:jc w:val="both"/>
        <w:rPr>
          <w:rFonts w:asciiTheme="minorHAnsi" w:eastAsia="SimSun" w:hAnsiTheme="minorHAnsi" w:cstheme="minorHAnsi"/>
          <w:bCs/>
          <w:kern w:val="2"/>
          <w:szCs w:val="24"/>
          <w:lang w:val="es-ES"/>
          <w14:ligatures w14:val="standardContextual"/>
        </w:rPr>
      </w:pPr>
      <w:r w:rsidRPr="00C20506">
        <w:rPr>
          <w:rFonts w:eastAsia="Calibri"/>
          <w:lang w:val="es-ES"/>
        </w:rPr>
        <w:tab/>
      </w:r>
      <w:r w:rsidRPr="00C20506">
        <w:rPr>
          <w:rFonts w:eastAsia="Calibri"/>
          <w:lang w:val="es-ES"/>
        </w:rPr>
        <w:tab/>
        <w:t>La UIT ha aportado mejoras a su sitio web, entre otras cosas, perfeccionando la utilización de Google Search e</w:t>
      </w:r>
      <w:r>
        <w:rPr>
          <w:rFonts w:eastAsia="Calibri"/>
          <w:lang w:val="es-ES"/>
        </w:rPr>
        <w:t xml:space="preserve">n el sitio web público de la UIT a fin de mejorar la experiencia de búsqueda, mejorando la funcionalidad de retroinformación del sitio web y analizando las experiencias y comportamientos de los usuarios. </w:t>
      </w:r>
      <w:r w:rsidRPr="00AA413C">
        <w:rPr>
          <w:rFonts w:eastAsia="Calibri"/>
          <w:lang w:val="es-ES"/>
        </w:rPr>
        <w:t>Todos los nuevos sitios web construidos en la plataforma WordPress incluyen la</w:t>
      </w:r>
      <w:r>
        <w:rPr>
          <w:rFonts w:eastAsia="Calibri"/>
          <w:lang w:val="es-ES"/>
        </w:rPr>
        <w:t xml:space="preserve"> traducción automática a los seis idiomas oficiales de la Unión. </w:t>
      </w:r>
      <w:r w:rsidRPr="00AA413C">
        <w:rPr>
          <w:rFonts w:eastAsia="Calibri"/>
          <w:lang w:val="es-ES"/>
        </w:rPr>
        <w:t>La Secretaría ha asignado un presupuesto de</w:t>
      </w:r>
      <w:r>
        <w:rPr>
          <w:rFonts w:eastAsia="Calibri"/>
          <w:lang w:val="es-ES"/>
        </w:rPr>
        <w:t xml:space="preserve"> </w:t>
      </w:r>
      <w:r w:rsidRPr="00AA413C">
        <w:rPr>
          <w:rFonts w:eastAsia="Calibri"/>
          <w:lang w:val="es-ES"/>
        </w:rPr>
        <w:t>350 000</w:t>
      </w:r>
      <w:r w:rsidR="003850FD">
        <w:rPr>
          <w:rFonts w:eastAsia="Calibri"/>
          <w:lang w:val="es-ES"/>
        </w:rPr>
        <w:t> </w:t>
      </w:r>
      <w:r w:rsidRPr="00AA413C">
        <w:rPr>
          <w:rFonts w:eastAsia="Calibri"/>
          <w:lang w:val="es-ES"/>
        </w:rPr>
        <w:t>CHF a</w:t>
      </w:r>
      <w:r>
        <w:rPr>
          <w:rFonts w:eastAsia="Calibri"/>
          <w:lang w:val="es-ES"/>
        </w:rPr>
        <w:t>l proyecto de nuevo sitio web y está buscando los 250 000</w:t>
      </w:r>
      <w:r w:rsidR="003850FD">
        <w:rPr>
          <w:rFonts w:eastAsia="Calibri"/>
          <w:lang w:val="es-ES"/>
        </w:rPr>
        <w:t> </w:t>
      </w:r>
      <w:r>
        <w:rPr>
          <w:rFonts w:eastAsia="Calibri"/>
          <w:lang w:val="es-ES"/>
        </w:rPr>
        <w:t xml:space="preserve">CHF restantes previstos en el presupuesto del proyecto. </w:t>
      </w:r>
      <w:r w:rsidRPr="00AA413C">
        <w:rPr>
          <w:rFonts w:eastAsia="Calibri"/>
          <w:lang w:val="es-ES"/>
        </w:rPr>
        <w:t>Se han preparado solicitudes de propuestas pa</w:t>
      </w:r>
      <w:r>
        <w:rPr>
          <w:rFonts w:eastAsia="Calibri"/>
          <w:lang w:val="es-ES"/>
        </w:rPr>
        <w:t>ra la arquitectura y taxonomía de la información y para el desarrollo experto de</w:t>
      </w:r>
      <w:r w:rsidRPr="00AA413C">
        <w:rPr>
          <w:rFonts w:eastAsia="Calibri"/>
          <w:lang w:val="es-ES"/>
        </w:rPr>
        <w:t xml:space="preserve"> WordPress.</w:t>
      </w:r>
      <w:r>
        <w:rPr>
          <w:rFonts w:eastAsia="Calibri"/>
          <w:lang w:val="es-ES"/>
        </w:rPr>
        <w:t xml:space="preserve"> Se han iniciado los trabajos para analizar los sitios web existentes y crear un marco de gobernanza de la web. Se rendirá periódicamente informe sobre los avances del proyecto al GTC</w:t>
      </w:r>
      <w:r w:rsidR="003850FD">
        <w:rPr>
          <w:rFonts w:eastAsia="Calibri"/>
          <w:lang w:val="es-ES"/>
        </w:rPr>
        <w:noBreakHyphen/>
      </w:r>
      <w:r>
        <w:rPr>
          <w:rFonts w:eastAsia="Calibri"/>
          <w:lang w:val="es-ES"/>
        </w:rPr>
        <w:t>IDIOMAS, el GTC-RHF y el Consejo</w:t>
      </w:r>
      <w:r w:rsidRPr="00AA413C">
        <w:rPr>
          <w:rFonts w:eastAsia="Calibri"/>
          <w:lang w:val="es-ES"/>
        </w:rPr>
        <w:t>.</w:t>
      </w:r>
    </w:p>
    <w:p w14:paraId="34961EC7" w14:textId="77777777" w:rsidR="002D012B" w:rsidRPr="003850FD" w:rsidRDefault="002D012B" w:rsidP="002D012B">
      <w:pPr>
        <w:pStyle w:val="Heading1"/>
        <w:rPr>
          <w:rFonts w:eastAsia="SimSun"/>
          <w:sz w:val="24"/>
          <w:szCs w:val="24"/>
          <w:lang w:val="es-ES"/>
        </w:rPr>
      </w:pPr>
      <w:r w:rsidRPr="003850FD">
        <w:rPr>
          <w:rFonts w:eastAsia="SimSun"/>
          <w:sz w:val="24"/>
          <w:szCs w:val="24"/>
          <w:lang w:val="es-ES"/>
        </w:rPr>
        <w:t>3</w:t>
      </w:r>
      <w:r w:rsidRPr="003850FD">
        <w:rPr>
          <w:rFonts w:eastAsia="SimSun"/>
          <w:sz w:val="24"/>
          <w:szCs w:val="24"/>
          <w:lang w:val="es-ES"/>
        </w:rPr>
        <w:tab/>
        <w:t>Resultados del GTC-IDIOMAS</w:t>
      </w:r>
    </w:p>
    <w:p w14:paraId="7E279893" w14:textId="16F9AC94" w:rsidR="002D012B" w:rsidRPr="00AA413C" w:rsidRDefault="008F0FF9" w:rsidP="002D012B">
      <w:pPr>
        <w:jc w:val="both"/>
        <w:rPr>
          <w:rFonts w:asciiTheme="minorHAnsi" w:eastAsia="SimSun" w:hAnsiTheme="minorHAnsi" w:cstheme="minorHAnsi"/>
          <w:b/>
          <w:kern w:val="2"/>
          <w:szCs w:val="24"/>
          <w:lang w:val="es-ES"/>
          <w14:ligatures w14:val="standardContextual"/>
        </w:rPr>
      </w:pPr>
      <w:r>
        <w:rPr>
          <w:rFonts w:asciiTheme="minorHAnsi" w:hAnsiTheme="minorHAnsi" w:cstheme="minorHAnsi"/>
          <w:bCs/>
          <w:szCs w:val="24"/>
          <w:lang w:val="es-ES"/>
        </w:rPr>
        <w:t>En su</w:t>
      </w:r>
      <w:r w:rsidR="002D012B" w:rsidRPr="00AA413C">
        <w:rPr>
          <w:rFonts w:asciiTheme="minorHAnsi" w:hAnsiTheme="minorHAnsi" w:cstheme="minorHAnsi"/>
          <w:bCs/>
          <w:szCs w:val="24"/>
          <w:lang w:val="es-ES"/>
        </w:rPr>
        <w:t xml:space="preserve"> </w:t>
      </w:r>
      <w:hyperlink r:id="rId16" w:history="1">
        <w:r w:rsidR="002D012B" w:rsidRPr="00AA413C">
          <w:rPr>
            <w:rStyle w:val="Hyperlink"/>
            <w:rFonts w:asciiTheme="minorHAnsi" w:hAnsiTheme="minorHAnsi" w:cstheme="minorHAnsi"/>
            <w:bCs/>
            <w:szCs w:val="24"/>
            <w:lang w:val="es-ES"/>
          </w:rPr>
          <w:t>16ª reunión el GTC-IDIOMAS</w:t>
        </w:r>
      </w:hyperlink>
      <w:r>
        <w:rPr>
          <w:rFonts w:asciiTheme="minorHAnsi" w:hAnsiTheme="minorHAnsi" w:cstheme="minorHAnsi"/>
          <w:bCs/>
          <w:szCs w:val="24"/>
          <w:lang w:val="es-ES"/>
        </w:rPr>
        <w:t xml:space="preserve"> decidió:</w:t>
      </w:r>
    </w:p>
    <w:p w14:paraId="501528E7" w14:textId="4743103C" w:rsidR="002D012B" w:rsidRPr="00AA413C" w:rsidRDefault="002D012B" w:rsidP="002D012B">
      <w:pPr>
        <w:pStyle w:val="enumlev1"/>
        <w:jc w:val="both"/>
        <w:rPr>
          <w:rFonts w:eastAsia="Calibri" w:cs="Arial"/>
          <w:kern w:val="2"/>
          <w:lang w:val="es-ES"/>
          <w14:ligatures w14:val="standardContextual"/>
        </w:rPr>
      </w:pPr>
      <w:r w:rsidRPr="00AA413C">
        <w:rPr>
          <w:rFonts w:cs="Calibri"/>
          <w:kern w:val="2"/>
          <w:lang w:val="es-ES"/>
          <w14:ligatures w14:val="standardContextual"/>
        </w:rPr>
        <w:t>–</w:t>
      </w:r>
      <w:r w:rsidRPr="00AA413C">
        <w:rPr>
          <w:rFonts w:cs="Calibri"/>
          <w:kern w:val="2"/>
          <w:lang w:val="es-ES"/>
          <w14:ligatures w14:val="standardContextual"/>
        </w:rPr>
        <w:tab/>
      </w:r>
      <w:r w:rsidR="004243DA">
        <w:rPr>
          <w:rFonts w:cs="Calibri"/>
          <w:kern w:val="2"/>
          <w:lang w:val="es-ES"/>
          <w14:ligatures w14:val="standardContextual"/>
        </w:rPr>
        <w:t>s</w:t>
      </w:r>
      <w:r w:rsidR="008F0FF9">
        <w:rPr>
          <w:rFonts w:cs="Calibri"/>
          <w:kern w:val="2"/>
          <w:lang w:val="es-ES"/>
          <w14:ligatures w14:val="standardContextual"/>
        </w:rPr>
        <w:t>olicitar</w:t>
      </w:r>
      <w:r w:rsidRPr="00AA413C">
        <w:rPr>
          <w:rFonts w:cs="Calibri"/>
          <w:kern w:val="2"/>
          <w:lang w:val="es-ES"/>
          <w14:ligatures w14:val="standardContextual"/>
        </w:rPr>
        <w:t xml:space="preserve"> </w:t>
      </w:r>
      <w:r>
        <w:rPr>
          <w:rFonts w:cs="Calibri"/>
          <w:kern w:val="2"/>
          <w:lang w:val="es-ES"/>
          <w14:ligatures w14:val="standardContextual"/>
        </w:rPr>
        <w:t>a</w:t>
      </w:r>
      <w:r w:rsidRPr="00AA413C">
        <w:rPr>
          <w:rFonts w:cs="Calibri"/>
          <w:kern w:val="2"/>
          <w:lang w:val="es-ES"/>
          <w14:ligatures w14:val="standardContextual"/>
        </w:rPr>
        <w:t xml:space="preserve"> la Secretaría </w:t>
      </w:r>
      <w:r>
        <w:rPr>
          <w:rFonts w:cs="Calibri"/>
          <w:kern w:val="2"/>
          <w:lang w:val="es-ES"/>
          <w14:ligatures w14:val="standardContextual"/>
        </w:rPr>
        <w:t xml:space="preserve">que en sus futuros informes al GTC-IDIOMAS </w:t>
      </w:r>
      <w:r w:rsidRPr="00AA413C">
        <w:rPr>
          <w:rFonts w:cs="Calibri"/>
          <w:kern w:val="2"/>
          <w:lang w:val="es-ES"/>
          <w14:ligatures w14:val="standardContextual"/>
        </w:rPr>
        <w:t>presente un informe anual detallado de los gastos con re</w:t>
      </w:r>
      <w:r>
        <w:rPr>
          <w:rFonts w:cs="Calibri"/>
          <w:kern w:val="2"/>
          <w:lang w:val="es-ES"/>
          <w14:ligatures w14:val="standardContextual"/>
        </w:rPr>
        <w:t>s</w:t>
      </w:r>
      <w:r w:rsidRPr="00AA413C">
        <w:rPr>
          <w:rFonts w:cs="Calibri"/>
          <w:kern w:val="2"/>
          <w:lang w:val="es-ES"/>
          <w14:ligatures w14:val="standardContextual"/>
        </w:rPr>
        <w:t>pecto al límite presupuestario de 85</w:t>
      </w:r>
      <w:r w:rsidR="00DD134A">
        <w:rPr>
          <w:rFonts w:cs="Calibri"/>
          <w:kern w:val="2"/>
          <w:lang w:val="es-ES"/>
          <w14:ligatures w14:val="standardContextual"/>
        </w:rPr>
        <w:t> </w:t>
      </w:r>
      <w:r w:rsidRPr="00AA413C">
        <w:rPr>
          <w:rFonts w:cs="Calibri"/>
          <w:kern w:val="2"/>
          <w:lang w:val="es-ES"/>
          <w14:ligatures w14:val="standardContextual"/>
        </w:rPr>
        <w:t>millones</w:t>
      </w:r>
      <w:r w:rsidR="00DD134A">
        <w:rPr>
          <w:rFonts w:cs="Calibri"/>
          <w:kern w:val="2"/>
          <w:lang w:val="es-ES"/>
          <w14:ligatures w14:val="standardContextual"/>
        </w:rPr>
        <w:t> </w:t>
      </w:r>
      <w:r w:rsidRPr="00AA413C">
        <w:rPr>
          <w:rFonts w:cs="Calibri"/>
          <w:kern w:val="2"/>
          <w:lang w:val="es-ES"/>
          <w14:ligatures w14:val="standardContextual"/>
        </w:rPr>
        <w:t xml:space="preserve">CHF para servicios lingüísticos </w:t>
      </w:r>
      <w:r>
        <w:rPr>
          <w:rFonts w:cs="Calibri"/>
          <w:kern w:val="2"/>
          <w:lang w:val="es-ES"/>
          <w14:ligatures w14:val="standardContextual"/>
        </w:rPr>
        <w:t>e incluya una nota en la que se identifique 2022 como un año excepcional en términos de conferencias celebradas</w:t>
      </w:r>
      <w:r w:rsidR="008F0FF9">
        <w:rPr>
          <w:rFonts w:cs="Calibri"/>
          <w:kern w:val="2"/>
          <w:lang w:val="es-ES"/>
          <w14:ligatures w14:val="standardContextual"/>
        </w:rPr>
        <w:t>;</w:t>
      </w:r>
      <w:r w:rsidRPr="00AA413C">
        <w:rPr>
          <w:lang w:val="es-ES"/>
        </w:rPr>
        <w:t xml:space="preserve"> </w:t>
      </w:r>
    </w:p>
    <w:p w14:paraId="56CEF62A" w14:textId="14E65BDE" w:rsidR="002D012B" w:rsidRPr="00AA413C" w:rsidRDefault="002D012B" w:rsidP="002D012B">
      <w:pPr>
        <w:pStyle w:val="enumlev1"/>
        <w:jc w:val="both"/>
        <w:rPr>
          <w:rFonts w:eastAsia="Calibri" w:cs="Arial"/>
          <w:kern w:val="2"/>
          <w:lang w:val="es-ES"/>
          <w14:ligatures w14:val="standardContextual"/>
        </w:rPr>
      </w:pPr>
      <w:r w:rsidRPr="00AA413C">
        <w:rPr>
          <w:rFonts w:cs="Calibri"/>
          <w:kern w:val="2"/>
          <w:lang w:val="es-ES"/>
          <w14:ligatures w14:val="standardContextual"/>
        </w:rPr>
        <w:t>–</w:t>
      </w:r>
      <w:r w:rsidRPr="00AA413C">
        <w:rPr>
          <w:rFonts w:cs="Calibri"/>
          <w:kern w:val="2"/>
          <w:lang w:val="es-ES"/>
          <w14:ligatures w14:val="standardContextual"/>
        </w:rPr>
        <w:tab/>
      </w:r>
      <w:r w:rsidR="004243DA">
        <w:rPr>
          <w:rFonts w:cs="Calibri"/>
          <w:kern w:val="2"/>
          <w:lang w:val="es-ES"/>
          <w14:ligatures w14:val="standardContextual"/>
        </w:rPr>
        <w:t>d</w:t>
      </w:r>
      <w:r w:rsidRPr="00AA413C">
        <w:rPr>
          <w:rFonts w:cs="Calibri"/>
          <w:kern w:val="2"/>
          <w:lang w:val="es-ES"/>
          <w14:ligatures w14:val="standardContextual"/>
        </w:rPr>
        <w:t xml:space="preserve">e conformidad con la Resolución 154, </w:t>
      </w:r>
      <w:r w:rsidR="008F0FF9">
        <w:rPr>
          <w:rFonts w:cs="Calibri"/>
          <w:kern w:val="2"/>
          <w:lang w:val="es-ES"/>
          <w14:ligatures w14:val="standardContextual"/>
        </w:rPr>
        <w:t xml:space="preserve">que se incluya </w:t>
      </w:r>
      <w:r w:rsidRPr="00AA413C">
        <w:rPr>
          <w:rFonts w:cs="Calibri"/>
          <w:kern w:val="2"/>
          <w:lang w:val="es-ES"/>
          <w14:ligatures w14:val="standardContextual"/>
        </w:rPr>
        <w:t>en todos los futuros informes al GTC-IDIOMAS incluir informació</w:t>
      </w:r>
      <w:r>
        <w:rPr>
          <w:rFonts w:cs="Calibri"/>
          <w:kern w:val="2"/>
          <w:lang w:val="es-ES"/>
          <w14:ligatures w14:val="standardContextual"/>
        </w:rPr>
        <w:t>n actualizada sobre el desarrollo del sitio web y la mejora del motor de búsqueda</w:t>
      </w:r>
      <w:r w:rsidR="008F0FF9">
        <w:rPr>
          <w:rFonts w:cs="Calibri"/>
          <w:kern w:val="2"/>
          <w:lang w:val="es-ES"/>
          <w14:ligatures w14:val="standardContextual"/>
        </w:rPr>
        <w:t>;</w:t>
      </w:r>
    </w:p>
    <w:p w14:paraId="5CC697B3" w14:textId="5ADB72B9" w:rsidR="002D012B" w:rsidRPr="00AA413C" w:rsidRDefault="002D012B" w:rsidP="002D012B">
      <w:pPr>
        <w:pStyle w:val="enumlev1"/>
        <w:jc w:val="both"/>
        <w:rPr>
          <w:rFonts w:eastAsia="Calibri" w:cs="Arial"/>
          <w:kern w:val="2"/>
          <w:lang w:val="es-ES"/>
          <w14:ligatures w14:val="standardContextual"/>
        </w:rPr>
      </w:pPr>
      <w:r w:rsidRPr="00AA413C">
        <w:rPr>
          <w:rFonts w:cs="Calibri"/>
          <w:kern w:val="2"/>
          <w:lang w:val="es-ES"/>
          <w14:ligatures w14:val="standardContextual"/>
        </w:rPr>
        <w:t>–</w:t>
      </w:r>
      <w:r w:rsidRPr="00AA413C">
        <w:rPr>
          <w:rFonts w:cs="Calibri"/>
          <w:kern w:val="2"/>
          <w:lang w:val="es-ES"/>
          <w14:ligatures w14:val="standardContextual"/>
        </w:rPr>
        <w:tab/>
      </w:r>
      <w:r w:rsidR="008F0FF9">
        <w:rPr>
          <w:rFonts w:cs="Calibri"/>
          <w:kern w:val="2"/>
          <w:lang w:val="es-ES"/>
          <w14:ligatures w14:val="standardContextual"/>
        </w:rPr>
        <w:t>tomar nota</w:t>
      </w:r>
      <w:r w:rsidRPr="00AA413C">
        <w:rPr>
          <w:rFonts w:cs="Calibri"/>
          <w:kern w:val="2"/>
          <w:lang w:val="es-ES"/>
          <w14:ligatures w14:val="standardContextual"/>
        </w:rPr>
        <w:t xml:space="preserve"> de la información actualizada sobre la aplicación de</w:t>
      </w:r>
      <w:r>
        <w:rPr>
          <w:rFonts w:cs="Calibri"/>
          <w:kern w:val="2"/>
          <w:lang w:val="es-ES"/>
          <w14:ligatures w14:val="standardContextual"/>
        </w:rPr>
        <w:t xml:space="preserve"> la </w:t>
      </w:r>
      <w:r w:rsidRPr="0086053E">
        <w:rPr>
          <w:rFonts w:eastAsia="SimSun"/>
          <w:lang w:val="es-ES"/>
        </w:rPr>
        <w:t>Guía de prácticas actuales y futuras en materia de multilingüismo en la UIT</w:t>
      </w:r>
      <w:r>
        <w:rPr>
          <w:rFonts w:eastAsia="SimSun"/>
          <w:lang w:val="es-ES"/>
        </w:rPr>
        <w:t>, incluidos los datos sobre la utilización de la herramienta de traducción automática</w:t>
      </w:r>
      <w:r w:rsidRPr="00AA413C">
        <w:rPr>
          <w:lang w:val="es-ES"/>
        </w:rPr>
        <w:t xml:space="preserve"> ITU Translate</w:t>
      </w:r>
      <w:r w:rsidR="008F0FF9">
        <w:rPr>
          <w:lang w:val="es-ES"/>
        </w:rPr>
        <w:t xml:space="preserve"> (</w:t>
      </w:r>
      <w:r w:rsidR="00204E40">
        <w:rPr>
          <w:lang w:val="es-ES"/>
        </w:rPr>
        <w:t>Doc. </w:t>
      </w:r>
      <w:hyperlink r:id="rId17" w:history="1">
        <w:r w:rsidR="00C1459E">
          <w:rPr>
            <w:rStyle w:val="Hyperlink"/>
          </w:rPr>
          <w:t>CWG</w:t>
        </w:r>
        <w:r w:rsidR="00204E40">
          <w:rPr>
            <w:rStyle w:val="Hyperlink"/>
          </w:rPr>
          <w:noBreakHyphen/>
        </w:r>
        <w:r w:rsidR="00C1459E">
          <w:rPr>
            <w:rStyle w:val="Hyperlink"/>
          </w:rPr>
          <w:t>LANG/16</w:t>
        </w:r>
        <w:r w:rsidR="005371E9">
          <w:rPr>
            <w:rStyle w:val="Hyperlink"/>
          </w:rPr>
          <w:noBreakHyphen/>
        </w:r>
        <w:r w:rsidR="00C1459E">
          <w:rPr>
            <w:rStyle w:val="Hyperlink"/>
          </w:rPr>
          <w:t>3</w:t>
        </w:r>
      </w:hyperlink>
      <w:r w:rsidR="008F0FF9">
        <w:rPr>
          <w:lang w:val="es-ES"/>
        </w:rPr>
        <w:t>)</w:t>
      </w:r>
      <w:r w:rsidR="005371E9">
        <w:rPr>
          <w:lang w:val="es-ES"/>
        </w:rPr>
        <w:t>;</w:t>
      </w:r>
      <w:r w:rsidR="008F0FF9">
        <w:rPr>
          <w:lang w:val="es-ES"/>
        </w:rPr>
        <w:t xml:space="preserve"> y</w:t>
      </w:r>
    </w:p>
    <w:p w14:paraId="49B6A430" w14:textId="14DD0CE0" w:rsidR="002D012B" w:rsidRPr="00D82034" w:rsidRDefault="002D012B" w:rsidP="002D012B">
      <w:pPr>
        <w:pStyle w:val="enumlev1"/>
        <w:jc w:val="both"/>
        <w:rPr>
          <w:rFonts w:eastAsia="Calibri" w:cs="Arial"/>
          <w:kern w:val="2"/>
          <w:lang w:val="es-ES"/>
          <w14:ligatures w14:val="standardContextual"/>
        </w:rPr>
      </w:pPr>
      <w:r w:rsidRPr="00D82034">
        <w:rPr>
          <w:rFonts w:cs="Calibri"/>
          <w:kern w:val="2"/>
          <w:lang w:val="es-ES"/>
          <w14:ligatures w14:val="standardContextual"/>
        </w:rPr>
        <w:t>–</w:t>
      </w:r>
      <w:r w:rsidRPr="00D82034">
        <w:rPr>
          <w:rFonts w:cs="Calibri"/>
          <w:kern w:val="2"/>
          <w:lang w:val="es-ES"/>
          <w14:ligatures w14:val="standardContextual"/>
        </w:rPr>
        <w:tab/>
      </w:r>
      <w:r w:rsidR="008F0FF9">
        <w:rPr>
          <w:rFonts w:cs="Calibri"/>
          <w:kern w:val="2"/>
          <w:lang w:val="es-ES"/>
          <w14:ligatures w14:val="standardContextual"/>
        </w:rPr>
        <w:t xml:space="preserve">presentar </w:t>
      </w:r>
      <w:r w:rsidRPr="00D82034">
        <w:rPr>
          <w:rFonts w:cs="Calibri"/>
          <w:kern w:val="2"/>
          <w:lang w:val="es-ES"/>
          <w14:ligatures w14:val="standardContextual"/>
        </w:rPr>
        <w:t xml:space="preserve">al Consejo </w:t>
      </w:r>
      <w:r w:rsidR="008F0FF9">
        <w:rPr>
          <w:rFonts w:cs="Calibri"/>
          <w:kern w:val="2"/>
          <w:lang w:val="es-ES"/>
          <w14:ligatures w14:val="standardContextual"/>
        </w:rPr>
        <w:t>el documento informativo sobre el</w:t>
      </w:r>
      <w:r w:rsidRPr="00D82034">
        <w:rPr>
          <w:rFonts w:cs="Calibri"/>
          <w:kern w:val="2"/>
          <w:lang w:val="es-ES"/>
          <w14:ligatures w14:val="standardContextual"/>
        </w:rPr>
        <w:t xml:space="preserve"> Informe sobre los retos y oportunidades que plan</w:t>
      </w:r>
      <w:r>
        <w:rPr>
          <w:rFonts w:cs="Calibri"/>
          <w:kern w:val="2"/>
          <w:lang w:val="es-ES"/>
          <w14:ligatures w14:val="standardContextual"/>
        </w:rPr>
        <w:t>tea la utilización de la interpretación por IA en la UIT</w:t>
      </w:r>
      <w:r w:rsidR="008F0FF9">
        <w:rPr>
          <w:rFonts w:cs="Calibri"/>
          <w:kern w:val="2"/>
          <w:lang w:val="es-ES"/>
          <w14:ligatures w14:val="standardContextual"/>
        </w:rPr>
        <w:t xml:space="preserve"> (Doc</w:t>
      </w:r>
      <w:r w:rsidR="00204E40">
        <w:rPr>
          <w:rFonts w:cs="Calibri"/>
          <w:kern w:val="2"/>
          <w:lang w:val="es-ES"/>
          <w14:ligatures w14:val="standardContextual"/>
        </w:rPr>
        <w:t>. </w:t>
      </w:r>
      <w:hyperlink r:id="rId18" w:history="1">
        <w:r w:rsidR="005371E9" w:rsidRPr="004412A9">
          <w:rPr>
            <w:rStyle w:val="Hyperlink"/>
          </w:rPr>
          <w:t>C25/INF/7</w:t>
        </w:r>
      </w:hyperlink>
      <w:r w:rsidR="008F0FF9">
        <w:rPr>
          <w:rFonts w:cs="Calibri"/>
          <w:kern w:val="2"/>
          <w:lang w:val="es-ES"/>
          <w14:ligatures w14:val="standardContextual"/>
        </w:rPr>
        <w:t>)</w:t>
      </w:r>
      <w:r w:rsidRPr="00D82034">
        <w:rPr>
          <w:lang w:val="es-ES"/>
        </w:rPr>
        <w:t>.</w:t>
      </w:r>
    </w:p>
    <w:p w14:paraId="62C63186" w14:textId="77777777" w:rsidR="002D012B" w:rsidRDefault="002D012B" w:rsidP="00411C49">
      <w:pPr>
        <w:pStyle w:val="Reasons"/>
      </w:pPr>
    </w:p>
    <w:p w14:paraId="6866DEE2" w14:textId="77777777" w:rsidR="002D012B" w:rsidRDefault="002D012B">
      <w:pPr>
        <w:jc w:val="center"/>
      </w:pPr>
      <w:r>
        <w:t>______________</w:t>
      </w:r>
    </w:p>
    <w:sectPr w:rsidR="002D012B" w:rsidSect="00C538FC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FE88D" w14:textId="77777777" w:rsidR="00E84B9C" w:rsidRDefault="00E84B9C">
      <w:r>
        <w:separator/>
      </w:r>
    </w:p>
  </w:endnote>
  <w:endnote w:type="continuationSeparator" w:id="0">
    <w:p w14:paraId="04F6CCAD" w14:textId="77777777" w:rsidR="00E84B9C" w:rsidRDefault="00E8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256008B" w14:textId="77777777" w:rsidTr="00E31DCE">
      <w:trPr>
        <w:jc w:val="center"/>
      </w:trPr>
      <w:tc>
        <w:tcPr>
          <w:tcW w:w="1803" w:type="dxa"/>
          <w:vAlign w:val="center"/>
        </w:tcPr>
        <w:p w14:paraId="498313B0" w14:textId="77777777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44971038" w14:textId="2C92C824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2D012B">
            <w:rPr>
              <w:bCs/>
            </w:rPr>
            <w:t>12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85FCA48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7CC7200" w14:textId="77777777" w:rsidTr="00E31DCE">
      <w:trPr>
        <w:jc w:val="center"/>
      </w:trPr>
      <w:tc>
        <w:tcPr>
          <w:tcW w:w="1803" w:type="dxa"/>
          <w:vAlign w:val="center"/>
        </w:tcPr>
        <w:p w14:paraId="3F6CF8C7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5290CB19" w14:textId="0201ACE8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2D012B">
            <w:rPr>
              <w:bCs/>
            </w:rPr>
            <w:t>12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93E1D67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8B51F" w14:textId="77777777" w:rsidR="00E84B9C" w:rsidRDefault="00E84B9C">
      <w:r>
        <w:t>____________________</w:t>
      </w:r>
    </w:p>
  </w:footnote>
  <w:footnote w:type="continuationSeparator" w:id="0">
    <w:p w14:paraId="0CD8A65D" w14:textId="77777777" w:rsidR="00E84B9C" w:rsidRDefault="00E8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03B0098C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596C359D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BACCEC7" wp14:editId="0F859E02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2751AEEA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36AFEBA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B73EB" wp14:editId="166AB2E6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4B57D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2B"/>
    <w:rsid w:val="000007D1"/>
    <w:rsid w:val="00021D4F"/>
    <w:rsid w:val="0006007D"/>
    <w:rsid w:val="0009319B"/>
    <w:rsid w:val="00093EEB"/>
    <w:rsid w:val="000A2496"/>
    <w:rsid w:val="000A2803"/>
    <w:rsid w:val="000B0D00"/>
    <w:rsid w:val="000B7C15"/>
    <w:rsid w:val="000D1D0F"/>
    <w:rsid w:val="000E3F07"/>
    <w:rsid w:val="000F5290"/>
    <w:rsid w:val="0010165C"/>
    <w:rsid w:val="00146BFB"/>
    <w:rsid w:val="001559F5"/>
    <w:rsid w:val="00157AC4"/>
    <w:rsid w:val="0016169C"/>
    <w:rsid w:val="001A287D"/>
    <w:rsid w:val="001B6E2B"/>
    <w:rsid w:val="001F14A2"/>
    <w:rsid w:val="00204E40"/>
    <w:rsid w:val="002801AA"/>
    <w:rsid w:val="002946E2"/>
    <w:rsid w:val="002A202F"/>
    <w:rsid w:val="002C3F32"/>
    <w:rsid w:val="002C4676"/>
    <w:rsid w:val="002C70B0"/>
    <w:rsid w:val="002D012B"/>
    <w:rsid w:val="002F3CC4"/>
    <w:rsid w:val="003032E2"/>
    <w:rsid w:val="0031300A"/>
    <w:rsid w:val="003273A4"/>
    <w:rsid w:val="0034796E"/>
    <w:rsid w:val="003850FD"/>
    <w:rsid w:val="004243DA"/>
    <w:rsid w:val="00473962"/>
    <w:rsid w:val="004758EB"/>
    <w:rsid w:val="004B5D49"/>
    <w:rsid w:val="004D3A3C"/>
    <w:rsid w:val="00513630"/>
    <w:rsid w:val="005371E9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66D09"/>
    <w:rsid w:val="006710F6"/>
    <w:rsid w:val="00677A97"/>
    <w:rsid w:val="006C1B56"/>
    <w:rsid w:val="006D4761"/>
    <w:rsid w:val="00726872"/>
    <w:rsid w:val="00760F1C"/>
    <w:rsid w:val="007657F0"/>
    <w:rsid w:val="0077110E"/>
    <w:rsid w:val="0077252D"/>
    <w:rsid w:val="007955DA"/>
    <w:rsid w:val="007E5DD3"/>
    <w:rsid w:val="007F350B"/>
    <w:rsid w:val="00820BE4"/>
    <w:rsid w:val="008451E8"/>
    <w:rsid w:val="008D6EAA"/>
    <w:rsid w:val="008F0FF9"/>
    <w:rsid w:val="008F6ABC"/>
    <w:rsid w:val="00913B9C"/>
    <w:rsid w:val="00927F93"/>
    <w:rsid w:val="00956E77"/>
    <w:rsid w:val="00966CC1"/>
    <w:rsid w:val="00985F71"/>
    <w:rsid w:val="009A338E"/>
    <w:rsid w:val="009B5A40"/>
    <w:rsid w:val="009F4811"/>
    <w:rsid w:val="009F4A11"/>
    <w:rsid w:val="00A94438"/>
    <w:rsid w:val="00AA390C"/>
    <w:rsid w:val="00B0200A"/>
    <w:rsid w:val="00B04F59"/>
    <w:rsid w:val="00B060DF"/>
    <w:rsid w:val="00B574DB"/>
    <w:rsid w:val="00B826C2"/>
    <w:rsid w:val="00B8298E"/>
    <w:rsid w:val="00BB6FD8"/>
    <w:rsid w:val="00BD0723"/>
    <w:rsid w:val="00BD2518"/>
    <w:rsid w:val="00BF1D1C"/>
    <w:rsid w:val="00C1459E"/>
    <w:rsid w:val="00C20C59"/>
    <w:rsid w:val="00C2727F"/>
    <w:rsid w:val="00C538FC"/>
    <w:rsid w:val="00C55B1F"/>
    <w:rsid w:val="00CF1A67"/>
    <w:rsid w:val="00D17451"/>
    <w:rsid w:val="00D2750E"/>
    <w:rsid w:val="00D375E0"/>
    <w:rsid w:val="00D50A36"/>
    <w:rsid w:val="00D62446"/>
    <w:rsid w:val="00DA4EA2"/>
    <w:rsid w:val="00DC3D3E"/>
    <w:rsid w:val="00DD134A"/>
    <w:rsid w:val="00DE2C90"/>
    <w:rsid w:val="00DE3B24"/>
    <w:rsid w:val="00E06947"/>
    <w:rsid w:val="00E11319"/>
    <w:rsid w:val="00E21444"/>
    <w:rsid w:val="00E25355"/>
    <w:rsid w:val="00E34072"/>
    <w:rsid w:val="00E3592D"/>
    <w:rsid w:val="00E50D76"/>
    <w:rsid w:val="00E8018B"/>
    <w:rsid w:val="00E84B9C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92BED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AA82FB9"/>
  <w15:docId w15:val="{C5A268DE-DE89-433F-9844-809345E7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qFormat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qFormat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204E40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0FF9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RCLCWGLANG16-C-0005/en" TargetMode="External"/><Relationship Id="rId13" Type="http://schemas.openxmlformats.org/officeDocument/2006/relationships/hyperlink" Target="https://www.itu.int/md/S25-CL-INF-0007/es" TargetMode="External"/><Relationship Id="rId18" Type="http://schemas.openxmlformats.org/officeDocument/2006/relationships/hyperlink" Target="https://www.itu.int/md/S25-CL-INF-0007/es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hub/publication/s-conf-cl-2024/" TargetMode="External"/><Relationship Id="rId12" Type="http://schemas.openxmlformats.org/officeDocument/2006/relationships/hyperlink" Target="https://www.itu.int/md/S25-RCLCWGLANG16-C-0003/es" TargetMode="External"/><Relationship Id="rId17" Type="http://schemas.openxmlformats.org/officeDocument/2006/relationships/hyperlink" Target="https://www.itu.int/md/S25-RCLCWGLANG16-C-0003/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25-RCLCWGLANG16-C-0005/es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itu.int/en/council/Documents/basic-texts-2023/RES-154-E.pdf" TargetMode="External"/><Relationship Id="rId11" Type="http://schemas.openxmlformats.org/officeDocument/2006/relationships/hyperlink" Target="https://www.itu.int/md/S25-RCLCWGLANG16-C-0003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25-RCLCWGLANG16-C-0004/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5-RCLCWGLANG16-C-0005/es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5-RCLCWGLANG16-C-0005/en" TargetMode="External"/><Relationship Id="rId14" Type="http://schemas.openxmlformats.org/officeDocument/2006/relationships/hyperlink" Target="https://www.itu.int/md/S25-RCLCWGLANG16-C-0005/e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3</TotalTime>
  <Pages>3</Pages>
  <Words>989</Words>
  <Characters>6268</Characters>
  <Application>Microsoft Office Word</Application>
  <DocSecurity>0</DocSecurity>
  <Lines>125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7201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Resultados de la 16ª reunión del Grupo de Trabajo del Consejo sobre los idiomas</dc:title>
  <dc:subject>Consejo 2025 de la UIT</dc:subject>
  <cp:keywords>C2025, C25, Council-25</cp:keywords>
  <dc:description/>
  <cp:lastPrinted>2006-03-24T09:51:00Z</cp:lastPrinted>
  <dcterms:created xsi:type="dcterms:W3CDTF">2025-05-29T09:39:00Z</dcterms:created>
  <dcterms:modified xsi:type="dcterms:W3CDTF">2025-05-29T09:42:00Z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