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7C666F" w14:paraId="2963200F" w14:textId="77777777" w:rsidTr="00D72F49">
        <w:trPr>
          <w:cantSplit/>
          <w:trHeight w:val="23"/>
        </w:trPr>
        <w:tc>
          <w:tcPr>
            <w:tcW w:w="3969" w:type="dxa"/>
            <w:vMerge w:val="restart"/>
            <w:tcMar>
              <w:left w:w="0" w:type="dxa"/>
            </w:tcMar>
          </w:tcPr>
          <w:p w14:paraId="3F4AA1AE" w14:textId="3FFD647E" w:rsidR="00D72F49" w:rsidRPr="007C666F" w:rsidRDefault="00D72F49" w:rsidP="00D72F49">
            <w:pPr>
              <w:tabs>
                <w:tab w:val="left" w:pos="851"/>
              </w:tabs>
              <w:spacing w:before="0" w:line="240" w:lineRule="atLeast"/>
              <w:rPr>
                <w:b/>
              </w:rPr>
            </w:pPr>
            <w:r w:rsidRPr="007C666F">
              <w:rPr>
                <w:b/>
              </w:rPr>
              <w:t>Point de l'ordre du jour:</w:t>
            </w:r>
            <w:r w:rsidR="0013146B" w:rsidRPr="007C666F">
              <w:rPr>
                <w:b/>
              </w:rPr>
              <w:t xml:space="preserve"> PL 2</w:t>
            </w:r>
          </w:p>
        </w:tc>
        <w:tc>
          <w:tcPr>
            <w:tcW w:w="5245" w:type="dxa"/>
          </w:tcPr>
          <w:p w14:paraId="2D296DB9" w14:textId="21B545B0" w:rsidR="00D72F49" w:rsidRPr="007C666F" w:rsidRDefault="00D72F49" w:rsidP="00D72F49">
            <w:pPr>
              <w:tabs>
                <w:tab w:val="left" w:pos="851"/>
              </w:tabs>
              <w:spacing w:before="0" w:line="240" w:lineRule="atLeast"/>
              <w:jc w:val="right"/>
              <w:rPr>
                <w:b/>
              </w:rPr>
            </w:pPr>
            <w:r w:rsidRPr="007C666F">
              <w:rPr>
                <w:b/>
              </w:rPr>
              <w:t>Document C2</w:t>
            </w:r>
            <w:r w:rsidR="00FC6D7D" w:rsidRPr="007C666F">
              <w:rPr>
                <w:b/>
              </w:rPr>
              <w:t>5</w:t>
            </w:r>
            <w:r w:rsidRPr="007C666F">
              <w:rPr>
                <w:b/>
              </w:rPr>
              <w:t>/</w:t>
            </w:r>
            <w:r w:rsidR="0013146B" w:rsidRPr="007C666F">
              <w:rPr>
                <w:b/>
              </w:rPr>
              <w:t>12</w:t>
            </w:r>
            <w:r w:rsidRPr="007C666F">
              <w:rPr>
                <w:b/>
              </w:rPr>
              <w:t>-F</w:t>
            </w:r>
          </w:p>
        </w:tc>
      </w:tr>
      <w:tr w:rsidR="00D72F49" w:rsidRPr="007C666F" w14:paraId="6DB85764" w14:textId="77777777" w:rsidTr="00D72F49">
        <w:trPr>
          <w:cantSplit/>
        </w:trPr>
        <w:tc>
          <w:tcPr>
            <w:tcW w:w="3969" w:type="dxa"/>
            <w:vMerge/>
          </w:tcPr>
          <w:p w14:paraId="5AD1AEB9" w14:textId="77777777" w:rsidR="00D72F49" w:rsidRPr="007C666F" w:rsidRDefault="00D72F49" w:rsidP="00D72F49">
            <w:pPr>
              <w:tabs>
                <w:tab w:val="left" w:pos="851"/>
              </w:tabs>
              <w:spacing w:line="240" w:lineRule="atLeast"/>
              <w:rPr>
                <w:b/>
              </w:rPr>
            </w:pPr>
          </w:p>
        </w:tc>
        <w:tc>
          <w:tcPr>
            <w:tcW w:w="5245" w:type="dxa"/>
          </w:tcPr>
          <w:p w14:paraId="3928CFCA" w14:textId="53565276" w:rsidR="00D72F49" w:rsidRPr="007C666F" w:rsidRDefault="003D4424" w:rsidP="00D72F49">
            <w:pPr>
              <w:tabs>
                <w:tab w:val="left" w:pos="851"/>
              </w:tabs>
              <w:spacing w:before="0"/>
              <w:jc w:val="right"/>
              <w:rPr>
                <w:b/>
              </w:rPr>
            </w:pPr>
            <w:r w:rsidRPr="007C666F">
              <w:rPr>
                <w:b/>
              </w:rPr>
              <w:t>16 mai</w:t>
            </w:r>
            <w:r w:rsidR="0013146B" w:rsidRPr="007C666F">
              <w:rPr>
                <w:b/>
              </w:rPr>
              <w:t xml:space="preserve"> 2025</w:t>
            </w:r>
          </w:p>
        </w:tc>
      </w:tr>
      <w:tr w:rsidR="00D72F49" w:rsidRPr="007C666F" w14:paraId="4F92DC93" w14:textId="77777777" w:rsidTr="00D72F49">
        <w:trPr>
          <w:cantSplit/>
          <w:trHeight w:val="23"/>
        </w:trPr>
        <w:tc>
          <w:tcPr>
            <w:tcW w:w="3969" w:type="dxa"/>
            <w:vMerge/>
          </w:tcPr>
          <w:p w14:paraId="53FD7D74" w14:textId="77777777" w:rsidR="00D72F49" w:rsidRPr="007C666F" w:rsidRDefault="00D72F49" w:rsidP="00D72F49">
            <w:pPr>
              <w:tabs>
                <w:tab w:val="left" w:pos="851"/>
              </w:tabs>
              <w:spacing w:line="240" w:lineRule="atLeast"/>
              <w:rPr>
                <w:b/>
              </w:rPr>
            </w:pPr>
          </w:p>
        </w:tc>
        <w:tc>
          <w:tcPr>
            <w:tcW w:w="5245" w:type="dxa"/>
          </w:tcPr>
          <w:p w14:paraId="3EC2BB29" w14:textId="77777777" w:rsidR="00D72F49" w:rsidRPr="007C666F" w:rsidRDefault="00D72F49" w:rsidP="00D72F49">
            <w:pPr>
              <w:tabs>
                <w:tab w:val="left" w:pos="851"/>
              </w:tabs>
              <w:spacing w:before="0" w:line="240" w:lineRule="atLeast"/>
              <w:jc w:val="right"/>
              <w:rPr>
                <w:b/>
              </w:rPr>
            </w:pPr>
            <w:r w:rsidRPr="007C666F">
              <w:rPr>
                <w:b/>
              </w:rPr>
              <w:t>Original: anglais</w:t>
            </w:r>
          </w:p>
        </w:tc>
      </w:tr>
      <w:tr w:rsidR="00D72F49" w:rsidRPr="007C666F" w14:paraId="7C7701D6" w14:textId="77777777" w:rsidTr="00D72F49">
        <w:trPr>
          <w:cantSplit/>
          <w:trHeight w:val="23"/>
        </w:trPr>
        <w:tc>
          <w:tcPr>
            <w:tcW w:w="3969" w:type="dxa"/>
          </w:tcPr>
          <w:p w14:paraId="5024D495" w14:textId="77777777" w:rsidR="00D72F49" w:rsidRPr="007C666F" w:rsidRDefault="00D72F49" w:rsidP="00D72F49">
            <w:pPr>
              <w:tabs>
                <w:tab w:val="left" w:pos="851"/>
              </w:tabs>
              <w:spacing w:line="240" w:lineRule="atLeast"/>
              <w:rPr>
                <w:b/>
              </w:rPr>
            </w:pPr>
          </w:p>
        </w:tc>
        <w:tc>
          <w:tcPr>
            <w:tcW w:w="5245" w:type="dxa"/>
          </w:tcPr>
          <w:p w14:paraId="2FFC4886" w14:textId="77777777" w:rsidR="00D72F49" w:rsidRPr="007C666F" w:rsidRDefault="00D72F49" w:rsidP="00D72F49">
            <w:pPr>
              <w:tabs>
                <w:tab w:val="left" w:pos="851"/>
              </w:tabs>
              <w:spacing w:before="0" w:line="240" w:lineRule="atLeast"/>
              <w:jc w:val="right"/>
              <w:rPr>
                <w:b/>
              </w:rPr>
            </w:pPr>
          </w:p>
        </w:tc>
      </w:tr>
      <w:tr w:rsidR="00D72F49" w:rsidRPr="007C666F" w14:paraId="7D46429F" w14:textId="77777777" w:rsidTr="00D72F49">
        <w:trPr>
          <w:cantSplit/>
        </w:trPr>
        <w:tc>
          <w:tcPr>
            <w:tcW w:w="9214" w:type="dxa"/>
            <w:gridSpan w:val="2"/>
            <w:tcMar>
              <w:left w:w="0" w:type="dxa"/>
            </w:tcMar>
          </w:tcPr>
          <w:p w14:paraId="7C8E61AE" w14:textId="7C3AF6FE" w:rsidR="00D72F49" w:rsidRPr="007C666F" w:rsidRDefault="00D72F49" w:rsidP="00D72F49">
            <w:pPr>
              <w:pStyle w:val="Source"/>
              <w:jc w:val="left"/>
              <w:rPr>
                <w:sz w:val="34"/>
                <w:szCs w:val="34"/>
              </w:rPr>
            </w:pPr>
            <w:r w:rsidRPr="007C666F">
              <w:rPr>
                <w:rFonts w:cstheme="minorHAnsi"/>
                <w:color w:val="000000"/>
                <w:sz w:val="34"/>
                <w:szCs w:val="34"/>
              </w:rPr>
              <w:t xml:space="preserve">Rapport </w:t>
            </w:r>
            <w:r w:rsidR="00E95647" w:rsidRPr="007C666F">
              <w:rPr>
                <w:rFonts w:cstheme="minorHAnsi"/>
                <w:color w:val="000000"/>
                <w:sz w:val="34"/>
                <w:szCs w:val="34"/>
              </w:rPr>
              <w:t xml:space="preserve">de la </w:t>
            </w:r>
            <w:r w:rsidR="00DE7BC3" w:rsidRPr="007C666F">
              <w:rPr>
                <w:rFonts w:cstheme="minorHAnsi"/>
                <w:color w:val="000000"/>
                <w:sz w:val="34"/>
                <w:szCs w:val="34"/>
              </w:rPr>
              <w:t>Présidente du Groupe de travail du Conseil sur l'utilisation des langues (GTC-LANG)</w:t>
            </w:r>
          </w:p>
        </w:tc>
      </w:tr>
      <w:tr w:rsidR="00D72F49" w:rsidRPr="007C666F" w14:paraId="69E4B629" w14:textId="77777777" w:rsidTr="00D72F49">
        <w:trPr>
          <w:cantSplit/>
        </w:trPr>
        <w:tc>
          <w:tcPr>
            <w:tcW w:w="9214" w:type="dxa"/>
            <w:gridSpan w:val="2"/>
            <w:tcMar>
              <w:left w:w="0" w:type="dxa"/>
            </w:tcMar>
          </w:tcPr>
          <w:p w14:paraId="0B76DC0E" w14:textId="37A85DCC" w:rsidR="00D72F49" w:rsidRPr="007C666F" w:rsidRDefault="00A47BFC" w:rsidP="00D72F49">
            <w:pPr>
              <w:pStyle w:val="Subtitle"/>
              <w:framePr w:hSpace="0" w:wrap="auto" w:hAnchor="text" w:xAlign="left" w:yAlign="inline"/>
              <w:rPr>
                <w:sz w:val="32"/>
                <w:szCs w:val="32"/>
                <w:lang w:val="fr-FR"/>
              </w:rPr>
            </w:pPr>
            <w:r w:rsidRPr="007C666F">
              <w:rPr>
                <w:rFonts w:cstheme="minorHAnsi"/>
                <w:sz w:val="32"/>
                <w:szCs w:val="32"/>
                <w:lang w:val="fr-FR"/>
              </w:rPr>
              <w:t xml:space="preserve">RÉSULTATS DE LA </w:t>
            </w:r>
            <w:r w:rsidR="005B3AE8" w:rsidRPr="007C666F">
              <w:rPr>
                <w:rFonts w:cstheme="minorHAnsi"/>
                <w:sz w:val="32"/>
                <w:szCs w:val="32"/>
                <w:lang w:val="fr-FR"/>
              </w:rPr>
              <w:t>1</w:t>
            </w:r>
            <w:r w:rsidR="00DE7BC3" w:rsidRPr="007C666F">
              <w:rPr>
                <w:rFonts w:cstheme="minorHAnsi"/>
                <w:sz w:val="32"/>
                <w:szCs w:val="32"/>
                <w:lang w:val="fr-FR"/>
              </w:rPr>
              <w:t>6</w:t>
            </w:r>
            <w:r w:rsidR="00026A71" w:rsidRPr="007C666F">
              <w:rPr>
                <w:rFonts w:cstheme="minorHAnsi"/>
                <w:sz w:val="32"/>
                <w:szCs w:val="32"/>
                <w:lang w:val="fr-FR"/>
              </w:rPr>
              <w:t>è</w:t>
            </w:r>
            <w:r w:rsidR="00DE7BC3" w:rsidRPr="007C666F">
              <w:rPr>
                <w:rFonts w:cstheme="minorHAnsi"/>
                <w:sz w:val="32"/>
                <w:szCs w:val="32"/>
                <w:lang w:val="fr-FR"/>
              </w:rPr>
              <w:t>me</w:t>
            </w:r>
            <w:r w:rsidR="00DE7BC3" w:rsidRPr="007C666F">
              <w:rPr>
                <w:rFonts w:cstheme="minorHAnsi"/>
                <w:sz w:val="32"/>
                <w:szCs w:val="32"/>
                <w:vertAlign w:val="superscript"/>
                <w:lang w:val="fr-FR"/>
              </w:rPr>
              <w:t xml:space="preserve"> </w:t>
            </w:r>
            <w:r w:rsidRPr="007C666F">
              <w:rPr>
                <w:sz w:val="32"/>
                <w:szCs w:val="32"/>
                <w:lang w:val="fr-FR"/>
              </w:rPr>
              <w:t xml:space="preserve">RÉUNION DU </w:t>
            </w:r>
            <w:proofErr w:type="spellStart"/>
            <w:r w:rsidRPr="007C666F">
              <w:rPr>
                <w:sz w:val="32"/>
                <w:szCs w:val="32"/>
                <w:lang w:val="fr-FR"/>
              </w:rPr>
              <w:t>G</w:t>
            </w:r>
            <w:r w:rsidR="00DE7BC3" w:rsidRPr="007C666F">
              <w:rPr>
                <w:sz w:val="32"/>
                <w:szCs w:val="32"/>
                <w:lang w:val="fr-FR"/>
              </w:rPr>
              <w:t>TC</w:t>
            </w:r>
            <w:proofErr w:type="spellEnd"/>
            <w:r w:rsidR="00DE7BC3" w:rsidRPr="007C666F">
              <w:rPr>
                <w:sz w:val="32"/>
                <w:szCs w:val="32"/>
                <w:lang w:val="fr-FR"/>
              </w:rPr>
              <w:t>-LANG</w:t>
            </w:r>
          </w:p>
        </w:tc>
      </w:tr>
      <w:tr w:rsidR="00D72F49" w:rsidRPr="007C666F" w14:paraId="51F06FD7" w14:textId="77777777" w:rsidTr="00D72F49">
        <w:trPr>
          <w:cantSplit/>
        </w:trPr>
        <w:tc>
          <w:tcPr>
            <w:tcW w:w="9214" w:type="dxa"/>
            <w:gridSpan w:val="2"/>
            <w:tcBorders>
              <w:top w:val="single" w:sz="4" w:space="0" w:color="auto"/>
              <w:bottom w:val="single" w:sz="4" w:space="0" w:color="auto"/>
            </w:tcBorders>
            <w:tcMar>
              <w:left w:w="0" w:type="dxa"/>
            </w:tcMar>
          </w:tcPr>
          <w:p w14:paraId="062D4220" w14:textId="77777777" w:rsidR="00D72F49" w:rsidRPr="007C666F" w:rsidRDefault="00F37FE5" w:rsidP="00D72F49">
            <w:pPr>
              <w:spacing w:before="160"/>
              <w:rPr>
                <w:b/>
                <w:bCs/>
                <w:sz w:val="26"/>
                <w:szCs w:val="26"/>
              </w:rPr>
            </w:pPr>
            <w:r w:rsidRPr="007C666F">
              <w:rPr>
                <w:b/>
                <w:bCs/>
                <w:sz w:val="26"/>
                <w:szCs w:val="26"/>
              </w:rPr>
              <w:t>Objet</w:t>
            </w:r>
          </w:p>
          <w:p w14:paraId="114E8970" w14:textId="538C6E9E" w:rsidR="00D72F49" w:rsidRPr="007C666F" w:rsidRDefault="0013146B" w:rsidP="00A47BFC">
            <w:pPr>
              <w:jc w:val="both"/>
            </w:pPr>
            <w:r w:rsidRPr="007C666F">
              <w:t>Le présent rapport récapitule les activités et les réalisations de la 16ème réunion du Groupe</w:t>
            </w:r>
            <w:r w:rsidR="00547441" w:rsidRPr="007C666F">
              <w:t xml:space="preserve"> </w:t>
            </w:r>
            <w:r w:rsidRPr="007C666F">
              <w:t>de travail du Conseil sur l'utilisation des langues (GTC-LANG), conformément à la Résolution 154 (Rév. Bucarest, 2022) de la Conférence de plénipotentiaires et à la Résolution 1372 (Mod. 2024) du Conseil.</w:t>
            </w:r>
          </w:p>
          <w:p w14:paraId="0CFB4FED" w14:textId="77777777" w:rsidR="00D72F49" w:rsidRPr="007C666F" w:rsidRDefault="00D72F49" w:rsidP="00D72F49">
            <w:pPr>
              <w:spacing w:before="160"/>
              <w:rPr>
                <w:b/>
                <w:bCs/>
                <w:sz w:val="26"/>
                <w:szCs w:val="26"/>
              </w:rPr>
            </w:pPr>
            <w:r w:rsidRPr="007C666F">
              <w:rPr>
                <w:b/>
                <w:bCs/>
                <w:sz w:val="26"/>
                <w:szCs w:val="26"/>
              </w:rPr>
              <w:t>Suite à donner par le Conseil</w:t>
            </w:r>
          </w:p>
          <w:p w14:paraId="20360074" w14:textId="60B985CC" w:rsidR="00D72F49" w:rsidRPr="007C666F" w:rsidRDefault="0013146B" w:rsidP="00D72F49">
            <w:r w:rsidRPr="007C666F">
              <w:t xml:space="preserve">Le Conseil est invité à </w:t>
            </w:r>
            <w:r w:rsidR="00026A71" w:rsidRPr="007C666F">
              <w:rPr>
                <w:b/>
                <w:bCs/>
              </w:rPr>
              <w:t xml:space="preserve">prendre note </w:t>
            </w:r>
            <w:r w:rsidR="00026A71" w:rsidRPr="007C666F">
              <w:t>du</w:t>
            </w:r>
            <w:r w:rsidRPr="007C666F">
              <w:t xml:space="preserve"> présent rapport.</w:t>
            </w:r>
          </w:p>
          <w:p w14:paraId="52BC354F" w14:textId="77777777" w:rsidR="00D72F49" w:rsidRPr="007C666F" w:rsidRDefault="00D72F49" w:rsidP="00D72F49">
            <w:pPr>
              <w:spacing w:before="160"/>
              <w:rPr>
                <w:b/>
                <w:bCs/>
                <w:sz w:val="26"/>
                <w:szCs w:val="26"/>
              </w:rPr>
            </w:pPr>
            <w:r w:rsidRPr="007C666F">
              <w:rPr>
                <w:b/>
                <w:bCs/>
                <w:sz w:val="26"/>
                <w:szCs w:val="26"/>
              </w:rPr>
              <w:t xml:space="preserve">Lien(s) pertinent(s) avec le </w:t>
            </w:r>
            <w:r w:rsidR="00F37FE5" w:rsidRPr="007C666F">
              <w:rPr>
                <w:b/>
                <w:bCs/>
                <w:sz w:val="26"/>
                <w:szCs w:val="26"/>
              </w:rPr>
              <w:t>p</w:t>
            </w:r>
            <w:r w:rsidRPr="007C666F">
              <w:rPr>
                <w:b/>
                <w:bCs/>
                <w:sz w:val="26"/>
                <w:szCs w:val="26"/>
              </w:rPr>
              <w:t>lan stratégique</w:t>
            </w:r>
          </w:p>
          <w:p w14:paraId="1956095E" w14:textId="265785A9" w:rsidR="00D72F49" w:rsidRPr="007C666F" w:rsidRDefault="0013146B" w:rsidP="00D72F49">
            <w:r w:rsidRPr="007C666F">
              <w:t>Excellence en matière de ressources humaines et d'innovation institutionnelle.</w:t>
            </w:r>
          </w:p>
          <w:p w14:paraId="14B223AF" w14:textId="77777777" w:rsidR="00E95647" w:rsidRPr="007C666F" w:rsidRDefault="00D72F49" w:rsidP="00D72F49">
            <w:pPr>
              <w:spacing w:before="160"/>
              <w:rPr>
                <w:b/>
                <w:bCs/>
                <w:sz w:val="26"/>
                <w:szCs w:val="26"/>
              </w:rPr>
            </w:pPr>
            <w:r w:rsidRPr="007C666F">
              <w:rPr>
                <w:b/>
                <w:bCs/>
                <w:sz w:val="26"/>
                <w:szCs w:val="26"/>
              </w:rPr>
              <w:t>Incidences financières</w:t>
            </w:r>
          </w:p>
          <w:p w14:paraId="110F9D76" w14:textId="01FE4614" w:rsidR="00D72F49" w:rsidRPr="007C666F" w:rsidRDefault="0013146B" w:rsidP="00882919">
            <w:pPr>
              <w:rPr>
                <w:szCs w:val="24"/>
              </w:rPr>
            </w:pPr>
            <w:r w:rsidRPr="007C666F">
              <w:rPr>
                <w:szCs w:val="24"/>
              </w:rPr>
              <w:t>Dans les limites du budget</w:t>
            </w:r>
            <w:r w:rsidR="00C60463" w:rsidRPr="007C666F">
              <w:rPr>
                <w:szCs w:val="24"/>
              </w:rPr>
              <w:t xml:space="preserve"> 2024-2025</w:t>
            </w:r>
            <w:r w:rsidRPr="007C666F">
              <w:rPr>
                <w:szCs w:val="24"/>
              </w:rPr>
              <w:t>.</w:t>
            </w:r>
          </w:p>
          <w:p w14:paraId="1F1863C7" w14:textId="77777777" w:rsidR="00D72F49" w:rsidRPr="007C666F" w:rsidRDefault="00D72F49" w:rsidP="00D72F49">
            <w:pPr>
              <w:spacing w:before="160"/>
              <w:rPr>
                <w:caps/>
                <w:sz w:val="22"/>
              </w:rPr>
            </w:pPr>
            <w:r w:rsidRPr="007C666F">
              <w:rPr>
                <w:sz w:val="22"/>
              </w:rPr>
              <w:t>__________________</w:t>
            </w:r>
          </w:p>
          <w:p w14:paraId="05B88DB5" w14:textId="77777777" w:rsidR="00D72F49" w:rsidRPr="007C666F" w:rsidRDefault="00D72F49" w:rsidP="00D72F49">
            <w:pPr>
              <w:spacing w:before="160"/>
              <w:rPr>
                <w:b/>
                <w:bCs/>
                <w:sz w:val="26"/>
                <w:szCs w:val="26"/>
              </w:rPr>
            </w:pPr>
            <w:r w:rsidRPr="007C666F">
              <w:rPr>
                <w:b/>
                <w:bCs/>
                <w:sz w:val="26"/>
                <w:szCs w:val="26"/>
              </w:rPr>
              <w:t>Références</w:t>
            </w:r>
          </w:p>
          <w:p w14:paraId="14210603" w14:textId="63CA1985" w:rsidR="00D72F49" w:rsidRPr="00A47BFC" w:rsidRDefault="0013146B" w:rsidP="00D72F49">
            <w:pPr>
              <w:spacing w:after="160"/>
              <w:rPr>
                <w:i/>
                <w:iCs/>
                <w:sz w:val="22"/>
                <w:szCs w:val="22"/>
              </w:rPr>
            </w:pPr>
            <w:hyperlink r:id="rId6" w:history="1">
              <w:r w:rsidRPr="00A47BFC">
                <w:rPr>
                  <w:rStyle w:val="Hyperlink"/>
                  <w:rFonts w:eastAsia="Times New Roman" w:cs="Times New Roman"/>
                  <w:i/>
                  <w:iCs/>
                  <w:sz w:val="22"/>
                </w:rPr>
                <w:t>Résolution 154</w:t>
              </w:r>
            </w:hyperlink>
            <w:r w:rsidRPr="00A47BFC">
              <w:rPr>
                <w:i/>
                <w:iCs/>
                <w:sz w:val="22"/>
                <w:szCs w:val="22"/>
              </w:rPr>
              <w:t xml:space="preserve"> (Rév. Bucarest, 2022) de la Conférence de plénipotentiaires; </w:t>
            </w:r>
            <w:hyperlink r:id="rId7" w:anchor="/fr" w:history="1">
              <w:r w:rsidRPr="00A47BFC">
                <w:rPr>
                  <w:rStyle w:val="Hyperlink"/>
                  <w:rFonts w:eastAsia="Times New Roman" w:cs="Times New Roman"/>
                  <w:i/>
                  <w:iCs/>
                  <w:sz w:val="22"/>
                </w:rPr>
                <w:t>Résolution 1372</w:t>
              </w:r>
            </w:hyperlink>
            <w:r w:rsidRPr="00A47BFC">
              <w:rPr>
                <w:i/>
                <w:iCs/>
                <w:sz w:val="22"/>
                <w:szCs w:val="22"/>
              </w:rPr>
              <w:t xml:space="preserve"> du Conseil (</w:t>
            </w:r>
            <w:r w:rsidR="00370BEC" w:rsidRPr="00A47BFC">
              <w:rPr>
                <w:i/>
                <w:iCs/>
                <w:sz w:val="22"/>
                <w:szCs w:val="22"/>
              </w:rPr>
              <w:t>Mod.</w:t>
            </w:r>
            <w:r w:rsidRPr="00A47BFC">
              <w:rPr>
                <w:i/>
                <w:iCs/>
                <w:sz w:val="22"/>
                <w:szCs w:val="22"/>
              </w:rPr>
              <w:t xml:space="preserve"> 2024</w:t>
            </w:r>
            <w:r w:rsidR="00370BEC" w:rsidRPr="00A47BFC">
              <w:rPr>
                <w:i/>
                <w:iCs/>
                <w:sz w:val="22"/>
                <w:szCs w:val="22"/>
              </w:rPr>
              <w:t xml:space="preserve">); Documents </w:t>
            </w:r>
            <w:hyperlink r:id="rId8" w:history="1">
              <w:hyperlink r:id="rId9" w:history="1">
                <w:hyperlink r:id="rId10" w:history="1">
                  <w:r w:rsidR="00370BEC" w:rsidRPr="00A47BFC">
                    <w:rPr>
                      <w:rStyle w:val="Hyperlink"/>
                      <w:rFonts w:asciiTheme="minorHAnsi" w:eastAsia="SimSun" w:hAnsiTheme="minorHAnsi"/>
                      <w:i/>
                      <w:iCs/>
                      <w:sz w:val="22"/>
                    </w:rPr>
                    <w:t>CWG-LANG-16/5</w:t>
                  </w:r>
                </w:hyperlink>
              </w:hyperlink>
            </w:hyperlink>
            <w:r w:rsidR="00370BEC" w:rsidRPr="00A47BFC">
              <w:rPr>
                <w:rFonts w:cs="Calibri"/>
                <w:i/>
                <w:iCs/>
                <w:sz w:val="22"/>
                <w:szCs w:val="22"/>
              </w:rPr>
              <w:t xml:space="preserve">, </w:t>
            </w:r>
            <w:hyperlink r:id="rId11" w:history="1">
              <w:hyperlink r:id="rId12" w:history="1">
                <w:r w:rsidR="00370BEC" w:rsidRPr="00A47BFC">
                  <w:rPr>
                    <w:rStyle w:val="Hyperlink"/>
                    <w:i/>
                    <w:iCs/>
                    <w:sz w:val="22"/>
                  </w:rPr>
                  <w:t>CWG-LANG/16-3</w:t>
                </w:r>
              </w:hyperlink>
            </w:hyperlink>
            <w:r w:rsidR="00370BEC" w:rsidRPr="00A47BFC">
              <w:rPr>
                <w:i/>
                <w:iCs/>
                <w:sz w:val="22"/>
                <w:szCs w:val="22"/>
              </w:rPr>
              <w:t xml:space="preserve"> et</w:t>
            </w:r>
            <w:r w:rsidR="004F6A9A" w:rsidRPr="00A47BFC">
              <w:rPr>
                <w:i/>
                <w:iCs/>
                <w:sz w:val="22"/>
                <w:szCs w:val="22"/>
              </w:rPr>
              <w:t xml:space="preserve"> </w:t>
            </w:r>
            <w:hyperlink r:id="rId13" w:history="1">
              <w:r w:rsidR="00370BEC" w:rsidRPr="00A47BFC">
                <w:rPr>
                  <w:rStyle w:val="Hyperlink"/>
                  <w:i/>
                  <w:iCs/>
                  <w:sz w:val="22"/>
                </w:rPr>
                <w:t>C25/INF/7</w:t>
              </w:r>
            </w:hyperlink>
            <w:r w:rsidR="00547441" w:rsidRPr="00A47BFC">
              <w:rPr>
                <w:i/>
                <w:iCs/>
                <w:sz w:val="22"/>
                <w:szCs w:val="22"/>
              </w:rPr>
              <w:t>.</w:t>
            </w:r>
          </w:p>
        </w:tc>
      </w:tr>
    </w:tbl>
    <w:p w14:paraId="53438FEC" w14:textId="77777777" w:rsidR="00A51849" w:rsidRPr="007C666F" w:rsidRDefault="00A51849">
      <w:pPr>
        <w:tabs>
          <w:tab w:val="clear" w:pos="567"/>
          <w:tab w:val="clear" w:pos="1134"/>
          <w:tab w:val="clear" w:pos="1701"/>
          <w:tab w:val="clear" w:pos="2268"/>
          <w:tab w:val="clear" w:pos="2835"/>
        </w:tabs>
        <w:overflowPunct/>
        <w:autoSpaceDE/>
        <w:autoSpaceDN/>
        <w:adjustRightInd/>
        <w:spacing w:before="0"/>
        <w:textAlignment w:val="auto"/>
      </w:pPr>
      <w:r w:rsidRPr="007C666F">
        <w:br w:type="page"/>
      </w:r>
    </w:p>
    <w:p w14:paraId="0E91A409" w14:textId="77777777" w:rsidR="0013146B" w:rsidRPr="007C666F" w:rsidRDefault="0013146B" w:rsidP="0013146B">
      <w:pPr>
        <w:pStyle w:val="Heading1"/>
      </w:pPr>
      <w:r w:rsidRPr="007C666F">
        <w:lastRenderedPageBreak/>
        <w:t>1</w:t>
      </w:r>
      <w:r w:rsidRPr="007C666F">
        <w:tab/>
        <w:t>Introduction</w:t>
      </w:r>
    </w:p>
    <w:p w14:paraId="044E9C2E" w14:textId="3686B088" w:rsidR="0013146B" w:rsidRPr="007C666F" w:rsidRDefault="0013146B" w:rsidP="00A47BFC">
      <w:pPr>
        <w:jc w:val="both"/>
      </w:pPr>
      <w:r w:rsidRPr="007C666F">
        <w:t xml:space="preserve">Le présent document contient le rapport de synthèse de la Présidente </w:t>
      </w:r>
      <w:r w:rsidR="007D5499" w:rsidRPr="007C666F">
        <w:t xml:space="preserve">concernant </w:t>
      </w:r>
      <w:r w:rsidRPr="007C666F">
        <w:t>la</w:t>
      </w:r>
      <w:r w:rsidR="00547441" w:rsidRPr="007C666F">
        <w:t xml:space="preserve"> </w:t>
      </w:r>
      <w:r w:rsidRPr="007C666F">
        <w:t>seizième réunion du Groupe de travail du Conseil sur l'utilisation des</w:t>
      </w:r>
      <w:r w:rsidR="00E97D30" w:rsidRPr="007C666F">
        <w:t xml:space="preserve"> six</w:t>
      </w:r>
      <w:r w:rsidRPr="007C666F">
        <w:t xml:space="preserve"> langues</w:t>
      </w:r>
      <w:r w:rsidR="00E97D30" w:rsidRPr="007C666F">
        <w:t xml:space="preserve"> officielles de l'Union</w:t>
      </w:r>
      <w:r w:rsidRPr="007C666F">
        <w:t xml:space="preserve"> (GTC-LANG)</w:t>
      </w:r>
      <w:r w:rsidR="00942CE7" w:rsidRPr="007C666F">
        <w:t>,</w:t>
      </w:r>
      <w:r w:rsidRPr="007C666F">
        <w:t xml:space="preserve"> tenue le 12</w:t>
      </w:r>
      <w:r w:rsidR="00907D37" w:rsidRPr="007C666F">
        <w:t> </w:t>
      </w:r>
      <w:r w:rsidRPr="007C666F">
        <w:t>février</w:t>
      </w:r>
      <w:r w:rsidR="00907D37" w:rsidRPr="007C666F">
        <w:t> </w:t>
      </w:r>
      <w:r w:rsidRPr="007C666F">
        <w:t>2025</w:t>
      </w:r>
      <w:r w:rsidR="00AF6A63" w:rsidRPr="007C666F">
        <w:t xml:space="preserve">. </w:t>
      </w:r>
      <w:r w:rsidR="00FC5AB0" w:rsidRPr="007C666F">
        <w:t>Ce</w:t>
      </w:r>
      <w:r w:rsidR="00AF6A63" w:rsidRPr="007C666F">
        <w:t xml:space="preserve"> rapport a été</w:t>
      </w:r>
      <w:r w:rsidR="00942CE7" w:rsidRPr="007C666F">
        <w:t xml:space="preserve"> </w:t>
      </w:r>
      <w:r w:rsidRPr="007C666F">
        <w:t>élaboré sur la base du compte rendu détaillé de la réunion (</w:t>
      </w:r>
      <w:hyperlink r:id="rId14" w:history="1">
        <w:r w:rsidRPr="007C666F">
          <w:rPr>
            <w:rStyle w:val="Hyperlink"/>
            <w:rFonts w:eastAsia="Times New Roman" w:cs="Times New Roman"/>
            <w:szCs w:val="20"/>
          </w:rPr>
          <w:t>Document</w:t>
        </w:r>
        <w:r w:rsidR="00907D37" w:rsidRPr="007C666F">
          <w:rPr>
            <w:rStyle w:val="Hyperlink"/>
            <w:rFonts w:eastAsia="Times New Roman" w:cs="Times New Roman"/>
            <w:szCs w:val="20"/>
          </w:rPr>
          <w:t> </w:t>
        </w:r>
        <w:r w:rsidRPr="007C666F">
          <w:rPr>
            <w:rStyle w:val="Hyperlink"/>
            <w:rFonts w:eastAsia="Times New Roman" w:cs="Times New Roman"/>
            <w:szCs w:val="20"/>
          </w:rPr>
          <w:t>CWG</w:t>
        </w:r>
        <w:r w:rsidR="00907D37" w:rsidRPr="007C666F">
          <w:rPr>
            <w:rStyle w:val="Hyperlink"/>
            <w:rFonts w:eastAsia="Times New Roman" w:cs="Times New Roman"/>
            <w:szCs w:val="20"/>
          </w:rPr>
          <w:noBreakHyphen/>
        </w:r>
        <w:r w:rsidRPr="007C666F">
          <w:rPr>
            <w:rStyle w:val="Hyperlink"/>
            <w:rFonts w:eastAsia="Times New Roman" w:cs="Times New Roman"/>
            <w:szCs w:val="20"/>
          </w:rPr>
          <w:t>LANG-16/5</w:t>
        </w:r>
      </w:hyperlink>
      <w:r w:rsidRPr="007C666F">
        <w:t>). La réunion a été présidée par la Vice-Présidente du GTC-LANG Mme Blanca Gonzalez (Espagne), qui a assuré la présidence à titre intérimaire en l'absence de la Présidente du Groupe, Mme</w:t>
      </w:r>
      <w:r w:rsidR="00547441" w:rsidRPr="007C666F">
        <w:t> </w:t>
      </w:r>
      <w:r w:rsidRPr="007C666F">
        <w:t>Sharon</w:t>
      </w:r>
      <w:r w:rsidR="00547441" w:rsidRPr="007C666F">
        <w:t> </w:t>
      </w:r>
      <w:r w:rsidRPr="007C666F">
        <w:t>Bosire</w:t>
      </w:r>
      <w:r w:rsidR="00547441" w:rsidRPr="007C666F">
        <w:t> </w:t>
      </w:r>
      <w:r w:rsidRPr="007C666F">
        <w:t>(Kenya).</w:t>
      </w:r>
    </w:p>
    <w:p w14:paraId="56CA38F2" w14:textId="1311A87E" w:rsidR="0013146B" w:rsidRPr="007C666F" w:rsidRDefault="00961468" w:rsidP="00A47BFC">
      <w:pPr>
        <w:jc w:val="both"/>
      </w:pPr>
      <w:r w:rsidRPr="007C666F">
        <w:t>En application</w:t>
      </w:r>
      <w:r w:rsidR="00DF2457" w:rsidRPr="007C666F">
        <w:t xml:space="preserve"> de</w:t>
      </w:r>
      <w:r w:rsidR="0013146B" w:rsidRPr="007C666F">
        <w:t xml:space="preserve"> la Résolution 154</w:t>
      </w:r>
      <w:r w:rsidR="00C46E67" w:rsidRPr="007C666F">
        <w:t xml:space="preserve"> de la Conférence de plénipotentiaires</w:t>
      </w:r>
      <w:r w:rsidR="0013146B" w:rsidRPr="007C666F">
        <w:t>,</w:t>
      </w:r>
      <w:r w:rsidR="006644F1" w:rsidRPr="007C666F">
        <w:t xml:space="preserve"> et conformément au rapport de la Secrétaire générale reproduit dans le </w:t>
      </w:r>
      <w:hyperlink r:id="rId15" w:history="1">
        <w:r w:rsidR="006644F1" w:rsidRPr="007C666F">
          <w:rPr>
            <w:rStyle w:val="Hyperlink"/>
            <w:rFonts w:eastAsia="Times New Roman" w:cs="Times New Roman"/>
            <w:szCs w:val="20"/>
          </w:rPr>
          <w:t>Document CWG-LANG-16/2</w:t>
        </w:r>
      </w:hyperlink>
      <w:r w:rsidR="006644F1" w:rsidRPr="007C666F">
        <w:t>,</w:t>
      </w:r>
      <w:r w:rsidR="0013146B" w:rsidRPr="007C666F">
        <w:t xml:space="preserve"> les travaux du GTC-LANG étaient axés sur les sujets suivants:</w:t>
      </w:r>
    </w:p>
    <w:p w14:paraId="26F78A83" w14:textId="415D8BE4" w:rsidR="0013146B" w:rsidRPr="007C666F" w:rsidRDefault="0013146B" w:rsidP="00A47BFC">
      <w:pPr>
        <w:pStyle w:val="enumlev1"/>
        <w:spacing w:before="80"/>
        <w:jc w:val="both"/>
      </w:pPr>
      <w:r w:rsidRPr="007C666F">
        <w:t>a)</w:t>
      </w:r>
      <w:r w:rsidRPr="007C666F">
        <w:tab/>
        <w:t>Analyse du budget et des volumes pour la traduction et l'interprétation dans les six</w:t>
      </w:r>
      <w:r w:rsidR="00907D37" w:rsidRPr="007C666F">
        <w:t> </w:t>
      </w:r>
      <w:r w:rsidRPr="007C666F">
        <w:t>langues officielles pour la période 2019-2024.</w:t>
      </w:r>
    </w:p>
    <w:p w14:paraId="01897AF7" w14:textId="09B96D44" w:rsidR="0013146B" w:rsidRPr="007C666F" w:rsidRDefault="0013146B" w:rsidP="00A47BFC">
      <w:pPr>
        <w:pStyle w:val="enumlev1"/>
        <w:spacing w:before="80"/>
        <w:jc w:val="both"/>
      </w:pPr>
      <w:r w:rsidRPr="007C666F">
        <w:t>b)</w:t>
      </w:r>
      <w:r w:rsidRPr="007C666F">
        <w:tab/>
        <w:t>Utilisation des nouvelles technologies pour accroître l'efficacité et la rentabilité des services linguistiques, y compris la traduction automatique grâce à la suite d'outils ITU</w:t>
      </w:r>
      <w:r w:rsidR="00907D37" w:rsidRPr="007C666F">
        <w:t> </w:t>
      </w:r>
      <w:r w:rsidRPr="007C666F">
        <w:t>Translate fondée sur l'intelligence artificielle (IA).</w:t>
      </w:r>
    </w:p>
    <w:p w14:paraId="123F1220" w14:textId="77777777" w:rsidR="0013146B" w:rsidRPr="007C666F" w:rsidRDefault="0013146B" w:rsidP="00A47BFC">
      <w:pPr>
        <w:pStyle w:val="enumlev1"/>
        <w:spacing w:before="80"/>
        <w:ind w:right="-112"/>
        <w:jc w:val="both"/>
      </w:pPr>
      <w:r w:rsidRPr="007C666F">
        <w:t>c)</w:t>
      </w:r>
      <w:r w:rsidRPr="007C666F">
        <w:tab/>
        <w:t>Défis et perspectives liés aux technologies d'interprétation fondées sur l'IA et évaluation de l'interprétation assistée par l'IA telle qu'elle a été testée durant la réunion.</w:t>
      </w:r>
    </w:p>
    <w:p w14:paraId="18A7188A" w14:textId="77777777" w:rsidR="0013146B" w:rsidRPr="007C666F" w:rsidRDefault="0013146B" w:rsidP="00A47BFC">
      <w:pPr>
        <w:pStyle w:val="enumlev1"/>
        <w:spacing w:before="80"/>
        <w:jc w:val="both"/>
      </w:pPr>
      <w:r w:rsidRPr="007C666F">
        <w:t>d)</w:t>
      </w:r>
      <w:r w:rsidRPr="007C666F">
        <w:tab/>
        <w:t>Mise en œuvre du Guide relatif aux pratiques actuelles et futures en matière de multilinguisme à l'UIT et des lignes directrices connexes à l'intention du personnel concernant l'utilisation de la traduction automatique.</w:t>
      </w:r>
    </w:p>
    <w:p w14:paraId="5D652CFA" w14:textId="77777777" w:rsidR="0013146B" w:rsidRPr="007C666F" w:rsidRDefault="0013146B" w:rsidP="00A47BFC">
      <w:pPr>
        <w:pStyle w:val="enumlev1"/>
        <w:spacing w:before="80"/>
        <w:ind w:right="-56"/>
        <w:jc w:val="both"/>
      </w:pPr>
      <w:r w:rsidRPr="007C666F">
        <w:t>e)</w:t>
      </w:r>
      <w:r w:rsidRPr="007C666F">
        <w:tab/>
        <w:t>État d'avancement des travaux du Comité de coordination de l'UIT pour la terminologie (CCT), y compris un nouveau système de gestion des flux de travail et la collaboration avec les États Membres concernant la traduction des termes et définitions.</w:t>
      </w:r>
    </w:p>
    <w:p w14:paraId="0D7B55EB" w14:textId="34EA0CC3" w:rsidR="0013146B" w:rsidRPr="007C666F" w:rsidRDefault="0013146B" w:rsidP="00A47BFC">
      <w:pPr>
        <w:pStyle w:val="enumlev1"/>
        <w:spacing w:before="80"/>
        <w:jc w:val="both"/>
      </w:pPr>
      <w:r w:rsidRPr="007C666F">
        <w:t>f)</w:t>
      </w:r>
      <w:r w:rsidRPr="007C666F">
        <w:tab/>
        <w:t>Efforts déployés pour améliorer l'harmonisation du site web de l'UIT dans les six</w:t>
      </w:r>
      <w:r w:rsidR="00907D37" w:rsidRPr="007C666F">
        <w:t> </w:t>
      </w:r>
      <w:r w:rsidRPr="007C666F">
        <w:t>langues ainsi que la fonction de recherche.</w:t>
      </w:r>
    </w:p>
    <w:p w14:paraId="4F9BC122" w14:textId="77777777" w:rsidR="0013146B" w:rsidRPr="007C666F" w:rsidRDefault="0013146B" w:rsidP="00A47BFC">
      <w:pPr>
        <w:pStyle w:val="enumlev1"/>
        <w:spacing w:before="80"/>
        <w:ind w:right="-143"/>
        <w:jc w:val="both"/>
      </w:pPr>
      <w:r w:rsidRPr="007C666F">
        <w:t>g)</w:t>
      </w:r>
      <w:r w:rsidRPr="007C666F">
        <w:tab/>
      </w:r>
      <w:r w:rsidRPr="007C666F">
        <w:rPr>
          <w:spacing w:val="-2"/>
        </w:rPr>
        <w:t>Participation à des réunions interinstitutions afin de comparer les outils et les procédures.</w:t>
      </w:r>
    </w:p>
    <w:p w14:paraId="254D0800" w14:textId="77777777" w:rsidR="0013146B" w:rsidRPr="007C666F" w:rsidRDefault="0013146B" w:rsidP="002D5EDE">
      <w:pPr>
        <w:pStyle w:val="Heading1"/>
      </w:pPr>
      <w:r w:rsidRPr="007C666F">
        <w:t>2</w:t>
      </w:r>
      <w:r w:rsidRPr="007C666F">
        <w:tab/>
        <w:t>Principaux thèmes de discussion</w:t>
      </w:r>
    </w:p>
    <w:p w14:paraId="1738A8E4" w14:textId="11F85C40" w:rsidR="0013146B" w:rsidRPr="007C666F" w:rsidRDefault="0013146B" w:rsidP="00A47BFC">
      <w:pPr>
        <w:pStyle w:val="enumlev1"/>
        <w:spacing w:before="80"/>
        <w:jc w:val="both"/>
      </w:pPr>
      <w:r w:rsidRPr="007C666F">
        <w:t>a)</w:t>
      </w:r>
      <w:r w:rsidRPr="007C666F">
        <w:tab/>
        <w:t>Les délégués se sont félicités des progrès accomplis en matière d'efficacité des coûts dans les services linguistiques et du niveau de transparence dans l'établissement des rapports. Les économies réalisées pourraient servir à investir davantage dans les nouvelles technologies, tout en garantissant le maintien de la qualité des services linguistiques.</w:t>
      </w:r>
    </w:p>
    <w:p w14:paraId="73B3F1D7" w14:textId="2CCAA130" w:rsidR="0013146B" w:rsidRPr="007C666F" w:rsidRDefault="0013146B" w:rsidP="00A47BFC">
      <w:pPr>
        <w:pStyle w:val="enumlev1"/>
        <w:spacing w:before="80"/>
        <w:jc w:val="both"/>
      </w:pPr>
      <w:r w:rsidRPr="007C666F">
        <w:t>b)</w:t>
      </w:r>
      <w:r w:rsidRPr="007C666F">
        <w:tab/>
        <w:t>Le perfectionnement des outils de traduction automatique et leur utilisation accrue dans le cadre d'ITU Translate ont été salués. La qualité des résultats obtenus avec ITU</w:t>
      </w:r>
      <w:r w:rsidR="00907D37" w:rsidRPr="007C666F">
        <w:t> </w:t>
      </w:r>
      <w:r w:rsidRPr="007C666F">
        <w:t>Translate pour les pages web devrait continuer de s'améliorer grâce à des mécanismes de suivi, de post-édition et de retour d'information permettant aux délégués de contribuer directement aux processus.</w:t>
      </w:r>
    </w:p>
    <w:p w14:paraId="5951BC17" w14:textId="77777777" w:rsidR="0013146B" w:rsidRPr="007C666F" w:rsidRDefault="0013146B" w:rsidP="00A47BFC">
      <w:pPr>
        <w:pStyle w:val="enumlev1"/>
        <w:widowControl w:val="0"/>
        <w:spacing w:before="80"/>
        <w:jc w:val="both"/>
      </w:pPr>
      <w:r w:rsidRPr="007C666F">
        <w:t>c)</w:t>
      </w:r>
      <w:r w:rsidRPr="007C666F">
        <w:tab/>
        <w:t>Les tests d'interprétation assistée par l'IA effectués pendant la réunion ont reçu un accueil favorable. Il a été recommandé de poursuivre les essais, y compris au niveau des commissions d'études des Secteurs, pour s'assurer que les participants sont au courant de l'utilisation de cette technologie et peuvent fournir une évaluation de la qualité sur les plans technique et linguistique.</w:t>
      </w:r>
    </w:p>
    <w:p w14:paraId="2FA9A948" w14:textId="77777777" w:rsidR="0013146B" w:rsidRPr="007C666F" w:rsidRDefault="0013146B" w:rsidP="00A47BFC">
      <w:pPr>
        <w:pStyle w:val="enumlev1"/>
        <w:jc w:val="both"/>
      </w:pPr>
      <w:r w:rsidRPr="007C666F">
        <w:lastRenderedPageBreak/>
        <w:t>d)</w:t>
      </w:r>
      <w:r w:rsidRPr="007C666F">
        <w:tab/>
        <w:t>Le document sur les mesures et principes concernant l'interprétation et la traduction à l'UIT devrait être mis à l'examen, en vue d'intégrer clairement l'utilisation de la traduction automatique pour les documents, les pages web et les publications concernés.</w:t>
      </w:r>
    </w:p>
    <w:p w14:paraId="1ACFEA5A" w14:textId="77777777" w:rsidR="0013146B" w:rsidRPr="007C666F" w:rsidRDefault="0013146B" w:rsidP="00A47BFC">
      <w:pPr>
        <w:pStyle w:val="enumlev1"/>
        <w:jc w:val="both"/>
      </w:pPr>
      <w:r w:rsidRPr="007C666F">
        <w:t>e)</w:t>
      </w:r>
      <w:r w:rsidRPr="007C666F">
        <w:tab/>
        <w:t>Le recours à la traduction automatique et à l'interprétation assistée par l'IA dans les langues non officielles devrait être envisagé à l'avenir.</w:t>
      </w:r>
    </w:p>
    <w:p w14:paraId="355E4534" w14:textId="09BA2B1F" w:rsidR="0013146B" w:rsidRPr="007C666F" w:rsidRDefault="0013146B" w:rsidP="00A47BFC">
      <w:pPr>
        <w:pStyle w:val="enumlev1"/>
        <w:jc w:val="both"/>
      </w:pPr>
      <w:r w:rsidRPr="007C666F">
        <w:t>f)</w:t>
      </w:r>
      <w:r w:rsidRPr="007C666F">
        <w:tab/>
        <w:t>Le rapport verbal ci-après sur les efforts déployés pour améliorer le site web de l'UIT a été transmis au GTC-LANG en réponse à la demande d'informations plus détaillées soulevée dans la contribution de la Fédération de Russie (</w:t>
      </w:r>
      <w:hyperlink r:id="rId16" w:history="1">
        <w:r w:rsidRPr="007C666F">
          <w:rPr>
            <w:rStyle w:val="Hyperlink"/>
            <w:rFonts w:eastAsia="Times New Roman" w:cs="Times New Roman"/>
            <w:szCs w:val="20"/>
          </w:rPr>
          <w:t>Document CWG-LANG-16/4</w:t>
        </w:r>
      </w:hyperlink>
      <w:r w:rsidRPr="007C666F">
        <w:t>):</w:t>
      </w:r>
    </w:p>
    <w:p w14:paraId="7C91B2CE" w14:textId="2477E816" w:rsidR="0013146B" w:rsidRPr="007C666F" w:rsidRDefault="00907D37" w:rsidP="00A47BFC">
      <w:pPr>
        <w:pStyle w:val="enumlev2"/>
        <w:jc w:val="both"/>
      </w:pPr>
      <w:r w:rsidRPr="007C666F">
        <w:tab/>
      </w:r>
      <w:r w:rsidRPr="007C666F">
        <w:tab/>
      </w:r>
      <w:r w:rsidR="0013146B" w:rsidRPr="007C666F">
        <w:t>L'UIT a apporté des améliorations au site web, notamment en continuant d'affiner l'utilisation du moteur de recherche Google sur son site web accessible au public afin d'améliorer l'expérience utilisateur en matière de recherche, en renforçant la fonction de retour d'information sur le site web et en analysant l'expérience et le comportement des utilisateurs. Tous les nouveaux sites web créés sur la plate-forme WordPress incluent une fonction de traduction automatique dans les six langues officielles de l'Union. Le Secrétariat a reçu</w:t>
      </w:r>
      <w:r w:rsidR="00C90E74" w:rsidRPr="007C666F">
        <w:t> </w:t>
      </w:r>
      <w:r w:rsidR="0013146B" w:rsidRPr="007C666F">
        <w:t>350</w:t>
      </w:r>
      <w:r w:rsidRPr="007C666F">
        <w:t> </w:t>
      </w:r>
      <w:r w:rsidR="0013146B" w:rsidRPr="007C666F">
        <w:t>000 CHF au titre du budget du projet de nouveau site web et s'efforce de trouver les 250 000 CHF restants prévus dans le budget du projet. Des appels d'offres pour l'architecture de l'information et la taxonomie, et pour le développement par des spécialistes de WordPress ont été préparés. Les travaux visant à analyser les sites web actuels et à créer un cadre de gouvernance du</w:t>
      </w:r>
      <w:r w:rsidRPr="007C666F">
        <w:t xml:space="preserve"> </w:t>
      </w:r>
      <w:r w:rsidR="0013146B" w:rsidRPr="007C666F">
        <w:t>web ont débuté. Des informations actualisées sur l'état d'avancement du</w:t>
      </w:r>
      <w:r w:rsidRPr="007C666F">
        <w:t xml:space="preserve"> </w:t>
      </w:r>
      <w:r w:rsidR="0013146B" w:rsidRPr="007C666F">
        <w:t>projet seront communiquées régulièrement au GTC-LANG, au Groupe de travail du</w:t>
      </w:r>
      <w:r w:rsidR="00547441" w:rsidRPr="007C666F">
        <w:t> </w:t>
      </w:r>
      <w:r w:rsidR="0013146B" w:rsidRPr="007C666F">
        <w:t>Conseil sur les ressources financières et les ressources humaines (GTC</w:t>
      </w:r>
      <w:r w:rsidRPr="007C666F">
        <w:noBreakHyphen/>
      </w:r>
      <w:r w:rsidR="0013146B" w:rsidRPr="007C666F">
        <w:t>FHR) et</w:t>
      </w:r>
      <w:r w:rsidR="00547441" w:rsidRPr="007C666F">
        <w:t> </w:t>
      </w:r>
      <w:r w:rsidR="0013146B" w:rsidRPr="007C666F">
        <w:t>au</w:t>
      </w:r>
      <w:r w:rsidRPr="007C666F">
        <w:t xml:space="preserve"> </w:t>
      </w:r>
      <w:r w:rsidR="0013146B" w:rsidRPr="007C666F">
        <w:t>Conseil.</w:t>
      </w:r>
    </w:p>
    <w:p w14:paraId="7C857DA5" w14:textId="77777777" w:rsidR="0013146B" w:rsidRPr="007C666F" w:rsidRDefault="0013146B" w:rsidP="00907D37">
      <w:pPr>
        <w:pStyle w:val="Heading1"/>
      </w:pPr>
      <w:r w:rsidRPr="007C666F">
        <w:t>3</w:t>
      </w:r>
      <w:r w:rsidRPr="007C666F">
        <w:tab/>
        <w:t>Résultats de la réunion du GTC-LANG</w:t>
      </w:r>
    </w:p>
    <w:p w14:paraId="28322A0A" w14:textId="0F26108A" w:rsidR="0013146B" w:rsidRPr="007C666F" w:rsidRDefault="0013146B" w:rsidP="00A47BFC">
      <w:pPr>
        <w:jc w:val="both"/>
      </w:pPr>
      <w:r w:rsidRPr="007C666F">
        <w:t xml:space="preserve">Les principaux résultats de la </w:t>
      </w:r>
      <w:hyperlink r:id="rId17" w:history="1">
        <w:r w:rsidRPr="007C666F">
          <w:rPr>
            <w:rStyle w:val="Hyperlink"/>
            <w:rFonts w:eastAsia="Times New Roman" w:cs="Times New Roman"/>
            <w:szCs w:val="20"/>
          </w:rPr>
          <w:t>seizième réunion du GTC-LANG</w:t>
        </w:r>
      </w:hyperlink>
      <w:r w:rsidRPr="007C666F">
        <w:t xml:space="preserve"> ont été les suivants:</w:t>
      </w:r>
    </w:p>
    <w:p w14:paraId="2783884B" w14:textId="4255447E" w:rsidR="0013146B" w:rsidRPr="007C666F" w:rsidRDefault="0013146B" w:rsidP="00A47BFC">
      <w:pPr>
        <w:pStyle w:val="enumlev1"/>
        <w:jc w:val="both"/>
      </w:pPr>
      <w:r w:rsidRPr="007C666F">
        <w:t>–</w:t>
      </w:r>
      <w:r w:rsidRPr="007C666F">
        <w:tab/>
        <w:t>Demander au Secrétariat de fournir le détail des dépenses annuelles par rapport au plafond budgétaire de 85 millions CHF pour les services linguistiques dans les rapports qui seront soumis à l'intention du GTC-LANG, et d'indiquer dans une note de bas de page que 2022 a été une année exceptionnelle en termes de conférences tenues.</w:t>
      </w:r>
    </w:p>
    <w:p w14:paraId="7C1063BC" w14:textId="5C3F67F3" w:rsidR="0013146B" w:rsidRPr="007C666F" w:rsidRDefault="0013146B" w:rsidP="00A47BFC">
      <w:pPr>
        <w:pStyle w:val="enumlev1"/>
        <w:jc w:val="both"/>
      </w:pPr>
      <w:r w:rsidRPr="007C666F">
        <w:t>–</w:t>
      </w:r>
      <w:r w:rsidRPr="007C666F">
        <w:tab/>
        <w:t>Inclure des mises à jour sur l'évolution du site web et l'amélioration des moteurs de recherche dans tous les futurs rapports du GTC-LANG, comme indiqué dans la Résolution 154</w:t>
      </w:r>
      <w:r w:rsidR="00FF4732" w:rsidRPr="007C666F">
        <w:t xml:space="preserve"> de la Conférence de plénipotentiaires</w:t>
      </w:r>
      <w:r w:rsidRPr="007C666F">
        <w:t>.</w:t>
      </w:r>
    </w:p>
    <w:p w14:paraId="1BCF0FDF" w14:textId="5A3973D5" w:rsidR="0013146B" w:rsidRPr="007C666F" w:rsidRDefault="0013146B" w:rsidP="00A47BFC">
      <w:pPr>
        <w:pStyle w:val="enumlev1"/>
        <w:jc w:val="both"/>
      </w:pPr>
      <w:r w:rsidRPr="007C666F">
        <w:t>–</w:t>
      </w:r>
      <w:r w:rsidRPr="007C666F">
        <w:tab/>
      </w:r>
      <w:r w:rsidR="00737FF7" w:rsidRPr="007C666F">
        <w:t>P</w:t>
      </w:r>
      <w:r w:rsidRPr="007C666F">
        <w:t>rendre note des informations actualisées sur la mise en œuvre du Guide sur le multilinguisme, y compris des données sur l'utilisation des outils de traduction automatique ITU Translate</w:t>
      </w:r>
      <w:r w:rsidR="00737FF7" w:rsidRPr="007C666F">
        <w:t xml:space="preserve"> (</w:t>
      </w:r>
      <w:hyperlink r:id="rId18" w:history="1">
        <w:r w:rsidR="00737FF7" w:rsidRPr="007C666F">
          <w:rPr>
            <w:rStyle w:val="Hyperlink"/>
            <w:rFonts w:eastAsia="Times New Roman" w:cs="Times New Roman"/>
            <w:szCs w:val="20"/>
          </w:rPr>
          <w:t xml:space="preserve">Document </w:t>
        </w:r>
        <w:r w:rsidR="00737FF7" w:rsidRPr="007C666F">
          <w:rPr>
            <w:rStyle w:val="Hyperlink"/>
          </w:rPr>
          <w:t>CWG-LANG/16-3</w:t>
        </w:r>
      </w:hyperlink>
      <w:r w:rsidR="00737FF7" w:rsidRPr="007C666F">
        <w:t>)</w:t>
      </w:r>
      <w:r w:rsidRPr="007C666F">
        <w:t>.</w:t>
      </w:r>
    </w:p>
    <w:p w14:paraId="61F5343D" w14:textId="4F32F2A9" w:rsidR="006A11AE" w:rsidRDefault="0013146B" w:rsidP="00A47BFC">
      <w:pPr>
        <w:pStyle w:val="enumlev1"/>
        <w:jc w:val="both"/>
      </w:pPr>
      <w:r w:rsidRPr="007C666F">
        <w:t>–</w:t>
      </w:r>
      <w:r w:rsidRPr="007C666F">
        <w:tab/>
      </w:r>
      <w:r w:rsidR="00737FF7" w:rsidRPr="007C666F">
        <w:t>Soumettre au</w:t>
      </w:r>
      <w:r w:rsidRPr="007C666F">
        <w:t xml:space="preserve"> Conseil </w:t>
      </w:r>
      <w:r w:rsidR="00737FF7" w:rsidRPr="007C666F">
        <w:t xml:space="preserve">le document d'information </w:t>
      </w:r>
      <w:r w:rsidR="00C63B87" w:rsidRPr="007C666F">
        <w:t>concernant</w:t>
      </w:r>
      <w:r w:rsidR="00737FF7" w:rsidRPr="007C666F">
        <w:t xml:space="preserve"> le</w:t>
      </w:r>
      <w:r w:rsidRPr="007C666F">
        <w:t xml:space="preserve"> rapport sur les défis et les perspectives liées à l'utilisation de l'interprétation assistée par l'IA à l'UIT</w:t>
      </w:r>
      <w:r w:rsidR="000B6B82" w:rsidRPr="007C666F">
        <w:t xml:space="preserve"> </w:t>
      </w:r>
      <w:r w:rsidR="006439E5" w:rsidRPr="007C666F">
        <w:t>(</w:t>
      </w:r>
      <w:hyperlink r:id="rId19" w:history="1">
        <w:r w:rsidR="000B6B82" w:rsidRPr="007C666F">
          <w:rPr>
            <w:rStyle w:val="Hyperlink"/>
            <w:rFonts w:eastAsia="Times New Roman" w:cs="Times New Roman"/>
            <w:szCs w:val="20"/>
          </w:rPr>
          <w:t>Document</w:t>
        </w:r>
        <w:r w:rsidR="00A47BFC">
          <w:rPr>
            <w:rStyle w:val="Hyperlink"/>
            <w:rFonts w:eastAsia="Times New Roman" w:cs="Times New Roman"/>
            <w:szCs w:val="20"/>
          </w:rPr>
          <w:t> </w:t>
        </w:r>
        <w:proofErr w:type="spellStart"/>
        <w:r w:rsidR="000B6B82" w:rsidRPr="007C666F">
          <w:rPr>
            <w:rStyle w:val="Hyperlink"/>
          </w:rPr>
          <w:t>C25</w:t>
        </w:r>
        <w:proofErr w:type="spellEnd"/>
        <w:r w:rsidR="000B6B82" w:rsidRPr="007C666F">
          <w:rPr>
            <w:rStyle w:val="Hyperlink"/>
          </w:rPr>
          <w:t>/</w:t>
        </w:r>
        <w:proofErr w:type="spellStart"/>
        <w:r w:rsidR="000B6B82" w:rsidRPr="007C666F">
          <w:rPr>
            <w:rStyle w:val="Hyperlink"/>
          </w:rPr>
          <w:t>INF</w:t>
        </w:r>
        <w:proofErr w:type="spellEnd"/>
        <w:r w:rsidR="000B6B82" w:rsidRPr="007C666F">
          <w:rPr>
            <w:rStyle w:val="Hyperlink"/>
          </w:rPr>
          <w:t>/7</w:t>
        </w:r>
      </w:hyperlink>
      <w:r w:rsidR="000B6B82" w:rsidRPr="007C666F">
        <w:t>)</w:t>
      </w:r>
      <w:r w:rsidRPr="007C666F">
        <w:t>.</w:t>
      </w:r>
    </w:p>
    <w:p w14:paraId="7B3DF69F" w14:textId="77777777" w:rsidR="00A47BFC" w:rsidRPr="007C666F" w:rsidRDefault="00A47BFC" w:rsidP="00A47BFC">
      <w:pPr>
        <w:pStyle w:val="enumlev1"/>
        <w:jc w:val="both"/>
      </w:pPr>
    </w:p>
    <w:p w14:paraId="73E9DD2F" w14:textId="77777777" w:rsidR="00897553" w:rsidRPr="007C666F" w:rsidRDefault="006A11AE" w:rsidP="006A11AE">
      <w:pPr>
        <w:jc w:val="center"/>
      </w:pPr>
      <w:r w:rsidRPr="007C666F">
        <w:t>______________</w:t>
      </w:r>
    </w:p>
    <w:sectPr w:rsidR="00897553" w:rsidRPr="007C666F" w:rsidSect="00D72F49">
      <w:headerReference w:type="even" r:id="rId20"/>
      <w:footerReference w:type="even" r:id="rId21"/>
      <w:footerReference w:type="default" r:id="rId22"/>
      <w:headerReference w:type="first" r:id="rId23"/>
      <w:footerReference w:type="first" r:id="rId24"/>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21C9E" w14:textId="77777777" w:rsidR="007216F6" w:rsidRDefault="007216F6">
      <w:r>
        <w:separator/>
      </w:r>
    </w:p>
  </w:endnote>
  <w:endnote w:type="continuationSeparator" w:id="0">
    <w:p w14:paraId="4CC4D97C" w14:textId="77777777" w:rsidR="007216F6" w:rsidRDefault="0072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B00B6" w14:textId="1AF9D7CF" w:rsidR="00732045" w:rsidRDefault="007C666F">
    <w:pPr>
      <w:pStyle w:val="Footer"/>
    </w:pPr>
    <w:fldSimple w:instr=" FILENAME \p \* MERGEFORMAT ">
      <w:r w:rsidR="0013146B">
        <w:t>Document1</w:t>
      </w:r>
    </w:fldSimple>
    <w:r w:rsidR="00732045">
      <w:tab/>
    </w:r>
    <w:r w:rsidR="002F1B76">
      <w:fldChar w:fldCharType="begin"/>
    </w:r>
    <w:r w:rsidR="00732045">
      <w:instrText xml:space="preserve"> savedate \@ dd.MM.yy </w:instrText>
    </w:r>
    <w:r w:rsidR="002F1B76">
      <w:fldChar w:fldCharType="separate"/>
    </w:r>
    <w:r w:rsidR="005B3AE8">
      <w:t>20.05.25</w:t>
    </w:r>
    <w:r w:rsidR="002F1B76">
      <w:fldChar w:fldCharType="end"/>
    </w:r>
    <w:r w:rsidR="00732045">
      <w:tab/>
    </w:r>
    <w:r w:rsidR="002F1B76">
      <w:fldChar w:fldCharType="begin"/>
    </w:r>
    <w:r w:rsidR="00732045">
      <w:instrText xml:space="preserve"> printdate \@ dd.MM.yy </w:instrText>
    </w:r>
    <w:r w:rsidR="002F1B76">
      <w:fldChar w:fldCharType="separate"/>
    </w:r>
    <w:r w:rsidR="0013146B">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7A093F9F" w14:textId="77777777" w:rsidTr="00E31DCE">
      <w:trPr>
        <w:jc w:val="center"/>
      </w:trPr>
      <w:tc>
        <w:tcPr>
          <w:tcW w:w="1803" w:type="dxa"/>
          <w:vAlign w:val="center"/>
        </w:tcPr>
        <w:p w14:paraId="3EB123CA" w14:textId="338FA7E5" w:rsidR="00A51849" w:rsidRDefault="00907D37" w:rsidP="00A51849">
          <w:pPr>
            <w:pStyle w:val="Header"/>
            <w:jc w:val="left"/>
            <w:rPr>
              <w:noProof/>
            </w:rPr>
          </w:pPr>
          <w:r>
            <w:rPr>
              <w:noProof/>
            </w:rPr>
            <w:t>2501186</w:t>
          </w:r>
        </w:p>
      </w:tc>
      <w:tc>
        <w:tcPr>
          <w:tcW w:w="8261" w:type="dxa"/>
        </w:tcPr>
        <w:p w14:paraId="2CB6C0A5" w14:textId="029AA660"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907D37">
            <w:rPr>
              <w:bCs/>
            </w:rPr>
            <w:t>12</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4FDAB41E"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2B8C2D63" w14:textId="77777777" w:rsidTr="00E31DCE">
      <w:trPr>
        <w:jc w:val="center"/>
      </w:trPr>
      <w:tc>
        <w:tcPr>
          <w:tcW w:w="1803" w:type="dxa"/>
          <w:vAlign w:val="center"/>
        </w:tcPr>
        <w:p w14:paraId="49E4CDF2"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69BDA5BD" w14:textId="3E68CBC2"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13146B">
            <w:rPr>
              <w:bCs/>
            </w:rPr>
            <w:t>12</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3BB5EDC1"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CEDF2" w14:textId="77777777" w:rsidR="007216F6" w:rsidRDefault="007216F6">
      <w:r>
        <w:t>____________________</w:t>
      </w:r>
    </w:p>
  </w:footnote>
  <w:footnote w:type="continuationSeparator" w:id="0">
    <w:p w14:paraId="0A8C95C9" w14:textId="77777777" w:rsidR="007216F6" w:rsidRDefault="00721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A43A2"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14163E9"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5B4D679B" w14:textId="77777777" w:rsidTr="00D37B53">
      <w:trPr>
        <w:trHeight w:val="1104"/>
        <w:jc w:val="center"/>
      </w:trPr>
      <w:tc>
        <w:tcPr>
          <w:tcW w:w="5317" w:type="dxa"/>
          <w:vAlign w:val="center"/>
        </w:tcPr>
        <w:p w14:paraId="787AB7D4"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7AC93E6C" wp14:editId="156CACAC">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16EB489D" w14:textId="77777777" w:rsidR="00524E8D" w:rsidRDefault="00524E8D" w:rsidP="00A51849">
          <w:pPr>
            <w:pStyle w:val="Header"/>
            <w:jc w:val="right"/>
            <w:rPr>
              <w:rFonts w:ascii="Arial" w:hAnsi="Arial" w:cs="Arial"/>
              <w:b/>
              <w:bCs/>
              <w:color w:val="009CD6"/>
              <w:szCs w:val="18"/>
            </w:rPr>
          </w:pPr>
        </w:p>
      </w:tc>
    </w:tr>
  </w:tbl>
  <w:p w14:paraId="438C8478"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5290AA5" wp14:editId="128A0C59">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A7828"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46B"/>
    <w:rsid w:val="00026A71"/>
    <w:rsid w:val="00076A2C"/>
    <w:rsid w:val="000B6B82"/>
    <w:rsid w:val="000D0D0A"/>
    <w:rsid w:val="00103163"/>
    <w:rsid w:val="00106B19"/>
    <w:rsid w:val="001133EF"/>
    <w:rsid w:val="00115D93"/>
    <w:rsid w:val="001247A8"/>
    <w:rsid w:val="0013146B"/>
    <w:rsid w:val="001370B2"/>
    <w:rsid w:val="001378C0"/>
    <w:rsid w:val="0018694A"/>
    <w:rsid w:val="001A3287"/>
    <w:rsid w:val="001A6508"/>
    <w:rsid w:val="001D4C31"/>
    <w:rsid w:val="001E4D21"/>
    <w:rsid w:val="00207CD1"/>
    <w:rsid w:val="00217412"/>
    <w:rsid w:val="00226657"/>
    <w:rsid w:val="002477A2"/>
    <w:rsid w:val="00263A51"/>
    <w:rsid w:val="00267E02"/>
    <w:rsid w:val="002A5D44"/>
    <w:rsid w:val="002C3F32"/>
    <w:rsid w:val="002C4E3D"/>
    <w:rsid w:val="002D5EDE"/>
    <w:rsid w:val="002E0BC4"/>
    <w:rsid w:val="002F1B76"/>
    <w:rsid w:val="0033568E"/>
    <w:rsid w:val="00355FF5"/>
    <w:rsid w:val="00361350"/>
    <w:rsid w:val="00370BEC"/>
    <w:rsid w:val="003C3FAE"/>
    <w:rsid w:val="003D4424"/>
    <w:rsid w:val="004038CB"/>
    <w:rsid w:val="0040546F"/>
    <w:rsid w:val="004177BD"/>
    <w:rsid w:val="0042404A"/>
    <w:rsid w:val="0044618F"/>
    <w:rsid w:val="004537CB"/>
    <w:rsid w:val="0046769A"/>
    <w:rsid w:val="00475FB3"/>
    <w:rsid w:val="004C37A9"/>
    <w:rsid w:val="004D1D50"/>
    <w:rsid w:val="004F259E"/>
    <w:rsid w:val="004F6A9A"/>
    <w:rsid w:val="00511F1D"/>
    <w:rsid w:val="00520F36"/>
    <w:rsid w:val="00524E8D"/>
    <w:rsid w:val="00534E13"/>
    <w:rsid w:val="00540615"/>
    <w:rsid w:val="00540A6D"/>
    <w:rsid w:val="00547441"/>
    <w:rsid w:val="00566679"/>
    <w:rsid w:val="00571EEA"/>
    <w:rsid w:val="00575417"/>
    <w:rsid w:val="005768E1"/>
    <w:rsid w:val="00594A64"/>
    <w:rsid w:val="005B1938"/>
    <w:rsid w:val="005B3AE8"/>
    <w:rsid w:val="005C3890"/>
    <w:rsid w:val="005F7BFE"/>
    <w:rsid w:val="00600017"/>
    <w:rsid w:val="006235CA"/>
    <w:rsid w:val="0062366E"/>
    <w:rsid w:val="006439E5"/>
    <w:rsid w:val="006643AB"/>
    <w:rsid w:val="006644F1"/>
    <w:rsid w:val="006A11AE"/>
    <w:rsid w:val="006F0A53"/>
    <w:rsid w:val="007210CD"/>
    <w:rsid w:val="007216F6"/>
    <w:rsid w:val="00732045"/>
    <w:rsid w:val="0073275D"/>
    <w:rsid w:val="007369DB"/>
    <w:rsid w:val="00737FF7"/>
    <w:rsid w:val="0077110E"/>
    <w:rsid w:val="007956C2"/>
    <w:rsid w:val="007A187E"/>
    <w:rsid w:val="007C666F"/>
    <w:rsid w:val="007C72C2"/>
    <w:rsid w:val="007D4436"/>
    <w:rsid w:val="007D5499"/>
    <w:rsid w:val="007D7841"/>
    <w:rsid w:val="007F257A"/>
    <w:rsid w:val="007F3665"/>
    <w:rsid w:val="00800037"/>
    <w:rsid w:val="0082299A"/>
    <w:rsid w:val="0083391C"/>
    <w:rsid w:val="00861D73"/>
    <w:rsid w:val="00882919"/>
    <w:rsid w:val="00897553"/>
    <w:rsid w:val="008A4E87"/>
    <w:rsid w:val="008C24A8"/>
    <w:rsid w:val="008D76E6"/>
    <w:rsid w:val="00907D37"/>
    <w:rsid w:val="0092392D"/>
    <w:rsid w:val="0093234A"/>
    <w:rsid w:val="00942CE7"/>
    <w:rsid w:val="00956A78"/>
    <w:rsid w:val="00961468"/>
    <w:rsid w:val="0097363B"/>
    <w:rsid w:val="00973F53"/>
    <w:rsid w:val="009A6BAA"/>
    <w:rsid w:val="009C307F"/>
    <w:rsid w:val="009C353C"/>
    <w:rsid w:val="009F0FB8"/>
    <w:rsid w:val="00A2113E"/>
    <w:rsid w:val="00A23A51"/>
    <w:rsid w:val="00A24607"/>
    <w:rsid w:val="00A25CD3"/>
    <w:rsid w:val="00A47BFC"/>
    <w:rsid w:val="00A51849"/>
    <w:rsid w:val="00A709FE"/>
    <w:rsid w:val="00A73C60"/>
    <w:rsid w:val="00A82767"/>
    <w:rsid w:val="00AA332F"/>
    <w:rsid w:val="00AA7BBB"/>
    <w:rsid w:val="00AB64A8"/>
    <w:rsid w:val="00AC0266"/>
    <w:rsid w:val="00AD24EC"/>
    <w:rsid w:val="00AF6A63"/>
    <w:rsid w:val="00B27B00"/>
    <w:rsid w:val="00B309F9"/>
    <w:rsid w:val="00B32B60"/>
    <w:rsid w:val="00B51005"/>
    <w:rsid w:val="00B61619"/>
    <w:rsid w:val="00BB4545"/>
    <w:rsid w:val="00BD5873"/>
    <w:rsid w:val="00BF4B60"/>
    <w:rsid w:val="00C049D7"/>
    <w:rsid w:val="00C04BE3"/>
    <w:rsid w:val="00C25D29"/>
    <w:rsid w:val="00C27A7C"/>
    <w:rsid w:val="00C42437"/>
    <w:rsid w:val="00C46E67"/>
    <w:rsid w:val="00C60463"/>
    <w:rsid w:val="00C63B87"/>
    <w:rsid w:val="00C90E74"/>
    <w:rsid w:val="00CA08ED"/>
    <w:rsid w:val="00CA25FA"/>
    <w:rsid w:val="00CC6EAA"/>
    <w:rsid w:val="00CF183B"/>
    <w:rsid w:val="00D375CD"/>
    <w:rsid w:val="00D37B53"/>
    <w:rsid w:val="00D553A2"/>
    <w:rsid w:val="00D72F49"/>
    <w:rsid w:val="00D774D3"/>
    <w:rsid w:val="00D904E8"/>
    <w:rsid w:val="00DA08C3"/>
    <w:rsid w:val="00DB5A3E"/>
    <w:rsid w:val="00DC22AA"/>
    <w:rsid w:val="00DD1A99"/>
    <w:rsid w:val="00DE7BC3"/>
    <w:rsid w:val="00DF2457"/>
    <w:rsid w:val="00DF74DD"/>
    <w:rsid w:val="00E25355"/>
    <w:rsid w:val="00E25AD0"/>
    <w:rsid w:val="00E4428F"/>
    <w:rsid w:val="00E47427"/>
    <w:rsid w:val="00E93668"/>
    <w:rsid w:val="00E95647"/>
    <w:rsid w:val="00E97D30"/>
    <w:rsid w:val="00EB6350"/>
    <w:rsid w:val="00F15B57"/>
    <w:rsid w:val="00F35EF4"/>
    <w:rsid w:val="00F37FE5"/>
    <w:rsid w:val="00F427DB"/>
    <w:rsid w:val="00FA5EB1"/>
    <w:rsid w:val="00FA7439"/>
    <w:rsid w:val="00FC4EC0"/>
    <w:rsid w:val="00FC5AB0"/>
    <w:rsid w:val="00FC6D7D"/>
    <w:rsid w:val="00FF0181"/>
    <w:rsid w:val="00FF47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AB15E"/>
  <w15:docId w15:val="{280802FA-A7F6-4110-8226-FA1FAE03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RCLCWGLANG16-C-0005/en" TargetMode="External"/><Relationship Id="rId13" Type="http://schemas.openxmlformats.org/officeDocument/2006/relationships/hyperlink" Target="https://www.itu.int/md/S25-CL-INF-0007/fr" TargetMode="External"/><Relationship Id="rId18" Type="http://schemas.openxmlformats.org/officeDocument/2006/relationships/hyperlink" Target="https://www.itu.int/md/S25-RCLCWGLANG16-C-0003/fr"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www.itu.int/hub/publication/s-conf-cl-2024/" TargetMode="External"/><Relationship Id="rId12" Type="http://schemas.openxmlformats.org/officeDocument/2006/relationships/hyperlink" Target="https://www.itu.int/md/S25-RCLCWGLANG16-C-0003/fr" TargetMode="External"/><Relationship Id="rId17" Type="http://schemas.openxmlformats.org/officeDocument/2006/relationships/hyperlink" Target="https://www.itu.int/md/S25-RCLCWGLANG16-C-0005/fr"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tu.int/md/S25-RCLCWGLANG16-C-0004/fr"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itu.int/en/council/Documents/basic-texts-2023/RES-154-F.pdf" TargetMode="External"/><Relationship Id="rId11" Type="http://schemas.openxmlformats.org/officeDocument/2006/relationships/hyperlink" Target="https://www.itu.int/md/S25-RCLCWGLANG16-C-0003/en" TargetMode="Externa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www.itu.int/md/S25-RCLCWGLANG16-C-0002/fr" TargetMode="External"/><Relationship Id="rId23" Type="http://schemas.openxmlformats.org/officeDocument/2006/relationships/header" Target="header2.xml"/><Relationship Id="rId10" Type="http://schemas.openxmlformats.org/officeDocument/2006/relationships/hyperlink" Target="https://www.itu.int/md/S25-RCLCWGLANG16-C-0005/fr" TargetMode="External"/><Relationship Id="rId19" Type="http://schemas.openxmlformats.org/officeDocument/2006/relationships/hyperlink" Target="https://www.itu.int/md/S25-CL-INF-0007/fr" TargetMode="External"/><Relationship Id="rId4" Type="http://schemas.openxmlformats.org/officeDocument/2006/relationships/footnotes" Target="footnotes.xml"/><Relationship Id="rId9" Type="http://schemas.openxmlformats.org/officeDocument/2006/relationships/hyperlink" Target="https://www.itu.int/md/S25-RCLCWGLANG16-C-0005/en" TargetMode="External"/><Relationship Id="rId14" Type="http://schemas.openxmlformats.org/officeDocument/2006/relationships/hyperlink" Target="https://www.itu.int/md/S25-RCLCWGLANG16-C-0005/fr"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4</TotalTime>
  <Pages>3</Pages>
  <Words>1072</Words>
  <Characters>6990</Characters>
  <Application>Microsoft Office Word</Application>
  <DocSecurity>0</DocSecurity>
  <Lines>129</Lines>
  <Paragraphs>55</Paragraphs>
  <ScaleCrop>false</ScaleCrop>
  <HeadingPairs>
    <vt:vector size="2" baseType="variant">
      <vt:variant>
        <vt:lpstr>Title</vt:lpstr>
      </vt:variant>
      <vt:variant>
        <vt:i4>1</vt:i4>
      </vt:variant>
    </vt:vector>
  </HeadingPairs>
  <TitlesOfParts>
    <vt:vector size="1" baseType="lpstr">
      <vt:lpstr>Résultats de la 16ème réunion du GTC-LANG</vt:lpstr>
    </vt:vector>
  </TitlesOfParts>
  <Manager>Secrétariat général - Pool</Manager>
  <Company>Union internationale des télécommunications (UIT)</Company>
  <LinksUpToDate>false</LinksUpToDate>
  <CharactersWithSpaces>8007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Résultats de la 16ème réunion du GTC-LANG</dc:title>
  <dc:subject>Conseil 2025 de l'UIT</dc:subject>
  <cp:keywords>C2025, C25, Council-25</cp:keywords>
  <dc:description/>
  <cp:lastPrinted>2000-07-18T08:55:00Z</cp:lastPrinted>
  <dcterms:created xsi:type="dcterms:W3CDTF">2025-05-29T09:30:00Z</dcterms:created>
  <dcterms:modified xsi:type="dcterms:W3CDTF">2025-05-29T09:34:00Z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