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5B71B3A3">
        <w:trPr>
          <w:cantSplit/>
          <w:trHeight w:val="23"/>
        </w:trPr>
        <w:tc>
          <w:tcPr>
            <w:tcW w:w="3969" w:type="dxa"/>
            <w:vMerge w:val="restart"/>
            <w:tcMar>
              <w:left w:w="0" w:type="dxa"/>
            </w:tcMar>
          </w:tcPr>
          <w:p w14:paraId="7147B863" w14:textId="775F9BF1"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741FFE">
              <w:rPr>
                <w:b/>
              </w:rPr>
              <w:t>PL 2</w:t>
            </w:r>
          </w:p>
        </w:tc>
        <w:tc>
          <w:tcPr>
            <w:tcW w:w="5245" w:type="dxa"/>
          </w:tcPr>
          <w:p w14:paraId="6779937E" w14:textId="00400926"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741FFE">
              <w:rPr>
                <w:b/>
              </w:rPr>
              <w:t>12</w:t>
            </w:r>
            <w:r w:rsidRPr="00C0458D">
              <w:rPr>
                <w:b/>
              </w:rPr>
              <w:t>-E</w:t>
            </w:r>
          </w:p>
        </w:tc>
      </w:tr>
      <w:tr w:rsidR="00AD3606" w:rsidRPr="00C0458D" w14:paraId="3E3F9DA5" w14:textId="77777777" w:rsidTr="5B71B3A3">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569C89B0" w:rsidR="00AD3606" w:rsidRPr="00C0458D" w:rsidRDefault="00741FFE" w:rsidP="00AD3606">
            <w:pPr>
              <w:tabs>
                <w:tab w:val="left" w:pos="851"/>
              </w:tabs>
              <w:spacing w:before="0"/>
              <w:jc w:val="right"/>
              <w:rPr>
                <w:b/>
              </w:rPr>
            </w:pPr>
            <w:r>
              <w:rPr>
                <w:b/>
              </w:rPr>
              <w:t>1</w:t>
            </w:r>
            <w:r w:rsidR="00C82708">
              <w:rPr>
                <w:b/>
              </w:rPr>
              <w:t>6 May</w:t>
            </w:r>
            <w:r>
              <w:rPr>
                <w:b/>
              </w:rPr>
              <w:t xml:space="preserve"> 2025</w:t>
            </w:r>
          </w:p>
        </w:tc>
      </w:tr>
      <w:tr w:rsidR="00AD3606" w:rsidRPr="00C0458D" w14:paraId="75730376" w14:textId="77777777" w:rsidTr="5B71B3A3">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5B71B3A3">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5B71B3A3">
        <w:trPr>
          <w:cantSplit/>
        </w:trPr>
        <w:tc>
          <w:tcPr>
            <w:tcW w:w="9214" w:type="dxa"/>
            <w:gridSpan w:val="2"/>
            <w:tcMar>
              <w:left w:w="0" w:type="dxa"/>
            </w:tcMar>
          </w:tcPr>
          <w:p w14:paraId="2016C4A0" w14:textId="5EFA6BF7" w:rsidR="00AD3606" w:rsidRPr="000F7289" w:rsidRDefault="00AD3606" w:rsidP="000F7289">
            <w:pPr>
              <w:pStyle w:val="Source"/>
              <w:framePr w:hSpace="0" w:wrap="auto" w:vAnchor="margin" w:hAnchor="text" w:xAlign="left" w:yAlign="inline"/>
            </w:pPr>
            <w:bookmarkStart w:id="8" w:name="dsource" w:colFirst="0" w:colLast="0"/>
            <w:bookmarkEnd w:id="7"/>
            <w:r w:rsidRPr="000F7289">
              <w:t xml:space="preserve">Report by the </w:t>
            </w:r>
            <w:r w:rsidR="00C23E7F">
              <w:t>Chair</w:t>
            </w:r>
            <w:r w:rsidR="000D2932">
              <w:t xml:space="preserve"> of the Council Working Group on Languages</w:t>
            </w:r>
            <w:r w:rsidR="00AA4978">
              <w:t xml:space="preserve"> (CWG-</w:t>
            </w:r>
            <w:r w:rsidR="002021BE">
              <w:t>LANG</w:t>
            </w:r>
            <w:r w:rsidR="00AA4978">
              <w:t>)</w:t>
            </w:r>
          </w:p>
        </w:tc>
      </w:tr>
      <w:tr w:rsidR="00AD3606" w:rsidRPr="00C0458D" w14:paraId="3A759762" w14:textId="77777777" w:rsidTr="5B71B3A3">
        <w:trPr>
          <w:cantSplit/>
        </w:trPr>
        <w:tc>
          <w:tcPr>
            <w:tcW w:w="9214" w:type="dxa"/>
            <w:gridSpan w:val="2"/>
            <w:tcMar>
              <w:left w:w="0" w:type="dxa"/>
            </w:tcMar>
          </w:tcPr>
          <w:p w14:paraId="2A2DCF47" w14:textId="2D0C8ECE" w:rsidR="00AD3606" w:rsidRPr="000F7289" w:rsidRDefault="002021BE" w:rsidP="000F7289">
            <w:pPr>
              <w:pStyle w:val="Subtitle"/>
              <w:framePr w:hSpace="0" w:wrap="auto" w:xAlign="left" w:yAlign="inline"/>
            </w:pPr>
            <w:bookmarkStart w:id="9" w:name="dtitle1"/>
            <w:bookmarkStart w:id="10" w:name="_Hlk198302364"/>
            <w:bookmarkEnd w:id="8"/>
            <w:r>
              <w:t>OUTCOMES OF THE 16</w:t>
            </w:r>
            <w:r w:rsidRPr="5B71B3A3">
              <w:rPr>
                <w:vertAlign w:val="superscript"/>
              </w:rPr>
              <w:t>TH</w:t>
            </w:r>
            <w:r>
              <w:t xml:space="preserve"> MEETING OF THE CWG-LANG</w:t>
            </w:r>
            <w:bookmarkEnd w:id="10"/>
          </w:p>
        </w:tc>
      </w:tr>
      <w:tr w:rsidR="00AD3606" w:rsidRPr="00C0458D" w14:paraId="72B25568" w14:textId="77777777" w:rsidTr="5B71B3A3">
        <w:trPr>
          <w:cantSplit/>
        </w:trPr>
        <w:tc>
          <w:tcPr>
            <w:tcW w:w="9214" w:type="dxa"/>
            <w:gridSpan w:val="2"/>
            <w:tcBorders>
              <w:top w:val="single" w:sz="4" w:space="0" w:color="auto"/>
              <w:bottom w:val="single" w:sz="4" w:space="0" w:color="auto"/>
            </w:tcBorders>
            <w:tcMar>
              <w:left w:w="0" w:type="dxa"/>
            </w:tcMar>
          </w:tcPr>
          <w:p w14:paraId="4C3D541B" w14:textId="52800453" w:rsidR="00AD3606" w:rsidRPr="00C0458D" w:rsidRDefault="00F16BAB" w:rsidP="00F16BAB">
            <w:pPr>
              <w:spacing w:before="160"/>
              <w:rPr>
                <w:b/>
                <w:bCs/>
                <w:sz w:val="26"/>
                <w:szCs w:val="26"/>
              </w:rPr>
            </w:pPr>
            <w:r w:rsidRPr="00C0458D">
              <w:rPr>
                <w:b/>
                <w:bCs/>
                <w:sz w:val="26"/>
                <w:szCs w:val="26"/>
              </w:rPr>
              <w:t>Purpos</w:t>
            </w:r>
            <w:r w:rsidR="008E25C8">
              <w:rPr>
                <w:b/>
                <w:bCs/>
                <w:sz w:val="26"/>
                <w:szCs w:val="26"/>
              </w:rPr>
              <w:t>e</w:t>
            </w:r>
          </w:p>
          <w:p w14:paraId="7916F8A3" w14:textId="1432C03E" w:rsidR="00C23E7F" w:rsidRPr="00813E5E" w:rsidRDefault="00C23E7F" w:rsidP="00F31903">
            <w:pPr>
              <w:jc w:val="both"/>
            </w:pPr>
            <w:r w:rsidRPr="00F6163F">
              <w:t xml:space="preserve">This report summarizes the activities and achievements of </w:t>
            </w:r>
            <w:r>
              <w:t>16</w:t>
            </w:r>
            <w:r w:rsidRPr="00741FFE">
              <w:rPr>
                <w:vertAlign w:val="superscript"/>
              </w:rPr>
              <w:t>th</w:t>
            </w:r>
            <w:r w:rsidRPr="00F6163F">
              <w:t xml:space="preserve"> meeting of the Council Working Group on Languages (CWG-LANG), pursuant to Resolution 154 (Rev. </w:t>
            </w:r>
            <w:r>
              <w:t>Bucharest, 2022</w:t>
            </w:r>
            <w:r w:rsidRPr="00F6163F">
              <w:t>) and Council Resolution 1372 (</w:t>
            </w:r>
            <w:r>
              <w:t>Mod.</w:t>
            </w:r>
            <w:r w:rsidRPr="00F6163F">
              <w:t xml:space="preserve"> 20</w:t>
            </w:r>
            <w:r>
              <w:t>24).</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0702F1F6" w:rsidR="00722551" w:rsidRDefault="00C23E7F" w:rsidP="00722551">
            <w:r w:rsidRPr="00EE15BB">
              <w:rPr>
                <w:rFonts w:asciiTheme="minorHAnsi" w:hAnsiTheme="minorHAnsi" w:cstheme="minorHAnsi"/>
                <w:szCs w:val="24"/>
              </w:rPr>
              <w:t xml:space="preserve">The Council is invited to </w:t>
            </w:r>
            <w:r w:rsidR="008A5696">
              <w:rPr>
                <w:rFonts w:asciiTheme="minorHAnsi" w:hAnsiTheme="minorHAnsi" w:cstheme="minorHAnsi"/>
                <w:b/>
                <w:bCs/>
                <w:szCs w:val="24"/>
              </w:rPr>
              <w:t>note</w:t>
            </w:r>
            <w:r w:rsidRPr="00EE15BB">
              <w:rPr>
                <w:rFonts w:asciiTheme="minorHAnsi" w:hAnsiTheme="minorHAnsi" w:cstheme="minorHAnsi"/>
                <w:szCs w:val="24"/>
              </w:rPr>
              <w:t xml:space="preserve"> the report</w:t>
            </w:r>
            <w:r>
              <w:rPr>
                <w:rFonts w:asciiTheme="minorHAnsi" w:hAnsiTheme="minorHAnsi" w:cstheme="minorHAnsi"/>
                <w:szCs w:val="24"/>
              </w:rPr>
              <w:t>.</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659539E2" w14:textId="77777777" w:rsidR="00C23E7F" w:rsidRPr="00F16BAB" w:rsidRDefault="00C23E7F" w:rsidP="00C23E7F">
            <w:r w:rsidRPr="00F6163F">
              <w:t>Excellence in human resources and organizational innovation.</w:t>
            </w:r>
          </w:p>
          <w:p w14:paraId="6A77059B" w14:textId="270D1307" w:rsidR="00722551" w:rsidRDefault="00722551" w:rsidP="00722551">
            <w:pPr>
              <w:spacing w:before="160"/>
              <w:rPr>
                <w:b/>
                <w:bCs/>
                <w:sz w:val="26"/>
                <w:szCs w:val="26"/>
              </w:rPr>
            </w:pPr>
            <w:r>
              <w:rPr>
                <w:b/>
                <w:bCs/>
                <w:sz w:val="26"/>
                <w:szCs w:val="26"/>
              </w:rPr>
              <w:t>Financial implications</w:t>
            </w:r>
          </w:p>
          <w:p w14:paraId="65B6B964" w14:textId="0F3714B7" w:rsidR="00ED63D7" w:rsidRPr="00F6163F" w:rsidRDefault="00ED63D7" w:rsidP="00ED63D7">
            <w:pPr>
              <w:spacing w:before="160"/>
              <w:rPr>
                <w:szCs w:val="24"/>
              </w:rPr>
            </w:pPr>
            <w:r w:rsidRPr="00B6706D">
              <w:rPr>
                <w:szCs w:val="24"/>
              </w:rPr>
              <w:t>Within the allocated budget</w:t>
            </w:r>
            <w:r w:rsidR="0085042A">
              <w:rPr>
                <w:szCs w:val="24"/>
              </w:rPr>
              <w:t xml:space="preserve"> 2024-2025</w:t>
            </w:r>
            <w:r w:rsidRPr="00B6706D">
              <w:rPr>
                <w:szCs w:val="24"/>
              </w:rPr>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3A83747D" w:rsidR="00AD3606" w:rsidRPr="002021BE" w:rsidRDefault="00C82708" w:rsidP="00F16BAB">
            <w:pPr>
              <w:spacing w:after="160"/>
              <w:rPr>
                <w:i/>
                <w:iCs/>
                <w:sz w:val="22"/>
                <w:szCs w:val="22"/>
              </w:rPr>
            </w:pPr>
            <w:hyperlink r:id="rId11" w:history="1">
              <w:r w:rsidR="00C23E7F" w:rsidRPr="00C82708">
                <w:rPr>
                  <w:rStyle w:val="Hyperlink"/>
                  <w:rFonts w:cs="Calibri"/>
                  <w:i/>
                  <w:iCs/>
                  <w:sz w:val="22"/>
                  <w:szCs w:val="22"/>
                </w:rPr>
                <w:t>Resolution 154 (Rev. Bucharest, 2022)</w:t>
              </w:r>
            </w:hyperlink>
            <w:r w:rsidR="00C23E7F" w:rsidRPr="00C82708">
              <w:rPr>
                <w:rFonts w:cs="Calibri"/>
                <w:i/>
                <w:iCs/>
                <w:sz w:val="22"/>
                <w:szCs w:val="22"/>
              </w:rPr>
              <w:t xml:space="preserve"> of the Plenipotentiary Conference</w:t>
            </w:r>
            <w:r w:rsidR="00741FFE" w:rsidRPr="00C82708">
              <w:rPr>
                <w:rFonts w:asciiTheme="minorHAnsi" w:hAnsiTheme="minorHAnsi" w:cstheme="minorBidi"/>
                <w:i/>
                <w:iCs/>
                <w:sz w:val="22"/>
                <w:szCs w:val="22"/>
              </w:rPr>
              <w:t>;</w:t>
            </w:r>
            <w:r w:rsidR="00C23E7F" w:rsidRPr="00C82708">
              <w:rPr>
                <w:rFonts w:cs="Calibri"/>
                <w:i/>
                <w:iCs/>
                <w:sz w:val="22"/>
                <w:szCs w:val="22"/>
              </w:rPr>
              <w:t xml:space="preserve"> </w:t>
            </w:r>
            <w:r w:rsidR="00741FFE" w:rsidRPr="002021BE">
              <w:rPr>
                <w:rFonts w:cs="Calibri"/>
                <w:i/>
                <w:iCs/>
                <w:sz w:val="22"/>
                <w:szCs w:val="22"/>
              </w:rPr>
              <w:br/>
            </w:r>
            <w:hyperlink r:id="rId12" w:history="1">
              <w:r w:rsidR="00C23E7F" w:rsidRPr="002021BE">
                <w:rPr>
                  <w:rStyle w:val="Hyperlink"/>
                  <w:i/>
                  <w:iCs/>
                  <w:sz w:val="22"/>
                  <w:szCs w:val="22"/>
                </w:rPr>
                <w:t>Council Resolution 1372 (</w:t>
              </w:r>
              <w:r w:rsidR="00741FFE" w:rsidRPr="002021BE">
                <w:rPr>
                  <w:rStyle w:val="Hyperlink"/>
                  <w:i/>
                  <w:iCs/>
                  <w:sz w:val="22"/>
                  <w:szCs w:val="22"/>
                </w:rPr>
                <w:t xml:space="preserve">Mod. </w:t>
              </w:r>
              <w:r w:rsidR="00C23E7F" w:rsidRPr="002021BE">
                <w:rPr>
                  <w:rStyle w:val="Hyperlink"/>
                  <w:i/>
                  <w:iCs/>
                  <w:sz w:val="22"/>
                  <w:szCs w:val="22"/>
                </w:rPr>
                <w:t>2024)</w:t>
              </w:r>
            </w:hyperlink>
            <w:r w:rsidR="002021BE" w:rsidRPr="002021BE">
              <w:rPr>
                <w:i/>
                <w:iCs/>
                <w:sz w:val="22"/>
                <w:szCs w:val="22"/>
              </w:rPr>
              <w:t>; Documents</w:t>
            </w:r>
            <w:r w:rsidR="163293A8" w:rsidRPr="002021BE">
              <w:rPr>
                <w:i/>
                <w:iCs/>
                <w:sz w:val="22"/>
                <w:szCs w:val="22"/>
              </w:rPr>
              <w:t xml:space="preserve"> </w:t>
            </w:r>
            <w:hyperlink r:id="rId13" w:history="1">
              <w:hyperlink r:id="rId14" w:history="1">
                <w:hyperlink r:id="rId15" w:history="1">
                  <w:r w:rsidR="1D41A073" w:rsidRPr="002021BE">
                    <w:rPr>
                      <w:rStyle w:val="Hyperlink"/>
                      <w:rFonts w:asciiTheme="minorHAnsi" w:eastAsia="SimSun" w:hAnsiTheme="minorHAnsi" w:cstheme="minorBidi"/>
                      <w:i/>
                      <w:iCs/>
                      <w:sz w:val="22"/>
                      <w:szCs w:val="22"/>
                    </w:rPr>
                    <w:t>CWG-LANG-16/5</w:t>
                  </w:r>
                </w:hyperlink>
              </w:hyperlink>
            </w:hyperlink>
            <w:r w:rsidR="1D41A073" w:rsidRPr="002021BE">
              <w:rPr>
                <w:rFonts w:cs="Calibri"/>
                <w:i/>
                <w:iCs/>
                <w:sz w:val="22"/>
                <w:szCs w:val="22"/>
              </w:rPr>
              <w:t xml:space="preserve">, </w:t>
            </w:r>
            <w:hyperlink r:id="rId16" w:history="1">
              <w:hyperlink r:id="rId17" w:history="1">
                <w:r w:rsidR="076FBA0B" w:rsidRPr="002021BE">
                  <w:rPr>
                    <w:rStyle w:val="Hyperlink"/>
                    <w:i/>
                    <w:iCs/>
                    <w:sz w:val="22"/>
                    <w:szCs w:val="22"/>
                  </w:rPr>
                  <w:t>CWG-LANG/16-3</w:t>
                </w:r>
              </w:hyperlink>
            </w:hyperlink>
            <w:r w:rsidR="163293A8" w:rsidRPr="002021BE">
              <w:rPr>
                <w:i/>
                <w:iCs/>
                <w:sz w:val="22"/>
                <w:szCs w:val="22"/>
              </w:rPr>
              <w:t>,</w:t>
            </w:r>
            <w:r w:rsidR="002021BE" w:rsidRPr="002021BE">
              <w:rPr>
                <w:i/>
                <w:iCs/>
                <w:sz w:val="22"/>
                <w:szCs w:val="22"/>
              </w:rPr>
              <w:t xml:space="preserve"> and</w:t>
            </w:r>
            <w:r w:rsidR="163293A8" w:rsidRPr="002021BE">
              <w:rPr>
                <w:i/>
                <w:iCs/>
                <w:sz w:val="22"/>
                <w:szCs w:val="22"/>
              </w:rPr>
              <w:t xml:space="preserve"> </w:t>
            </w:r>
            <w:hyperlink r:id="rId18" w:history="1">
              <w:r w:rsidR="163293A8" w:rsidRPr="002021BE">
                <w:rPr>
                  <w:rStyle w:val="Hyperlink"/>
                  <w:i/>
                  <w:iCs/>
                  <w:sz w:val="22"/>
                  <w:szCs w:val="22"/>
                </w:rPr>
                <w:t>C25/INF/</w:t>
              </w:r>
              <w:r w:rsidR="001D30D6" w:rsidRPr="002021BE">
                <w:rPr>
                  <w:rStyle w:val="Hyperlink"/>
                  <w:i/>
                  <w:iCs/>
                  <w:sz w:val="22"/>
                  <w:szCs w:val="22"/>
                </w:rPr>
                <w:t>7</w:t>
              </w:r>
            </w:hyperlink>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1"/>
    <w:p w14:paraId="634598BB" w14:textId="07859963" w:rsidR="00C23E7F" w:rsidRPr="00EE15BB" w:rsidRDefault="00C04FCB" w:rsidP="00C04FCB">
      <w:pPr>
        <w:pStyle w:val="Heading1"/>
        <w:rPr>
          <w:rFonts w:eastAsia="Calibri"/>
          <w:lang w:val="en-US"/>
        </w:rPr>
      </w:pPr>
      <w:r w:rsidRPr="00EE15BB">
        <w:rPr>
          <w:rFonts w:eastAsia="Calibri"/>
          <w:lang w:val="en-US"/>
        </w:rPr>
        <w:lastRenderedPageBreak/>
        <w:t>1</w:t>
      </w:r>
      <w:r w:rsidRPr="00EE15BB">
        <w:rPr>
          <w:rFonts w:eastAsia="Calibri"/>
          <w:lang w:val="en-US"/>
        </w:rPr>
        <w:tab/>
      </w:r>
      <w:r w:rsidR="00C23E7F" w:rsidRPr="00C04FCB">
        <w:rPr>
          <w:rFonts w:eastAsia="SimSun"/>
        </w:rPr>
        <w:t>Introduction</w:t>
      </w:r>
    </w:p>
    <w:p w14:paraId="33C205AA" w14:textId="19D68D36" w:rsidR="001A2188" w:rsidRDefault="00C23E7F" w:rsidP="001A2188">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bCs/>
          <w:kern w:val="2"/>
          <w:szCs w:val="24"/>
          <w14:ligatures w14:val="standardContextual"/>
        </w:rPr>
      </w:pPr>
      <w:r w:rsidRPr="0028762C">
        <w:rPr>
          <w:rFonts w:asciiTheme="minorHAnsi" w:eastAsia="SimSun" w:hAnsiTheme="minorHAnsi" w:cstheme="minorHAnsi"/>
          <w:bCs/>
          <w:kern w:val="2"/>
          <w:szCs w:val="24"/>
          <w14:ligatures w14:val="standardContextual"/>
        </w:rPr>
        <w:t xml:space="preserve">This document contains the Chair’s summary report of the </w:t>
      </w:r>
      <w:r w:rsidR="00783465" w:rsidRPr="0028762C">
        <w:rPr>
          <w:rFonts w:asciiTheme="minorHAnsi" w:eastAsia="SimSun" w:hAnsiTheme="minorHAnsi" w:cstheme="minorHAnsi"/>
          <w:bCs/>
          <w:kern w:val="2"/>
          <w:szCs w:val="24"/>
          <w14:ligatures w14:val="standardContextual"/>
        </w:rPr>
        <w:t>sixteenth meeting</w:t>
      </w:r>
      <w:r w:rsidRPr="0028762C">
        <w:rPr>
          <w:rFonts w:asciiTheme="minorHAnsi" w:eastAsia="SimSun" w:hAnsiTheme="minorHAnsi" w:cstheme="minorHAnsi"/>
          <w:bCs/>
          <w:kern w:val="2"/>
          <w:szCs w:val="24"/>
          <w14:ligatures w14:val="standardContextual"/>
        </w:rPr>
        <w:t xml:space="preserve"> of the Council Working Group on </w:t>
      </w:r>
      <w:r w:rsidR="00364CB9" w:rsidRPr="00364CB9">
        <w:rPr>
          <w:rFonts w:asciiTheme="minorHAnsi" w:eastAsia="SimSun" w:hAnsiTheme="minorHAnsi" w:cstheme="minorHAnsi"/>
          <w:bCs/>
          <w:kern w:val="2"/>
          <w:szCs w:val="24"/>
          <w14:ligatures w14:val="standardContextual"/>
        </w:rPr>
        <w:t>the use of the six official languages of the Union</w:t>
      </w:r>
      <w:r w:rsidRPr="0028762C">
        <w:rPr>
          <w:rFonts w:asciiTheme="minorHAnsi" w:eastAsia="SimSun" w:hAnsiTheme="minorHAnsi" w:cstheme="minorHAnsi"/>
          <w:bCs/>
          <w:kern w:val="2"/>
          <w:szCs w:val="24"/>
          <w14:ligatures w14:val="standardContextual"/>
        </w:rPr>
        <w:t xml:space="preserve"> (CWG-LANG) held </w:t>
      </w:r>
      <w:r w:rsidR="00783465" w:rsidRPr="0028762C">
        <w:rPr>
          <w:rFonts w:asciiTheme="minorHAnsi" w:eastAsia="SimSun" w:hAnsiTheme="minorHAnsi" w:cstheme="minorHAnsi"/>
          <w:bCs/>
          <w:kern w:val="2"/>
          <w:szCs w:val="24"/>
          <w14:ligatures w14:val="standardContextual"/>
        </w:rPr>
        <w:t>on 12</w:t>
      </w:r>
      <w:r w:rsidR="00364CB9">
        <w:rPr>
          <w:rFonts w:asciiTheme="minorHAnsi" w:eastAsia="SimSun" w:hAnsiTheme="minorHAnsi" w:cstheme="minorHAnsi"/>
          <w:bCs/>
          <w:kern w:val="2"/>
          <w:szCs w:val="24"/>
          <w14:ligatures w14:val="standardContextual"/>
        </w:rPr>
        <w:t> </w:t>
      </w:r>
      <w:r w:rsidR="00783465" w:rsidRPr="0028762C">
        <w:rPr>
          <w:rFonts w:asciiTheme="minorHAnsi" w:eastAsia="SimSun" w:hAnsiTheme="minorHAnsi" w:cstheme="minorHAnsi"/>
          <w:bCs/>
          <w:kern w:val="2"/>
          <w:szCs w:val="24"/>
          <w14:ligatures w14:val="standardContextual"/>
        </w:rPr>
        <w:t>February 2025</w:t>
      </w:r>
      <w:r w:rsidR="0067189B">
        <w:rPr>
          <w:rFonts w:asciiTheme="minorHAnsi" w:eastAsia="SimSun" w:hAnsiTheme="minorHAnsi" w:cstheme="minorHAnsi"/>
          <w:bCs/>
          <w:kern w:val="2"/>
          <w:szCs w:val="24"/>
          <w14:ligatures w14:val="standardContextual"/>
        </w:rPr>
        <w:t xml:space="preserve">, based on the full record of the meeting </w:t>
      </w:r>
      <w:r w:rsidR="00C04FCB">
        <w:rPr>
          <w:rFonts w:asciiTheme="minorHAnsi" w:eastAsia="SimSun" w:hAnsiTheme="minorHAnsi" w:cstheme="minorHAnsi"/>
          <w:bCs/>
          <w:kern w:val="2"/>
          <w:szCs w:val="24"/>
          <w14:ligatures w14:val="standardContextual"/>
        </w:rPr>
        <w:t>(</w:t>
      </w:r>
      <w:r w:rsidR="00C04FCB" w:rsidRPr="00C04FCB">
        <w:rPr>
          <w:rFonts w:asciiTheme="minorHAnsi" w:eastAsia="SimSun" w:hAnsiTheme="minorHAnsi" w:cstheme="minorHAnsi"/>
          <w:bCs/>
          <w:kern w:val="2"/>
          <w:szCs w:val="24"/>
          <w14:ligatures w14:val="standardContextual"/>
        </w:rPr>
        <w:t>Doc</w:t>
      </w:r>
      <w:r w:rsidR="00364CB9">
        <w:rPr>
          <w:rFonts w:asciiTheme="minorHAnsi" w:eastAsia="SimSun" w:hAnsiTheme="minorHAnsi" w:cstheme="minorHAnsi"/>
          <w:bCs/>
          <w:kern w:val="2"/>
          <w:szCs w:val="24"/>
          <w14:ligatures w14:val="standardContextual"/>
        </w:rPr>
        <w:t>ument</w:t>
      </w:r>
      <w:r w:rsidR="00C04FCB" w:rsidRPr="00C04FCB">
        <w:rPr>
          <w:rFonts w:asciiTheme="minorHAnsi" w:eastAsia="SimSun" w:hAnsiTheme="minorHAnsi" w:cstheme="minorHAnsi"/>
          <w:bCs/>
          <w:kern w:val="2"/>
          <w:szCs w:val="24"/>
          <w14:ligatures w14:val="standardContextual"/>
        </w:rPr>
        <w:t xml:space="preserve"> </w:t>
      </w:r>
      <w:hyperlink r:id="rId19" w:history="1">
        <w:r w:rsidR="0067189B" w:rsidRPr="001A2188">
          <w:rPr>
            <w:rStyle w:val="Hyperlink"/>
            <w:rFonts w:asciiTheme="minorHAnsi" w:eastAsia="SimSun" w:hAnsiTheme="minorHAnsi" w:cstheme="minorHAnsi"/>
            <w:bCs/>
            <w:kern w:val="2"/>
            <w:szCs w:val="24"/>
            <w14:ligatures w14:val="standardContextual"/>
          </w:rPr>
          <w:t>CWG</w:t>
        </w:r>
        <w:r w:rsidR="001A2188" w:rsidRPr="001A2188">
          <w:rPr>
            <w:rStyle w:val="Hyperlink"/>
            <w:rFonts w:asciiTheme="minorHAnsi" w:eastAsia="SimSun" w:hAnsiTheme="minorHAnsi" w:cstheme="minorHAnsi"/>
            <w:bCs/>
            <w:kern w:val="2"/>
            <w:szCs w:val="24"/>
            <w14:ligatures w14:val="standardContextual"/>
          </w:rPr>
          <w:t>-</w:t>
        </w:r>
        <w:r w:rsidR="0067189B" w:rsidRPr="001A2188">
          <w:rPr>
            <w:rStyle w:val="Hyperlink"/>
            <w:rFonts w:asciiTheme="minorHAnsi" w:eastAsia="SimSun" w:hAnsiTheme="minorHAnsi" w:cstheme="minorHAnsi"/>
            <w:bCs/>
            <w:kern w:val="2"/>
            <w:szCs w:val="24"/>
            <w14:ligatures w14:val="standardContextual"/>
          </w:rPr>
          <w:t>LANG</w:t>
        </w:r>
        <w:r w:rsidR="001A2188" w:rsidRPr="001A2188">
          <w:rPr>
            <w:rStyle w:val="Hyperlink"/>
            <w:rFonts w:asciiTheme="minorHAnsi" w:eastAsia="SimSun" w:hAnsiTheme="minorHAnsi" w:cstheme="minorHAnsi"/>
            <w:bCs/>
            <w:kern w:val="2"/>
            <w:szCs w:val="24"/>
            <w14:ligatures w14:val="standardContextual"/>
          </w:rPr>
          <w:t>-</w:t>
        </w:r>
        <w:r w:rsidR="0067189B" w:rsidRPr="001A2188">
          <w:rPr>
            <w:rStyle w:val="Hyperlink"/>
            <w:rFonts w:asciiTheme="minorHAnsi" w:eastAsia="SimSun" w:hAnsiTheme="minorHAnsi" w:cstheme="minorHAnsi"/>
            <w:bCs/>
            <w:kern w:val="2"/>
            <w:szCs w:val="24"/>
            <w14:ligatures w14:val="standardContextual"/>
          </w:rPr>
          <w:t>16/5</w:t>
        </w:r>
      </w:hyperlink>
      <w:r w:rsidR="00C04FCB">
        <w:rPr>
          <w:rFonts w:asciiTheme="minorHAnsi" w:eastAsia="SimSun" w:hAnsiTheme="minorHAnsi" w:cstheme="minorHAnsi"/>
          <w:bCs/>
          <w:kern w:val="2"/>
          <w:szCs w:val="24"/>
          <w14:ligatures w14:val="standardContextual"/>
        </w:rPr>
        <w:t xml:space="preserve">). </w:t>
      </w:r>
      <w:r w:rsidR="0028762C" w:rsidRPr="0028762C">
        <w:rPr>
          <w:rFonts w:asciiTheme="minorHAnsi" w:eastAsia="SimSun" w:hAnsiTheme="minorHAnsi" w:cstheme="minorHAnsi"/>
          <w:bCs/>
          <w:kern w:val="2"/>
          <w:szCs w:val="24"/>
          <w14:ligatures w14:val="standardContextual"/>
        </w:rPr>
        <w:t xml:space="preserve">The meeting was chaired by </w:t>
      </w:r>
      <w:r w:rsidR="0028762C" w:rsidRPr="0028762C">
        <w:rPr>
          <w:rFonts w:cs="Calibri"/>
          <w:bCs/>
          <w:kern w:val="2"/>
          <w:szCs w:val="24"/>
          <w14:ligatures w14:val="standardContextual"/>
        </w:rPr>
        <w:t xml:space="preserve">CWG-LANG </w:t>
      </w:r>
      <w:r w:rsidR="00C04FCB" w:rsidRPr="0028762C">
        <w:rPr>
          <w:rFonts w:cs="Calibri"/>
          <w:bCs/>
          <w:kern w:val="2"/>
          <w:szCs w:val="24"/>
          <w14:ligatures w14:val="standardContextual"/>
        </w:rPr>
        <w:t xml:space="preserve">Vice-Chair </w:t>
      </w:r>
      <w:r w:rsidR="0028762C" w:rsidRPr="0028762C">
        <w:rPr>
          <w:rFonts w:cs="Calibri"/>
          <w:bCs/>
          <w:kern w:val="2"/>
          <w:szCs w:val="24"/>
          <w14:ligatures w14:val="standardContextual"/>
        </w:rPr>
        <w:t>Ms</w:t>
      </w:r>
      <w:r w:rsidR="00C04FCB">
        <w:rPr>
          <w:rFonts w:cs="Calibri"/>
          <w:bCs/>
          <w:kern w:val="2"/>
          <w:szCs w:val="24"/>
          <w14:ligatures w14:val="standardContextual"/>
        </w:rPr>
        <w:t> </w:t>
      </w:r>
      <w:r w:rsidR="0028762C" w:rsidRPr="0028762C">
        <w:rPr>
          <w:rFonts w:cs="Calibri"/>
          <w:bCs/>
          <w:kern w:val="2"/>
          <w:szCs w:val="24"/>
          <w14:ligatures w14:val="standardContextual"/>
        </w:rPr>
        <w:t>Blanca Gonzalez (Spain), acting as interim chair in the absence of the CWG-LANG Chair, Ms</w:t>
      </w:r>
      <w:r w:rsidR="00C04FCB">
        <w:rPr>
          <w:rFonts w:cs="Calibri"/>
          <w:bCs/>
          <w:kern w:val="2"/>
          <w:szCs w:val="24"/>
          <w14:ligatures w14:val="standardContextual"/>
        </w:rPr>
        <w:t> </w:t>
      </w:r>
      <w:r w:rsidR="0028762C" w:rsidRPr="0028762C">
        <w:rPr>
          <w:rFonts w:cs="Calibri"/>
          <w:bCs/>
          <w:kern w:val="2"/>
          <w:szCs w:val="24"/>
          <w14:ligatures w14:val="standardContextual"/>
        </w:rPr>
        <w:t xml:space="preserve">Sharon Bosire (Kenya). </w:t>
      </w:r>
    </w:p>
    <w:p w14:paraId="0001183A" w14:textId="6E670F2F" w:rsidR="00C23E7F" w:rsidRPr="0028762C" w:rsidRDefault="001A2188" w:rsidP="00C04FCB">
      <w:pPr>
        <w:jc w:val="both"/>
        <w:rPr>
          <w:rFonts w:asciiTheme="minorHAnsi" w:eastAsia="SimSun" w:hAnsiTheme="minorHAnsi" w:cstheme="minorBidi"/>
        </w:rPr>
      </w:pPr>
      <w:r>
        <w:t xml:space="preserve">In line with Resolution 154, </w:t>
      </w:r>
      <w:r w:rsidR="1D1E0699">
        <w:t>and</w:t>
      </w:r>
      <w:r w:rsidR="22966B85">
        <w:t xml:space="preserve"> </w:t>
      </w:r>
      <w:r w:rsidR="00400E6B">
        <w:t xml:space="preserve">as </w:t>
      </w:r>
      <w:r w:rsidR="00052144">
        <w:t>per</w:t>
      </w:r>
      <w:r w:rsidR="00400E6B">
        <w:t xml:space="preserve"> the Secretary-General’s </w:t>
      </w:r>
      <w:r w:rsidR="00052144">
        <w:t>report contained in</w:t>
      </w:r>
      <w:r w:rsidR="007B521D">
        <w:t xml:space="preserve"> </w:t>
      </w:r>
      <w:r w:rsidR="00364CB9">
        <w:t>D</w:t>
      </w:r>
      <w:r w:rsidR="007B521D">
        <w:t>ocument</w:t>
      </w:r>
      <w:r w:rsidR="00052144">
        <w:t xml:space="preserve"> </w:t>
      </w:r>
      <w:hyperlink r:id="rId20" w:history="1">
        <w:r w:rsidR="00052144" w:rsidRPr="007B521D">
          <w:rPr>
            <w:rStyle w:val="Hyperlink"/>
          </w:rPr>
          <w:t>C</w:t>
        </w:r>
        <w:r w:rsidR="007B521D" w:rsidRPr="007B521D">
          <w:rPr>
            <w:rStyle w:val="Hyperlink"/>
          </w:rPr>
          <w:t>WG-LANG-16/2</w:t>
        </w:r>
      </w:hyperlink>
      <w:r w:rsidR="007B521D">
        <w:t xml:space="preserve">, </w:t>
      </w:r>
      <w:r>
        <w:t>t</w:t>
      </w:r>
      <w:r w:rsidR="00E27BB5">
        <w:t>he work of CWG-LANG focused on:</w:t>
      </w:r>
    </w:p>
    <w:p w14:paraId="5CDD7538" w14:textId="050137A0" w:rsidR="00E27BB5" w:rsidRPr="00C04FCB" w:rsidRDefault="00C04FCB" w:rsidP="00C04FCB">
      <w:pPr>
        <w:pStyle w:val="enumlev1"/>
        <w:jc w:val="both"/>
        <w:rPr>
          <w:rFonts w:eastAsia="SimSun"/>
        </w:rPr>
      </w:pPr>
      <w:r w:rsidRPr="00EE15BB">
        <w:rPr>
          <w:rFonts w:eastAsia="SimSun"/>
        </w:rPr>
        <w:t>a)</w:t>
      </w:r>
      <w:r w:rsidRPr="00EE15BB">
        <w:rPr>
          <w:rFonts w:eastAsia="SimSun"/>
        </w:rPr>
        <w:tab/>
      </w:r>
      <w:r w:rsidR="00E27BB5" w:rsidRPr="00C04FCB">
        <w:rPr>
          <w:rFonts w:eastAsia="SimSun"/>
        </w:rPr>
        <w:t>Analysis of budgets and volumes for translation and interpretation in the six official languages for the period 2019-2024</w:t>
      </w:r>
    </w:p>
    <w:p w14:paraId="36E6D9B5" w14:textId="50D4D037" w:rsidR="00E27BB5" w:rsidRPr="00C04FCB" w:rsidRDefault="00C04FCB" w:rsidP="00C04FCB">
      <w:pPr>
        <w:pStyle w:val="enumlev1"/>
        <w:jc w:val="both"/>
        <w:rPr>
          <w:rFonts w:eastAsia="SimSun"/>
        </w:rPr>
      </w:pPr>
      <w:r>
        <w:rPr>
          <w:rFonts w:eastAsia="SimSun"/>
        </w:rPr>
        <w:t>b)</w:t>
      </w:r>
      <w:r>
        <w:rPr>
          <w:rFonts w:eastAsia="SimSun"/>
        </w:rPr>
        <w:tab/>
      </w:r>
      <w:r w:rsidR="00E27BB5" w:rsidRPr="00C04FCB">
        <w:rPr>
          <w:rFonts w:eastAsia="SimSun"/>
        </w:rPr>
        <w:t xml:space="preserve">Use of new technologies to increase efficiency and cost-effectiveness in the provision of language services, including machine translation through the ITU Translate suite of AI-powered tools </w:t>
      </w:r>
    </w:p>
    <w:p w14:paraId="032F6E9B" w14:textId="01788EF6" w:rsidR="001A2188" w:rsidRPr="00C04FCB" w:rsidRDefault="00C04FCB" w:rsidP="00C04FCB">
      <w:pPr>
        <w:pStyle w:val="enumlev1"/>
        <w:jc w:val="both"/>
        <w:rPr>
          <w:rFonts w:eastAsia="SimSun"/>
        </w:rPr>
      </w:pPr>
      <w:r>
        <w:rPr>
          <w:rFonts w:eastAsia="SimSun"/>
        </w:rPr>
        <w:t>c)</w:t>
      </w:r>
      <w:r>
        <w:rPr>
          <w:rFonts w:eastAsia="SimSun"/>
        </w:rPr>
        <w:tab/>
      </w:r>
      <w:r w:rsidR="001A2188" w:rsidRPr="00C04FCB">
        <w:rPr>
          <w:rFonts w:eastAsia="SimSun"/>
        </w:rPr>
        <w:t>Challenges and opportunities of AI interpretation and evaluation of AI-powered interpretation as trialled in the meeting</w:t>
      </w:r>
    </w:p>
    <w:p w14:paraId="58C47F56" w14:textId="733E009C" w:rsidR="0067189B" w:rsidRPr="00C04FCB" w:rsidRDefault="00C04FCB" w:rsidP="00C04FCB">
      <w:pPr>
        <w:pStyle w:val="enumlev1"/>
        <w:jc w:val="both"/>
        <w:rPr>
          <w:rFonts w:eastAsia="SimSun"/>
        </w:rPr>
      </w:pPr>
      <w:r>
        <w:rPr>
          <w:rFonts w:eastAsia="SimSun"/>
        </w:rPr>
        <w:t>d)</w:t>
      </w:r>
      <w:r>
        <w:rPr>
          <w:rFonts w:eastAsia="SimSun"/>
        </w:rPr>
        <w:tab/>
      </w:r>
      <w:r w:rsidR="00E27BB5" w:rsidRPr="00C04FCB">
        <w:rPr>
          <w:rFonts w:eastAsia="SimSun"/>
        </w:rPr>
        <w:t>Implementation of the Guide to current and future practices in multilingualism at ITU and its accompanying staff guidelines on the use of machine translation</w:t>
      </w:r>
    </w:p>
    <w:p w14:paraId="5895C912" w14:textId="7234762E" w:rsidR="00E27BB5" w:rsidRPr="00C04FCB" w:rsidRDefault="00C04FCB" w:rsidP="00C04FCB">
      <w:pPr>
        <w:pStyle w:val="enumlev1"/>
        <w:jc w:val="both"/>
        <w:rPr>
          <w:rFonts w:eastAsia="SimSun"/>
        </w:rPr>
      </w:pPr>
      <w:r w:rsidRPr="001A2188">
        <w:rPr>
          <w:rFonts w:eastAsia="SimSun"/>
        </w:rPr>
        <w:t>e)</w:t>
      </w:r>
      <w:r w:rsidRPr="001A2188">
        <w:rPr>
          <w:rFonts w:eastAsia="SimSun"/>
        </w:rPr>
        <w:tab/>
      </w:r>
      <w:r w:rsidR="00E27BB5" w:rsidRPr="00C04FCB">
        <w:rPr>
          <w:rFonts w:eastAsia="SimSun"/>
        </w:rPr>
        <w:t>Updates on the work of the ITU Coordination Committee on Terminology (CCT), including a new workflow and collaboration with Member States on the translation of terms and definitions</w:t>
      </w:r>
    </w:p>
    <w:p w14:paraId="054F974D" w14:textId="44C14266" w:rsidR="00E27BB5" w:rsidRPr="00C04FCB" w:rsidRDefault="00C04FCB" w:rsidP="00C04FCB">
      <w:pPr>
        <w:pStyle w:val="enumlev1"/>
        <w:jc w:val="both"/>
        <w:rPr>
          <w:rFonts w:eastAsia="SimSun"/>
        </w:rPr>
      </w:pPr>
      <w:r>
        <w:rPr>
          <w:rFonts w:eastAsia="SimSun"/>
        </w:rPr>
        <w:t>f)</w:t>
      </w:r>
      <w:r>
        <w:rPr>
          <w:rFonts w:eastAsia="SimSun"/>
        </w:rPr>
        <w:tab/>
      </w:r>
      <w:r w:rsidR="00E27BB5" w:rsidRPr="00C04FCB">
        <w:rPr>
          <w:rFonts w:eastAsia="SimSun"/>
        </w:rPr>
        <w:t>Efforts to improve the harmonization of the ITU website in all six languages and enhance search functionality</w:t>
      </w:r>
    </w:p>
    <w:p w14:paraId="596C1DB1" w14:textId="720C6D6A" w:rsidR="00E27BB5" w:rsidRPr="00C04FCB" w:rsidRDefault="00C04FCB" w:rsidP="00C04FCB">
      <w:pPr>
        <w:pStyle w:val="enumlev1"/>
        <w:jc w:val="both"/>
        <w:rPr>
          <w:rFonts w:eastAsia="SimSun"/>
        </w:rPr>
      </w:pPr>
      <w:r w:rsidRPr="00EE15BB">
        <w:rPr>
          <w:rFonts w:eastAsia="SimSun"/>
        </w:rPr>
        <w:t>g)</w:t>
      </w:r>
      <w:r w:rsidRPr="00EE15BB">
        <w:rPr>
          <w:rFonts w:eastAsia="SimSun"/>
        </w:rPr>
        <w:tab/>
      </w:r>
      <w:r w:rsidR="00E27BB5" w:rsidRPr="00C04FCB">
        <w:rPr>
          <w:rFonts w:eastAsia="SimSun"/>
        </w:rPr>
        <w:t>Participation in inter-institutional meetings to benchmark tools and procedures</w:t>
      </w:r>
      <w:r w:rsidR="001A2188" w:rsidRPr="00C04FCB">
        <w:rPr>
          <w:rFonts w:eastAsia="SimSun"/>
        </w:rPr>
        <w:t>.</w:t>
      </w:r>
    </w:p>
    <w:p w14:paraId="31FC6430" w14:textId="796D8BC7" w:rsidR="0067189B" w:rsidRPr="00C04FCB" w:rsidRDefault="00C04FCB" w:rsidP="00C04FCB">
      <w:pPr>
        <w:pStyle w:val="Heading1"/>
        <w:rPr>
          <w:rFonts w:eastAsia="SimSun"/>
        </w:rPr>
      </w:pPr>
      <w:r>
        <w:rPr>
          <w:rFonts w:eastAsia="SimSun"/>
        </w:rPr>
        <w:t>2</w:t>
      </w:r>
      <w:r>
        <w:rPr>
          <w:rFonts w:eastAsia="SimSun"/>
        </w:rPr>
        <w:tab/>
      </w:r>
      <w:r w:rsidR="0067189B" w:rsidRPr="00C04FCB">
        <w:rPr>
          <w:rFonts w:eastAsia="SimSun"/>
        </w:rPr>
        <w:t xml:space="preserve">Main topics </w:t>
      </w:r>
      <w:r w:rsidR="001A2188" w:rsidRPr="00C04FCB">
        <w:rPr>
          <w:rFonts w:eastAsia="SimSun"/>
        </w:rPr>
        <w:t>of discussion</w:t>
      </w:r>
    </w:p>
    <w:p w14:paraId="1920D252" w14:textId="38B6B6DD" w:rsidR="001A2188" w:rsidRPr="00C04FCB" w:rsidRDefault="00C04FCB" w:rsidP="00C04FCB">
      <w:pPr>
        <w:pStyle w:val="enumlev1"/>
        <w:jc w:val="both"/>
        <w:rPr>
          <w:rFonts w:eastAsia="SimSun"/>
        </w:rPr>
      </w:pPr>
      <w:r>
        <w:rPr>
          <w:rFonts w:eastAsia="Calibri" w:cs="Arial"/>
        </w:rPr>
        <w:t>a)</w:t>
      </w:r>
      <w:r>
        <w:rPr>
          <w:rFonts w:eastAsia="Calibri" w:cs="Arial"/>
        </w:rPr>
        <w:tab/>
      </w:r>
      <w:r w:rsidR="001A2188" w:rsidRPr="00C04FCB">
        <w:rPr>
          <w:rFonts w:eastAsia="SimSun"/>
        </w:rPr>
        <w:t xml:space="preserve">Achievements in cost efficiency in the language services, and the level of transparency in reporting, were welcomed by delegates. Any savings could be used to invest more in new technologies, whilst ensuring the quality of language services is retained </w:t>
      </w:r>
    </w:p>
    <w:p w14:paraId="49ADEE26" w14:textId="6251946B" w:rsidR="001A2188" w:rsidRPr="00C04FCB" w:rsidRDefault="00C04FCB" w:rsidP="00C04FCB">
      <w:pPr>
        <w:pStyle w:val="enumlev1"/>
        <w:jc w:val="both"/>
        <w:rPr>
          <w:rFonts w:eastAsia="SimSun"/>
        </w:rPr>
      </w:pPr>
      <w:r>
        <w:rPr>
          <w:rFonts w:eastAsia="Calibri" w:cs="Arial"/>
        </w:rPr>
        <w:t>b)</w:t>
      </w:r>
      <w:r>
        <w:rPr>
          <w:rFonts w:eastAsia="Calibri" w:cs="Arial"/>
        </w:rPr>
        <w:tab/>
      </w:r>
      <w:r w:rsidR="001A2188" w:rsidRPr="00C04FCB">
        <w:rPr>
          <w:rFonts w:eastAsia="SimSun"/>
        </w:rPr>
        <w:t xml:space="preserve">The further developments and increased use of machine translation through ITU Translate were welcomed. The quality of ITU Translate on web pages should continue to improve through monitoring, post-editing and feedback mechanisms allowing delegates to </w:t>
      </w:r>
      <w:r w:rsidR="00B12F82" w:rsidRPr="00C04FCB">
        <w:rPr>
          <w:rFonts w:eastAsia="SimSun"/>
        </w:rPr>
        <w:t>provide direct input</w:t>
      </w:r>
    </w:p>
    <w:p w14:paraId="4DDB83A4" w14:textId="4AB11569" w:rsidR="00B12F82" w:rsidRPr="00C04FCB" w:rsidRDefault="00C04FCB" w:rsidP="00C04FCB">
      <w:pPr>
        <w:pStyle w:val="enumlev1"/>
        <w:jc w:val="both"/>
        <w:rPr>
          <w:rFonts w:eastAsia="SimSun"/>
        </w:rPr>
      </w:pPr>
      <w:r>
        <w:rPr>
          <w:rFonts w:eastAsia="Calibri" w:cs="Arial"/>
        </w:rPr>
        <w:t>c)</w:t>
      </w:r>
      <w:r>
        <w:rPr>
          <w:rFonts w:eastAsia="Calibri" w:cs="Arial"/>
        </w:rPr>
        <w:tab/>
      </w:r>
      <w:r w:rsidR="00B12F82" w:rsidRPr="00C04FCB">
        <w:rPr>
          <w:rFonts w:eastAsia="SimSun"/>
        </w:rPr>
        <w:t>Testing of AI-powered interpretation during the meeting was positively received. Further testing was recommended, including in sector Study Groups, ensuring participants are aware of its use and can provide evaluation of technical and linguistic quality</w:t>
      </w:r>
    </w:p>
    <w:p w14:paraId="72892765" w14:textId="62EAFAA0" w:rsidR="00B12F82" w:rsidRPr="00C04FCB" w:rsidRDefault="00C04FCB" w:rsidP="00C04FCB">
      <w:pPr>
        <w:pStyle w:val="enumlev1"/>
        <w:jc w:val="both"/>
        <w:rPr>
          <w:rFonts w:eastAsia="SimSun"/>
        </w:rPr>
      </w:pPr>
      <w:r>
        <w:rPr>
          <w:rFonts w:eastAsia="Calibri" w:cs="Arial"/>
        </w:rPr>
        <w:t>d)</w:t>
      </w:r>
      <w:r>
        <w:rPr>
          <w:rFonts w:eastAsia="Calibri" w:cs="Arial"/>
        </w:rPr>
        <w:tab/>
      </w:r>
      <w:r w:rsidR="00B12F82" w:rsidRPr="00C04FCB">
        <w:rPr>
          <w:rFonts w:eastAsia="SimSun"/>
        </w:rPr>
        <w:t>The document on the Measures and Principles for interpretation and translation at ITU should be opened for discussion with a view to incorporating clearly the use of machine translation for relevant documents, web pages and publications</w:t>
      </w:r>
    </w:p>
    <w:p w14:paraId="3EBD25D5" w14:textId="32FAF02B" w:rsidR="00B12F82" w:rsidRPr="00C04FCB" w:rsidRDefault="00C04FCB" w:rsidP="00C04FCB">
      <w:pPr>
        <w:pStyle w:val="enumlev1"/>
        <w:jc w:val="both"/>
        <w:rPr>
          <w:rFonts w:eastAsia="SimSun"/>
        </w:rPr>
      </w:pPr>
      <w:r>
        <w:rPr>
          <w:rFonts w:eastAsia="Calibri" w:cs="Arial"/>
        </w:rPr>
        <w:t>e)</w:t>
      </w:r>
      <w:r>
        <w:rPr>
          <w:rFonts w:eastAsia="Calibri" w:cs="Arial"/>
        </w:rPr>
        <w:tab/>
      </w:r>
      <w:r w:rsidR="00B12F82" w:rsidRPr="00C04FCB">
        <w:rPr>
          <w:rFonts w:eastAsia="SimSun"/>
        </w:rPr>
        <w:t xml:space="preserve">The use of </w:t>
      </w:r>
      <w:r w:rsidR="00B12F82" w:rsidRPr="00C04FCB">
        <w:rPr>
          <w:rFonts w:eastAsia="Calibri" w:cs="Arial"/>
        </w:rPr>
        <w:t>machine translation and AI-powered interpretation in non-official languages should be considered in the future</w:t>
      </w:r>
    </w:p>
    <w:p w14:paraId="1A2DFBC1" w14:textId="7E44237A" w:rsidR="00B12F82" w:rsidRPr="00C04FCB" w:rsidRDefault="00C04FCB" w:rsidP="00C04FCB">
      <w:pPr>
        <w:pStyle w:val="enumlev1"/>
        <w:jc w:val="both"/>
        <w:rPr>
          <w:rFonts w:eastAsia="SimSun"/>
        </w:rPr>
      </w:pPr>
      <w:r>
        <w:rPr>
          <w:rFonts w:eastAsia="Calibri" w:cs="Arial"/>
        </w:rPr>
        <w:lastRenderedPageBreak/>
        <w:t>f)</w:t>
      </w:r>
      <w:r>
        <w:rPr>
          <w:rFonts w:eastAsia="Calibri" w:cs="Arial"/>
        </w:rPr>
        <w:tab/>
      </w:r>
      <w:r w:rsidR="00B12F82" w:rsidRPr="00C04FCB">
        <w:rPr>
          <w:rFonts w:eastAsia="SimSun"/>
        </w:rPr>
        <w:t>The following oral report on efforts to improve the ITU website was provided to CWG</w:t>
      </w:r>
      <w:r w:rsidR="009E4E8C">
        <w:rPr>
          <w:rFonts w:eastAsia="SimSun"/>
        </w:rPr>
        <w:noBreakHyphen/>
      </w:r>
      <w:r w:rsidR="00B12F82" w:rsidRPr="00C04FCB">
        <w:rPr>
          <w:rFonts w:eastAsia="SimSun"/>
        </w:rPr>
        <w:t xml:space="preserve">LANG in response to the request for more detailed information raised in the Russian Federation contribution </w:t>
      </w:r>
      <w:r w:rsidR="002968A5">
        <w:rPr>
          <w:rFonts w:asciiTheme="minorHAnsi" w:eastAsia="SimSun" w:hAnsiTheme="minorHAnsi" w:cstheme="minorHAnsi"/>
          <w:bCs/>
          <w:kern w:val="2"/>
          <w:szCs w:val="24"/>
          <w14:ligatures w14:val="standardContextual"/>
        </w:rPr>
        <w:t>(</w:t>
      </w:r>
      <w:r w:rsidR="002968A5" w:rsidRPr="00C04FCB">
        <w:rPr>
          <w:rFonts w:asciiTheme="minorHAnsi" w:eastAsia="SimSun" w:hAnsiTheme="minorHAnsi" w:cstheme="minorHAnsi"/>
          <w:bCs/>
          <w:kern w:val="2"/>
          <w:szCs w:val="24"/>
          <w14:ligatures w14:val="standardContextual"/>
        </w:rPr>
        <w:t>Doc</w:t>
      </w:r>
      <w:r w:rsidR="00364CB9">
        <w:rPr>
          <w:rFonts w:asciiTheme="minorHAnsi" w:eastAsia="SimSun" w:hAnsiTheme="minorHAnsi" w:cstheme="minorHAnsi"/>
          <w:bCs/>
          <w:kern w:val="2"/>
          <w:szCs w:val="24"/>
          <w14:ligatures w14:val="standardContextual"/>
        </w:rPr>
        <w:t>ument</w:t>
      </w:r>
      <w:r w:rsidR="002968A5" w:rsidRPr="00C04FCB">
        <w:rPr>
          <w:rFonts w:asciiTheme="minorHAnsi" w:eastAsia="SimSun" w:hAnsiTheme="minorHAnsi" w:cstheme="minorHAnsi"/>
          <w:bCs/>
          <w:kern w:val="2"/>
          <w:szCs w:val="24"/>
          <w14:ligatures w14:val="standardContextual"/>
        </w:rPr>
        <w:t xml:space="preserve"> </w:t>
      </w:r>
      <w:hyperlink r:id="rId21" w:history="1">
        <w:r w:rsidR="00C73D1C">
          <w:rPr>
            <w:rStyle w:val="Hyperlink"/>
            <w:rFonts w:asciiTheme="minorHAnsi" w:eastAsia="SimSun" w:hAnsiTheme="minorHAnsi" w:cstheme="minorHAnsi"/>
            <w:bCs/>
            <w:kern w:val="2"/>
            <w:szCs w:val="24"/>
            <w14:ligatures w14:val="standardContextual"/>
          </w:rPr>
          <w:t>CWG-LANG-16/4</w:t>
        </w:r>
      </w:hyperlink>
      <w:r w:rsidR="00B12F82" w:rsidRPr="00C04FCB">
        <w:rPr>
          <w:rFonts w:eastAsia="SimSun"/>
        </w:rPr>
        <w:t>):</w:t>
      </w:r>
    </w:p>
    <w:p w14:paraId="41AB0488" w14:textId="2A970DFC" w:rsidR="001A2188" w:rsidRPr="00B12F82" w:rsidRDefault="002968A5" w:rsidP="002968A5">
      <w:pPr>
        <w:pStyle w:val="enumlev2"/>
        <w:jc w:val="both"/>
        <w:rPr>
          <w:rFonts w:asciiTheme="minorHAnsi" w:eastAsia="SimSun" w:hAnsiTheme="minorHAnsi" w:cstheme="minorHAnsi"/>
          <w:bCs/>
          <w:kern w:val="2"/>
          <w:szCs w:val="24"/>
          <w14:ligatures w14:val="standardContextual"/>
        </w:rPr>
      </w:pPr>
      <w:r>
        <w:rPr>
          <w:rFonts w:eastAsia="Calibri"/>
        </w:rPr>
        <w:tab/>
      </w:r>
      <w:r>
        <w:rPr>
          <w:rFonts w:eastAsia="Calibri"/>
        </w:rPr>
        <w:tab/>
      </w:r>
      <w:r w:rsidR="00B12F82">
        <w:rPr>
          <w:rFonts w:eastAsia="Calibri"/>
        </w:rPr>
        <w:t>I</w:t>
      </w:r>
      <w:r w:rsidR="00B12F82" w:rsidRPr="00B12F82">
        <w:rPr>
          <w:rFonts w:eastAsia="Calibri"/>
          <w:lang w:val="en-US"/>
        </w:rPr>
        <w:t>TU has made improvements to the website, including continuing to refine the use of Google Search on the ITU’s public-facing website to improve the search experience, improving the website feedback feature and analy</w:t>
      </w:r>
      <w:r w:rsidR="0094621B">
        <w:rPr>
          <w:rFonts w:eastAsia="Calibri"/>
          <w:lang w:val="en-US"/>
        </w:rPr>
        <w:t>s</w:t>
      </w:r>
      <w:r w:rsidR="00B12F82" w:rsidRPr="00B12F82">
        <w:rPr>
          <w:rFonts w:eastAsia="Calibri"/>
          <w:lang w:val="en-US"/>
        </w:rPr>
        <w:t xml:space="preserve">ing user experience and behaviour. All new websites built on the WordPress platform include automatic translation in the six official languages of the Union. The </w:t>
      </w:r>
      <w:r w:rsidR="0094621B">
        <w:rPr>
          <w:rFonts w:eastAsia="Calibri"/>
          <w:lang w:val="en-US"/>
        </w:rPr>
        <w:t>s</w:t>
      </w:r>
      <w:r w:rsidR="00B12F82" w:rsidRPr="00B12F82">
        <w:rPr>
          <w:rFonts w:eastAsia="Calibri"/>
          <w:lang w:val="en-US"/>
        </w:rPr>
        <w:t xml:space="preserve">ecretariat has been allocated </w:t>
      </w:r>
      <w:r w:rsidR="009E4E8C" w:rsidRPr="00C04FCB">
        <w:t xml:space="preserve">CHF </w:t>
      </w:r>
      <w:r w:rsidR="00B12F82" w:rsidRPr="00B12F82">
        <w:rPr>
          <w:rFonts w:eastAsia="Calibri"/>
          <w:lang w:val="en-US"/>
        </w:rPr>
        <w:t xml:space="preserve">350K for the New Website Project budget and is working to identify the remaining </w:t>
      </w:r>
      <w:r w:rsidR="009E4E8C" w:rsidRPr="00C04FCB">
        <w:t xml:space="preserve">CHF </w:t>
      </w:r>
      <w:r w:rsidR="00B12F82" w:rsidRPr="00B12F82">
        <w:rPr>
          <w:rFonts w:eastAsia="Calibri"/>
          <w:lang w:val="en-US"/>
        </w:rPr>
        <w:t>250K outlined in the project budget. Requests for Proposals for Information Architecture and Taxonomy, and for WordPress Expert Development have been prepared. Work to analy</w:t>
      </w:r>
      <w:r w:rsidR="0094621B">
        <w:rPr>
          <w:rFonts w:eastAsia="Calibri"/>
          <w:lang w:val="en-US"/>
        </w:rPr>
        <w:t>s</w:t>
      </w:r>
      <w:r w:rsidR="00B12F82" w:rsidRPr="00B12F82">
        <w:rPr>
          <w:rFonts w:eastAsia="Calibri"/>
          <w:lang w:val="en-US"/>
        </w:rPr>
        <w:t xml:space="preserve">e current websites and create a web governance framework has begun. Regular updates on the progress of the project will be provided to CWG-LANG, CWG-FHR and to </w:t>
      </w:r>
      <w:r w:rsidR="00080A1C">
        <w:rPr>
          <w:rFonts w:eastAsia="Calibri"/>
          <w:lang w:val="en-US"/>
        </w:rPr>
        <w:t xml:space="preserve">the </w:t>
      </w:r>
      <w:r w:rsidR="00B12F82" w:rsidRPr="00B12F82">
        <w:rPr>
          <w:rFonts w:eastAsia="Calibri"/>
          <w:lang w:val="en-US"/>
        </w:rPr>
        <w:t>Council</w:t>
      </w:r>
      <w:r w:rsidR="00B12F82">
        <w:rPr>
          <w:rFonts w:eastAsia="Calibri"/>
          <w:lang w:val="en-US"/>
        </w:rPr>
        <w:t>.</w:t>
      </w:r>
    </w:p>
    <w:p w14:paraId="2001951E" w14:textId="15881FEF" w:rsidR="00B12F82" w:rsidRPr="00C04FCB" w:rsidRDefault="00C04FCB" w:rsidP="00E263DC">
      <w:pPr>
        <w:pStyle w:val="Heading1"/>
        <w:rPr>
          <w:rFonts w:eastAsia="SimSun"/>
        </w:rPr>
      </w:pPr>
      <w:r>
        <w:rPr>
          <w:rFonts w:eastAsia="SimSun"/>
        </w:rPr>
        <w:t>3</w:t>
      </w:r>
      <w:r>
        <w:rPr>
          <w:rFonts w:eastAsia="SimSun"/>
        </w:rPr>
        <w:tab/>
      </w:r>
      <w:r w:rsidR="00B12F82" w:rsidRPr="00C04FCB">
        <w:rPr>
          <w:rFonts w:eastAsia="SimSun"/>
        </w:rPr>
        <w:t>CWG-LANG outcomes</w:t>
      </w:r>
    </w:p>
    <w:p w14:paraId="3A3C1D6A" w14:textId="2E717B92" w:rsidR="00C23E7F" w:rsidRPr="00B12F82" w:rsidRDefault="6F4D5DE7" w:rsidP="00E263DC">
      <w:pPr>
        <w:jc w:val="both"/>
        <w:rPr>
          <w:rFonts w:asciiTheme="minorHAnsi" w:eastAsia="SimSun" w:hAnsiTheme="minorHAnsi" w:cstheme="minorBidi"/>
          <w:b/>
          <w:kern w:val="2"/>
          <w14:ligatures w14:val="standardContextual"/>
        </w:rPr>
      </w:pPr>
      <w:r w:rsidRPr="1E1461A0">
        <w:rPr>
          <w:rFonts w:asciiTheme="minorHAnsi" w:hAnsiTheme="minorHAnsi" w:cstheme="minorBidi"/>
        </w:rPr>
        <w:t xml:space="preserve">The main </w:t>
      </w:r>
      <w:r w:rsidR="30005A59" w:rsidRPr="1E1461A0">
        <w:rPr>
          <w:rFonts w:asciiTheme="minorHAnsi" w:hAnsiTheme="minorHAnsi" w:cstheme="minorBidi"/>
        </w:rPr>
        <w:t>outcomes</w:t>
      </w:r>
      <w:r w:rsidRPr="1E1461A0">
        <w:rPr>
          <w:rFonts w:asciiTheme="minorHAnsi" w:hAnsiTheme="minorHAnsi" w:cstheme="minorBidi"/>
        </w:rPr>
        <w:t xml:space="preserve"> of the </w:t>
      </w:r>
      <w:hyperlink r:id="rId22">
        <w:r w:rsidR="30005A59" w:rsidRPr="1E1461A0">
          <w:rPr>
            <w:rStyle w:val="Hyperlink"/>
            <w:rFonts w:asciiTheme="minorHAnsi" w:hAnsiTheme="minorHAnsi" w:cstheme="minorBidi"/>
          </w:rPr>
          <w:t>six</w:t>
        </w:r>
        <w:r w:rsidRPr="1E1461A0">
          <w:rPr>
            <w:rStyle w:val="Hyperlink"/>
            <w:rFonts w:asciiTheme="minorHAnsi" w:hAnsiTheme="minorHAnsi" w:cstheme="minorBidi"/>
          </w:rPr>
          <w:t>teenth meeting of CWG-LANG</w:t>
        </w:r>
      </w:hyperlink>
      <w:r w:rsidR="30005A59">
        <w:t xml:space="preserve"> </w:t>
      </w:r>
      <w:r w:rsidRPr="1E1461A0">
        <w:rPr>
          <w:rFonts w:asciiTheme="minorHAnsi" w:hAnsiTheme="minorHAnsi" w:cstheme="minorBidi"/>
        </w:rPr>
        <w:t>were</w:t>
      </w:r>
      <w:r w:rsidR="72E28CA3" w:rsidRPr="1E1461A0">
        <w:rPr>
          <w:rFonts w:asciiTheme="minorHAnsi" w:hAnsiTheme="minorHAnsi" w:cstheme="minorBidi"/>
        </w:rPr>
        <w:t xml:space="preserve"> to</w:t>
      </w:r>
      <w:r w:rsidRPr="1E1461A0">
        <w:rPr>
          <w:rFonts w:asciiTheme="minorHAnsi" w:hAnsiTheme="minorHAnsi" w:cstheme="minorBidi"/>
        </w:rPr>
        <w:t>:</w:t>
      </w:r>
    </w:p>
    <w:p w14:paraId="2F4143B3" w14:textId="40EC8426" w:rsidR="00C23E7F" w:rsidRPr="00C04FCB" w:rsidRDefault="00E263DC" w:rsidP="00E263DC">
      <w:pPr>
        <w:pStyle w:val="enumlev1"/>
        <w:jc w:val="both"/>
        <w:rPr>
          <w:rFonts w:eastAsia="Calibri" w:cs="Arial"/>
          <w:kern w:val="2"/>
          <w:lang w:val="en-US"/>
          <w14:ligatures w14:val="standardContextual"/>
        </w:rPr>
      </w:pPr>
      <w:r>
        <w:rPr>
          <w:rFonts w:cs="Calibri"/>
          <w:kern w:val="2"/>
          <w:lang w:val="en-US"/>
          <w14:ligatures w14:val="standardContextual"/>
        </w:rPr>
        <w:t>–</w:t>
      </w:r>
      <w:r w:rsidR="00C04FCB" w:rsidRPr="003B6DE5">
        <w:rPr>
          <w:rFonts w:cs="Calibri"/>
          <w:kern w:val="2"/>
          <w:lang w:val="en-US"/>
          <w14:ligatures w14:val="standardContextual"/>
        </w:rPr>
        <w:tab/>
      </w:r>
      <w:r w:rsidR="00080A1C">
        <w:rPr>
          <w:rFonts w:cs="Calibri"/>
          <w:kern w:val="2"/>
          <w:lang w:val="en-US"/>
          <w14:ligatures w14:val="standardContextual"/>
        </w:rPr>
        <w:t>r</w:t>
      </w:r>
      <w:r w:rsidR="002F64AE" w:rsidRPr="00C04FCB">
        <w:t xml:space="preserve">equest that the secretariat provide detailed annual expenditure against the </w:t>
      </w:r>
      <w:r w:rsidR="009E4E8C" w:rsidRPr="00C04FCB">
        <w:t xml:space="preserve">CHF </w:t>
      </w:r>
      <w:r w:rsidR="002F64AE" w:rsidRPr="00C04FCB">
        <w:t>85M budgetary cap</w:t>
      </w:r>
      <w:r w:rsidR="003B6DE5" w:rsidRPr="00C04FCB">
        <w:t xml:space="preserve"> for language services in future reports to CWG-LANG, as well as a footnote identifying 2022 as an exceptional year in terms of conferences held</w:t>
      </w:r>
      <w:r w:rsidR="00080A1C">
        <w:t>;</w:t>
      </w:r>
      <w:r w:rsidR="003B6DE5" w:rsidRPr="00C04FCB">
        <w:t xml:space="preserve"> </w:t>
      </w:r>
    </w:p>
    <w:p w14:paraId="36B54E6E" w14:textId="23283138" w:rsidR="003B6DE5" w:rsidRPr="00C04FCB" w:rsidRDefault="00E263DC" w:rsidP="00E263DC">
      <w:pPr>
        <w:pStyle w:val="enumlev1"/>
        <w:jc w:val="both"/>
        <w:rPr>
          <w:rFonts w:eastAsia="Calibri" w:cs="Arial"/>
          <w:kern w:val="2"/>
          <w:lang w:val="en-US"/>
          <w14:ligatures w14:val="standardContextual"/>
        </w:rPr>
      </w:pPr>
      <w:r>
        <w:rPr>
          <w:rFonts w:cs="Calibri"/>
          <w:kern w:val="2"/>
          <w:lang w:val="en-US"/>
          <w14:ligatures w14:val="standardContextual"/>
        </w:rPr>
        <w:t>–</w:t>
      </w:r>
      <w:r w:rsidR="00C04FCB" w:rsidRPr="003B6DE5">
        <w:rPr>
          <w:rFonts w:cs="Calibri"/>
          <w:kern w:val="2"/>
          <w:lang w:val="en-US"/>
          <w14:ligatures w14:val="standardContextual"/>
        </w:rPr>
        <w:tab/>
      </w:r>
      <w:r w:rsidR="00080A1C">
        <w:rPr>
          <w:rFonts w:cs="Calibri"/>
          <w:kern w:val="2"/>
          <w:lang w:val="en-US"/>
          <w14:ligatures w14:val="standardContextual"/>
        </w:rPr>
        <w:t>i</w:t>
      </w:r>
      <w:r w:rsidR="003B6DE5" w:rsidRPr="00C04FCB">
        <w:t>nclude updates on the website development and search engine improvement in all future reports to CWG-LANG as set out in Resolution 154</w:t>
      </w:r>
      <w:r w:rsidR="00080A1C">
        <w:t>;</w:t>
      </w:r>
    </w:p>
    <w:p w14:paraId="3CDE7D0C" w14:textId="56F846AF" w:rsidR="003B6DE5" w:rsidRPr="00C04FCB" w:rsidRDefault="00E263DC" w:rsidP="00E263DC">
      <w:pPr>
        <w:pStyle w:val="enumlev1"/>
        <w:jc w:val="both"/>
        <w:rPr>
          <w:rFonts w:eastAsia="Calibri" w:cs="Arial"/>
          <w:kern w:val="2"/>
          <w:lang w:val="en-US"/>
          <w14:ligatures w14:val="standardContextual"/>
        </w:rPr>
      </w:pPr>
      <w:r>
        <w:rPr>
          <w:rFonts w:cs="Calibri"/>
          <w:kern w:val="2"/>
          <w:lang w:val="en-US"/>
          <w14:ligatures w14:val="standardContextual"/>
        </w:rPr>
        <w:t>–</w:t>
      </w:r>
      <w:r w:rsidR="00C04FCB" w:rsidRPr="003B6DE5">
        <w:rPr>
          <w:rFonts w:cs="Calibri"/>
          <w:kern w:val="2"/>
          <w:lang w:val="en-US"/>
          <w14:ligatures w14:val="standardContextual"/>
        </w:rPr>
        <w:tab/>
      </w:r>
      <w:r w:rsidR="003B6DE5" w:rsidRPr="00C04FCB">
        <w:t>note the update on the implementation of the guide on multilingualism</w:t>
      </w:r>
      <w:r>
        <w:t>,</w:t>
      </w:r>
      <w:r w:rsidR="003B6DE5" w:rsidRPr="00C04FCB">
        <w:t xml:space="preserve"> including data on the use of ITU Translate machine translation tools</w:t>
      </w:r>
      <w:r w:rsidR="007D6378">
        <w:t xml:space="preserve"> (</w:t>
      </w:r>
      <w:hyperlink r:id="rId23" w:history="1">
        <w:r w:rsidR="002840A5">
          <w:rPr>
            <w:rStyle w:val="Hyperlink"/>
          </w:rPr>
          <w:t>CWG-LANG/16-3</w:t>
        </w:r>
      </w:hyperlink>
      <w:r w:rsidR="00E916E0">
        <w:t>)</w:t>
      </w:r>
      <w:r w:rsidR="00080A1C">
        <w:t>; and</w:t>
      </w:r>
    </w:p>
    <w:p w14:paraId="18179C88" w14:textId="2628E496" w:rsidR="003B6DE5" w:rsidRPr="00C04FCB" w:rsidRDefault="00E263DC" w:rsidP="00E263DC">
      <w:pPr>
        <w:pStyle w:val="enumlev1"/>
        <w:jc w:val="both"/>
        <w:rPr>
          <w:rFonts w:eastAsia="Calibri" w:cs="Arial"/>
          <w:kern w:val="2"/>
          <w:lang w:val="en-US"/>
          <w14:ligatures w14:val="standardContextual"/>
        </w:rPr>
      </w:pPr>
      <w:r>
        <w:rPr>
          <w:rFonts w:cs="Calibri"/>
          <w:kern w:val="2"/>
          <w:lang w:val="en-US"/>
          <w14:ligatures w14:val="standardContextual"/>
        </w:rPr>
        <w:t>–</w:t>
      </w:r>
      <w:r w:rsidR="00C04FCB" w:rsidRPr="009835F9">
        <w:rPr>
          <w:rFonts w:cs="Calibri"/>
          <w:kern w:val="2"/>
          <w:lang w:val="en-US"/>
          <w14:ligatures w14:val="standardContextual"/>
        </w:rPr>
        <w:tab/>
      </w:r>
      <w:r w:rsidR="00BD2A35" w:rsidRPr="1E1461A0">
        <w:rPr>
          <w:rFonts w:cs="Calibri"/>
          <w:lang w:val="en-US"/>
        </w:rPr>
        <w:t xml:space="preserve"> submit to </w:t>
      </w:r>
      <w:r w:rsidR="00080A1C">
        <w:rPr>
          <w:rFonts w:cs="Calibri"/>
          <w:kern w:val="2"/>
          <w:lang w:val="en-US"/>
          <w14:ligatures w14:val="standardContextual"/>
        </w:rPr>
        <w:t xml:space="preserve">the </w:t>
      </w:r>
      <w:r w:rsidR="003B6DE5" w:rsidRPr="00C04FCB">
        <w:t xml:space="preserve">Council </w:t>
      </w:r>
      <w:r w:rsidR="00BD604B">
        <w:t xml:space="preserve">the information document </w:t>
      </w:r>
      <w:r w:rsidR="00F23197">
        <w:t xml:space="preserve">on </w:t>
      </w:r>
      <w:r w:rsidR="003B6DE5" w:rsidRPr="00C04FCB">
        <w:t>the report on the challenges and opportunities of the use of AI-powered interpretation in ITU</w:t>
      </w:r>
      <w:r w:rsidR="00BD2A35">
        <w:t xml:space="preserve"> </w:t>
      </w:r>
      <w:r w:rsidR="00B17517">
        <w:t>(</w:t>
      </w:r>
      <w:r w:rsidR="00364CB9">
        <w:t>D</w:t>
      </w:r>
      <w:r w:rsidR="00BD2A35">
        <w:t xml:space="preserve">ocument </w:t>
      </w:r>
      <w:hyperlink r:id="rId24" w:history="1">
        <w:r w:rsidR="00BD2A35" w:rsidRPr="004412A9">
          <w:rPr>
            <w:rStyle w:val="Hyperlink"/>
          </w:rPr>
          <w:t>C25/INF/</w:t>
        </w:r>
        <w:r w:rsidR="004412A9" w:rsidRPr="004412A9">
          <w:rPr>
            <w:rStyle w:val="Hyperlink"/>
          </w:rPr>
          <w:t>7</w:t>
        </w:r>
      </w:hyperlink>
      <w:r w:rsidR="00B17517">
        <w:t>)</w:t>
      </w:r>
      <w:r w:rsidR="008E25C8" w:rsidRPr="00C04FCB">
        <w:t>.</w:t>
      </w:r>
    </w:p>
    <w:p w14:paraId="5179CD52" w14:textId="77777777" w:rsidR="009835F9" w:rsidRPr="00E263DC" w:rsidRDefault="009835F9" w:rsidP="00E263DC">
      <w:pPr>
        <w:pStyle w:val="Reasons"/>
      </w:pPr>
    </w:p>
    <w:p w14:paraId="35C6D0A5" w14:textId="171E44B1" w:rsidR="007A3FCD" w:rsidRPr="00C0458D" w:rsidRDefault="007A3FCD" w:rsidP="00C23E7F">
      <w:pPr>
        <w:jc w:val="center"/>
      </w:pPr>
      <w:r>
        <w:t>______________</w:t>
      </w:r>
    </w:p>
    <w:sectPr w:rsidR="007A3FCD" w:rsidRPr="00C0458D" w:rsidSect="00AD3606">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E61CF" w14:textId="77777777" w:rsidR="00411DED" w:rsidRDefault="00411DED">
      <w:r>
        <w:separator/>
      </w:r>
    </w:p>
  </w:endnote>
  <w:endnote w:type="continuationSeparator" w:id="0">
    <w:p w14:paraId="31C0CD15" w14:textId="77777777" w:rsidR="00411DED" w:rsidRDefault="00411DED">
      <w:r>
        <w:continuationSeparator/>
      </w:r>
    </w:p>
  </w:endnote>
  <w:endnote w:type="continuationNotice" w:id="1">
    <w:p w14:paraId="2B0C5F0F" w14:textId="77777777" w:rsidR="00411DED" w:rsidRDefault="00411D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E93FC8">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12EF8EE1" w:rsidR="00EE49E8" w:rsidRPr="00E06FD5" w:rsidRDefault="00EE49E8" w:rsidP="00C04FCB">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C04FCB">
            <w:rPr>
              <w:bCs/>
            </w:rPr>
            <w:t>12</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236779C6"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C04FCB">
            <w:rPr>
              <w:bCs/>
            </w:rPr>
            <w:t>12</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08C91" w14:textId="77777777" w:rsidR="00411DED" w:rsidRDefault="00411DED">
      <w:r>
        <w:t>____________________</w:t>
      </w:r>
    </w:p>
  </w:footnote>
  <w:footnote w:type="continuationSeparator" w:id="0">
    <w:p w14:paraId="1EBD6CDA" w14:textId="77777777" w:rsidR="00411DED" w:rsidRDefault="00411DED">
      <w:r>
        <w:continuationSeparator/>
      </w:r>
    </w:p>
  </w:footnote>
  <w:footnote w:type="continuationNotice" w:id="1">
    <w:p w14:paraId="47DD3535" w14:textId="77777777" w:rsidR="00411DED" w:rsidRDefault="00411DE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E93FC8">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AEAEF"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4517D"/>
    <w:multiLevelType w:val="hybridMultilevel"/>
    <w:tmpl w:val="DB922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8679F"/>
    <w:multiLevelType w:val="hybridMultilevel"/>
    <w:tmpl w:val="F23818E0"/>
    <w:lvl w:ilvl="0" w:tplc="A3DCE080">
      <w:start w:val="1"/>
      <w:numFmt w:val="bullet"/>
      <w:lvlText w:val="•"/>
      <w:lvlJc w:val="left"/>
      <w:pPr>
        <w:tabs>
          <w:tab w:val="num" w:pos="720"/>
        </w:tabs>
        <w:ind w:left="720" w:hanging="360"/>
      </w:pPr>
      <w:rPr>
        <w:rFonts w:ascii="Arial" w:hAnsi="Arial" w:hint="default"/>
      </w:rPr>
    </w:lvl>
    <w:lvl w:ilvl="1" w:tplc="2E1438C8">
      <w:numFmt w:val="bullet"/>
      <w:lvlText w:val="•"/>
      <w:lvlJc w:val="left"/>
      <w:pPr>
        <w:tabs>
          <w:tab w:val="num" w:pos="1440"/>
        </w:tabs>
        <w:ind w:left="1440" w:hanging="360"/>
      </w:pPr>
      <w:rPr>
        <w:rFonts w:ascii="Arial" w:hAnsi="Arial" w:hint="default"/>
      </w:rPr>
    </w:lvl>
    <w:lvl w:ilvl="2" w:tplc="A9F6ACE2" w:tentative="1">
      <w:start w:val="1"/>
      <w:numFmt w:val="bullet"/>
      <w:lvlText w:val="•"/>
      <w:lvlJc w:val="left"/>
      <w:pPr>
        <w:tabs>
          <w:tab w:val="num" w:pos="2160"/>
        </w:tabs>
        <w:ind w:left="2160" w:hanging="360"/>
      </w:pPr>
      <w:rPr>
        <w:rFonts w:ascii="Arial" w:hAnsi="Arial" w:hint="default"/>
      </w:rPr>
    </w:lvl>
    <w:lvl w:ilvl="3" w:tplc="0144064E" w:tentative="1">
      <w:start w:val="1"/>
      <w:numFmt w:val="bullet"/>
      <w:lvlText w:val="•"/>
      <w:lvlJc w:val="left"/>
      <w:pPr>
        <w:tabs>
          <w:tab w:val="num" w:pos="2880"/>
        </w:tabs>
        <w:ind w:left="2880" w:hanging="360"/>
      </w:pPr>
      <w:rPr>
        <w:rFonts w:ascii="Arial" w:hAnsi="Arial" w:hint="default"/>
      </w:rPr>
    </w:lvl>
    <w:lvl w:ilvl="4" w:tplc="455A1772" w:tentative="1">
      <w:start w:val="1"/>
      <w:numFmt w:val="bullet"/>
      <w:lvlText w:val="•"/>
      <w:lvlJc w:val="left"/>
      <w:pPr>
        <w:tabs>
          <w:tab w:val="num" w:pos="3600"/>
        </w:tabs>
        <w:ind w:left="3600" w:hanging="360"/>
      </w:pPr>
      <w:rPr>
        <w:rFonts w:ascii="Arial" w:hAnsi="Arial" w:hint="default"/>
      </w:rPr>
    </w:lvl>
    <w:lvl w:ilvl="5" w:tplc="B56C87A0" w:tentative="1">
      <w:start w:val="1"/>
      <w:numFmt w:val="bullet"/>
      <w:lvlText w:val="•"/>
      <w:lvlJc w:val="left"/>
      <w:pPr>
        <w:tabs>
          <w:tab w:val="num" w:pos="4320"/>
        </w:tabs>
        <w:ind w:left="4320" w:hanging="360"/>
      </w:pPr>
      <w:rPr>
        <w:rFonts w:ascii="Arial" w:hAnsi="Arial" w:hint="default"/>
      </w:rPr>
    </w:lvl>
    <w:lvl w:ilvl="6" w:tplc="9E023630" w:tentative="1">
      <w:start w:val="1"/>
      <w:numFmt w:val="bullet"/>
      <w:lvlText w:val="•"/>
      <w:lvlJc w:val="left"/>
      <w:pPr>
        <w:tabs>
          <w:tab w:val="num" w:pos="5040"/>
        </w:tabs>
        <w:ind w:left="5040" w:hanging="360"/>
      </w:pPr>
      <w:rPr>
        <w:rFonts w:ascii="Arial" w:hAnsi="Arial" w:hint="default"/>
      </w:rPr>
    </w:lvl>
    <w:lvl w:ilvl="7" w:tplc="19B45F9E" w:tentative="1">
      <w:start w:val="1"/>
      <w:numFmt w:val="bullet"/>
      <w:lvlText w:val="•"/>
      <w:lvlJc w:val="left"/>
      <w:pPr>
        <w:tabs>
          <w:tab w:val="num" w:pos="5760"/>
        </w:tabs>
        <w:ind w:left="5760" w:hanging="360"/>
      </w:pPr>
      <w:rPr>
        <w:rFonts w:ascii="Arial" w:hAnsi="Arial" w:hint="default"/>
      </w:rPr>
    </w:lvl>
    <w:lvl w:ilvl="8" w:tplc="A67447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F34A6A"/>
    <w:multiLevelType w:val="multilevel"/>
    <w:tmpl w:val="BA9C7F1A"/>
    <w:lvl w:ilvl="0">
      <w:start w:val="1"/>
      <w:numFmt w:val="decimal"/>
      <w:lvlText w:val="%1."/>
      <w:lvlJc w:val="left"/>
      <w:pPr>
        <w:ind w:left="644" w:hanging="360"/>
      </w:pPr>
      <w:rPr>
        <w:b/>
        <w:bCs w:val="0"/>
        <w:color w:val="auto"/>
      </w:rPr>
    </w:lvl>
    <w:lvl w:ilvl="1">
      <w:start w:val="3"/>
      <w:numFmt w:val="bullet"/>
      <w:lvlText w:val="-"/>
      <w:lvlJc w:val="left"/>
      <w:pPr>
        <w:ind w:left="1212" w:hanging="360"/>
      </w:pPr>
      <w:rPr>
        <w:rFonts w:ascii="Calibri" w:eastAsia="Times New Roman" w:hAnsi="Calibri" w:cs="Calibri"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8432773"/>
    <w:multiLevelType w:val="hybridMultilevel"/>
    <w:tmpl w:val="2BE0AAE6"/>
    <w:lvl w:ilvl="0" w:tplc="42621D58">
      <w:start w:val="3"/>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4566B"/>
    <w:multiLevelType w:val="multilevel"/>
    <w:tmpl w:val="352668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684F1E"/>
    <w:multiLevelType w:val="hybridMultilevel"/>
    <w:tmpl w:val="086682E4"/>
    <w:lvl w:ilvl="0" w:tplc="08090001">
      <w:start w:val="1"/>
      <w:numFmt w:val="bullet"/>
      <w:lvlText w:val=""/>
      <w:lvlJc w:val="left"/>
      <w:pPr>
        <w:ind w:left="720" w:hanging="360"/>
      </w:pPr>
      <w:rPr>
        <w:rFonts w:ascii="Symbol" w:hAnsi="Symbol" w:hint="default"/>
      </w:rPr>
    </w:lvl>
    <w:lvl w:ilvl="1" w:tplc="CFBAA042">
      <w:start w:val="1"/>
      <w:numFmt w:val="lowerLetter"/>
      <w:lvlText w:val="%2)"/>
      <w:lvlJc w:val="left"/>
      <w:pPr>
        <w:ind w:left="1440" w:hanging="360"/>
      </w:pPr>
      <w:rPr>
        <w:rFonts w:ascii="Calibri" w:eastAsia="Calibri" w:hAnsi="Calibri" w:cs="Arial"/>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635FB8"/>
    <w:multiLevelType w:val="multilevel"/>
    <w:tmpl w:val="F7A2970C"/>
    <w:lvl w:ilvl="0">
      <w:start w:val="1"/>
      <w:numFmt w:val="lowerLetter"/>
      <w:lvlText w:val="%1)"/>
      <w:lvlJc w:val="left"/>
      <w:pPr>
        <w:ind w:left="644" w:hanging="360"/>
      </w:pPr>
      <w:rPr>
        <w:rFonts w:ascii="Calibri" w:eastAsia="Calibri" w:hAnsi="Calibri" w:cs="Arial"/>
        <w:b w:val="0"/>
        <w:bCs/>
        <w:color w:val="auto"/>
      </w:rPr>
    </w:lvl>
    <w:lvl w:ilvl="1">
      <w:start w:val="3"/>
      <w:numFmt w:val="bullet"/>
      <w:lvlText w:val="-"/>
      <w:lvlJc w:val="left"/>
      <w:pPr>
        <w:ind w:left="1212" w:hanging="360"/>
      </w:pPr>
      <w:rPr>
        <w:rFonts w:ascii="Calibri" w:eastAsia="Times New Roman" w:hAnsi="Calibri" w:cs="Calibri"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74816267">
    <w:abstractNumId w:val="0"/>
  </w:num>
  <w:num w:numId="2" w16cid:durableId="1343163510">
    <w:abstractNumId w:val="3"/>
  </w:num>
  <w:num w:numId="3" w16cid:durableId="2066879121">
    <w:abstractNumId w:val="1"/>
  </w:num>
  <w:num w:numId="4" w16cid:durableId="1299261493">
    <w:abstractNumId w:val="4"/>
  </w:num>
  <w:num w:numId="5" w16cid:durableId="223031537">
    <w:abstractNumId w:val="5"/>
  </w:num>
  <w:num w:numId="6" w16cid:durableId="481772829">
    <w:abstractNumId w:val="2"/>
  </w:num>
  <w:num w:numId="7" w16cid:durableId="1040473489">
    <w:abstractNumId w:val="6"/>
  </w:num>
  <w:num w:numId="8" w16cid:durableId="1423187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14A94"/>
    <w:rsid w:val="0001549F"/>
    <w:rsid w:val="000210D4"/>
    <w:rsid w:val="00025060"/>
    <w:rsid w:val="00030333"/>
    <w:rsid w:val="00052144"/>
    <w:rsid w:val="0006007D"/>
    <w:rsid w:val="00061441"/>
    <w:rsid w:val="00063016"/>
    <w:rsid w:val="00066795"/>
    <w:rsid w:val="000707CD"/>
    <w:rsid w:val="00073029"/>
    <w:rsid w:val="000745AB"/>
    <w:rsid w:val="00076AF6"/>
    <w:rsid w:val="00080A1C"/>
    <w:rsid w:val="00083954"/>
    <w:rsid w:val="00085CF2"/>
    <w:rsid w:val="000B1705"/>
    <w:rsid w:val="000D2932"/>
    <w:rsid w:val="000D75B2"/>
    <w:rsid w:val="000F5DDB"/>
    <w:rsid w:val="000F7289"/>
    <w:rsid w:val="001121F5"/>
    <w:rsid w:val="001400DC"/>
    <w:rsid w:val="00140CE1"/>
    <w:rsid w:val="00156BCD"/>
    <w:rsid w:val="00164EF8"/>
    <w:rsid w:val="0017539C"/>
    <w:rsid w:val="00175AC2"/>
    <w:rsid w:val="0017609F"/>
    <w:rsid w:val="001872B5"/>
    <w:rsid w:val="001A2188"/>
    <w:rsid w:val="001A3154"/>
    <w:rsid w:val="001A7D1D"/>
    <w:rsid w:val="001B51DD"/>
    <w:rsid w:val="001B54FC"/>
    <w:rsid w:val="001B5D45"/>
    <w:rsid w:val="001C628E"/>
    <w:rsid w:val="001D30D6"/>
    <w:rsid w:val="001E0F7B"/>
    <w:rsid w:val="001F5569"/>
    <w:rsid w:val="002021BE"/>
    <w:rsid w:val="00205B9E"/>
    <w:rsid w:val="00206CA6"/>
    <w:rsid w:val="002119FD"/>
    <w:rsid w:val="002130E0"/>
    <w:rsid w:val="00221F46"/>
    <w:rsid w:val="002276DA"/>
    <w:rsid w:val="00246231"/>
    <w:rsid w:val="00264425"/>
    <w:rsid w:val="00265875"/>
    <w:rsid w:val="0027303B"/>
    <w:rsid w:val="00273F4A"/>
    <w:rsid w:val="0028109B"/>
    <w:rsid w:val="002840A5"/>
    <w:rsid w:val="0028762C"/>
    <w:rsid w:val="002968A5"/>
    <w:rsid w:val="002A1A82"/>
    <w:rsid w:val="002A2188"/>
    <w:rsid w:val="002B1F58"/>
    <w:rsid w:val="002C1C7A"/>
    <w:rsid w:val="002C54E2"/>
    <w:rsid w:val="002E3B56"/>
    <w:rsid w:val="002E7B51"/>
    <w:rsid w:val="002F64AE"/>
    <w:rsid w:val="0030160F"/>
    <w:rsid w:val="00310533"/>
    <w:rsid w:val="00320223"/>
    <w:rsid w:val="00322D0D"/>
    <w:rsid w:val="00327668"/>
    <w:rsid w:val="003463B8"/>
    <w:rsid w:val="00361465"/>
    <w:rsid w:val="00364CB9"/>
    <w:rsid w:val="00371E9A"/>
    <w:rsid w:val="00385875"/>
    <w:rsid w:val="003877F5"/>
    <w:rsid w:val="003936D3"/>
    <w:rsid w:val="003942D4"/>
    <w:rsid w:val="003958A8"/>
    <w:rsid w:val="003A71C1"/>
    <w:rsid w:val="003B29C2"/>
    <w:rsid w:val="003B6DE5"/>
    <w:rsid w:val="003C2533"/>
    <w:rsid w:val="003D5A7F"/>
    <w:rsid w:val="00400E6B"/>
    <w:rsid w:val="0040435A"/>
    <w:rsid w:val="0041035A"/>
    <w:rsid w:val="00411DED"/>
    <w:rsid w:val="00416A24"/>
    <w:rsid w:val="00420AF9"/>
    <w:rsid w:val="00427BFF"/>
    <w:rsid w:val="00431D9E"/>
    <w:rsid w:val="00433CE8"/>
    <w:rsid w:val="00434A5C"/>
    <w:rsid w:val="004412A9"/>
    <w:rsid w:val="00443AD8"/>
    <w:rsid w:val="00453079"/>
    <w:rsid w:val="004544D9"/>
    <w:rsid w:val="00472BAD"/>
    <w:rsid w:val="004811F8"/>
    <w:rsid w:val="00484009"/>
    <w:rsid w:val="00490E72"/>
    <w:rsid w:val="00491157"/>
    <w:rsid w:val="00491BA9"/>
    <w:rsid w:val="004921C8"/>
    <w:rsid w:val="00495B0B"/>
    <w:rsid w:val="004A1B8B"/>
    <w:rsid w:val="004B25A1"/>
    <w:rsid w:val="004B6D9D"/>
    <w:rsid w:val="004D1851"/>
    <w:rsid w:val="004D599D"/>
    <w:rsid w:val="004E2EA5"/>
    <w:rsid w:val="004E3AEB"/>
    <w:rsid w:val="0050033C"/>
    <w:rsid w:val="0050223C"/>
    <w:rsid w:val="00521923"/>
    <w:rsid w:val="005243FF"/>
    <w:rsid w:val="00526B74"/>
    <w:rsid w:val="00552DF2"/>
    <w:rsid w:val="00564FBC"/>
    <w:rsid w:val="005701C1"/>
    <w:rsid w:val="005800BC"/>
    <w:rsid w:val="00582442"/>
    <w:rsid w:val="00586677"/>
    <w:rsid w:val="005C29E7"/>
    <w:rsid w:val="005C3867"/>
    <w:rsid w:val="005F3269"/>
    <w:rsid w:val="0061343A"/>
    <w:rsid w:val="00623AE3"/>
    <w:rsid w:val="00624B60"/>
    <w:rsid w:val="006258EA"/>
    <w:rsid w:val="00626927"/>
    <w:rsid w:val="006300E5"/>
    <w:rsid w:val="00630C4D"/>
    <w:rsid w:val="00641EA9"/>
    <w:rsid w:val="00644EC6"/>
    <w:rsid w:val="0064737F"/>
    <w:rsid w:val="006535F1"/>
    <w:rsid w:val="0065557D"/>
    <w:rsid w:val="00660D50"/>
    <w:rsid w:val="00662984"/>
    <w:rsid w:val="006716BB"/>
    <w:rsid w:val="0067189B"/>
    <w:rsid w:val="0068680D"/>
    <w:rsid w:val="00691A13"/>
    <w:rsid w:val="006B1859"/>
    <w:rsid w:val="006B1E75"/>
    <w:rsid w:val="006B6680"/>
    <w:rsid w:val="006B6DCC"/>
    <w:rsid w:val="006B77F1"/>
    <w:rsid w:val="006C5ECF"/>
    <w:rsid w:val="006D5903"/>
    <w:rsid w:val="00702DEF"/>
    <w:rsid w:val="00706861"/>
    <w:rsid w:val="00711E56"/>
    <w:rsid w:val="00722551"/>
    <w:rsid w:val="007267A4"/>
    <w:rsid w:val="0073629D"/>
    <w:rsid w:val="00741FFE"/>
    <w:rsid w:val="0075051B"/>
    <w:rsid w:val="00751D47"/>
    <w:rsid w:val="007700BB"/>
    <w:rsid w:val="0077110E"/>
    <w:rsid w:val="00774033"/>
    <w:rsid w:val="00777454"/>
    <w:rsid w:val="00783465"/>
    <w:rsid w:val="00793188"/>
    <w:rsid w:val="00794D34"/>
    <w:rsid w:val="007A3FCD"/>
    <w:rsid w:val="007B19CF"/>
    <w:rsid w:val="007B521D"/>
    <w:rsid w:val="007C7E68"/>
    <w:rsid w:val="007D01AF"/>
    <w:rsid w:val="007D030B"/>
    <w:rsid w:val="007D6378"/>
    <w:rsid w:val="007F1867"/>
    <w:rsid w:val="007F6F65"/>
    <w:rsid w:val="00802AAD"/>
    <w:rsid w:val="00813E5E"/>
    <w:rsid w:val="0083581B"/>
    <w:rsid w:val="0085042A"/>
    <w:rsid w:val="008556F7"/>
    <w:rsid w:val="00857861"/>
    <w:rsid w:val="0086182A"/>
    <w:rsid w:val="00863874"/>
    <w:rsid w:val="00864AFF"/>
    <w:rsid w:val="00865925"/>
    <w:rsid w:val="008A5696"/>
    <w:rsid w:val="008B047D"/>
    <w:rsid w:val="008B4A6A"/>
    <w:rsid w:val="008C7E27"/>
    <w:rsid w:val="008D0B1E"/>
    <w:rsid w:val="008D7A32"/>
    <w:rsid w:val="008E25C8"/>
    <w:rsid w:val="008F7448"/>
    <w:rsid w:val="0090147A"/>
    <w:rsid w:val="009173EF"/>
    <w:rsid w:val="00932906"/>
    <w:rsid w:val="00933DD5"/>
    <w:rsid w:val="00937FE8"/>
    <w:rsid w:val="0094621B"/>
    <w:rsid w:val="00961B0B"/>
    <w:rsid w:val="00962D33"/>
    <w:rsid w:val="009721A2"/>
    <w:rsid w:val="009835F9"/>
    <w:rsid w:val="00996625"/>
    <w:rsid w:val="009B23BE"/>
    <w:rsid w:val="009B38C3"/>
    <w:rsid w:val="009E17BD"/>
    <w:rsid w:val="009E1D24"/>
    <w:rsid w:val="009E485A"/>
    <w:rsid w:val="009E4E8C"/>
    <w:rsid w:val="00A04CEC"/>
    <w:rsid w:val="00A1225B"/>
    <w:rsid w:val="00A2377F"/>
    <w:rsid w:val="00A23C23"/>
    <w:rsid w:val="00A27F92"/>
    <w:rsid w:val="00A32257"/>
    <w:rsid w:val="00A33051"/>
    <w:rsid w:val="00A3568E"/>
    <w:rsid w:val="00A36D20"/>
    <w:rsid w:val="00A407E0"/>
    <w:rsid w:val="00A41A49"/>
    <w:rsid w:val="00A43FF5"/>
    <w:rsid w:val="00A514A4"/>
    <w:rsid w:val="00A55622"/>
    <w:rsid w:val="00A571BA"/>
    <w:rsid w:val="00A83502"/>
    <w:rsid w:val="00A917A3"/>
    <w:rsid w:val="00A94BAB"/>
    <w:rsid w:val="00AA4978"/>
    <w:rsid w:val="00AA5E74"/>
    <w:rsid w:val="00AB463A"/>
    <w:rsid w:val="00AD133E"/>
    <w:rsid w:val="00AD15B3"/>
    <w:rsid w:val="00AD3606"/>
    <w:rsid w:val="00AD4A3D"/>
    <w:rsid w:val="00AD677D"/>
    <w:rsid w:val="00AF6E49"/>
    <w:rsid w:val="00B04A67"/>
    <w:rsid w:val="00B0583C"/>
    <w:rsid w:val="00B12F82"/>
    <w:rsid w:val="00B17517"/>
    <w:rsid w:val="00B40A81"/>
    <w:rsid w:val="00B43F85"/>
    <w:rsid w:val="00B44910"/>
    <w:rsid w:val="00B6081F"/>
    <w:rsid w:val="00B632B9"/>
    <w:rsid w:val="00B72267"/>
    <w:rsid w:val="00B7303F"/>
    <w:rsid w:val="00B76EB6"/>
    <w:rsid w:val="00B7737B"/>
    <w:rsid w:val="00B824C8"/>
    <w:rsid w:val="00B84B9D"/>
    <w:rsid w:val="00B9131F"/>
    <w:rsid w:val="00BB0646"/>
    <w:rsid w:val="00BB535D"/>
    <w:rsid w:val="00BC251A"/>
    <w:rsid w:val="00BD032B"/>
    <w:rsid w:val="00BD2A35"/>
    <w:rsid w:val="00BD604B"/>
    <w:rsid w:val="00BE01C6"/>
    <w:rsid w:val="00BE2640"/>
    <w:rsid w:val="00BE7BD0"/>
    <w:rsid w:val="00BF1FDE"/>
    <w:rsid w:val="00BF65C3"/>
    <w:rsid w:val="00C01189"/>
    <w:rsid w:val="00C0458D"/>
    <w:rsid w:val="00C04FCB"/>
    <w:rsid w:val="00C1047D"/>
    <w:rsid w:val="00C11B01"/>
    <w:rsid w:val="00C23E7F"/>
    <w:rsid w:val="00C374DE"/>
    <w:rsid w:val="00C47AD4"/>
    <w:rsid w:val="00C52D81"/>
    <w:rsid w:val="00C55198"/>
    <w:rsid w:val="00C57055"/>
    <w:rsid w:val="00C6520B"/>
    <w:rsid w:val="00C73D1C"/>
    <w:rsid w:val="00C82708"/>
    <w:rsid w:val="00C86A7B"/>
    <w:rsid w:val="00CA4D11"/>
    <w:rsid w:val="00CA6393"/>
    <w:rsid w:val="00CA7995"/>
    <w:rsid w:val="00CB18FF"/>
    <w:rsid w:val="00CB73C9"/>
    <w:rsid w:val="00CD0C08"/>
    <w:rsid w:val="00CE03FB"/>
    <w:rsid w:val="00CE2413"/>
    <w:rsid w:val="00CE433C"/>
    <w:rsid w:val="00CF0161"/>
    <w:rsid w:val="00CF2B37"/>
    <w:rsid w:val="00CF33F3"/>
    <w:rsid w:val="00CF4A2B"/>
    <w:rsid w:val="00D024CA"/>
    <w:rsid w:val="00D06183"/>
    <w:rsid w:val="00D16081"/>
    <w:rsid w:val="00D22C42"/>
    <w:rsid w:val="00D25100"/>
    <w:rsid w:val="00D65041"/>
    <w:rsid w:val="00DA2904"/>
    <w:rsid w:val="00DB1936"/>
    <w:rsid w:val="00DB384B"/>
    <w:rsid w:val="00DB6D5A"/>
    <w:rsid w:val="00DD11ED"/>
    <w:rsid w:val="00DD44C3"/>
    <w:rsid w:val="00DF0189"/>
    <w:rsid w:val="00DF0C34"/>
    <w:rsid w:val="00DF26C9"/>
    <w:rsid w:val="00E06FD5"/>
    <w:rsid w:val="00E0777C"/>
    <w:rsid w:val="00E078EE"/>
    <w:rsid w:val="00E10E80"/>
    <w:rsid w:val="00E124F0"/>
    <w:rsid w:val="00E227F3"/>
    <w:rsid w:val="00E263DC"/>
    <w:rsid w:val="00E27BB5"/>
    <w:rsid w:val="00E545C6"/>
    <w:rsid w:val="00E60F04"/>
    <w:rsid w:val="00E65B24"/>
    <w:rsid w:val="00E854E4"/>
    <w:rsid w:val="00E86DBF"/>
    <w:rsid w:val="00E916E0"/>
    <w:rsid w:val="00E93FC8"/>
    <w:rsid w:val="00E969AF"/>
    <w:rsid w:val="00EA0DF8"/>
    <w:rsid w:val="00EA4DDA"/>
    <w:rsid w:val="00EB0D6F"/>
    <w:rsid w:val="00EB2232"/>
    <w:rsid w:val="00EB2B35"/>
    <w:rsid w:val="00EB7212"/>
    <w:rsid w:val="00EC5337"/>
    <w:rsid w:val="00ED6330"/>
    <w:rsid w:val="00ED63D7"/>
    <w:rsid w:val="00EE3D3E"/>
    <w:rsid w:val="00EE49E8"/>
    <w:rsid w:val="00EF5819"/>
    <w:rsid w:val="00F00333"/>
    <w:rsid w:val="00F16BAB"/>
    <w:rsid w:val="00F2150A"/>
    <w:rsid w:val="00F23197"/>
    <w:rsid w:val="00F231D8"/>
    <w:rsid w:val="00F31903"/>
    <w:rsid w:val="00F41209"/>
    <w:rsid w:val="00F44C00"/>
    <w:rsid w:val="00F45D2C"/>
    <w:rsid w:val="00F46C5F"/>
    <w:rsid w:val="00F632C0"/>
    <w:rsid w:val="00F641E1"/>
    <w:rsid w:val="00F651E7"/>
    <w:rsid w:val="00F83AC9"/>
    <w:rsid w:val="00F94A63"/>
    <w:rsid w:val="00FA1C28"/>
    <w:rsid w:val="00FB1279"/>
    <w:rsid w:val="00FB6B76"/>
    <w:rsid w:val="00FB7596"/>
    <w:rsid w:val="00FC1D36"/>
    <w:rsid w:val="00FE351F"/>
    <w:rsid w:val="00FE4077"/>
    <w:rsid w:val="00FE500D"/>
    <w:rsid w:val="00FE77D2"/>
    <w:rsid w:val="00FF39B1"/>
    <w:rsid w:val="00FF5925"/>
    <w:rsid w:val="076FBA0B"/>
    <w:rsid w:val="09ECD6BC"/>
    <w:rsid w:val="0CB54E29"/>
    <w:rsid w:val="106D7B89"/>
    <w:rsid w:val="122226A4"/>
    <w:rsid w:val="144C8778"/>
    <w:rsid w:val="163293A8"/>
    <w:rsid w:val="1D1E0699"/>
    <w:rsid w:val="1D41A073"/>
    <w:rsid w:val="1DF66E83"/>
    <w:rsid w:val="1E1461A0"/>
    <w:rsid w:val="2126ACBC"/>
    <w:rsid w:val="21CC8E34"/>
    <w:rsid w:val="22966B85"/>
    <w:rsid w:val="2EE14BB7"/>
    <w:rsid w:val="30005A59"/>
    <w:rsid w:val="3146925F"/>
    <w:rsid w:val="3569CA5C"/>
    <w:rsid w:val="37B51327"/>
    <w:rsid w:val="3A789BD0"/>
    <w:rsid w:val="3B7F823A"/>
    <w:rsid w:val="3E9EA64B"/>
    <w:rsid w:val="4B99B127"/>
    <w:rsid w:val="53F0520C"/>
    <w:rsid w:val="5B71B3A3"/>
    <w:rsid w:val="66724B69"/>
    <w:rsid w:val="6DEA984F"/>
    <w:rsid w:val="6F4D5DE7"/>
    <w:rsid w:val="72C45532"/>
    <w:rsid w:val="72E28CA3"/>
    <w:rsid w:val="7896AE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1A7784AB-4886-4DAB-A905-82FDA468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E263DC"/>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Calibri" w:hAnsiTheme="minorHAnsi" w:cstheme="minorHAnsi"/>
      <w:lang w:val="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C23E7F"/>
    <w:pPr>
      <w:ind w:left="720"/>
      <w:contextualSpacing/>
    </w:p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C23E7F"/>
    <w:rPr>
      <w:rFonts w:ascii="Calibri" w:hAnsi="Calibri"/>
      <w:sz w:val="24"/>
      <w:lang w:val="en-GB" w:eastAsia="en-US"/>
    </w:rPr>
  </w:style>
  <w:style w:type="paragraph" w:styleId="Revision">
    <w:name w:val="Revision"/>
    <w:hidden/>
    <w:uiPriority w:val="99"/>
    <w:semiHidden/>
    <w:rsid w:val="00F83AC9"/>
    <w:rPr>
      <w:rFonts w:ascii="Calibri" w:hAnsi="Calibri"/>
      <w:sz w:val="24"/>
      <w:lang w:val="en-GB" w:eastAsia="en-US"/>
    </w:rPr>
  </w:style>
  <w:style w:type="character" w:styleId="CommentReference">
    <w:name w:val="annotation reference"/>
    <w:basedOn w:val="DefaultParagraphFont"/>
    <w:semiHidden/>
    <w:unhideWhenUsed/>
    <w:rsid w:val="00F83AC9"/>
    <w:rPr>
      <w:sz w:val="16"/>
      <w:szCs w:val="16"/>
    </w:rPr>
  </w:style>
  <w:style w:type="paragraph" w:styleId="CommentText">
    <w:name w:val="annotation text"/>
    <w:basedOn w:val="Normal"/>
    <w:link w:val="CommentTextChar"/>
    <w:unhideWhenUsed/>
    <w:rsid w:val="00F83AC9"/>
    <w:rPr>
      <w:sz w:val="20"/>
    </w:rPr>
  </w:style>
  <w:style w:type="character" w:customStyle="1" w:styleId="CommentTextChar">
    <w:name w:val="Comment Text Char"/>
    <w:basedOn w:val="DefaultParagraphFont"/>
    <w:link w:val="CommentText"/>
    <w:rsid w:val="00F83AC9"/>
    <w:rPr>
      <w:rFonts w:ascii="Calibri" w:hAnsi="Calibri"/>
      <w:lang w:val="en-GB" w:eastAsia="en-US"/>
    </w:rPr>
  </w:style>
  <w:style w:type="paragraph" w:styleId="CommentSubject">
    <w:name w:val="annotation subject"/>
    <w:basedOn w:val="CommentText"/>
    <w:next w:val="CommentText"/>
    <w:link w:val="CommentSubjectChar"/>
    <w:semiHidden/>
    <w:unhideWhenUsed/>
    <w:rsid w:val="00F83AC9"/>
    <w:rPr>
      <w:b/>
      <w:bCs/>
    </w:rPr>
  </w:style>
  <w:style w:type="character" w:customStyle="1" w:styleId="CommentSubjectChar">
    <w:name w:val="Comment Subject Char"/>
    <w:basedOn w:val="CommentTextChar"/>
    <w:link w:val="CommentSubject"/>
    <w:semiHidden/>
    <w:rsid w:val="00F83AC9"/>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312194">
      <w:bodyDiv w:val="1"/>
      <w:marLeft w:val="0"/>
      <w:marRight w:val="0"/>
      <w:marTop w:val="0"/>
      <w:marBottom w:val="0"/>
      <w:divBdr>
        <w:top w:val="none" w:sz="0" w:space="0" w:color="auto"/>
        <w:left w:val="none" w:sz="0" w:space="0" w:color="auto"/>
        <w:bottom w:val="none" w:sz="0" w:space="0" w:color="auto"/>
        <w:right w:val="none" w:sz="0" w:space="0" w:color="auto"/>
      </w:divBdr>
      <w:divsChild>
        <w:div w:id="177357023">
          <w:marLeft w:val="1166"/>
          <w:marRight w:val="0"/>
          <w:marTop w:val="100"/>
          <w:marBottom w:val="0"/>
          <w:divBdr>
            <w:top w:val="none" w:sz="0" w:space="0" w:color="auto"/>
            <w:left w:val="none" w:sz="0" w:space="0" w:color="auto"/>
            <w:bottom w:val="none" w:sz="0" w:space="0" w:color="auto"/>
            <w:right w:val="none" w:sz="0" w:space="0" w:color="auto"/>
          </w:divBdr>
        </w:div>
        <w:div w:id="182935491">
          <w:marLeft w:val="1166"/>
          <w:marRight w:val="0"/>
          <w:marTop w:val="100"/>
          <w:marBottom w:val="0"/>
          <w:divBdr>
            <w:top w:val="none" w:sz="0" w:space="0" w:color="auto"/>
            <w:left w:val="none" w:sz="0" w:space="0" w:color="auto"/>
            <w:bottom w:val="none" w:sz="0" w:space="0" w:color="auto"/>
            <w:right w:val="none" w:sz="0" w:space="0" w:color="auto"/>
          </w:divBdr>
        </w:div>
        <w:div w:id="409930686">
          <w:marLeft w:val="446"/>
          <w:marRight w:val="0"/>
          <w:marTop w:val="200"/>
          <w:marBottom w:val="0"/>
          <w:divBdr>
            <w:top w:val="none" w:sz="0" w:space="0" w:color="auto"/>
            <w:left w:val="none" w:sz="0" w:space="0" w:color="auto"/>
            <w:bottom w:val="none" w:sz="0" w:space="0" w:color="auto"/>
            <w:right w:val="none" w:sz="0" w:space="0" w:color="auto"/>
          </w:divBdr>
        </w:div>
        <w:div w:id="598636606">
          <w:marLeft w:val="1166"/>
          <w:marRight w:val="0"/>
          <w:marTop w:val="100"/>
          <w:marBottom w:val="0"/>
          <w:divBdr>
            <w:top w:val="none" w:sz="0" w:space="0" w:color="auto"/>
            <w:left w:val="none" w:sz="0" w:space="0" w:color="auto"/>
            <w:bottom w:val="none" w:sz="0" w:space="0" w:color="auto"/>
            <w:right w:val="none" w:sz="0" w:space="0" w:color="auto"/>
          </w:divBdr>
        </w:div>
        <w:div w:id="727916532">
          <w:marLeft w:val="1166"/>
          <w:marRight w:val="0"/>
          <w:marTop w:val="100"/>
          <w:marBottom w:val="0"/>
          <w:divBdr>
            <w:top w:val="none" w:sz="0" w:space="0" w:color="auto"/>
            <w:left w:val="none" w:sz="0" w:space="0" w:color="auto"/>
            <w:bottom w:val="none" w:sz="0" w:space="0" w:color="auto"/>
            <w:right w:val="none" w:sz="0" w:space="0" w:color="auto"/>
          </w:divBdr>
        </w:div>
        <w:div w:id="974918784">
          <w:marLeft w:val="446"/>
          <w:marRight w:val="0"/>
          <w:marTop w:val="200"/>
          <w:marBottom w:val="0"/>
          <w:divBdr>
            <w:top w:val="none" w:sz="0" w:space="0" w:color="auto"/>
            <w:left w:val="none" w:sz="0" w:space="0" w:color="auto"/>
            <w:bottom w:val="none" w:sz="0" w:space="0" w:color="auto"/>
            <w:right w:val="none" w:sz="0" w:space="0" w:color="auto"/>
          </w:divBdr>
        </w:div>
        <w:div w:id="1323001147">
          <w:marLeft w:val="446"/>
          <w:marRight w:val="0"/>
          <w:marTop w:val="200"/>
          <w:marBottom w:val="0"/>
          <w:divBdr>
            <w:top w:val="none" w:sz="0" w:space="0" w:color="auto"/>
            <w:left w:val="none" w:sz="0" w:space="0" w:color="auto"/>
            <w:bottom w:val="none" w:sz="0" w:space="0" w:color="auto"/>
            <w:right w:val="none" w:sz="0" w:space="0" w:color="auto"/>
          </w:divBdr>
        </w:div>
        <w:div w:id="1474104626">
          <w:marLeft w:val="1166"/>
          <w:marRight w:val="0"/>
          <w:marTop w:val="100"/>
          <w:marBottom w:val="0"/>
          <w:divBdr>
            <w:top w:val="none" w:sz="0" w:space="0" w:color="auto"/>
            <w:left w:val="none" w:sz="0" w:space="0" w:color="auto"/>
            <w:bottom w:val="none" w:sz="0" w:space="0" w:color="auto"/>
            <w:right w:val="none" w:sz="0" w:space="0" w:color="auto"/>
          </w:divBdr>
        </w:div>
        <w:div w:id="1628201474">
          <w:marLeft w:val="446"/>
          <w:marRight w:val="0"/>
          <w:marTop w:val="200"/>
          <w:marBottom w:val="0"/>
          <w:divBdr>
            <w:top w:val="none" w:sz="0" w:space="0" w:color="auto"/>
            <w:left w:val="none" w:sz="0" w:space="0" w:color="auto"/>
            <w:bottom w:val="none" w:sz="0" w:space="0" w:color="auto"/>
            <w:right w:val="none" w:sz="0" w:space="0" w:color="auto"/>
          </w:divBdr>
        </w:div>
        <w:div w:id="1644701140">
          <w:marLeft w:val="1166"/>
          <w:marRight w:val="0"/>
          <w:marTop w:val="100"/>
          <w:marBottom w:val="0"/>
          <w:divBdr>
            <w:top w:val="none" w:sz="0" w:space="0" w:color="auto"/>
            <w:left w:val="none" w:sz="0" w:space="0" w:color="auto"/>
            <w:bottom w:val="none" w:sz="0" w:space="0" w:color="auto"/>
            <w:right w:val="none" w:sz="0" w:space="0" w:color="auto"/>
          </w:divBdr>
        </w:div>
        <w:div w:id="1859008322">
          <w:marLeft w:val="1166"/>
          <w:marRight w:val="0"/>
          <w:marTop w:val="100"/>
          <w:marBottom w:val="0"/>
          <w:divBdr>
            <w:top w:val="none" w:sz="0" w:space="0" w:color="auto"/>
            <w:left w:val="none" w:sz="0" w:space="0" w:color="auto"/>
            <w:bottom w:val="none" w:sz="0" w:space="0" w:color="auto"/>
            <w:right w:val="none" w:sz="0" w:space="0" w:color="auto"/>
          </w:divBdr>
        </w:div>
        <w:div w:id="1874921886">
          <w:marLeft w:val="1166"/>
          <w:marRight w:val="0"/>
          <w:marTop w:val="100"/>
          <w:marBottom w:val="0"/>
          <w:divBdr>
            <w:top w:val="none" w:sz="0" w:space="0" w:color="auto"/>
            <w:left w:val="none" w:sz="0" w:space="0" w:color="auto"/>
            <w:bottom w:val="none" w:sz="0" w:space="0" w:color="auto"/>
            <w:right w:val="none" w:sz="0" w:space="0" w:color="auto"/>
          </w:divBdr>
        </w:div>
        <w:div w:id="1927616563">
          <w:marLeft w:val="1166"/>
          <w:marRight w:val="0"/>
          <w:marTop w:val="100"/>
          <w:marBottom w:val="0"/>
          <w:divBdr>
            <w:top w:val="none" w:sz="0" w:space="0" w:color="auto"/>
            <w:left w:val="none" w:sz="0" w:space="0" w:color="auto"/>
            <w:bottom w:val="none" w:sz="0" w:space="0" w:color="auto"/>
            <w:right w:val="none" w:sz="0" w:space="0" w:color="auto"/>
          </w:divBdr>
        </w:div>
        <w:div w:id="201309509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RCLCWGLANG16-C-0005/en" TargetMode="External"/><Relationship Id="rId18" Type="http://schemas.openxmlformats.org/officeDocument/2006/relationships/hyperlink" Target="https://www.itu.int/md/S25-CL-INF-0007/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25-RCLCWGLANG16-C-0004/en" TargetMode="External"/><Relationship Id="rId7" Type="http://schemas.openxmlformats.org/officeDocument/2006/relationships/settings" Target="settings.xml"/><Relationship Id="rId12" Type="http://schemas.openxmlformats.org/officeDocument/2006/relationships/hyperlink" Target="https://www.itu.int/hub/publication/s-conf-cl-2024/" TargetMode="External"/><Relationship Id="rId17" Type="http://schemas.openxmlformats.org/officeDocument/2006/relationships/hyperlink" Target="https://www.itu.int/md/S25-RCLCWGLANG16-C-0003/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5-RCLCWGLANG16-C-0003/en" TargetMode="External"/><Relationship Id="rId20" Type="http://schemas.openxmlformats.org/officeDocument/2006/relationships/hyperlink" Target="https://www.itu.int/md/S25-RCLCWGLANG16-C-000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54-E.pdf" TargetMode="External"/><Relationship Id="rId24" Type="http://schemas.openxmlformats.org/officeDocument/2006/relationships/hyperlink" Target="https://www.itu.int/md/S25-CL-INF-0007/en" TargetMode="External"/><Relationship Id="rId5" Type="http://schemas.openxmlformats.org/officeDocument/2006/relationships/numbering" Target="numbering.xml"/><Relationship Id="rId15" Type="http://schemas.openxmlformats.org/officeDocument/2006/relationships/hyperlink" Target="https://www.itu.int/md/S25-RCLCWGLANG16-C-0005/en" TargetMode="External"/><Relationship Id="rId23" Type="http://schemas.openxmlformats.org/officeDocument/2006/relationships/hyperlink" Target="https://www.itu.int/md/S25-RCLCWGLANG16-C-0003/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5-RCLCWGLANG16-C-0005/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RCLCWGLANG16-C-0005/en" TargetMode="External"/><Relationship Id="rId22" Type="http://schemas.openxmlformats.org/officeDocument/2006/relationships/hyperlink" Target="https://www.itu.int/md/S25-RCLCWGLANG16-C-0005/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2F2AC-2255-4DBF-9278-6619577B4509}">
  <ds:schemaRefs>
    <ds:schemaRef ds:uri="http://schemas.microsoft.com/office/2006/documentManagement/types"/>
    <ds:schemaRef ds:uri="http://purl.org/dc/terms/"/>
    <ds:schemaRef ds:uri="a1cf676c-2816-4389-ad5d-0f2e7c7e67c4"/>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2D579E65-4604-4388-9F0E-15462644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816</Words>
  <Characters>5593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Outcomes of the 16th meeting of the CWG-LANG</vt:lpstr>
    </vt:vector>
  </TitlesOfParts>
  <Manager>General Secretariat</Manager>
  <Company>International Telecommunication Union (ITU)</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of the 16th meeting of the CWG-LANG</dc:title>
  <dc:subject>Council 2025</dc:subject>
  <dc:creator>LRT</dc:creator>
  <cp:keywords>C25; C2025; Council 2025; ITU160</cp:keywords>
  <dc:description/>
  <cp:lastModifiedBy>GBS</cp:lastModifiedBy>
  <cp:revision>3</cp:revision>
  <cp:lastPrinted>2000-07-18T22:30:00Z</cp:lastPrinted>
  <dcterms:created xsi:type="dcterms:W3CDTF">2025-05-16T13:38:00Z</dcterms:created>
  <dcterms:modified xsi:type="dcterms:W3CDTF">2025-05-16T13:50:00Z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