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2E3310" w:rsidRPr="00C0458D" w14:paraId="03AD6876" w14:textId="77777777" w:rsidTr="00AD3606">
        <w:trPr>
          <w:cantSplit/>
          <w:trHeight w:val="23"/>
        </w:trPr>
        <w:tc>
          <w:tcPr>
            <w:tcW w:w="3969" w:type="dxa"/>
            <w:vMerge w:val="restart"/>
            <w:tcMar>
              <w:left w:w="0" w:type="dxa"/>
            </w:tcMar>
          </w:tcPr>
          <w:p w14:paraId="36B99039" w14:textId="77777777" w:rsidR="002E3310" w:rsidRPr="00C0458D" w:rsidRDefault="002E3310"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rFonts w:hint="eastAsia"/>
                <w:b/>
                <w:lang w:eastAsia="zh-CN"/>
              </w:rPr>
              <w:t>议项：</w:t>
            </w:r>
            <w:r>
              <w:rPr>
                <w:b/>
              </w:rPr>
              <w:t>PL 2</w:t>
            </w:r>
          </w:p>
        </w:tc>
        <w:tc>
          <w:tcPr>
            <w:tcW w:w="5245" w:type="dxa"/>
          </w:tcPr>
          <w:p w14:paraId="07DEA6B0" w14:textId="77777777" w:rsidR="002E3310" w:rsidRPr="00C0458D" w:rsidRDefault="002E3310" w:rsidP="00472BAD">
            <w:pPr>
              <w:tabs>
                <w:tab w:val="left" w:pos="851"/>
              </w:tabs>
              <w:spacing w:before="0" w:line="240" w:lineRule="atLeast"/>
              <w:jc w:val="right"/>
              <w:rPr>
                <w:b/>
                <w:lang w:eastAsia="zh-CN"/>
              </w:rPr>
            </w:pPr>
            <w:r>
              <w:rPr>
                <w:rFonts w:hint="eastAsia"/>
                <w:b/>
                <w:lang w:eastAsia="zh-CN"/>
              </w:rPr>
              <w:t>文件</w:t>
            </w:r>
            <w:r>
              <w:rPr>
                <w:rFonts w:hint="eastAsia"/>
                <w:b/>
                <w:lang w:eastAsia="zh-CN"/>
              </w:rPr>
              <w:t xml:space="preserve"> </w:t>
            </w:r>
            <w:r w:rsidRPr="00C0458D">
              <w:rPr>
                <w:b/>
              </w:rPr>
              <w:t>C25/</w:t>
            </w:r>
            <w:r>
              <w:rPr>
                <w:b/>
              </w:rPr>
              <w:t>12</w:t>
            </w:r>
            <w:r w:rsidRPr="00C0458D">
              <w:rPr>
                <w:b/>
              </w:rPr>
              <w:t>-</w:t>
            </w:r>
            <w:r>
              <w:rPr>
                <w:rFonts w:hint="eastAsia"/>
                <w:b/>
                <w:lang w:eastAsia="zh-CN"/>
              </w:rPr>
              <w:t>C</w:t>
            </w:r>
          </w:p>
        </w:tc>
      </w:tr>
      <w:tr w:rsidR="002E3310" w:rsidRPr="00C0458D" w14:paraId="550E65BB" w14:textId="77777777" w:rsidTr="00AD3606">
        <w:trPr>
          <w:cantSplit/>
        </w:trPr>
        <w:tc>
          <w:tcPr>
            <w:tcW w:w="3969" w:type="dxa"/>
            <w:vMerge/>
          </w:tcPr>
          <w:p w14:paraId="2E8D2506" w14:textId="77777777" w:rsidR="002E3310" w:rsidRPr="00C0458D" w:rsidRDefault="002E3310" w:rsidP="00AD3606">
            <w:pPr>
              <w:tabs>
                <w:tab w:val="left" w:pos="851"/>
              </w:tabs>
              <w:spacing w:line="240" w:lineRule="atLeast"/>
              <w:rPr>
                <w:b/>
              </w:rPr>
            </w:pPr>
            <w:bookmarkStart w:id="6" w:name="ddate" w:colFirst="1" w:colLast="1"/>
            <w:bookmarkEnd w:id="0"/>
            <w:bookmarkEnd w:id="1"/>
          </w:p>
        </w:tc>
        <w:tc>
          <w:tcPr>
            <w:tcW w:w="5245" w:type="dxa"/>
          </w:tcPr>
          <w:p w14:paraId="77D22CD2" w14:textId="0F897EC3" w:rsidR="002E3310" w:rsidRPr="00C0458D" w:rsidRDefault="002E3310" w:rsidP="00AD3606">
            <w:pPr>
              <w:tabs>
                <w:tab w:val="left" w:pos="851"/>
              </w:tabs>
              <w:spacing w:before="0"/>
              <w:jc w:val="right"/>
              <w:rPr>
                <w:b/>
              </w:rPr>
            </w:pPr>
            <w:r>
              <w:rPr>
                <w:b/>
              </w:rPr>
              <w:t>2025</w:t>
            </w:r>
            <w:r>
              <w:rPr>
                <w:rFonts w:hint="eastAsia"/>
                <w:b/>
                <w:lang w:eastAsia="zh-CN"/>
              </w:rPr>
              <w:t>年</w:t>
            </w:r>
            <w:r w:rsidR="00F27D86">
              <w:rPr>
                <w:b/>
                <w:lang w:eastAsia="zh-CN"/>
              </w:rPr>
              <w:t>5</w:t>
            </w:r>
            <w:r>
              <w:rPr>
                <w:rFonts w:hint="eastAsia"/>
                <w:b/>
                <w:lang w:eastAsia="zh-CN"/>
              </w:rPr>
              <w:t>月</w:t>
            </w:r>
            <w:r>
              <w:rPr>
                <w:b/>
                <w:lang w:eastAsia="zh-CN"/>
              </w:rPr>
              <w:t>1</w:t>
            </w:r>
            <w:r w:rsidR="00F27D86">
              <w:rPr>
                <w:b/>
                <w:lang w:eastAsia="zh-CN"/>
              </w:rPr>
              <w:t>6</w:t>
            </w:r>
            <w:r>
              <w:rPr>
                <w:rFonts w:hint="eastAsia"/>
                <w:b/>
                <w:lang w:eastAsia="zh-CN"/>
              </w:rPr>
              <w:t>日</w:t>
            </w:r>
          </w:p>
        </w:tc>
      </w:tr>
      <w:tr w:rsidR="002E3310" w:rsidRPr="00C0458D" w14:paraId="09250DE7" w14:textId="77777777" w:rsidTr="00AD3606">
        <w:trPr>
          <w:cantSplit/>
          <w:trHeight w:val="23"/>
        </w:trPr>
        <w:tc>
          <w:tcPr>
            <w:tcW w:w="3969" w:type="dxa"/>
            <w:vMerge/>
          </w:tcPr>
          <w:p w14:paraId="24619113" w14:textId="77777777" w:rsidR="002E3310" w:rsidRPr="00C0458D" w:rsidRDefault="002E3310" w:rsidP="00AD3606">
            <w:pPr>
              <w:tabs>
                <w:tab w:val="left" w:pos="851"/>
              </w:tabs>
              <w:spacing w:line="240" w:lineRule="atLeast"/>
              <w:rPr>
                <w:b/>
              </w:rPr>
            </w:pPr>
            <w:bookmarkStart w:id="7" w:name="dorlang" w:colFirst="1" w:colLast="1"/>
            <w:bookmarkEnd w:id="6"/>
          </w:p>
        </w:tc>
        <w:tc>
          <w:tcPr>
            <w:tcW w:w="5245" w:type="dxa"/>
          </w:tcPr>
          <w:p w14:paraId="4E074D15" w14:textId="77777777" w:rsidR="002E3310" w:rsidRPr="00C0458D" w:rsidRDefault="002E3310" w:rsidP="00AD3606">
            <w:pPr>
              <w:tabs>
                <w:tab w:val="left" w:pos="851"/>
              </w:tabs>
              <w:spacing w:before="0" w:line="240" w:lineRule="atLeast"/>
              <w:jc w:val="right"/>
              <w:rPr>
                <w:b/>
                <w:lang w:eastAsia="zh-CN"/>
              </w:rPr>
            </w:pPr>
            <w:r>
              <w:rPr>
                <w:rFonts w:hint="eastAsia"/>
                <w:b/>
                <w:lang w:eastAsia="zh-CN"/>
              </w:rPr>
              <w:t>原文：英文</w:t>
            </w:r>
          </w:p>
        </w:tc>
      </w:tr>
      <w:tr w:rsidR="002E3310" w:rsidRPr="00C0458D" w14:paraId="002D7004" w14:textId="77777777" w:rsidTr="00AD3606">
        <w:trPr>
          <w:cantSplit/>
          <w:trHeight w:val="23"/>
        </w:trPr>
        <w:tc>
          <w:tcPr>
            <w:tcW w:w="3969" w:type="dxa"/>
          </w:tcPr>
          <w:p w14:paraId="6D930047" w14:textId="77777777" w:rsidR="002E3310" w:rsidRPr="00C0458D" w:rsidRDefault="002E3310" w:rsidP="00AD3606">
            <w:pPr>
              <w:tabs>
                <w:tab w:val="left" w:pos="851"/>
              </w:tabs>
              <w:spacing w:line="240" w:lineRule="atLeast"/>
              <w:rPr>
                <w:b/>
              </w:rPr>
            </w:pPr>
          </w:p>
        </w:tc>
        <w:tc>
          <w:tcPr>
            <w:tcW w:w="5245" w:type="dxa"/>
          </w:tcPr>
          <w:p w14:paraId="3B7E87D3" w14:textId="77777777" w:rsidR="002E3310" w:rsidRPr="00C0458D" w:rsidRDefault="002E3310" w:rsidP="00AD3606">
            <w:pPr>
              <w:tabs>
                <w:tab w:val="left" w:pos="851"/>
              </w:tabs>
              <w:spacing w:before="0" w:line="240" w:lineRule="atLeast"/>
              <w:jc w:val="right"/>
              <w:rPr>
                <w:b/>
              </w:rPr>
            </w:pPr>
          </w:p>
        </w:tc>
      </w:tr>
      <w:tr w:rsidR="002E3310" w:rsidRPr="00C0458D" w14:paraId="2523453C" w14:textId="77777777" w:rsidTr="00AD3606">
        <w:trPr>
          <w:cantSplit/>
        </w:trPr>
        <w:tc>
          <w:tcPr>
            <w:tcW w:w="9214" w:type="dxa"/>
            <w:gridSpan w:val="2"/>
            <w:tcMar>
              <w:left w:w="0" w:type="dxa"/>
            </w:tcMar>
          </w:tcPr>
          <w:p w14:paraId="6A2EEC11" w14:textId="6030CC12" w:rsidR="002E3310" w:rsidRPr="000F7289" w:rsidRDefault="002E3310" w:rsidP="000F7289">
            <w:pPr>
              <w:pStyle w:val="Source"/>
              <w:framePr w:hSpace="0" w:wrap="auto" w:vAnchor="margin" w:hAnchor="text" w:xAlign="left" w:yAlign="inline"/>
              <w:rPr>
                <w:lang w:eastAsia="zh-CN"/>
              </w:rPr>
            </w:pPr>
            <w:bookmarkStart w:id="8" w:name="dsource" w:colFirst="0" w:colLast="0"/>
            <w:bookmarkEnd w:id="7"/>
            <w:r>
              <w:rPr>
                <w:rFonts w:hint="eastAsia"/>
                <w:lang w:eastAsia="zh-CN"/>
              </w:rPr>
              <w:t>理事会语文工作组（</w:t>
            </w:r>
            <w:r w:rsidRPr="002E3310">
              <w:rPr>
                <w:lang w:eastAsia="zh-CN"/>
              </w:rPr>
              <w:t>CWG-LANG</w:t>
            </w:r>
            <w:r>
              <w:rPr>
                <w:rFonts w:hint="eastAsia"/>
                <w:lang w:eastAsia="zh-CN"/>
              </w:rPr>
              <w:t>）</w:t>
            </w:r>
            <w:r w:rsidRPr="000F7F61">
              <w:rPr>
                <w:rFonts w:hint="eastAsia"/>
                <w:lang w:eastAsia="zh-CN"/>
              </w:rPr>
              <w:t>主席</w:t>
            </w:r>
            <w:r>
              <w:rPr>
                <w:rFonts w:hint="eastAsia"/>
                <w:lang w:eastAsia="zh-CN"/>
              </w:rPr>
              <w:t>的报告</w:t>
            </w:r>
          </w:p>
        </w:tc>
      </w:tr>
      <w:tr w:rsidR="002E3310" w:rsidRPr="00C0458D" w14:paraId="5AF185CB" w14:textId="77777777" w:rsidTr="00AD3606">
        <w:trPr>
          <w:cantSplit/>
        </w:trPr>
        <w:tc>
          <w:tcPr>
            <w:tcW w:w="9214" w:type="dxa"/>
            <w:gridSpan w:val="2"/>
            <w:tcMar>
              <w:left w:w="0" w:type="dxa"/>
            </w:tcMar>
          </w:tcPr>
          <w:p w14:paraId="5523D6BA" w14:textId="3D9CF003" w:rsidR="002E3310" w:rsidRPr="000F7289" w:rsidRDefault="002E3310" w:rsidP="000F7289">
            <w:pPr>
              <w:pStyle w:val="Subtitle"/>
              <w:framePr w:hSpace="0" w:wrap="auto" w:xAlign="left" w:yAlign="inline"/>
              <w:rPr>
                <w:lang w:eastAsia="zh-CN"/>
              </w:rPr>
            </w:pPr>
            <w:bookmarkStart w:id="9" w:name="dtitle1" w:colFirst="0" w:colLast="0"/>
            <w:bookmarkEnd w:id="8"/>
            <w:r w:rsidRPr="002E3310">
              <w:rPr>
                <w:lang w:eastAsia="zh-CN"/>
              </w:rPr>
              <w:t>CWG-LANG</w:t>
            </w:r>
            <w:r>
              <w:rPr>
                <w:rFonts w:hint="eastAsia"/>
                <w:lang w:eastAsia="zh-CN"/>
              </w:rPr>
              <w:t>第</w:t>
            </w:r>
            <w:r>
              <w:rPr>
                <w:rFonts w:hint="eastAsia"/>
                <w:lang w:eastAsia="zh-CN"/>
              </w:rPr>
              <w:t>1</w:t>
            </w:r>
            <w:r>
              <w:rPr>
                <w:lang w:eastAsia="zh-CN"/>
              </w:rPr>
              <w:t>6</w:t>
            </w:r>
            <w:r>
              <w:rPr>
                <w:rFonts w:hint="eastAsia"/>
                <w:lang w:eastAsia="zh-CN"/>
              </w:rPr>
              <w:t>次会议的结果</w:t>
            </w:r>
          </w:p>
        </w:tc>
      </w:tr>
      <w:tr w:rsidR="002E3310" w:rsidRPr="00C0458D" w14:paraId="1A5C9720" w14:textId="77777777" w:rsidTr="00AD3606">
        <w:trPr>
          <w:cantSplit/>
        </w:trPr>
        <w:tc>
          <w:tcPr>
            <w:tcW w:w="9214" w:type="dxa"/>
            <w:gridSpan w:val="2"/>
            <w:tcBorders>
              <w:top w:val="single" w:sz="4" w:space="0" w:color="auto"/>
              <w:bottom w:val="single" w:sz="4" w:space="0" w:color="auto"/>
            </w:tcBorders>
            <w:tcMar>
              <w:left w:w="0" w:type="dxa"/>
            </w:tcMar>
          </w:tcPr>
          <w:p w14:paraId="7EA6AFFB" w14:textId="77777777" w:rsidR="002E3310" w:rsidRPr="00C0458D" w:rsidRDefault="002E3310" w:rsidP="00F16BAB">
            <w:pPr>
              <w:spacing w:before="160"/>
              <w:rPr>
                <w:b/>
                <w:bCs/>
                <w:sz w:val="26"/>
                <w:szCs w:val="26"/>
                <w:lang w:eastAsia="zh-CN"/>
              </w:rPr>
            </w:pPr>
            <w:r>
              <w:rPr>
                <w:rFonts w:hint="eastAsia"/>
                <w:b/>
                <w:bCs/>
                <w:sz w:val="26"/>
                <w:szCs w:val="26"/>
                <w:lang w:eastAsia="zh-CN"/>
              </w:rPr>
              <w:t>目的</w:t>
            </w:r>
          </w:p>
          <w:p w14:paraId="5BBA3E52" w14:textId="77777777" w:rsidR="002E3310" w:rsidRPr="00C0458D" w:rsidRDefault="002E3310" w:rsidP="00235FC4">
            <w:pPr>
              <w:ind w:firstLineChars="200" w:firstLine="480"/>
              <w:rPr>
                <w:lang w:eastAsia="zh-CN"/>
              </w:rPr>
            </w:pPr>
            <w:r>
              <w:rPr>
                <w:rFonts w:hint="eastAsia"/>
                <w:color w:val="000000"/>
                <w:lang w:val="zh-CN" w:eastAsia="zh-CN"/>
              </w:rPr>
              <w:t>本报告总结了根据第</w:t>
            </w:r>
            <w:r>
              <w:rPr>
                <w:color w:val="000000"/>
                <w:lang w:val="zh-CN" w:eastAsia="zh-CN"/>
              </w:rPr>
              <w:t>154</w:t>
            </w:r>
            <w:r>
              <w:rPr>
                <w:rFonts w:hint="eastAsia"/>
                <w:color w:val="000000"/>
                <w:lang w:val="zh-CN" w:eastAsia="zh-CN"/>
              </w:rPr>
              <w:t>号决议（</w:t>
            </w:r>
            <w:r>
              <w:rPr>
                <w:color w:val="000000"/>
                <w:lang w:val="zh-CN" w:eastAsia="zh-CN"/>
              </w:rPr>
              <w:t>2022</w:t>
            </w:r>
            <w:r>
              <w:rPr>
                <w:rFonts w:hint="eastAsia"/>
                <w:color w:val="000000"/>
                <w:lang w:val="zh-CN" w:eastAsia="zh-CN"/>
              </w:rPr>
              <w:t>年，布加勒斯特，修订版）和理事会</w:t>
            </w:r>
            <w:r>
              <w:rPr>
                <w:color w:val="000000"/>
                <w:lang w:val="zh-CN" w:eastAsia="zh-CN"/>
              </w:rPr>
              <w:br/>
            </w:r>
            <w:r>
              <w:rPr>
                <w:rFonts w:hint="eastAsia"/>
                <w:color w:val="000000"/>
                <w:lang w:val="zh-CN" w:eastAsia="zh-CN"/>
              </w:rPr>
              <w:t>第</w:t>
            </w:r>
            <w:r>
              <w:rPr>
                <w:color w:val="000000"/>
                <w:lang w:val="zh-CN" w:eastAsia="zh-CN"/>
              </w:rPr>
              <w:t>1372</w:t>
            </w:r>
            <w:r>
              <w:rPr>
                <w:rFonts w:hint="eastAsia"/>
                <w:color w:val="000000"/>
                <w:lang w:val="zh-CN" w:eastAsia="zh-CN"/>
              </w:rPr>
              <w:t>号决议（</w:t>
            </w:r>
            <w:r>
              <w:rPr>
                <w:color w:val="000000"/>
                <w:lang w:val="zh-CN" w:eastAsia="zh-CN"/>
              </w:rPr>
              <w:t>2024</w:t>
            </w:r>
            <w:r>
              <w:rPr>
                <w:rFonts w:hint="eastAsia"/>
                <w:color w:val="000000"/>
                <w:lang w:val="en-US" w:eastAsia="zh-CN"/>
              </w:rPr>
              <w:t>年</w:t>
            </w:r>
            <w:r>
              <w:rPr>
                <w:rFonts w:hint="eastAsia"/>
                <w:color w:val="000000"/>
                <w:lang w:val="zh-CN" w:eastAsia="zh-CN"/>
              </w:rPr>
              <w:t>修订版）召开的理事会语文工作组（</w:t>
            </w:r>
            <w:r>
              <w:rPr>
                <w:color w:val="000000"/>
                <w:lang w:val="zh-CN" w:eastAsia="zh-CN"/>
              </w:rPr>
              <w:t>CWG-LANG</w:t>
            </w:r>
            <w:r>
              <w:rPr>
                <w:rFonts w:hint="eastAsia"/>
                <w:color w:val="000000"/>
                <w:lang w:val="zh-CN" w:eastAsia="zh-CN"/>
              </w:rPr>
              <w:t>）第</w:t>
            </w:r>
            <w:r>
              <w:rPr>
                <w:color w:val="000000"/>
                <w:lang w:val="zh-CN" w:eastAsia="zh-CN"/>
              </w:rPr>
              <w:t>16</w:t>
            </w:r>
            <w:r>
              <w:rPr>
                <w:rFonts w:hint="eastAsia"/>
                <w:color w:val="000000"/>
                <w:lang w:val="zh-CN" w:eastAsia="zh-CN"/>
              </w:rPr>
              <w:t>次会议的活动和成果</w:t>
            </w:r>
            <w:r w:rsidRPr="00A12D70">
              <w:rPr>
                <w:rFonts w:hint="eastAsia"/>
                <w:lang w:eastAsia="zh-CN"/>
              </w:rPr>
              <w:t>。</w:t>
            </w:r>
          </w:p>
          <w:p w14:paraId="12F5BFA9" w14:textId="77777777" w:rsidR="002E3310" w:rsidRDefault="002E3310" w:rsidP="00F16BAB">
            <w:pPr>
              <w:spacing w:before="160"/>
              <w:rPr>
                <w:b/>
                <w:bCs/>
                <w:sz w:val="26"/>
                <w:szCs w:val="26"/>
                <w:lang w:eastAsia="zh-CN"/>
              </w:rPr>
            </w:pPr>
            <w:r w:rsidRPr="00791B97">
              <w:rPr>
                <w:rFonts w:hint="eastAsia"/>
                <w:b/>
                <w:bCs/>
                <w:sz w:val="26"/>
                <w:szCs w:val="26"/>
                <w:lang w:eastAsia="zh-CN"/>
              </w:rPr>
              <w:t>理事会需采取的行动</w:t>
            </w:r>
          </w:p>
          <w:p w14:paraId="78C67123" w14:textId="7AE87362" w:rsidR="002E3310" w:rsidRDefault="002E3310" w:rsidP="000F104D">
            <w:pPr>
              <w:ind w:firstLineChars="200" w:firstLine="480"/>
              <w:rPr>
                <w:lang w:val="en-US" w:eastAsia="zh-CN"/>
              </w:rPr>
            </w:pPr>
            <w:r>
              <w:rPr>
                <w:rFonts w:hint="eastAsia"/>
                <w:color w:val="000000"/>
                <w:lang w:val="zh-CN" w:eastAsia="zh-CN"/>
              </w:rPr>
              <w:t>请理事会将本报告</w:t>
            </w:r>
            <w:r w:rsidRPr="002E3310">
              <w:rPr>
                <w:rFonts w:hint="eastAsia"/>
                <w:b/>
                <w:bCs/>
                <w:color w:val="000000"/>
                <w:lang w:val="zh-CN" w:eastAsia="zh-CN"/>
              </w:rPr>
              <w:t>记录在案</w:t>
            </w:r>
            <w:r w:rsidRPr="00A12D70">
              <w:rPr>
                <w:rFonts w:hint="eastAsia"/>
                <w:lang w:eastAsia="zh-CN"/>
              </w:rPr>
              <w:t>。</w:t>
            </w:r>
          </w:p>
          <w:p w14:paraId="6FEF3523" w14:textId="77777777" w:rsidR="002E3310" w:rsidRDefault="002E3310" w:rsidP="000F104D">
            <w:pPr>
              <w:spacing w:before="160"/>
              <w:rPr>
                <w:b/>
                <w:bCs/>
                <w:sz w:val="26"/>
                <w:szCs w:val="26"/>
                <w:lang w:eastAsia="zh-CN"/>
              </w:rPr>
            </w:pPr>
            <w:r w:rsidRPr="00A12D70">
              <w:rPr>
                <w:rFonts w:hint="eastAsia"/>
                <w:b/>
                <w:bCs/>
                <w:sz w:val="26"/>
                <w:szCs w:val="26"/>
                <w:lang w:eastAsia="zh-CN"/>
              </w:rPr>
              <w:t>与《战略规划》的关联</w:t>
            </w:r>
          </w:p>
          <w:p w14:paraId="46D66F6F" w14:textId="77777777" w:rsidR="002E3310" w:rsidRPr="00F16BAB" w:rsidRDefault="002E3310" w:rsidP="000F104D">
            <w:pPr>
              <w:ind w:firstLineChars="200" w:firstLine="480"/>
              <w:rPr>
                <w:lang w:eastAsia="zh-CN"/>
              </w:rPr>
            </w:pPr>
            <w:r>
              <w:rPr>
                <w:rFonts w:hint="eastAsia"/>
                <w:color w:val="000000"/>
                <w:lang w:val="zh-CN" w:eastAsia="zh-CN"/>
              </w:rPr>
              <w:t>卓越的人力资源和组织创新。</w:t>
            </w:r>
          </w:p>
          <w:p w14:paraId="2B7DC892" w14:textId="77777777" w:rsidR="002E3310" w:rsidRDefault="002E3310" w:rsidP="000F104D">
            <w:pPr>
              <w:spacing w:before="160"/>
              <w:rPr>
                <w:b/>
                <w:bCs/>
                <w:sz w:val="26"/>
                <w:szCs w:val="26"/>
                <w:lang w:eastAsia="zh-CN"/>
              </w:rPr>
            </w:pPr>
            <w:r>
              <w:rPr>
                <w:rFonts w:hint="eastAsia"/>
                <w:b/>
                <w:bCs/>
                <w:sz w:val="26"/>
                <w:szCs w:val="26"/>
                <w:lang w:eastAsia="zh-CN"/>
              </w:rPr>
              <w:t>财务影响</w:t>
            </w:r>
          </w:p>
          <w:p w14:paraId="13845B50" w14:textId="7F0C5FC3" w:rsidR="002E3310" w:rsidRPr="00453079" w:rsidRDefault="002E3310" w:rsidP="000F104D">
            <w:pPr>
              <w:spacing w:before="160"/>
              <w:ind w:firstLineChars="200" w:firstLine="480"/>
              <w:rPr>
                <w:szCs w:val="24"/>
                <w:lang w:eastAsia="zh-CN"/>
              </w:rPr>
            </w:pPr>
            <w:r>
              <w:rPr>
                <w:rFonts w:hint="eastAsia"/>
                <w:color w:val="000000"/>
                <w:lang w:val="zh-CN" w:eastAsia="zh-CN"/>
              </w:rPr>
              <w:t>在划拨的</w:t>
            </w:r>
            <w:r w:rsidR="003D4211">
              <w:rPr>
                <w:color w:val="000000"/>
                <w:lang w:val="en-US" w:eastAsia="zh-CN"/>
              </w:rPr>
              <w:t>2024-2025</w:t>
            </w:r>
            <w:r w:rsidR="003D4211">
              <w:rPr>
                <w:rFonts w:hint="eastAsia"/>
                <w:color w:val="000000"/>
                <w:lang w:val="en-US" w:eastAsia="zh-CN"/>
              </w:rPr>
              <w:t>年</w:t>
            </w:r>
            <w:r>
              <w:rPr>
                <w:rFonts w:hint="eastAsia"/>
                <w:color w:val="000000"/>
                <w:lang w:val="zh-CN" w:eastAsia="zh-CN"/>
              </w:rPr>
              <w:t>预算范围内。</w:t>
            </w:r>
          </w:p>
          <w:p w14:paraId="57AFD079" w14:textId="77777777" w:rsidR="002E3310" w:rsidRDefault="002E3310">
            <w:pPr>
              <w:rPr>
                <w:lang w:eastAsia="zh-CN"/>
              </w:rPr>
            </w:pPr>
            <w:r>
              <w:rPr>
                <w:lang w:eastAsia="zh-CN"/>
              </w:rPr>
              <w:t>_______________</w:t>
            </w:r>
          </w:p>
          <w:p w14:paraId="0EDD8595" w14:textId="77777777" w:rsidR="002E3310" w:rsidRPr="00C0458D" w:rsidRDefault="002E3310" w:rsidP="00F16BAB">
            <w:pPr>
              <w:spacing w:before="160"/>
              <w:rPr>
                <w:b/>
                <w:bCs/>
                <w:sz w:val="26"/>
                <w:szCs w:val="26"/>
                <w:lang w:eastAsia="zh-CN"/>
              </w:rPr>
            </w:pPr>
            <w:r>
              <w:rPr>
                <w:rFonts w:hint="eastAsia"/>
                <w:b/>
                <w:bCs/>
                <w:sz w:val="26"/>
                <w:szCs w:val="26"/>
                <w:lang w:eastAsia="zh-CN"/>
              </w:rPr>
              <w:t>参考资料</w:t>
            </w:r>
          </w:p>
          <w:p w14:paraId="635A4D83" w14:textId="6E2DBAA6" w:rsidR="002E3310" w:rsidRPr="00BB13C7" w:rsidRDefault="002E3310" w:rsidP="00350B23">
            <w:pPr>
              <w:spacing w:after="160"/>
              <w:rPr>
                <w:rFonts w:asciiTheme="minorHAnsi" w:eastAsia="STKaiti" w:hAnsiTheme="minorHAnsi" w:cstheme="minorHAnsi"/>
                <w:szCs w:val="24"/>
                <w:lang w:eastAsia="zh-CN"/>
              </w:rPr>
            </w:pPr>
            <w:r w:rsidRPr="00BB13C7">
              <w:rPr>
                <w:rFonts w:asciiTheme="minorHAnsi" w:eastAsia="STKaiti" w:hAnsiTheme="minorHAnsi" w:cstheme="minorHAnsi"/>
                <w:szCs w:val="24"/>
                <w:lang w:eastAsia="zh-CN"/>
              </w:rPr>
              <w:t>全权代表大会</w:t>
            </w:r>
            <w:r w:rsidRPr="00350B23">
              <w:rPr>
                <w:color w:val="0070C0"/>
              </w:rPr>
              <w:fldChar w:fldCharType="begin"/>
            </w:r>
            <w:r w:rsidRPr="00350B23">
              <w:rPr>
                <w:color w:val="0070C0"/>
                <w:lang w:eastAsia="zh-CN"/>
              </w:rPr>
              <w:instrText>HYPERLINK "https://www.itu.int/en/council/Documents/basic-texts-2023/RES-154-C.pdf"</w:instrText>
            </w:r>
            <w:r w:rsidRPr="00350B23">
              <w:rPr>
                <w:color w:val="0070C0"/>
              </w:rPr>
            </w:r>
            <w:r w:rsidRPr="00350B23">
              <w:rPr>
                <w:color w:val="0070C0"/>
              </w:rPr>
              <w:fldChar w:fldCharType="separate"/>
            </w:r>
            <w:r w:rsidRPr="00350B23">
              <w:rPr>
                <w:rStyle w:val="Hyperlink"/>
              </w:rPr>
              <w:t>第</w:t>
            </w:r>
            <w:r w:rsidRPr="00350B23">
              <w:rPr>
                <w:rStyle w:val="Hyperlink"/>
              </w:rPr>
              <w:t>154</w:t>
            </w:r>
            <w:r w:rsidRPr="00350B23">
              <w:rPr>
                <w:rStyle w:val="Hyperlink"/>
              </w:rPr>
              <w:t>号决议（</w:t>
            </w:r>
            <w:r w:rsidRPr="00350B23">
              <w:rPr>
                <w:rStyle w:val="Hyperlink"/>
              </w:rPr>
              <w:t>2022</w:t>
            </w:r>
            <w:r w:rsidRPr="00350B23">
              <w:rPr>
                <w:rStyle w:val="Hyperlink"/>
              </w:rPr>
              <w:t>年，布加勒斯特，修订版）</w:t>
            </w:r>
            <w:r w:rsidRPr="00350B23">
              <w:rPr>
                <w:color w:val="0070C0"/>
              </w:rPr>
              <w:fldChar w:fldCharType="end"/>
            </w:r>
            <w:r w:rsidRPr="00BB13C7">
              <w:rPr>
                <w:rFonts w:asciiTheme="minorHAnsi" w:eastAsia="STKaiti" w:hAnsiTheme="minorHAnsi" w:cstheme="minorHAnsi"/>
                <w:szCs w:val="24"/>
                <w:lang w:eastAsia="zh-CN"/>
              </w:rPr>
              <w:t>；</w:t>
            </w:r>
            <w:r w:rsidRPr="00BB13C7">
              <w:rPr>
                <w:rFonts w:asciiTheme="minorHAnsi" w:eastAsia="STKaiti" w:hAnsiTheme="minorHAnsi" w:cstheme="minorHAnsi"/>
                <w:szCs w:val="24"/>
                <w:lang w:eastAsia="zh-CN"/>
              </w:rPr>
              <w:br/>
            </w:r>
            <w:hyperlink r:id="rId11" w:history="1">
              <w:r w:rsidRPr="00350B23">
                <w:rPr>
                  <w:rStyle w:val="Hyperlink"/>
                </w:rPr>
                <w:t>理事会第</w:t>
              </w:r>
              <w:r w:rsidRPr="00350B23">
                <w:rPr>
                  <w:rStyle w:val="Hyperlink"/>
                </w:rPr>
                <w:t>1372</w:t>
              </w:r>
              <w:r w:rsidRPr="00350B23">
                <w:rPr>
                  <w:rStyle w:val="Hyperlink"/>
                </w:rPr>
                <w:t>号决议（</w:t>
              </w:r>
              <w:r w:rsidRPr="00350B23">
                <w:rPr>
                  <w:rStyle w:val="Hyperlink"/>
                </w:rPr>
                <w:t>2024</w:t>
              </w:r>
              <w:r w:rsidRPr="00350B23">
                <w:rPr>
                  <w:rStyle w:val="Hyperlink"/>
                </w:rPr>
                <w:t>年修订版）</w:t>
              </w:r>
            </w:hyperlink>
            <w:r w:rsidRPr="00BB13C7">
              <w:rPr>
                <w:rFonts w:asciiTheme="minorHAnsi" w:eastAsia="STKaiti" w:hAnsiTheme="minorHAnsi" w:cstheme="minorHAnsi"/>
                <w:szCs w:val="24"/>
                <w:lang w:eastAsia="zh-CN"/>
              </w:rPr>
              <w:t>；</w:t>
            </w:r>
            <w:hyperlink r:id="rId12" w:history="1">
              <w:hyperlink r:id="rId13" w:history="1">
                <w:hyperlink r:id="rId14" w:history="1">
                  <w:r w:rsidRPr="00350B23">
                    <w:rPr>
                      <w:rStyle w:val="Hyperlink"/>
                    </w:rPr>
                    <w:t>CWG-LANG-16/5</w:t>
                  </w:r>
                </w:hyperlink>
              </w:hyperlink>
            </w:hyperlink>
            <w:r w:rsidRPr="00BB13C7">
              <w:rPr>
                <w:rFonts w:asciiTheme="minorHAnsi" w:eastAsia="STKaiti" w:hAnsiTheme="minorHAnsi" w:cstheme="minorHAnsi"/>
                <w:szCs w:val="24"/>
                <w:lang w:eastAsia="zh-CN"/>
              </w:rPr>
              <w:t>、</w:t>
            </w:r>
            <w:hyperlink r:id="rId15" w:history="1">
              <w:hyperlink r:id="rId16" w:history="1">
                <w:r w:rsidRPr="00350B23">
                  <w:rPr>
                    <w:rStyle w:val="Hyperlink"/>
                  </w:rPr>
                  <w:t>CWG-LANG/16-3</w:t>
                </w:r>
              </w:hyperlink>
            </w:hyperlink>
            <w:r w:rsidRPr="00BB13C7">
              <w:rPr>
                <w:rFonts w:asciiTheme="minorHAnsi" w:eastAsia="STKaiti" w:hAnsiTheme="minorHAnsi" w:cstheme="minorHAnsi"/>
                <w:szCs w:val="24"/>
                <w:lang w:eastAsia="zh-CN"/>
              </w:rPr>
              <w:t>和</w:t>
            </w:r>
            <w:r w:rsidR="00B32CCA" w:rsidRPr="00BB13C7">
              <w:rPr>
                <w:rFonts w:asciiTheme="minorHAnsi" w:eastAsia="STKaiti" w:hAnsiTheme="minorHAnsi" w:cstheme="minorHAnsi"/>
                <w:szCs w:val="24"/>
                <w:lang w:eastAsia="zh-CN"/>
              </w:rPr>
              <w:br/>
            </w:r>
            <w:hyperlink r:id="rId17" w:history="1">
              <w:proofErr w:type="spellStart"/>
              <w:r w:rsidRPr="00B30652">
                <w:rPr>
                  <w:rStyle w:val="Hyperlink"/>
                </w:rPr>
                <w:t>C25</w:t>
              </w:r>
              <w:proofErr w:type="spellEnd"/>
              <w:r w:rsidRPr="00B30652">
                <w:rPr>
                  <w:rStyle w:val="Hyperlink"/>
                </w:rPr>
                <w:t>/INF/7</w:t>
              </w:r>
            </w:hyperlink>
            <w:r w:rsidRPr="00BB13C7">
              <w:rPr>
                <w:rFonts w:asciiTheme="minorHAnsi" w:eastAsia="STKaiti" w:hAnsiTheme="minorHAnsi" w:cstheme="minorHAnsi"/>
                <w:szCs w:val="24"/>
                <w:lang w:eastAsia="zh-CN"/>
              </w:rPr>
              <w:t>号文件</w:t>
            </w:r>
          </w:p>
        </w:tc>
      </w:tr>
    </w:tbl>
    <w:p w14:paraId="6D1E55C1" w14:textId="77777777" w:rsidR="002E3310" w:rsidRPr="00C0458D" w:rsidRDefault="002E3310">
      <w:pPr>
        <w:tabs>
          <w:tab w:val="clear" w:pos="567"/>
          <w:tab w:val="clear" w:pos="1134"/>
          <w:tab w:val="clear" w:pos="1701"/>
          <w:tab w:val="clear" w:pos="2268"/>
          <w:tab w:val="clear" w:pos="2835"/>
        </w:tabs>
        <w:overflowPunct/>
        <w:autoSpaceDE/>
        <w:autoSpaceDN/>
        <w:adjustRightInd/>
        <w:spacing w:before="0"/>
        <w:textAlignment w:val="auto"/>
        <w:rPr>
          <w:lang w:eastAsia="zh-CN"/>
        </w:rPr>
      </w:pPr>
      <w:bookmarkStart w:id="10" w:name="_Hlk133421428"/>
      <w:bookmarkEnd w:id="2"/>
      <w:bookmarkEnd w:id="9"/>
    </w:p>
    <w:bookmarkEnd w:id="3"/>
    <w:bookmarkEnd w:id="4"/>
    <w:p w14:paraId="3FCCB09E" w14:textId="77777777" w:rsidR="002E3310" w:rsidRPr="00C0458D" w:rsidRDefault="002E3310">
      <w:pPr>
        <w:tabs>
          <w:tab w:val="clear" w:pos="567"/>
          <w:tab w:val="clear" w:pos="1134"/>
          <w:tab w:val="clear" w:pos="1701"/>
          <w:tab w:val="clear" w:pos="2268"/>
          <w:tab w:val="clear" w:pos="2835"/>
        </w:tabs>
        <w:overflowPunct/>
        <w:autoSpaceDE/>
        <w:autoSpaceDN/>
        <w:adjustRightInd/>
        <w:spacing w:before="0"/>
        <w:textAlignment w:val="auto"/>
        <w:rPr>
          <w:b/>
          <w:lang w:eastAsia="zh-CN"/>
        </w:rPr>
      </w:pPr>
      <w:r w:rsidRPr="00C0458D">
        <w:rPr>
          <w:lang w:eastAsia="zh-CN"/>
        </w:rPr>
        <w:br w:type="page"/>
      </w:r>
    </w:p>
    <w:bookmarkEnd w:id="5"/>
    <w:bookmarkEnd w:id="10"/>
    <w:p w14:paraId="7A1B2680" w14:textId="1B94C531" w:rsidR="000F7F61" w:rsidRDefault="000F7F61" w:rsidP="000F7F61">
      <w:pPr>
        <w:pStyle w:val="Heading1"/>
        <w:rPr>
          <w:rFonts w:eastAsia="Calibri"/>
          <w:lang w:val="en-US" w:eastAsia="zh-CN"/>
        </w:rPr>
      </w:pPr>
      <w:r>
        <w:rPr>
          <w:rFonts w:eastAsia="SimSun" w:hint="eastAsia"/>
          <w:bCs/>
          <w:lang w:val="zh-CN" w:eastAsia="zh-CN"/>
        </w:rPr>
        <w:lastRenderedPageBreak/>
        <w:t>1</w:t>
      </w:r>
      <w:r>
        <w:rPr>
          <w:rFonts w:eastAsia="SimSun"/>
          <w:bCs/>
          <w:lang w:val="zh-CN" w:eastAsia="zh-CN"/>
        </w:rPr>
        <w:tab/>
      </w:r>
      <w:r>
        <w:rPr>
          <w:rFonts w:eastAsia="SimSun" w:hint="eastAsia"/>
          <w:bCs/>
          <w:lang w:val="zh-CN" w:eastAsia="zh-CN"/>
        </w:rPr>
        <w:t>引言</w:t>
      </w:r>
    </w:p>
    <w:p w14:paraId="7EA0FFD9" w14:textId="5D6E1658" w:rsidR="000F7F61" w:rsidRDefault="000F7F61" w:rsidP="009E03E6">
      <w:pPr>
        <w:tabs>
          <w:tab w:val="clear" w:pos="567"/>
          <w:tab w:val="left" w:pos="720"/>
        </w:tabs>
        <w:overflowPunct/>
        <w:autoSpaceDE/>
        <w:adjustRightInd/>
        <w:snapToGrid w:val="0"/>
        <w:ind w:firstLineChars="200" w:firstLine="480"/>
        <w:rPr>
          <w:rFonts w:eastAsia="SimSun" w:cs="Calibri"/>
          <w:bCs/>
          <w:kern w:val="2"/>
          <w:szCs w:val="24"/>
          <w:lang w:eastAsia="zh-CN"/>
          <w14:ligatures w14:val="standardContextual"/>
        </w:rPr>
      </w:pPr>
      <w:r>
        <w:rPr>
          <w:rFonts w:hint="eastAsia"/>
          <w:lang w:val="zh-CN" w:eastAsia="zh-CN"/>
        </w:rPr>
        <w:t>本文件载有理事会</w:t>
      </w:r>
      <w:r w:rsidR="002E3310" w:rsidRPr="002E3310">
        <w:rPr>
          <w:rFonts w:hint="eastAsia"/>
          <w:lang w:val="zh-CN" w:eastAsia="zh-CN"/>
        </w:rPr>
        <w:t>使用国际电联六种正式语文</w:t>
      </w:r>
      <w:r>
        <w:rPr>
          <w:rFonts w:hint="eastAsia"/>
          <w:lang w:val="zh-CN" w:eastAsia="zh-CN"/>
        </w:rPr>
        <w:t>工作组（</w:t>
      </w:r>
      <w:r>
        <w:rPr>
          <w:rFonts w:hint="eastAsia"/>
          <w:lang w:val="zh-CN" w:eastAsia="zh-CN"/>
        </w:rPr>
        <w:t>CWG-LANG</w:t>
      </w:r>
      <w:r>
        <w:rPr>
          <w:rFonts w:hint="eastAsia"/>
          <w:lang w:val="zh-CN" w:eastAsia="zh-CN"/>
        </w:rPr>
        <w:t>）</w:t>
      </w:r>
      <w:r>
        <w:rPr>
          <w:rFonts w:hint="eastAsia"/>
          <w:lang w:val="zh-CN" w:eastAsia="zh-CN"/>
        </w:rPr>
        <w:t>2025</w:t>
      </w:r>
      <w:r>
        <w:rPr>
          <w:rFonts w:hint="eastAsia"/>
          <w:lang w:val="zh-CN" w:eastAsia="zh-CN"/>
        </w:rPr>
        <w:t>年</w:t>
      </w:r>
      <w:r>
        <w:rPr>
          <w:rFonts w:hint="eastAsia"/>
          <w:lang w:val="zh-CN" w:eastAsia="zh-CN"/>
        </w:rPr>
        <w:t>2</w:t>
      </w:r>
      <w:r>
        <w:rPr>
          <w:rFonts w:hint="eastAsia"/>
          <w:lang w:val="zh-CN" w:eastAsia="zh-CN"/>
        </w:rPr>
        <w:t>月</w:t>
      </w:r>
      <w:r>
        <w:rPr>
          <w:rFonts w:hint="eastAsia"/>
          <w:lang w:val="zh-CN" w:eastAsia="zh-CN"/>
        </w:rPr>
        <w:t>12</w:t>
      </w:r>
      <w:r>
        <w:rPr>
          <w:rFonts w:hint="eastAsia"/>
          <w:lang w:val="zh-CN" w:eastAsia="zh-CN"/>
        </w:rPr>
        <w:t>日召开的第十六次会议的主席总结报告，该报告基于会议的完整记录（</w:t>
      </w:r>
      <w:r w:rsidRPr="00B30652">
        <w:rPr>
          <w:rStyle w:val="Hyperlink"/>
        </w:rPr>
        <w:fldChar w:fldCharType="begin"/>
      </w:r>
      <w:r w:rsidRPr="00B30652">
        <w:rPr>
          <w:rStyle w:val="Hyperlink"/>
        </w:rPr>
        <w:instrText>HYPERLINK "https://www.itu.int/md/S25-RCLCWGLANG16-C-0005/en"</w:instrText>
      </w:r>
      <w:r w:rsidRPr="00B30652">
        <w:rPr>
          <w:rStyle w:val="Hyperlink"/>
        </w:rPr>
      </w:r>
      <w:r w:rsidRPr="00B30652">
        <w:rPr>
          <w:rStyle w:val="Hyperlink"/>
        </w:rPr>
        <w:fldChar w:fldCharType="separate"/>
      </w:r>
      <w:r w:rsidRPr="00B30652">
        <w:rPr>
          <w:rStyle w:val="Hyperlink"/>
        </w:rPr>
        <w:t>CWG-LANG-16/5</w:t>
      </w:r>
      <w:r w:rsidRPr="00B30652">
        <w:rPr>
          <w:rStyle w:val="Hyperlink"/>
        </w:rPr>
        <w:fldChar w:fldCharType="end"/>
      </w:r>
      <w:r>
        <w:rPr>
          <w:rFonts w:hint="eastAsia"/>
          <w:lang w:val="zh-CN" w:eastAsia="zh-CN"/>
        </w:rPr>
        <w:t>号文件）。会议由</w:t>
      </w:r>
      <w:r>
        <w:rPr>
          <w:rFonts w:hint="eastAsia"/>
          <w:lang w:val="zh-CN" w:eastAsia="zh-CN"/>
        </w:rPr>
        <w:t>CWG-LANG</w:t>
      </w:r>
      <w:r>
        <w:rPr>
          <w:rFonts w:hint="eastAsia"/>
          <w:lang w:val="zh-CN" w:eastAsia="zh-CN"/>
        </w:rPr>
        <w:t>副主席</w:t>
      </w:r>
      <w:r>
        <w:rPr>
          <w:rFonts w:hint="eastAsia"/>
          <w:lang w:val="zh-CN" w:eastAsia="zh-CN"/>
        </w:rPr>
        <w:t>Blanca Gonzalez</w:t>
      </w:r>
      <w:r>
        <w:rPr>
          <w:rFonts w:hint="eastAsia"/>
          <w:lang w:val="zh-CN" w:eastAsia="zh-CN"/>
        </w:rPr>
        <w:t>女士（西班牙）主持，在</w:t>
      </w:r>
      <w:r>
        <w:rPr>
          <w:rFonts w:hint="eastAsia"/>
          <w:lang w:val="zh-CN" w:eastAsia="zh-CN"/>
        </w:rPr>
        <w:t>CWG-LANG</w:t>
      </w:r>
      <w:r>
        <w:rPr>
          <w:rFonts w:hint="eastAsia"/>
          <w:lang w:val="zh-CN" w:eastAsia="zh-CN"/>
        </w:rPr>
        <w:t>主席</w:t>
      </w:r>
      <w:r>
        <w:rPr>
          <w:rFonts w:hint="eastAsia"/>
          <w:lang w:val="zh-CN" w:eastAsia="zh-CN"/>
        </w:rPr>
        <w:t>Sharon Bosire</w:t>
      </w:r>
      <w:r>
        <w:rPr>
          <w:rFonts w:hint="eastAsia"/>
          <w:lang w:val="zh-CN" w:eastAsia="zh-CN"/>
        </w:rPr>
        <w:t>女士（肯尼亚）缺席的情况下，她代理临时主席。</w:t>
      </w:r>
    </w:p>
    <w:p w14:paraId="018411B6" w14:textId="2C1253CC" w:rsidR="000F7F61" w:rsidRDefault="000F7F61" w:rsidP="009E03E6">
      <w:pPr>
        <w:ind w:firstLineChars="200" w:firstLine="480"/>
        <w:rPr>
          <w:rFonts w:asciiTheme="minorHAnsi" w:hAnsiTheme="minorHAnsi" w:cstheme="minorHAnsi"/>
          <w:szCs w:val="10"/>
          <w:lang w:eastAsia="zh-CN"/>
        </w:rPr>
      </w:pPr>
      <w:r>
        <w:rPr>
          <w:rFonts w:hint="eastAsia"/>
          <w:lang w:val="zh-CN" w:eastAsia="zh-CN"/>
        </w:rPr>
        <w:t>根据第</w:t>
      </w:r>
      <w:r>
        <w:rPr>
          <w:rFonts w:hint="eastAsia"/>
          <w:lang w:val="zh-CN" w:eastAsia="zh-CN"/>
        </w:rPr>
        <w:t>154</w:t>
      </w:r>
      <w:r>
        <w:rPr>
          <w:rFonts w:hint="eastAsia"/>
          <w:lang w:val="zh-CN" w:eastAsia="zh-CN"/>
        </w:rPr>
        <w:t>号决议</w:t>
      </w:r>
      <w:r w:rsidR="002E3310">
        <w:rPr>
          <w:rFonts w:hint="eastAsia"/>
          <w:lang w:val="zh-CN" w:eastAsia="zh-CN"/>
        </w:rPr>
        <w:t>并</w:t>
      </w:r>
      <w:r w:rsidR="002E3310" w:rsidRPr="002E3310">
        <w:rPr>
          <w:rFonts w:hint="eastAsia"/>
          <w:lang w:val="zh-CN" w:eastAsia="zh-CN"/>
        </w:rPr>
        <w:t>根据</w:t>
      </w:r>
      <w:hyperlink r:id="rId18" w:history="1">
        <w:r w:rsidR="002E3310" w:rsidRPr="00B30652">
          <w:rPr>
            <w:rStyle w:val="Hyperlink"/>
          </w:rPr>
          <w:t>CWG-LANG-16/2</w:t>
        </w:r>
      </w:hyperlink>
      <w:r w:rsidR="002E3310" w:rsidRPr="002E3310">
        <w:rPr>
          <w:rFonts w:hint="eastAsia"/>
          <w:lang w:val="zh-CN" w:eastAsia="zh-CN"/>
        </w:rPr>
        <w:t>号文件中的秘书长报告，</w:t>
      </w:r>
      <w:r>
        <w:rPr>
          <w:rFonts w:hint="eastAsia"/>
          <w:lang w:val="zh-CN" w:eastAsia="zh-CN"/>
        </w:rPr>
        <w:t>CWG-LANG</w:t>
      </w:r>
      <w:r>
        <w:rPr>
          <w:rFonts w:hint="eastAsia"/>
          <w:lang w:val="zh-CN" w:eastAsia="zh-CN"/>
        </w:rPr>
        <w:t>的工作侧重于：</w:t>
      </w:r>
    </w:p>
    <w:p w14:paraId="42A8198E" w14:textId="1ECB0C54" w:rsidR="000F7F61" w:rsidRDefault="000F7F61" w:rsidP="000F7F61">
      <w:pPr>
        <w:pStyle w:val="enumlev1"/>
        <w:rPr>
          <w:lang w:eastAsia="zh-CN"/>
        </w:rPr>
      </w:pPr>
      <w:r>
        <w:rPr>
          <w:rFonts w:hint="eastAsia"/>
          <w:lang w:val="zh-CN" w:eastAsia="zh-CN"/>
        </w:rPr>
        <w:t>a)</w:t>
      </w:r>
      <w:r>
        <w:rPr>
          <w:lang w:val="zh-CN" w:eastAsia="zh-CN"/>
        </w:rPr>
        <w:tab/>
      </w:r>
      <w:r w:rsidR="0095760E">
        <w:rPr>
          <w:rFonts w:hint="eastAsia"/>
          <w:lang w:val="zh-CN" w:eastAsia="zh-CN"/>
        </w:rPr>
        <w:t>分析</w:t>
      </w:r>
      <w:r>
        <w:rPr>
          <w:rFonts w:hint="eastAsia"/>
          <w:lang w:val="zh-CN" w:eastAsia="zh-CN"/>
        </w:rPr>
        <w:t>2019-2024</w:t>
      </w:r>
      <w:r>
        <w:rPr>
          <w:rFonts w:hint="eastAsia"/>
          <w:lang w:val="zh-CN" w:eastAsia="zh-CN"/>
        </w:rPr>
        <w:t>年期间六种正式语文笔译和口译的预算和</w:t>
      </w:r>
      <w:r w:rsidR="0095760E">
        <w:rPr>
          <w:rFonts w:hint="eastAsia"/>
          <w:lang w:val="zh-CN" w:eastAsia="zh-CN"/>
        </w:rPr>
        <w:t>工作</w:t>
      </w:r>
      <w:r>
        <w:rPr>
          <w:rFonts w:hint="eastAsia"/>
          <w:lang w:val="zh-CN" w:eastAsia="zh-CN"/>
        </w:rPr>
        <w:t>量</w:t>
      </w:r>
      <w:r w:rsidR="0095760E">
        <w:rPr>
          <w:rFonts w:hint="eastAsia"/>
          <w:lang w:val="zh-CN" w:eastAsia="zh-CN"/>
        </w:rPr>
        <w:t>；</w:t>
      </w:r>
    </w:p>
    <w:p w14:paraId="45E93D65" w14:textId="6EA4C250" w:rsidR="000F7F61" w:rsidRDefault="000F7F61" w:rsidP="000F7F61">
      <w:pPr>
        <w:pStyle w:val="enumlev1"/>
        <w:rPr>
          <w:lang w:eastAsia="zh-CN"/>
        </w:rPr>
      </w:pPr>
      <w:r>
        <w:rPr>
          <w:rFonts w:hint="eastAsia"/>
          <w:lang w:val="zh-CN" w:eastAsia="zh-CN"/>
        </w:rPr>
        <w:t>b)</w:t>
      </w:r>
      <w:r w:rsidR="0095760E">
        <w:rPr>
          <w:lang w:val="zh-CN" w:eastAsia="zh-CN"/>
        </w:rPr>
        <w:tab/>
      </w:r>
      <w:r>
        <w:rPr>
          <w:rFonts w:hint="eastAsia"/>
          <w:lang w:val="zh-CN" w:eastAsia="zh-CN"/>
        </w:rPr>
        <w:t>使用新技术提高提供语言服务的效率和经济有效性，包括通过</w:t>
      </w:r>
      <w:r>
        <w:rPr>
          <w:rFonts w:hint="eastAsia"/>
          <w:lang w:val="zh-CN" w:eastAsia="zh-CN"/>
        </w:rPr>
        <w:t>ITU Translate</w:t>
      </w:r>
      <w:r>
        <w:rPr>
          <w:rFonts w:hint="eastAsia"/>
          <w:lang w:val="zh-CN" w:eastAsia="zh-CN"/>
        </w:rPr>
        <w:t>人工智能驱动</w:t>
      </w:r>
      <w:r w:rsidR="0095760E">
        <w:rPr>
          <w:rFonts w:hint="eastAsia"/>
          <w:lang w:val="zh-CN" w:eastAsia="zh-CN"/>
        </w:rPr>
        <w:t>的</w:t>
      </w:r>
      <w:r>
        <w:rPr>
          <w:rFonts w:hint="eastAsia"/>
          <w:lang w:val="zh-CN" w:eastAsia="zh-CN"/>
        </w:rPr>
        <w:t>工具套件进行机器翻译</w:t>
      </w:r>
      <w:r w:rsidR="0095760E">
        <w:rPr>
          <w:rFonts w:hint="eastAsia"/>
          <w:lang w:val="zh-CN" w:eastAsia="zh-CN"/>
        </w:rPr>
        <w:t>；</w:t>
      </w:r>
    </w:p>
    <w:p w14:paraId="1FE524B5" w14:textId="03AA3546" w:rsidR="000F7F61" w:rsidRDefault="000F7F61" w:rsidP="000F7F61">
      <w:pPr>
        <w:pStyle w:val="enumlev1"/>
        <w:rPr>
          <w:lang w:eastAsia="zh-CN"/>
        </w:rPr>
      </w:pPr>
      <w:r>
        <w:rPr>
          <w:rFonts w:hint="eastAsia"/>
          <w:lang w:val="zh-CN" w:eastAsia="zh-CN"/>
        </w:rPr>
        <w:t>c)</w:t>
      </w:r>
      <w:r w:rsidR="0095760E">
        <w:rPr>
          <w:lang w:val="zh-CN" w:eastAsia="zh-CN"/>
        </w:rPr>
        <w:tab/>
      </w:r>
      <w:r>
        <w:rPr>
          <w:rFonts w:hint="eastAsia"/>
          <w:lang w:val="zh-CN" w:eastAsia="zh-CN"/>
        </w:rPr>
        <w:t>会议期间</w:t>
      </w:r>
      <w:r w:rsidR="0095760E">
        <w:rPr>
          <w:rFonts w:hint="eastAsia"/>
          <w:lang w:val="zh-CN" w:eastAsia="zh-CN"/>
        </w:rPr>
        <w:t>试点</w:t>
      </w:r>
      <w:r>
        <w:rPr>
          <w:rFonts w:hint="eastAsia"/>
          <w:lang w:val="zh-CN" w:eastAsia="zh-CN"/>
        </w:rPr>
        <w:t>的人工智能口译</w:t>
      </w:r>
      <w:r w:rsidR="005A6574">
        <w:rPr>
          <w:rFonts w:hint="eastAsia"/>
          <w:lang w:val="zh-CN" w:eastAsia="zh-CN"/>
        </w:rPr>
        <w:t>所面临</w:t>
      </w:r>
      <w:r>
        <w:rPr>
          <w:rFonts w:hint="eastAsia"/>
          <w:lang w:val="zh-CN" w:eastAsia="zh-CN"/>
        </w:rPr>
        <w:t>的挑战和机遇以及对人工智能口译的评估</w:t>
      </w:r>
      <w:r w:rsidR="0095760E">
        <w:rPr>
          <w:rFonts w:hint="eastAsia"/>
          <w:lang w:val="zh-CN" w:eastAsia="zh-CN"/>
        </w:rPr>
        <w:t>；</w:t>
      </w:r>
    </w:p>
    <w:p w14:paraId="34BE0580" w14:textId="6621C1F9" w:rsidR="000F7F61" w:rsidRDefault="000F7F61" w:rsidP="000F7F61">
      <w:pPr>
        <w:pStyle w:val="enumlev1"/>
        <w:rPr>
          <w:lang w:eastAsia="zh-CN"/>
        </w:rPr>
      </w:pPr>
      <w:r>
        <w:rPr>
          <w:rFonts w:hint="eastAsia"/>
          <w:lang w:val="zh-CN" w:eastAsia="zh-CN"/>
        </w:rPr>
        <w:t>d)</w:t>
      </w:r>
      <w:r w:rsidR="0095760E">
        <w:rPr>
          <w:lang w:val="zh-CN" w:eastAsia="zh-CN"/>
        </w:rPr>
        <w:tab/>
      </w:r>
      <w:r>
        <w:rPr>
          <w:rFonts w:hint="eastAsia"/>
          <w:lang w:val="zh-CN" w:eastAsia="zh-CN"/>
        </w:rPr>
        <w:t>《国际电联当前和未来多语文做法指南》及其附带的有关机器翻译使用的工作人员指南的实施情况</w:t>
      </w:r>
      <w:r w:rsidR="0095760E">
        <w:rPr>
          <w:rFonts w:hint="eastAsia"/>
          <w:lang w:val="zh-CN" w:eastAsia="zh-CN"/>
        </w:rPr>
        <w:t>；</w:t>
      </w:r>
    </w:p>
    <w:p w14:paraId="78E5DFDB" w14:textId="09415469" w:rsidR="000F7F61" w:rsidRDefault="000F7F61" w:rsidP="000F7F61">
      <w:pPr>
        <w:pStyle w:val="enumlev1"/>
        <w:rPr>
          <w:lang w:eastAsia="zh-CN"/>
        </w:rPr>
      </w:pPr>
      <w:r>
        <w:rPr>
          <w:rFonts w:hint="eastAsia"/>
          <w:lang w:val="zh-CN" w:eastAsia="zh-CN"/>
        </w:rPr>
        <w:t>e)</w:t>
      </w:r>
      <w:r w:rsidR="0095760E">
        <w:rPr>
          <w:lang w:val="zh-CN" w:eastAsia="zh-CN"/>
        </w:rPr>
        <w:tab/>
      </w:r>
      <w:r>
        <w:rPr>
          <w:rFonts w:hint="eastAsia"/>
          <w:lang w:val="zh-CN" w:eastAsia="zh-CN"/>
        </w:rPr>
        <w:t>国际电联术语协调委员会（</w:t>
      </w:r>
      <w:r>
        <w:rPr>
          <w:rFonts w:hint="eastAsia"/>
          <w:lang w:val="zh-CN" w:eastAsia="zh-CN"/>
        </w:rPr>
        <w:t>CCT</w:t>
      </w:r>
      <w:r>
        <w:rPr>
          <w:rFonts w:hint="eastAsia"/>
          <w:lang w:val="zh-CN" w:eastAsia="zh-CN"/>
        </w:rPr>
        <w:t>）的最新</w:t>
      </w:r>
      <w:r w:rsidR="005A6574">
        <w:rPr>
          <w:rFonts w:hint="eastAsia"/>
          <w:lang w:val="zh-CN" w:eastAsia="zh-CN"/>
        </w:rPr>
        <w:t>工作</w:t>
      </w:r>
      <w:r>
        <w:rPr>
          <w:rFonts w:hint="eastAsia"/>
          <w:lang w:val="zh-CN" w:eastAsia="zh-CN"/>
        </w:rPr>
        <w:t>情况，包括新的工作流程以及与成员国在术语和定义翻译方面的合作</w:t>
      </w:r>
      <w:r w:rsidR="0095760E">
        <w:rPr>
          <w:rFonts w:hint="eastAsia"/>
          <w:lang w:val="zh-CN" w:eastAsia="zh-CN"/>
        </w:rPr>
        <w:t>；</w:t>
      </w:r>
    </w:p>
    <w:p w14:paraId="25C9C507" w14:textId="0BC7068D" w:rsidR="000F7F61" w:rsidRDefault="000F7F61" w:rsidP="000F7F61">
      <w:pPr>
        <w:pStyle w:val="enumlev1"/>
        <w:rPr>
          <w:lang w:eastAsia="zh-CN"/>
        </w:rPr>
      </w:pPr>
      <w:r>
        <w:rPr>
          <w:rFonts w:hint="eastAsia"/>
          <w:lang w:val="zh-CN" w:eastAsia="zh-CN"/>
        </w:rPr>
        <w:t>f)</w:t>
      </w:r>
      <w:r w:rsidR="0095760E">
        <w:rPr>
          <w:lang w:val="zh-CN" w:eastAsia="zh-CN"/>
        </w:rPr>
        <w:tab/>
      </w:r>
      <w:r>
        <w:rPr>
          <w:rFonts w:hint="eastAsia"/>
          <w:lang w:val="zh-CN" w:eastAsia="zh-CN"/>
        </w:rPr>
        <w:t>努力改进国际电</w:t>
      </w:r>
      <w:proofErr w:type="gramStart"/>
      <w:r>
        <w:rPr>
          <w:rFonts w:hint="eastAsia"/>
          <w:lang w:val="zh-CN" w:eastAsia="zh-CN"/>
        </w:rPr>
        <w:t>联统一</w:t>
      </w:r>
      <w:proofErr w:type="gramEnd"/>
      <w:r>
        <w:rPr>
          <w:rFonts w:hint="eastAsia"/>
          <w:lang w:val="zh-CN" w:eastAsia="zh-CN"/>
        </w:rPr>
        <w:t>的六种语文网站并增强搜索功能</w:t>
      </w:r>
      <w:r w:rsidR="0095760E">
        <w:rPr>
          <w:rFonts w:hint="eastAsia"/>
          <w:lang w:val="zh-CN" w:eastAsia="zh-CN"/>
        </w:rPr>
        <w:t>；</w:t>
      </w:r>
    </w:p>
    <w:p w14:paraId="489869BF" w14:textId="3E60B34B" w:rsidR="000F7F61" w:rsidRDefault="000F7F61" w:rsidP="000F7F61">
      <w:pPr>
        <w:pStyle w:val="enumlev1"/>
        <w:rPr>
          <w:lang w:eastAsia="zh-CN"/>
        </w:rPr>
      </w:pPr>
      <w:r>
        <w:rPr>
          <w:rFonts w:hint="eastAsia"/>
          <w:lang w:val="zh-CN" w:eastAsia="zh-CN"/>
        </w:rPr>
        <w:t>g)</w:t>
      </w:r>
      <w:r w:rsidR="0095760E">
        <w:rPr>
          <w:lang w:val="zh-CN" w:eastAsia="zh-CN"/>
        </w:rPr>
        <w:tab/>
      </w:r>
      <w:r>
        <w:rPr>
          <w:rFonts w:hint="eastAsia"/>
          <w:lang w:val="zh-CN" w:eastAsia="zh-CN"/>
        </w:rPr>
        <w:t>参加机构间会议，对工具和程序进行基准测试。</w:t>
      </w:r>
    </w:p>
    <w:p w14:paraId="1A1D93D0" w14:textId="355DB873" w:rsidR="000F7F61" w:rsidRDefault="000F7F61" w:rsidP="000F7F61">
      <w:pPr>
        <w:pStyle w:val="Heading1"/>
        <w:rPr>
          <w:rFonts w:eastAsia="SimSun"/>
          <w:lang w:eastAsia="zh-CN"/>
        </w:rPr>
      </w:pPr>
      <w:r>
        <w:rPr>
          <w:rFonts w:eastAsia="SimSun" w:hint="eastAsia"/>
          <w:bCs/>
          <w:lang w:val="zh-CN" w:eastAsia="zh-CN"/>
        </w:rPr>
        <w:t>2</w:t>
      </w:r>
      <w:r>
        <w:rPr>
          <w:rFonts w:eastAsia="SimSun"/>
          <w:bCs/>
          <w:lang w:val="zh-CN" w:eastAsia="zh-CN"/>
        </w:rPr>
        <w:tab/>
      </w:r>
      <w:r>
        <w:rPr>
          <w:rFonts w:eastAsia="SimSun" w:hint="eastAsia"/>
          <w:bCs/>
          <w:lang w:val="zh-CN" w:eastAsia="zh-CN"/>
        </w:rPr>
        <w:t>主要讨论议题</w:t>
      </w:r>
    </w:p>
    <w:p w14:paraId="7BBC5AB7" w14:textId="3326CDF7" w:rsidR="000F7F61" w:rsidRDefault="000F7F61" w:rsidP="000F7F61">
      <w:pPr>
        <w:pStyle w:val="enumlev1"/>
        <w:rPr>
          <w:rFonts w:eastAsia="SimSun"/>
          <w:lang w:eastAsia="zh-CN"/>
        </w:rPr>
      </w:pPr>
      <w:r>
        <w:rPr>
          <w:rFonts w:hint="eastAsia"/>
          <w:lang w:val="zh-CN" w:eastAsia="zh-CN"/>
        </w:rPr>
        <w:t>a)</w:t>
      </w:r>
      <w:r w:rsidR="0095760E">
        <w:rPr>
          <w:lang w:val="zh-CN" w:eastAsia="zh-CN"/>
        </w:rPr>
        <w:tab/>
      </w:r>
      <w:r>
        <w:rPr>
          <w:rFonts w:hint="eastAsia"/>
          <w:lang w:val="zh-CN" w:eastAsia="zh-CN"/>
        </w:rPr>
        <w:t>代表们对在语文服务成本节约和报告工作透明度方面取得的成绩表示欢迎。任何</w:t>
      </w:r>
      <w:r w:rsidR="00CE053E">
        <w:rPr>
          <w:rFonts w:hint="eastAsia"/>
          <w:lang w:val="zh-CN" w:eastAsia="zh-CN"/>
        </w:rPr>
        <w:t>结余均</w:t>
      </w:r>
      <w:r>
        <w:rPr>
          <w:rFonts w:hint="eastAsia"/>
          <w:lang w:val="zh-CN" w:eastAsia="zh-CN"/>
        </w:rPr>
        <w:t>可用来加大对新技术的投资，同时确保</w:t>
      </w:r>
      <w:r w:rsidR="00CE053E">
        <w:rPr>
          <w:rFonts w:hint="eastAsia"/>
          <w:lang w:val="zh-CN" w:eastAsia="zh-CN"/>
        </w:rPr>
        <w:t>保持</w:t>
      </w:r>
      <w:r>
        <w:rPr>
          <w:rFonts w:hint="eastAsia"/>
          <w:lang w:val="zh-CN" w:eastAsia="zh-CN"/>
        </w:rPr>
        <w:t>语言服务的质量。</w:t>
      </w:r>
    </w:p>
    <w:p w14:paraId="03F11B9D" w14:textId="0E20BECC" w:rsidR="000F7F61" w:rsidRDefault="000F7F61" w:rsidP="000F7F61">
      <w:pPr>
        <w:pStyle w:val="enumlev1"/>
        <w:rPr>
          <w:lang w:eastAsia="zh-CN"/>
        </w:rPr>
      </w:pPr>
      <w:r>
        <w:rPr>
          <w:rFonts w:hint="eastAsia"/>
          <w:lang w:val="zh-CN" w:eastAsia="zh-CN"/>
        </w:rPr>
        <w:t>b)</w:t>
      </w:r>
      <w:r w:rsidR="0095760E">
        <w:rPr>
          <w:lang w:val="zh-CN" w:eastAsia="zh-CN"/>
        </w:rPr>
        <w:tab/>
      </w:r>
      <w:r>
        <w:rPr>
          <w:rFonts w:hint="eastAsia"/>
          <w:lang w:val="zh-CN" w:eastAsia="zh-CN"/>
        </w:rPr>
        <w:t>通过</w:t>
      </w:r>
      <w:r>
        <w:rPr>
          <w:rFonts w:hint="eastAsia"/>
          <w:lang w:val="zh-CN" w:eastAsia="zh-CN"/>
        </w:rPr>
        <w:t>ITU Translate</w:t>
      </w:r>
      <w:r>
        <w:rPr>
          <w:rFonts w:hint="eastAsia"/>
          <w:lang w:val="zh-CN" w:eastAsia="zh-CN"/>
        </w:rPr>
        <w:t>进一步发展和更多地使用机器翻译受到了欢迎。</w:t>
      </w:r>
      <w:r w:rsidR="00CE053E">
        <w:rPr>
          <w:rFonts w:hint="eastAsia"/>
          <w:lang w:val="zh-CN" w:eastAsia="zh-CN"/>
        </w:rPr>
        <w:t>ITU Translate</w:t>
      </w:r>
      <w:r w:rsidR="00CE053E">
        <w:rPr>
          <w:rFonts w:hint="eastAsia"/>
          <w:lang w:val="zh-CN" w:eastAsia="zh-CN"/>
        </w:rPr>
        <w:t>网页</w:t>
      </w:r>
      <w:r>
        <w:rPr>
          <w:rFonts w:hint="eastAsia"/>
          <w:lang w:val="zh-CN" w:eastAsia="zh-CN"/>
        </w:rPr>
        <w:t>翻译的质量应通过监测、后期编辑和反馈机制继续提高，使代表们能够直接提出意见</w:t>
      </w:r>
      <w:r w:rsidR="00CE053E">
        <w:rPr>
          <w:rFonts w:hint="eastAsia"/>
          <w:lang w:val="zh-CN" w:eastAsia="zh-CN"/>
        </w:rPr>
        <w:t>。</w:t>
      </w:r>
    </w:p>
    <w:p w14:paraId="53BD16B3" w14:textId="5F50A57D" w:rsidR="000F7F61" w:rsidRDefault="000F7F61" w:rsidP="000F7F61">
      <w:pPr>
        <w:pStyle w:val="enumlev1"/>
        <w:rPr>
          <w:lang w:eastAsia="zh-CN"/>
        </w:rPr>
      </w:pPr>
      <w:r>
        <w:rPr>
          <w:rFonts w:hint="eastAsia"/>
          <w:lang w:val="zh-CN" w:eastAsia="zh-CN"/>
        </w:rPr>
        <w:t>c)</w:t>
      </w:r>
      <w:r w:rsidR="0095760E">
        <w:rPr>
          <w:lang w:val="zh-CN" w:eastAsia="zh-CN"/>
        </w:rPr>
        <w:tab/>
      </w:r>
      <w:r>
        <w:rPr>
          <w:rFonts w:hint="eastAsia"/>
          <w:lang w:val="zh-CN" w:eastAsia="zh-CN"/>
        </w:rPr>
        <w:t>会议期间对人工智能口译的测试获得了积极的反响。建议开展进一步测试，包括在部门研究组进行测试，以确保</w:t>
      </w:r>
      <w:r w:rsidR="00CE053E">
        <w:rPr>
          <w:rFonts w:hint="eastAsia"/>
          <w:lang w:val="zh-CN" w:eastAsia="zh-CN"/>
        </w:rPr>
        <w:t>与会</w:t>
      </w:r>
      <w:r>
        <w:rPr>
          <w:rFonts w:hint="eastAsia"/>
          <w:lang w:val="zh-CN" w:eastAsia="zh-CN"/>
        </w:rPr>
        <w:t>者了解其使用情况并能够对技术和语言质量进行评估</w:t>
      </w:r>
      <w:r w:rsidR="00CE053E">
        <w:rPr>
          <w:rFonts w:hint="eastAsia"/>
          <w:lang w:val="zh-CN" w:eastAsia="zh-CN"/>
        </w:rPr>
        <w:t>。</w:t>
      </w:r>
    </w:p>
    <w:p w14:paraId="181CA181" w14:textId="33E99157" w:rsidR="000F7F61" w:rsidRDefault="000F7F61" w:rsidP="000F7F61">
      <w:pPr>
        <w:pStyle w:val="enumlev1"/>
        <w:rPr>
          <w:lang w:eastAsia="zh-CN"/>
        </w:rPr>
      </w:pPr>
      <w:r>
        <w:rPr>
          <w:rFonts w:hint="eastAsia"/>
          <w:lang w:val="zh-CN" w:eastAsia="zh-CN"/>
        </w:rPr>
        <w:t>d)</w:t>
      </w:r>
      <w:r w:rsidR="0095760E">
        <w:rPr>
          <w:lang w:val="zh-CN" w:eastAsia="zh-CN"/>
        </w:rPr>
        <w:tab/>
      </w:r>
      <w:r>
        <w:rPr>
          <w:rFonts w:hint="eastAsia"/>
          <w:lang w:val="zh-CN" w:eastAsia="zh-CN"/>
        </w:rPr>
        <w:t>关于国际电联口译和笔译的措施和原则的文件应开放供讨论，以期在相关文件、网页和出版物中明确纳入机器翻译的使用</w:t>
      </w:r>
      <w:r w:rsidR="00CE053E">
        <w:rPr>
          <w:rFonts w:hint="eastAsia"/>
          <w:lang w:val="zh-CN" w:eastAsia="zh-CN"/>
        </w:rPr>
        <w:t>。</w:t>
      </w:r>
    </w:p>
    <w:p w14:paraId="1D6C887D" w14:textId="3E339349" w:rsidR="000F7F61" w:rsidRDefault="000F7F61" w:rsidP="000F7F61">
      <w:pPr>
        <w:pStyle w:val="enumlev1"/>
        <w:rPr>
          <w:lang w:eastAsia="zh-CN"/>
        </w:rPr>
      </w:pPr>
      <w:r>
        <w:rPr>
          <w:rFonts w:hint="eastAsia"/>
          <w:lang w:val="zh-CN" w:eastAsia="zh-CN"/>
        </w:rPr>
        <w:t>e)</w:t>
      </w:r>
      <w:r w:rsidR="0095760E">
        <w:rPr>
          <w:lang w:val="zh-CN" w:eastAsia="zh-CN"/>
        </w:rPr>
        <w:tab/>
      </w:r>
      <w:r>
        <w:rPr>
          <w:rFonts w:hint="eastAsia"/>
          <w:lang w:val="zh-CN" w:eastAsia="zh-CN"/>
        </w:rPr>
        <w:t>未来应考虑</w:t>
      </w:r>
      <w:r w:rsidR="00CE053E">
        <w:rPr>
          <w:rFonts w:hint="eastAsia"/>
          <w:lang w:val="zh-CN" w:eastAsia="zh-CN"/>
        </w:rPr>
        <w:t>采用非正式语文的</w:t>
      </w:r>
      <w:r>
        <w:rPr>
          <w:rFonts w:hint="eastAsia"/>
          <w:lang w:val="zh-CN" w:eastAsia="zh-CN"/>
        </w:rPr>
        <w:t>机器翻译和人工智能驱动的口译</w:t>
      </w:r>
      <w:r w:rsidR="00CE053E">
        <w:rPr>
          <w:rFonts w:hint="eastAsia"/>
          <w:lang w:val="zh-CN" w:eastAsia="zh-CN"/>
        </w:rPr>
        <w:t>。</w:t>
      </w:r>
    </w:p>
    <w:p w14:paraId="67BCE6D8" w14:textId="3C733FCF" w:rsidR="000F7F61" w:rsidRDefault="000F7F61" w:rsidP="000F7F61">
      <w:pPr>
        <w:pStyle w:val="enumlev1"/>
        <w:rPr>
          <w:lang w:eastAsia="zh-CN"/>
        </w:rPr>
      </w:pPr>
      <w:r>
        <w:rPr>
          <w:rFonts w:hint="eastAsia"/>
          <w:lang w:val="zh-CN" w:eastAsia="zh-CN"/>
        </w:rPr>
        <w:t>f)</w:t>
      </w:r>
      <w:r w:rsidR="0095760E">
        <w:rPr>
          <w:lang w:val="zh-CN" w:eastAsia="zh-CN"/>
        </w:rPr>
        <w:tab/>
      </w:r>
      <w:r>
        <w:rPr>
          <w:rFonts w:hint="eastAsia"/>
          <w:lang w:val="zh-CN" w:eastAsia="zh-CN"/>
        </w:rPr>
        <w:t>以下是为回应俄罗斯联邦文稿（</w:t>
      </w:r>
      <w:hyperlink r:id="rId19" w:history="1">
        <w:r w:rsidR="00CE053E" w:rsidRPr="00B30652">
          <w:rPr>
            <w:rStyle w:val="Hyperlink"/>
          </w:rPr>
          <w:t>CWG-LANG-16/4</w:t>
        </w:r>
      </w:hyperlink>
      <w:r>
        <w:rPr>
          <w:rFonts w:hint="eastAsia"/>
          <w:lang w:val="zh-CN" w:eastAsia="zh-CN"/>
        </w:rPr>
        <w:t>号文件）中提出的提供更详细信息的要求而向</w:t>
      </w:r>
      <w:r>
        <w:rPr>
          <w:rFonts w:hint="eastAsia"/>
          <w:lang w:val="zh-CN" w:eastAsia="zh-CN"/>
        </w:rPr>
        <w:t>CWG-LANG</w:t>
      </w:r>
      <w:r>
        <w:rPr>
          <w:rFonts w:hint="eastAsia"/>
          <w:lang w:val="zh-CN" w:eastAsia="zh-CN"/>
        </w:rPr>
        <w:t>提供的</w:t>
      </w:r>
      <w:r w:rsidR="00CE053E">
        <w:rPr>
          <w:rFonts w:hint="eastAsia"/>
          <w:lang w:val="zh-CN" w:eastAsia="zh-CN"/>
        </w:rPr>
        <w:t>、</w:t>
      </w:r>
      <w:r>
        <w:rPr>
          <w:rFonts w:hint="eastAsia"/>
          <w:lang w:val="zh-CN" w:eastAsia="zh-CN"/>
        </w:rPr>
        <w:t>关于改进国际电</w:t>
      </w:r>
      <w:proofErr w:type="gramStart"/>
      <w:r>
        <w:rPr>
          <w:rFonts w:hint="eastAsia"/>
          <w:lang w:val="zh-CN" w:eastAsia="zh-CN"/>
        </w:rPr>
        <w:t>联网站</w:t>
      </w:r>
      <w:proofErr w:type="gramEnd"/>
      <w:r>
        <w:rPr>
          <w:rFonts w:hint="eastAsia"/>
          <w:lang w:val="zh-CN" w:eastAsia="zh-CN"/>
        </w:rPr>
        <w:t>工作的口头报告：</w:t>
      </w:r>
    </w:p>
    <w:p w14:paraId="54F0D897" w14:textId="2E3D355E" w:rsidR="000F7F61" w:rsidRDefault="000F7F61" w:rsidP="000F7F61">
      <w:pPr>
        <w:pStyle w:val="enumlev2"/>
        <w:rPr>
          <w:rFonts w:asciiTheme="minorHAnsi" w:hAnsiTheme="minorHAnsi" w:cstheme="minorHAnsi"/>
          <w:bCs/>
          <w:kern w:val="2"/>
          <w:szCs w:val="24"/>
          <w:lang w:eastAsia="zh-CN"/>
          <w14:ligatures w14:val="standardContextual"/>
        </w:rPr>
      </w:pPr>
      <w:r>
        <w:rPr>
          <w:rFonts w:hint="eastAsia"/>
          <w:lang w:val="zh-CN" w:eastAsia="zh-CN"/>
        </w:rPr>
        <w:tab/>
      </w:r>
      <w:r>
        <w:rPr>
          <w:rFonts w:hint="eastAsia"/>
          <w:lang w:val="zh-CN" w:eastAsia="zh-CN"/>
        </w:rPr>
        <w:tab/>
      </w:r>
      <w:r>
        <w:rPr>
          <w:rFonts w:hint="eastAsia"/>
          <w:lang w:val="zh-CN" w:eastAsia="zh-CN"/>
        </w:rPr>
        <w:t>国际电联对网站进行了改进，包括继续完善在国际电联面向公众的网站上</w:t>
      </w:r>
      <w:proofErr w:type="gramStart"/>
      <w:r>
        <w:rPr>
          <w:rFonts w:hint="eastAsia"/>
          <w:lang w:val="zh-CN" w:eastAsia="zh-CN"/>
        </w:rPr>
        <w:t>使用谷歌搜索</w:t>
      </w:r>
      <w:proofErr w:type="gramEnd"/>
      <w:r>
        <w:rPr>
          <w:rFonts w:hint="eastAsia"/>
          <w:lang w:val="zh-CN" w:eastAsia="zh-CN"/>
        </w:rPr>
        <w:t>，以改善搜索体验，改进网站反馈功能</w:t>
      </w:r>
      <w:r w:rsidR="00CE053E">
        <w:rPr>
          <w:rFonts w:hint="eastAsia"/>
          <w:lang w:val="zh-CN" w:eastAsia="zh-CN"/>
        </w:rPr>
        <w:t>并</w:t>
      </w:r>
      <w:r>
        <w:rPr>
          <w:rFonts w:hint="eastAsia"/>
          <w:lang w:val="zh-CN" w:eastAsia="zh-CN"/>
        </w:rPr>
        <w:t>分析用户体验和行为。所有建立在</w:t>
      </w:r>
      <w:r>
        <w:rPr>
          <w:rFonts w:hint="eastAsia"/>
          <w:lang w:val="zh-CN" w:eastAsia="zh-CN"/>
        </w:rPr>
        <w:t>WordPress</w:t>
      </w:r>
      <w:r>
        <w:rPr>
          <w:rFonts w:hint="eastAsia"/>
          <w:lang w:val="zh-CN" w:eastAsia="zh-CN"/>
        </w:rPr>
        <w:t>平台上的新网站都包括国际电联六种正式语文的自动翻译。秘书处已为新网站项目预算划拨了</w:t>
      </w:r>
      <w:r>
        <w:rPr>
          <w:rFonts w:hint="eastAsia"/>
          <w:lang w:val="zh-CN" w:eastAsia="zh-CN"/>
        </w:rPr>
        <w:t>35</w:t>
      </w:r>
      <w:proofErr w:type="gramStart"/>
      <w:r>
        <w:rPr>
          <w:rFonts w:hint="eastAsia"/>
          <w:lang w:val="zh-CN" w:eastAsia="zh-CN"/>
        </w:rPr>
        <w:t>万瑞</w:t>
      </w:r>
      <w:proofErr w:type="gramEnd"/>
      <w:r>
        <w:rPr>
          <w:rFonts w:hint="eastAsia"/>
          <w:lang w:val="zh-CN" w:eastAsia="zh-CN"/>
        </w:rPr>
        <w:t>郎，并正在努力确定项目预算中概述的剩余</w:t>
      </w:r>
      <w:r>
        <w:rPr>
          <w:rFonts w:hint="eastAsia"/>
          <w:lang w:val="zh-CN" w:eastAsia="zh-CN"/>
        </w:rPr>
        <w:t>25</w:t>
      </w:r>
      <w:proofErr w:type="gramStart"/>
      <w:r>
        <w:rPr>
          <w:rFonts w:hint="eastAsia"/>
          <w:lang w:val="zh-CN" w:eastAsia="zh-CN"/>
        </w:rPr>
        <w:t>万瑞</w:t>
      </w:r>
      <w:proofErr w:type="gramEnd"/>
      <w:r>
        <w:rPr>
          <w:rFonts w:hint="eastAsia"/>
          <w:lang w:val="zh-CN" w:eastAsia="zh-CN"/>
        </w:rPr>
        <w:t>郎。已准备了信息架构和分类以及</w:t>
      </w:r>
      <w:r>
        <w:rPr>
          <w:rFonts w:hint="eastAsia"/>
          <w:lang w:val="zh-CN" w:eastAsia="zh-CN"/>
        </w:rPr>
        <w:t>WordPress</w:t>
      </w:r>
      <w:r>
        <w:rPr>
          <w:rFonts w:hint="eastAsia"/>
          <w:lang w:val="zh-CN" w:eastAsia="zh-CN"/>
        </w:rPr>
        <w:t>专家</w:t>
      </w:r>
      <w:r w:rsidR="00CE053E">
        <w:rPr>
          <w:rFonts w:hint="eastAsia"/>
          <w:lang w:val="zh-CN" w:eastAsia="zh-CN"/>
        </w:rPr>
        <w:t>开发</w:t>
      </w:r>
      <w:r>
        <w:rPr>
          <w:rFonts w:hint="eastAsia"/>
          <w:lang w:val="zh-CN" w:eastAsia="zh-CN"/>
        </w:rPr>
        <w:t>的</w:t>
      </w:r>
      <w:r w:rsidR="00CE053E">
        <w:rPr>
          <w:rFonts w:hint="eastAsia"/>
          <w:lang w:val="zh-CN" w:eastAsia="zh-CN"/>
        </w:rPr>
        <w:t>招标</w:t>
      </w:r>
      <w:r>
        <w:rPr>
          <w:rFonts w:hint="eastAsia"/>
          <w:lang w:val="zh-CN" w:eastAsia="zh-CN"/>
        </w:rPr>
        <w:t>书。分析现有网站和创建网络治理框架的工作已经开始。项目进展情况将定期提供给</w:t>
      </w:r>
      <w:r>
        <w:rPr>
          <w:rFonts w:hint="eastAsia"/>
          <w:lang w:val="zh-CN" w:eastAsia="zh-CN"/>
        </w:rPr>
        <w:t>CWG-LANG</w:t>
      </w:r>
      <w:r>
        <w:rPr>
          <w:rFonts w:hint="eastAsia"/>
          <w:lang w:val="zh-CN" w:eastAsia="zh-CN"/>
        </w:rPr>
        <w:t>、</w:t>
      </w:r>
      <w:r>
        <w:rPr>
          <w:rFonts w:hint="eastAsia"/>
          <w:lang w:val="zh-CN" w:eastAsia="zh-CN"/>
        </w:rPr>
        <w:t>CWG-FHR</w:t>
      </w:r>
      <w:r>
        <w:rPr>
          <w:rFonts w:hint="eastAsia"/>
          <w:lang w:val="zh-CN" w:eastAsia="zh-CN"/>
        </w:rPr>
        <w:t>和理事会。</w:t>
      </w:r>
    </w:p>
    <w:p w14:paraId="36B1F6D1" w14:textId="6779F0D6" w:rsidR="000F7F61" w:rsidRDefault="000F7F61" w:rsidP="000F7F61">
      <w:pPr>
        <w:pStyle w:val="Heading1"/>
        <w:rPr>
          <w:rFonts w:eastAsia="SimSun"/>
          <w:szCs w:val="10"/>
          <w:lang w:eastAsia="zh-CN"/>
        </w:rPr>
      </w:pPr>
      <w:r>
        <w:rPr>
          <w:rFonts w:eastAsia="SimSun" w:hint="eastAsia"/>
          <w:bCs/>
          <w:lang w:val="zh-CN" w:eastAsia="zh-CN"/>
        </w:rPr>
        <w:lastRenderedPageBreak/>
        <w:t>3</w:t>
      </w:r>
      <w:r>
        <w:rPr>
          <w:rFonts w:eastAsia="SimSun"/>
          <w:bCs/>
          <w:lang w:val="zh-CN" w:eastAsia="zh-CN"/>
        </w:rPr>
        <w:tab/>
      </w:r>
      <w:r>
        <w:rPr>
          <w:rFonts w:eastAsia="SimSun" w:hint="eastAsia"/>
          <w:bCs/>
          <w:lang w:val="zh-CN" w:eastAsia="zh-CN"/>
        </w:rPr>
        <w:t>CWG-LANG</w:t>
      </w:r>
      <w:r>
        <w:rPr>
          <w:rFonts w:eastAsia="SimSun" w:hint="eastAsia"/>
          <w:bCs/>
          <w:lang w:val="zh-CN" w:eastAsia="zh-CN"/>
        </w:rPr>
        <w:t>的成果</w:t>
      </w:r>
    </w:p>
    <w:p w14:paraId="64568139" w14:textId="5FAFE3C7" w:rsidR="000F7F61" w:rsidRDefault="000F7F61" w:rsidP="009E03E6">
      <w:pPr>
        <w:ind w:firstLineChars="200" w:firstLine="480"/>
        <w:rPr>
          <w:rFonts w:asciiTheme="minorHAnsi" w:eastAsia="SimSun" w:hAnsiTheme="minorHAnsi" w:cstheme="minorHAnsi"/>
          <w:b/>
          <w:kern w:val="2"/>
          <w:szCs w:val="24"/>
          <w:lang w:eastAsia="zh-CN"/>
          <w14:ligatures w14:val="standardContextual"/>
        </w:rPr>
      </w:pPr>
      <w:hyperlink r:id="rId20" w:history="1">
        <w:r w:rsidRPr="00B30652">
          <w:rPr>
            <w:rStyle w:val="Hyperlink"/>
            <w:rFonts w:hint="eastAsia"/>
          </w:rPr>
          <w:t>CWG-LANG</w:t>
        </w:r>
        <w:r w:rsidRPr="00B30652">
          <w:rPr>
            <w:rStyle w:val="Hyperlink"/>
            <w:rFonts w:hint="eastAsia"/>
          </w:rPr>
          <w:t>第十六次会议</w:t>
        </w:r>
      </w:hyperlink>
      <w:r>
        <w:rPr>
          <w:rFonts w:hint="eastAsia"/>
          <w:lang w:val="zh-CN" w:eastAsia="zh-CN"/>
        </w:rPr>
        <w:t>的主要成果</w:t>
      </w:r>
      <w:r w:rsidR="002E3310">
        <w:rPr>
          <w:rFonts w:hint="eastAsia"/>
          <w:lang w:val="zh-CN" w:eastAsia="zh-CN"/>
        </w:rPr>
        <w:t>是</w:t>
      </w:r>
      <w:r>
        <w:rPr>
          <w:rFonts w:hint="eastAsia"/>
          <w:lang w:val="zh-CN" w:eastAsia="zh-CN"/>
        </w:rPr>
        <w:t>：</w:t>
      </w:r>
    </w:p>
    <w:p w14:paraId="65A8449E" w14:textId="102D036C" w:rsidR="000F7F61" w:rsidRDefault="000F7F61" w:rsidP="000F7F61">
      <w:pPr>
        <w:pStyle w:val="enumlev1"/>
        <w:rPr>
          <w:rFonts w:eastAsia="Calibri" w:cs="Arial"/>
          <w:kern w:val="2"/>
          <w:szCs w:val="10"/>
          <w:lang w:eastAsia="zh-CN"/>
          <w14:ligatures w14:val="standardContextual"/>
        </w:rPr>
      </w:pPr>
      <w:r>
        <w:rPr>
          <w:rFonts w:hint="eastAsia"/>
          <w:lang w:val="zh-CN" w:eastAsia="zh-CN"/>
        </w:rPr>
        <w:t>–</w:t>
      </w:r>
      <w:r w:rsidR="00CE053E">
        <w:rPr>
          <w:lang w:val="zh-CN" w:eastAsia="zh-CN"/>
        </w:rPr>
        <w:tab/>
      </w:r>
      <w:r>
        <w:rPr>
          <w:rFonts w:hint="eastAsia"/>
          <w:lang w:val="zh-CN" w:eastAsia="zh-CN"/>
        </w:rPr>
        <w:t>请秘书处在今后提交给</w:t>
      </w:r>
      <w:r>
        <w:rPr>
          <w:rFonts w:hint="eastAsia"/>
          <w:lang w:val="zh-CN" w:eastAsia="zh-CN"/>
        </w:rPr>
        <w:t>CWG-LANG</w:t>
      </w:r>
      <w:r>
        <w:rPr>
          <w:rFonts w:hint="eastAsia"/>
          <w:lang w:val="zh-CN" w:eastAsia="zh-CN"/>
        </w:rPr>
        <w:t>的报告中，提供</w:t>
      </w:r>
      <w:r>
        <w:rPr>
          <w:rFonts w:hint="eastAsia"/>
          <w:lang w:val="zh-CN" w:eastAsia="zh-CN"/>
        </w:rPr>
        <w:t>8</w:t>
      </w:r>
      <w:r w:rsidR="009E03E6">
        <w:rPr>
          <w:rFonts w:hint="eastAsia"/>
          <w:lang w:val="zh-CN" w:eastAsia="zh-CN"/>
        </w:rPr>
        <w:t xml:space="preserve"> </w:t>
      </w:r>
      <w:r>
        <w:rPr>
          <w:rFonts w:hint="eastAsia"/>
          <w:lang w:val="zh-CN" w:eastAsia="zh-CN"/>
        </w:rPr>
        <w:t>500</w:t>
      </w:r>
      <w:proofErr w:type="gramStart"/>
      <w:r>
        <w:rPr>
          <w:rFonts w:hint="eastAsia"/>
          <w:lang w:val="zh-CN" w:eastAsia="zh-CN"/>
        </w:rPr>
        <w:t>万瑞</w:t>
      </w:r>
      <w:proofErr w:type="gramEnd"/>
      <w:r>
        <w:rPr>
          <w:rFonts w:hint="eastAsia"/>
          <w:lang w:val="zh-CN" w:eastAsia="zh-CN"/>
        </w:rPr>
        <w:t>郎语文服务预算上限的详细年度支出，并</w:t>
      </w:r>
      <w:r w:rsidR="00CE053E">
        <w:rPr>
          <w:rFonts w:hint="eastAsia"/>
          <w:lang w:val="zh-CN" w:eastAsia="zh-CN"/>
        </w:rPr>
        <w:t>添加一个</w:t>
      </w:r>
      <w:r>
        <w:rPr>
          <w:rFonts w:hint="eastAsia"/>
          <w:lang w:val="zh-CN" w:eastAsia="zh-CN"/>
        </w:rPr>
        <w:t>脚注</w:t>
      </w:r>
      <w:r w:rsidR="00CE053E">
        <w:rPr>
          <w:rFonts w:hint="eastAsia"/>
          <w:lang w:val="zh-CN" w:eastAsia="zh-CN"/>
        </w:rPr>
        <w:t>，</w:t>
      </w:r>
      <w:r>
        <w:rPr>
          <w:rFonts w:hint="eastAsia"/>
          <w:lang w:val="zh-CN" w:eastAsia="zh-CN"/>
        </w:rPr>
        <w:t>将</w:t>
      </w:r>
      <w:r>
        <w:rPr>
          <w:rFonts w:hint="eastAsia"/>
          <w:lang w:val="zh-CN" w:eastAsia="zh-CN"/>
        </w:rPr>
        <w:t>2022</w:t>
      </w:r>
      <w:r>
        <w:rPr>
          <w:rFonts w:hint="eastAsia"/>
          <w:lang w:val="zh-CN" w:eastAsia="zh-CN"/>
        </w:rPr>
        <w:t>年确定为举行大会的特殊年份</w:t>
      </w:r>
      <w:r w:rsidR="00CE053E">
        <w:rPr>
          <w:rFonts w:hint="eastAsia"/>
          <w:lang w:val="zh-CN" w:eastAsia="zh-CN"/>
        </w:rPr>
        <w:t>；</w:t>
      </w:r>
    </w:p>
    <w:p w14:paraId="035D443C" w14:textId="23A0C408" w:rsidR="000F7F61" w:rsidRDefault="000F7F61" w:rsidP="000F7F61">
      <w:pPr>
        <w:pStyle w:val="enumlev1"/>
        <w:rPr>
          <w:rFonts w:eastAsia="Calibri" w:cs="Arial"/>
          <w:kern w:val="2"/>
          <w:lang w:eastAsia="zh-CN"/>
          <w14:ligatures w14:val="standardContextual"/>
        </w:rPr>
      </w:pPr>
      <w:r>
        <w:rPr>
          <w:rFonts w:hint="eastAsia"/>
          <w:lang w:val="zh-CN" w:eastAsia="zh-CN"/>
        </w:rPr>
        <w:t>–</w:t>
      </w:r>
      <w:r w:rsidR="00CE053E">
        <w:rPr>
          <w:lang w:val="zh-CN" w:eastAsia="zh-CN"/>
        </w:rPr>
        <w:tab/>
      </w:r>
      <w:r>
        <w:rPr>
          <w:rFonts w:hint="eastAsia"/>
          <w:lang w:val="zh-CN" w:eastAsia="zh-CN"/>
        </w:rPr>
        <w:t>按照第</w:t>
      </w:r>
      <w:r>
        <w:rPr>
          <w:rFonts w:hint="eastAsia"/>
          <w:lang w:val="zh-CN" w:eastAsia="zh-CN"/>
        </w:rPr>
        <w:t>154</w:t>
      </w:r>
      <w:r>
        <w:rPr>
          <w:rFonts w:hint="eastAsia"/>
          <w:lang w:val="zh-CN" w:eastAsia="zh-CN"/>
        </w:rPr>
        <w:t>号决议的规定，将网站开发和搜索引擎改进的最新情况纳入未来提交</w:t>
      </w:r>
      <w:r>
        <w:rPr>
          <w:rFonts w:hint="eastAsia"/>
          <w:lang w:val="zh-CN" w:eastAsia="zh-CN"/>
        </w:rPr>
        <w:t>CWG-LANG</w:t>
      </w:r>
      <w:r>
        <w:rPr>
          <w:rFonts w:hint="eastAsia"/>
          <w:lang w:val="zh-CN" w:eastAsia="zh-CN"/>
        </w:rPr>
        <w:t>的所有报告中</w:t>
      </w:r>
      <w:r w:rsidR="00CE053E">
        <w:rPr>
          <w:rFonts w:hint="eastAsia"/>
          <w:lang w:val="zh-CN" w:eastAsia="zh-CN"/>
        </w:rPr>
        <w:t>；</w:t>
      </w:r>
    </w:p>
    <w:p w14:paraId="68493991" w14:textId="2CD76861" w:rsidR="00CE053E" w:rsidRPr="002E3310" w:rsidRDefault="000F7F61" w:rsidP="00CE053E">
      <w:pPr>
        <w:pStyle w:val="enumlev1"/>
        <w:rPr>
          <w:lang w:eastAsia="zh-CN"/>
        </w:rPr>
      </w:pPr>
      <w:r w:rsidRPr="002E3310">
        <w:rPr>
          <w:rFonts w:hint="eastAsia"/>
          <w:lang w:eastAsia="zh-CN"/>
        </w:rPr>
        <w:t>–</w:t>
      </w:r>
      <w:r w:rsidR="00CE053E" w:rsidRPr="002E3310">
        <w:rPr>
          <w:lang w:eastAsia="zh-CN"/>
        </w:rPr>
        <w:tab/>
      </w:r>
      <w:r>
        <w:rPr>
          <w:rFonts w:hint="eastAsia"/>
          <w:lang w:val="zh-CN" w:eastAsia="zh-CN"/>
        </w:rPr>
        <w:t>将多语文指南实施的最新情况</w:t>
      </w:r>
      <w:r w:rsidRPr="002E3310">
        <w:rPr>
          <w:rFonts w:hint="eastAsia"/>
          <w:lang w:eastAsia="zh-CN"/>
        </w:rPr>
        <w:t>，</w:t>
      </w:r>
      <w:r>
        <w:rPr>
          <w:rFonts w:hint="eastAsia"/>
          <w:lang w:val="zh-CN" w:eastAsia="zh-CN"/>
        </w:rPr>
        <w:t>包括有关使用</w:t>
      </w:r>
      <w:r w:rsidRPr="002E3310">
        <w:rPr>
          <w:rFonts w:hint="eastAsia"/>
          <w:lang w:eastAsia="zh-CN"/>
        </w:rPr>
        <w:t>ITU Translate</w:t>
      </w:r>
      <w:r>
        <w:rPr>
          <w:rFonts w:hint="eastAsia"/>
          <w:lang w:val="zh-CN" w:eastAsia="zh-CN"/>
        </w:rPr>
        <w:t>机器翻译工具的数据</w:t>
      </w:r>
      <w:r w:rsidR="00CE053E">
        <w:rPr>
          <w:rFonts w:hint="eastAsia"/>
          <w:lang w:val="zh-CN" w:eastAsia="zh-CN"/>
        </w:rPr>
        <w:t>记录</w:t>
      </w:r>
      <w:r w:rsidR="002E3310" w:rsidRPr="002E3310">
        <w:rPr>
          <w:rFonts w:hint="eastAsia"/>
          <w:lang w:eastAsia="zh-CN"/>
        </w:rPr>
        <w:t>（</w:t>
      </w:r>
      <w:hyperlink r:id="rId21" w:history="1">
        <w:r w:rsidR="002E3310" w:rsidRPr="00B30652">
          <w:rPr>
            <w:rStyle w:val="Hyperlink"/>
          </w:rPr>
          <w:t>CWG-LANG/16-3</w:t>
        </w:r>
      </w:hyperlink>
      <w:r w:rsidR="002E3310">
        <w:rPr>
          <w:rFonts w:hint="eastAsia"/>
          <w:lang w:val="zh-CN" w:eastAsia="zh-CN"/>
        </w:rPr>
        <w:t>号文件</w:t>
      </w:r>
      <w:r w:rsidR="002E3310" w:rsidRPr="002E3310">
        <w:rPr>
          <w:rFonts w:hint="eastAsia"/>
          <w:lang w:eastAsia="zh-CN"/>
        </w:rPr>
        <w:t>）</w:t>
      </w:r>
      <w:r w:rsidR="00CE053E">
        <w:rPr>
          <w:rFonts w:hint="eastAsia"/>
          <w:lang w:val="zh-CN" w:eastAsia="zh-CN"/>
        </w:rPr>
        <w:t>在案</w:t>
      </w:r>
      <w:r w:rsidR="00CE053E" w:rsidRPr="002E3310">
        <w:rPr>
          <w:rFonts w:hint="eastAsia"/>
          <w:lang w:eastAsia="zh-CN"/>
        </w:rPr>
        <w:t>；</w:t>
      </w:r>
      <w:r w:rsidR="003D4211">
        <w:rPr>
          <w:rFonts w:hint="eastAsia"/>
          <w:lang w:eastAsia="zh-CN"/>
        </w:rPr>
        <w:t>并</w:t>
      </w:r>
    </w:p>
    <w:p w14:paraId="4093365A" w14:textId="5AEA6672" w:rsidR="00504F8C" w:rsidRDefault="000F7F61" w:rsidP="00CE053E">
      <w:pPr>
        <w:pStyle w:val="enumlev1"/>
        <w:rPr>
          <w:lang w:val="zh-CN" w:eastAsia="zh-CN"/>
        </w:rPr>
      </w:pPr>
      <w:r>
        <w:rPr>
          <w:lang w:val="zh-CN" w:eastAsia="zh-CN"/>
        </w:rPr>
        <w:t>–</w:t>
      </w:r>
      <w:r w:rsidR="00CE053E">
        <w:rPr>
          <w:lang w:val="zh-CN" w:eastAsia="zh-CN"/>
        </w:rPr>
        <w:tab/>
      </w:r>
      <w:r w:rsidR="002E3310">
        <w:rPr>
          <w:rFonts w:hint="eastAsia"/>
          <w:lang w:val="zh-CN" w:eastAsia="zh-CN"/>
        </w:rPr>
        <w:t>向</w:t>
      </w:r>
      <w:r>
        <w:rPr>
          <w:rFonts w:hint="eastAsia"/>
          <w:lang w:val="zh-CN" w:eastAsia="zh-CN"/>
        </w:rPr>
        <w:t>理事会</w:t>
      </w:r>
      <w:r w:rsidR="002E3310">
        <w:rPr>
          <w:rFonts w:hint="eastAsia"/>
          <w:lang w:val="zh-CN" w:eastAsia="zh-CN"/>
        </w:rPr>
        <w:t>提交</w:t>
      </w:r>
      <w:r>
        <w:rPr>
          <w:rFonts w:hint="eastAsia"/>
          <w:lang w:val="zh-CN" w:eastAsia="zh-CN"/>
        </w:rPr>
        <w:t>有关在国际电</w:t>
      </w:r>
      <w:proofErr w:type="gramStart"/>
      <w:r>
        <w:rPr>
          <w:rFonts w:hint="eastAsia"/>
          <w:lang w:val="zh-CN" w:eastAsia="zh-CN"/>
        </w:rPr>
        <w:t>联使用</w:t>
      </w:r>
      <w:proofErr w:type="gramEnd"/>
      <w:r>
        <w:rPr>
          <w:rFonts w:hint="eastAsia"/>
          <w:lang w:val="zh-CN" w:eastAsia="zh-CN"/>
        </w:rPr>
        <w:t>人工智能口译</w:t>
      </w:r>
      <w:r w:rsidR="00504F8C">
        <w:rPr>
          <w:rFonts w:hint="eastAsia"/>
          <w:lang w:val="zh-CN" w:eastAsia="zh-CN"/>
        </w:rPr>
        <w:t>所面临</w:t>
      </w:r>
      <w:r>
        <w:rPr>
          <w:rFonts w:hint="eastAsia"/>
          <w:lang w:val="zh-CN" w:eastAsia="zh-CN"/>
        </w:rPr>
        <w:t>挑战和机遇的报告</w:t>
      </w:r>
      <w:r w:rsidR="002E3310">
        <w:rPr>
          <w:rFonts w:hint="eastAsia"/>
          <w:lang w:val="zh-CN" w:eastAsia="zh-CN"/>
        </w:rPr>
        <w:t>的情况通报文件（</w:t>
      </w:r>
      <w:hyperlink r:id="rId22" w:history="1">
        <w:proofErr w:type="spellStart"/>
        <w:r w:rsidR="002E3310" w:rsidRPr="00B30652">
          <w:rPr>
            <w:rStyle w:val="Hyperlink"/>
          </w:rPr>
          <w:t>C25</w:t>
        </w:r>
        <w:proofErr w:type="spellEnd"/>
        <w:r w:rsidR="002E3310" w:rsidRPr="00B30652">
          <w:rPr>
            <w:rStyle w:val="Hyperlink"/>
          </w:rPr>
          <w:t>/INF/7</w:t>
        </w:r>
      </w:hyperlink>
      <w:r w:rsidR="002E3310">
        <w:rPr>
          <w:rFonts w:hint="eastAsia"/>
          <w:lang w:val="zh-CN" w:eastAsia="zh-CN"/>
        </w:rPr>
        <w:t>号文件）</w:t>
      </w:r>
      <w:r>
        <w:rPr>
          <w:rFonts w:hint="eastAsia"/>
          <w:lang w:val="zh-CN" w:eastAsia="zh-CN"/>
        </w:rPr>
        <w:t>。</w:t>
      </w:r>
    </w:p>
    <w:p w14:paraId="626AC7A7" w14:textId="77777777" w:rsidR="007A0258" w:rsidRDefault="007A0258" w:rsidP="00CE053E">
      <w:pPr>
        <w:pStyle w:val="enumlev1"/>
        <w:rPr>
          <w:lang w:val="zh-CN" w:eastAsia="zh-CN"/>
        </w:rPr>
      </w:pPr>
    </w:p>
    <w:p w14:paraId="35C6D0A5" w14:textId="18CE6206" w:rsidR="007A3FCD" w:rsidRPr="00C0458D" w:rsidRDefault="007A3FCD" w:rsidP="00504F8C">
      <w:pPr>
        <w:pStyle w:val="enumlev1"/>
        <w:jc w:val="center"/>
        <w:rPr>
          <w:lang w:eastAsia="zh-CN"/>
        </w:rPr>
      </w:pPr>
      <w:r>
        <w:rPr>
          <w:lang w:eastAsia="zh-CN"/>
        </w:rPr>
        <w:t>______________</w:t>
      </w:r>
    </w:p>
    <w:sectPr w:rsidR="007A3FCD" w:rsidRPr="00C0458D" w:rsidSect="00AD3606">
      <w:footerReference w:type="default" r:id="rId23"/>
      <w:headerReference w:type="first" r:id="rId24"/>
      <w:footerReference w:type="first" r:id="rId2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98297" w14:textId="77777777" w:rsidR="006F34A8" w:rsidRDefault="006F34A8">
      <w:r>
        <w:separator/>
      </w:r>
    </w:p>
  </w:endnote>
  <w:endnote w:type="continuationSeparator" w:id="0">
    <w:p w14:paraId="4C5243B4" w14:textId="77777777" w:rsidR="006F34A8" w:rsidRDefault="006F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42469C">
      <w:trPr>
        <w:jc w:val="center"/>
      </w:trPr>
      <w:tc>
        <w:tcPr>
          <w:tcW w:w="1803" w:type="dxa"/>
          <w:vAlign w:val="center"/>
        </w:tcPr>
        <w:p w14:paraId="5B3DDD9A" w14:textId="69BAF04E" w:rsidR="00EE49E8" w:rsidRPr="00B84F16" w:rsidRDefault="00B84F16" w:rsidP="00EE49E8">
          <w:pPr>
            <w:pStyle w:val="Header"/>
            <w:jc w:val="left"/>
            <w:rPr>
              <w:rFonts w:eastAsiaTheme="minorEastAsia"/>
              <w:noProof/>
              <w:lang w:eastAsia="zh-CN"/>
            </w:rPr>
          </w:pPr>
          <w:r>
            <w:rPr>
              <w:rFonts w:eastAsiaTheme="minorEastAsia" w:hint="eastAsia"/>
              <w:noProof/>
              <w:lang w:eastAsia="zh-CN"/>
            </w:rPr>
            <w:t>2501186</w:t>
          </w:r>
        </w:p>
      </w:tc>
      <w:tc>
        <w:tcPr>
          <w:tcW w:w="8261" w:type="dxa"/>
        </w:tcPr>
        <w:p w14:paraId="6F6B3A01" w14:textId="0A40063D" w:rsidR="00EE49E8" w:rsidRPr="00E06FD5" w:rsidRDefault="00EE49E8" w:rsidP="00A07996">
          <w:pPr>
            <w:pStyle w:val="Header"/>
            <w:tabs>
              <w:tab w:val="left" w:pos="6737"/>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3600B8">
            <w:rPr>
              <w:bCs/>
            </w:rPr>
            <w:t>3</w:t>
          </w:r>
          <w:r w:rsidRPr="00623AE3">
            <w:rPr>
              <w:bCs/>
            </w:rPr>
            <w:t>-</w:t>
          </w:r>
          <w:r w:rsidR="00356410">
            <w:rPr>
              <w:rFonts w:hint="eastAsia"/>
              <w:bCs/>
              <w:lang w:eastAsia="zh-CN"/>
            </w:rPr>
            <w:t>C</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15AB1AC1" w:rsidR="00EE49E8" w:rsidRPr="00E06FD5" w:rsidRDefault="00EE49E8" w:rsidP="00A07996">
          <w:pPr>
            <w:pStyle w:val="Header"/>
            <w:tabs>
              <w:tab w:val="left" w:pos="6737"/>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0F7F61">
            <w:rPr>
              <w:bCs/>
            </w:rPr>
            <w:t>12</w:t>
          </w:r>
          <w:r w:rsidRPr="00623AE3">
            <w:rPr>
              <w:bCs/>
            </w:rPr>
            <w:t>-</w:t>
          </w:r>
          <w:r w:rsidR="005A47FF">
            <w:rPr>
              <w:bCs/>
            </w:rPr>
            <w:t>C</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097E7" w14:textId="77777777" w:rsidR="006F34A8" w:rsidRDefault="006F34A8">
      <w:r>
        <w:t>____________________</w:t>
      </w:r>
    </w:p>
  </w:footnote>
  <w:footnote w:type="continuationSeparator" w:id="0">
    <w:p w14:paraId="0A515F77" w14:textId="77777777" w:rsidR="006F34A8" w:rsidRDefault="006F3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5A47FF" w:rsidRPr="00784011" w14:paraId="064E4940" w14:textId="77777777" w:rsidTr="009F4F03">
      <w:trPr>
        <w:trHeight w:val="1104"/>
        <w:jc w:val="center"/>
      </w:trPr>
      <w:tc>
        <w:tcPr>
          <w:tcW w:w="4390" w:type="dxa"/>
          <w:vAlign w:val="center"/>
        </w:tcPr>
        <w:p w14:paraId="6D1271EB" w14:textId="77777777" w:rsidR="005A47FF" w:rsidRPr="009621F8" w:rsidRDefault="005A47FF" w:rsidP="005A47FF">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7799E43D" wp14:editId="65D5F7E9">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77A934AF" w14:textId="77777777" w:rsidR="005A47FF" w:rsidRDefault="005A47FF" w:rsidP="005A47FF">
          <w:pPr>
            <w:pStyle w:val="Header"/>
            <w:jc w:val="right"/>
            <w:rPr>
              <w:rFonts w:ascii="Arial" w:hAnsi="Arial" w:cs="Arial"/>
              <w:b/>
              <w:bCs/>
              <w:color w:val="009CD6"/>
              <w:szCs w:val="18"/>
            </w:rPr>
          </w:pPr>
        </w:p>
        <w:p w14:paraId="31572891" w14:textId="77777777" w:rsidR="005A47FF" w:rsidRDefault="005A47FF" w:rsidP="005A47FF">
          <w:pPr>
            <w:pStyle w:val="Header"/>
            <w:jc w:val="right"/>
            <w:rPr>
              <w:rFonts w:ascii="Arial" w:hAnsi="Arial" w:cs="Arial"/>
              <w:b/>
              <w:bCs/>
              <w:color w:val="009CD6"/>
              <w:szCs w:val="18"/>
            </w:rPr>
          </w:pPr>
        </w:p>
        <w:p w14:paraId="77BC1A6A" w14:textId="77777777" w:rsidR="005A47FF" w:rsidRPr="00784011" w:rsidRDefault="005A47FF" w:rsidP="005A47FF">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C724958" w14:textId="3A13E37B" w:rsidR="00AD3606" w:rsidRPr="005A47FF" w:rsidRDefault="005A47FF" w:rsidP="005A47FF">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C949A4E" wp14:editId="4BF09B6B">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3F93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665E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C2F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2D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468A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D0A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4C4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FE5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581A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34D0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B65F4E"/>
    <w:lvl w:ilvl="0">
      <w:start w:val="1"/>
      <w:numFmt w:val="bullet"/>
      <w:lvlText w:val=""/>
      <w:lvlJc w:val="left"/>
      <w:pPr>
        <w:tabs>
          <w:tab w:val="num" w:pos="360"/>
        </w:tabs>
        <w:ind w:left="360" w:hanging="360"/>
      </w:pPr>
      <w:rPr>
        <w:rFonts w:ascii="Symbol" w:hAnsi="Symbol" w:hint="default"/>
      </w:rPr>
    </w:lvl>
  </w:abstractNum>
  <w:num w:numId="1" w16cid:durableId="1374816267">
    <w:abstractNumId w:val="9"/>
  </w:num>
  <w:num w:numId="2" w16cid:durableId="526060877">
    <w:abstractNumId w:val="7"/>
  </w:num>
  <w:num w:numId="3" w16cid:durableId="1517227191">
    <w:abstractNumId w:val="6"/>
  </w:num>
  <w:num w:numId="4" w16cid:durableId="2083940608">
    <w:abstractNumId w:val="5"/>
  </w:num>
  <w:num w:numId="5" w16cid:durableId="1440831355">
    <w:abstractNumId w:val="4"/>
  </w:num>
  <w:num w:numId="6" w16cid:durableId="1469274345">
    <w:abstractNumId w:val="8"/>
  </w:num>
  <w:num w:numId="7" w16cid:durableId="1595625436">
    <w:abstractNumId w:val="3"/>
  </w:num>
  <w:num w:numId="8" w16cid:durableId="1047339128">
    <w:abstractNumId w:val="2"/>
  </w:num>
  <w:num w:numId="9" w16cid:durableId="637880343">
    <w:abstractNumId w:val="1"/>
  </w:num>
  <w:num w:numId="10" w16cid:durableId="1781563013">
    <w:abstractNumId w:val="0"/>
  </w:num>
  <w:num w:numId="11" w16cid:durableId="1859080470">
    <w:abstractNumId w:val="8"/>
  </w:num>
  <w:num w:numId="12" w16cid:durableId="155414043">
    <w:abstractNumId w:val="3"/>
  </w:num>
  <w:num w:numId="13" w16cid:durableId="2041319012">
    <w:abstractNumId w:val="2"/>
  </w:num>
  <w:num w:numId="14" w16cid:durableId="954947632">
    <w:abstractNumId w:val="1"/>
  </w:num>
  <w:num w:numId="15" w16cid:durableId="1399134059">
    <w:abstractNumId w:val="0"/>
  </w:num>
  <w:num w:numId="16" w16cid:durableId="738600626">
    <w:abstractNumId w:val="8"/>
  </w:num>
  <w:num w:numId="17" w16cid:durableId="224611617">
    <w:abstractNumId w:val="3"/>
  </w:num>
  <w:num w:numId="18" w16cid:durableId="525951670">
    <w:abstractNumId w:val="2"/>
  </w:num>
  <w:num w:numId="19" w16cid:durableId="74590421">
    <w:abstractNumId w:val="1"/>
  </w:num>
  <w:num w:numId="20" w16cid:durableId="1917863451">
    <w:abstractNumId w:val="0"/>
  </w:num>
  <w:num w:numId="21" w16cid:durableId="1168716127">
    <w:abstractNumId w:val="8"/>
  </w:num>
  <w:num w:numId="22" w16cid:durableId="85929431">
    <w:abstractNumId w:val="3"/>
  </w:num>
  <w:num w:numId="23" w16cid:durableId="676469403">
    <w:abstractNumId w:val="2"/>
  </w:num>
  <w:num w:numId="24" w16cid:durableId="945383661">
    <w:abstractNumId w:val="1"/>
  </w:num>
  <w:num w:numId="25" w16cid:durableId="1134104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3364"/>
    <w:rsid w:val="00007948"/>
    <w:rsid w:val="000210D4"/>
    <w:rsid w:val="000245B2"/>
    <w:rsid w:val="0006007D"/>
    <w:rsid w:val="00063016"/>
    <w:rsid w:val="00066795"/>
    <w:rsid w:val="000745AB"/>
    <w:rsid w:val="00076AF6"/>
    <w:rsid w:val="00085CF2"/>
    <w:rsid w:val="000A5F1E"/>
    <w:rsid w:val="000B1705"/>
    <w:rsid w:val="000D75B2"/>
    <w:rsid w:val="000F104D"/>
    <w:rsid w:val="000F5DDB"/>
    <w:rsid w:val="000F6A9D"/>
    <w:rsid w:val="000F7289"/>
    <w:rsid w:val="000F7F61"/>
    <w:rsid w:val="001121F5"/>
    <w:rsid w:val="0011568F"/>
    <w:rsid w:val="001400DC"/>
    <w:rsid w:val="00140CE1"/>
    <w:rsid w:val="00172FB7"/>
    <w:rsid w:val="0017539C"/>
    <w:rsid w:val="00175AC2"/>
    <w:rsid w:val="0017609F"/>
    <w:rsid w:val="0019018D"/>
    <w:rsid w:val="001A3154"/>
    <w:rsid w:val="001A7D1D"/>
    <w:rsid w:val="001B51DD"/>
    <w:rsid w:val="001C628E"/>
    <w:rsid w:val="001E0F7B"/>
    <w:rsid w:val="001F5569"/>
    <w:rsid w:val="002119FD"/>
    <w:rsid w:val="002130E0"/>
    <w:rsid w:val="00221F46"/>
    <w:rsid w:val="00223C47"/>
    <w:rsid w:val="00235FC4"/>
    <w:rsid w:val="00264425"/>
    <w:rsid w:val="00265875"/>
    <w:rsid w:val="0027303B"/>
    <w:rsid w:val="00280689"/>
    <w:rsid w:val="0028109B"/>
    <w:rsid w:val="002A2188"/>
    <w:rsid w:val="002B1F58"/>
    <w:rsid w:val="002B5C7F"/>
    <w:rsid w:val="002C1C7A"/>
    <w:rsid w:val="002C54E2"/>
    <w:rsid w:val="002E3310"/>
    <w:rsid w:val="0030160F"/>
    <w:rsid w:val="00320223"/>
    <w:rsid w:val="00322D0D"/>
    <w:rsid w:val="003457FB"/>
    <w:rsid w:val="00346896"/>
    <w:rsid w:val="00350A58"/>
    <w:rsid w:val="00350B23"/>
    <w:rsid w:val="00356410"/>
    <w:rsid w:val="003600B8"/>
    <w:rsid w:val="00361465"/>
    <w:rsid w:val="003877F5"/>
    <w:rsid w:val="003936D3"/>
    <w:rsid w:val="003942D4"/>
    <w:rsid w:val="003958A8"/>
    <w:rsid w:val="003B29C2"/>
    <w:rsid w:val="003B5114"/>
    <w:rsid w:val="003C2533"/>
    <w:rsid w:val="003D4211"/>
    <w:rsid w:val="003D5A7F"/>
    <w:rsid w:val="0040435A"/>
    <w:rsid w:val="0040719A"/>
    <w:rsid w:val="00416A24"/>
    <w:rsid w:val="00427BFF"/>
    <w:rsid w:val="00431D9E"/>
    <w:rsid w:val="00433CE8"/>
    <w:rsid w:val="00434A5C"/>
    <w:rsid w:val="00453079"/>
    <w:rsid w:val="004544D9"/>
    <w:rsid w:val="00472BAD"/>
    <w:rsid w:val="004811F8"/>
    <w:rsid w:val="00484009"/>
    <w:rsid w:val="00490E72"/>
    <w:rsid w:val="00491157"/>
    <w:rsid w:val="00491BA9"/>
    <w:rsid w:val="004921C8"/>
    <w:rsid w:val="00495B0B"/>
    <w:rsid w:val="004A1B8B"/>
    <w:rsid w:val="004B25A1"/>
    <w:rsid w:val="004C013F"/>
    <w:rsid w:val="004D1851"/>
    <w:rsid w:val="004D599D"/>
    <w:rsid w:val="004E2EA5"/>
    <w:rsid w:val="004E3AEB"/>
    <w:rsid w:val="0050223C"/>
    <w:rsid w:val="00504F8C"/>
    <w:rsid w:val="005243FF"/>
    <w:rsid w:val="005448DF"/>
    <w:rsid w:val="00564FBC"/>
    <w:rsid w:val="00565382"/>
    <w:rsid w:val="005800BC"/>
    <w:rsid w:val="00582442"/>
    <w:rsid w:val="005A47FF"/>
    <w:rsid w:val="005A6574"/>
    <w:rsid w:val="005C6A42"/>
    <w:rsid w:val="005F3269"/>
    <w:rsid w:val="00623AE3"/>
    <w:rsid w:val="00630C4D"/>
    <w:rsid w:val="00644EC6"/>
    <w:rsid w:val="0064737F"/>
    <w:rsid w:val="006535F1"/>
    <w:rsid w:val="0065557D"/>
    <w:rsid w:val="00657101"/>
    <w:rsid w:val="00660D50"/>
    <w:rsid w:val="00662984"/>
    <w:rsid w:val="006716BB"/>
    <w:rsid w:val="006B1859"/>
    <w:rsid w:val="006B6680"/>
    <w:rsid w:val="006B6DCC"/>
    <w:rsid w:val="006B77F1"/>
    <w:rsid w:val="006C5ECF"/>
    <w:rsid w:val="006F34A8"/>
    <w:rsid w:val="00702DEF"/>
    <w:rsid w:val="00706861"/>
    <w:rsid w:val="00722551"/>
    <w:rsid w:val="00733898"/>
    <w:rsid w:val="00734D0B"/>
    <w:rsid w:val="0075051B"/>
    <w:rsid w:val="0077110E"/>
    <w:rsid w:val="00783697"/>
    <w:rsid w:val="00791B97"/>
    <w:rsid w:val="00793188"/>
    <w:rsid w:val="00794D34"/>
    <w:rsid w:val="007A0258"/>
    <w:rsid w:val="007A3FCD"/>
    <w:rsid w:val="007B19CF"/>
    <w:rsid w:val="007D01AF"/>
    <w:rsid w:val="00810DC9"/>
    <w:rsid w:val="00813E5E"/>
    <w:rsid w:val="0083581B"/>
    <w:rsid w:val="00845BBD"/>
    <w:rsid w:val="00863874"/>
    <w:rsid w:val="00864AFF"/>
    <w:rsid w:val="00865925"/>
    <w:rsid w:val="00890B06"/>
    <w:rsid w:val="008B4A6A"/>
    <w:rsid w:val="008C7E27"/>
    <w:rsid w:val="008F7448"/>
    <w:rsid w:val="0090147A"/>
    <w:rsid w:val="009173EF"/>
    <w:rsid w:val="00932906"/>
    <w:rsid w:val="0095760E"/>
    <w:rsid w:val="00961B0B"/>
    <w:rsid w:val="00962D33"/>
    <w:rsid w:val="0096453C"/>
    <w:rsid w:val="009836D5"/>
    <w:rsid w:val="009B38C3"/>
    <w:rsid w:val="009E03E6"/>
    <w:rsid w:val="009E17BD"/>
    <w:rsid w:val="009E485A"/>
    <w:rsid w:val="00A02745"/>
    <w:rsid w:val="00A04CEC"/>
    <w:rsid w:val="00A07996"/>
    <w:rsid w:val="00A272DB"/>
    <w:rsid w:val="00A27F92"/>
    <w:rsid w:val="00A32257"/>
    <w:rsid w:val="00A36D20"/>
    <w:rsid w:val="00A514A4"/>
    <w:rsid w:val="00A537B9"/>
    <w:rsid w:val="00A55622"/>
    <w:rsid w:val="00A67EF1"/>
    <w:rsid w:val="00A73930"/>
    <w:rsid w:val="00A83502"/>
    <w:rsid w:val="00A875ED"/>
    <w:rsid w:val="00A94BAB"/>
    <w:rsid w:val="00AD15B3"/>
    <w:rsid w:val="00AD3606"/>
    <w:rsid w:val="00AD4A3D"/>
    <w:rsid w:val="00AD677D"/>
    <w:rsid w:val="00AF6E49"/>
    <w:rsid w:val="00B04A67"/>
    <w:rsid w:val="00B0583C"/>
    <w:rsid w:val="00B30652"/>
    <w:rsid w:val="00B32CCA"/>
    <w:rsid w:val="00B40A81"/>
    <w:rsid w:val="00B44910"/>
    <w:rsid w:val="00B44AE8"/>
    <w:rsid w:val="00B72267"/>
    <w:rsid w:val="00B76EB6"/>
    <w:rsid w:val="00B7737B"/>
    <w:rsid w:val="00B824C8"/>
    <w:rsid w:val="00B84B9D"/>
    <w:rsid w:val="00B84F16"/>
    <w:rsid w:val="00B9131F"/>
    <w:rsid w:val="00BB0646"/>
    <w:rsid w:val="00BB13C7"/>
    <w:rsid w:val="00BC251A"/>
    <w:rsid w:val="00BC78DA"/>
    <w:rsid w:val="00BD032B"/>
    <w:rsid w:val="00BD6C19"/>
    <w:rsid w:val="00BE01C6"/>
    <w:rsid w:val="00BE0B5F"/>
    <w:rsid w:val="00BE2640"/>
    <w:rsid w:val="00BE6A41"/>
    <w:rsid w:val="00BF1FDE"/>
    <w:rsid w:val="00C01189"/>
    <w:rsid w:val="00C0312B"/>
    <w:rsid w:val="00C0458D"/>
    <w:rsid w:val="00C374DE"/>
    <w:rsid w:val="00C47AD4"/>
    <w:rsid w:val="00C52D81"/>
    <w:rsid w:val="00C55198"/>
    <w:rsid w:val="00C6520B"/>
    <w:rsid w:val="00C75800"/>
    <w:rsid w:val="00CA30CC"/>
    <w:rsid w:val="00CA6393"/>
    <w:rsid w:val="00CA7995"/>
    <w:rsid w:val="00CB18FF"/>
    <w:rsid w:val="00CB56B7"/>
    <w:rsid w:val="00CD0C08"/>
    <w:rsid w:val="00CD0C73"/>
    <w:rsid w:val="00CE03FB"/>
    <w:rsid w:val="00CE053E"/>
    <w:rsid w:val="00CE433C"/>
    <w:rsid w:val="00CF0161"/>
    <w:rsid w:val="00CF33F3"/>
    <w:rsid w:val="00CF4A2B"/>
    <w:rsid w:val="00D024CA"/>
    <w:rsid w:val="00D06183"/>
    <w:rsid w:val="00D22C42"/>
    <w:rsid w:val="00D618CB"/>
    <w:rsid w:val="00D65041"/>
    <w:rsid w:val="00D702E5"/>
    <w:rsid w:val="00D7487D"/>
    <w:rsid w:val="00DB1936"/>
    <w:rsid w:val="00DB384B"/>
    <w:rsid w:val="00DD11ED"/>
    <w:rsid w:val="00DF0189"/>
    <w:rsid w:val="00DF26C9"/>
    <w:rsid w:val="00E06FD5"/>
    <w:rsid w:val="00E10E80"/>
    <w:rsid w:val="00E124F0"/>
    <w:rsid w:val="00E214A6"/>
    <w:rsid w:val="00E227F3"/>
    <w:rsid w:val="00E25355"/>
    <w:rsid w:val="00E40872"/>
    <w:rsid w:val="00E545C6"/>
    <w:rsid w:val="00E60754"/>
    <w:rsid w:val="00E60F04"/>
    <w:rsid w:val="00E65B24"/>
    <w:rsid w:val="00E854E4"/>
    <w:rsid w:val="00E86DBF"/>
    <w:rsid w:val="00E969AF"/>
    <w:rsid w:val="00EB0D6F"/>
    <w:rsid w:val="00EB2232"/>
    <w:rsid w:val="00EB4DCD"/>
    <w:rsid w:val="00EC5337"/>
    <w:rsid w:val="00EE49E8"/>
    <w:rsid w:val="00F16BAB"/>
    <w:rsid w:val="00F2150A"/>
    <w:rsid w:val="00F231D8"/>
    <w:rsid w:val="00F27D86"/>
    <w:rsid w:val="00F41209"/>
    <w:rsid w:val="00F44C00"/>
    <w:rsid w:val="00F45D2C"/>
    <w:rsid w:val="00F46C5F"/>
    <w:rsid w:val="00F53ADA"/>
    <w:rsid w:val="00F632C0"/>
    <w:rsid w:val="00F641E1"/>
    <w:rsid w:val="00F94A63"/>
    <w:rsid w:val="00FA1C28"/>
    <w:rsid w:val="00FA5BA6"/>
    <w:rsid w:val="00FB1279"/>
    <w:rsid w:val="00FB6B76"/>
    <w:rsid w:val="00FB7596"/>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50B23"/>
    <w:rPr>
      <w:rFonts w:asciiTheme="minorHAnsi" w:eastAsia="STKaiti" w:hAnsiTheme="minorHAnsi" w:cstheme="minorHAnsi"/>
      <w:color w:val="0070C0"/>
      <w:szCs w:val="24"/>
      <w:u w:val="single"/>
      <w:lang w:eastAsia="zh-CN"/>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DecNo">
    <w:name w:val="Dec_No"/>
    <w:basedOn w:val="ResNo"/>
    <w:rsid w:val="00EB4DCD"/>
  </w:style>
  <w:style w:type="paragraph" w:customStyle="1" w:styleId="Dectitle">
    <w:name w:val="Dec_title"/>
    <w:basedOn w:val="Restitle"/>
    <w:rsid w:val="00EB4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1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RCLCWGLANG16-C-0005/en" TargetMode="External"/><Relationship Id="rId18" Type="http://schemas.openxmlformats.org/officeDocument/2006/relationships/hyperlink" Target="https://www.itu.int/md/S25-RCLCWGLANG16-C-0002/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S25-RCLCWGLANG16-C-0003/en" TargetMode="External"/><Relationship Id="rId7" Type="http://schemas.openxmlformats.org/officeDocument/2006/relationships/settings" Target="settings.xml"/><Relationship Id="rId12" Type="http://schemas.openxmlformats.org/officeDocument/2006/relationships/hyperlink" Target="https://www.itu.int/md/S25-RCLCWGLANG16-C-0005/en" TargetMode="External"/><Relationship Id="rId17" Type="http://schemas.openxmlformats.org/officeDocument/2006/relationships/hyperlink" Target="https://www.itu.int/md/S25-CL-INF-0007/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S25-RCLCWGLANG16-C-0003/en" TargetMode="External"/><Relationship Id="rId20" Type="http://schemas.openxmlformats.org/officeDocument/2006/relationships/hyperlink" Target="https://www.itu.int/md/S25-RCLCWGLANG16-C-0005/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hub/publication/s-conf-cl-2024/"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S25-RCLCWGLANG16-C-0003/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25-RCLCWGLANG16-C-000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RCLCWGLANG16-C-0005/en" TargetMode="External"/><Relationship Id="rId22" Type="http://schemas.openxmlformats.org/officeDocument/2006/relationships/hyperlink" Target="https://www.itu.int/md/S25-CL-INF-0007/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B8146E-03A7-4413-9B17-C6B8E5956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2F2AC-2255-4DBF-9278-6619577B4509}">
  <ds:schemaRefs>
    <ds:schemaRef ds:uri="a1cf676c-2816-4389-ad5d-0f2e7c7e67c4"/>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EBCB52BA-7AEF-42D4-AF59-959012BFA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1413</Words>
  <Characters>1385</Characters>
  <Application>Microsoft Office Word</Application>
  <DocSecurity>0</DocSecurity>
  <Lines>60</Lines>
  <Paragraphs>65</Paragraphs>
  <ScaleCrop>false</ScaleCrop>
  <HeadingPairs>
    <vt:vector size="2" baseType="variant">
      <vt:variant>
        <vt:lpstr>Title</vt:lpstr>
      </vt:variant>
      <vt:variant>
        <vt:i4>1</vt:i4>
      </vt:variant>
    </vt:vector>
  </HeadingPairs>
  <TitlesOfParts>
    <vt:vector size="1" baseType="lpstr">
      <vt:lpstr>Outcomes of the 16th meeting of the Council Working Group on the use of the six official languages of the Union</vt:lpstr>
    </vt:vector>
  </TitlesOfParts>
  <Manager>General Secretariat</Manager>
  <Company>International Telecommunication Union (ITU)</Company>
  <LinksUpToDate>false</LinksUpToDate>
  <CharactersWithSpaces>2733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of the 16th meeting of the Council Working Group on the use of the six official languages of the Union</dc:title>
  <dc:subject>ITU Council 2025</dc:subject>
  <cp:keywords>C25; C2025; Council 2025; ITU160</cp:keywords>
  <dc:description/>
  <cp:lastPrinted>2000-07-18T13:30:00Z</cp:lastPrinted>
  <dcterms:created xsi:type="dcterms:W3CDTF">2025-05-29T09:11:00Z</dcterms:created>
  <dcterms:modified xsi:type="dcterms:W3CDTF">2025-05-29T09:15:00Z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