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28244098" w14:textId="77777777" w:rsidTr="00F363FE">
        <w:tc>
          <w:tcPr>
            <w:tcW w:w="6512" w:type="dxa"/>
          </w:tcPr>
          <w:p w14:paraId="33FC3043" w14:textId="6E92864D" w:rsidR="007B0AA0" w:rsidRPr="007B0AA0" w:rsidRDefault="007B0AA0" w:rsidP="00F363FE">
            <w:pPr>
              <w:spacing w:before="60" w:after="60" w:line="260" w:lineRule="exact"/>
              <w:rPr>
                <w:b/>
                <w:bCs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92359B">
              <w:rPr>
                <w:rFonts w:hint="cs"/>
                <w:b/>
                <w:bCs/>
                <w:rtl/>
              </w:rPr>
              <w:t xml:space="preserve"> </w:t>
            </w:r>
            <w:r w:rsidR="0092359B">
              <w:rPr>
                <w:b/>
                <w:bCs/>
              </w:rPr>
              <w:t>PL 2</w:t>
            </w:r>
          </w:p>
        </w:tc>
        <w:tc>
          <w:tcPr>
            <w:tcW w:w="3117" w:type="dxa"/>
          </w:tcPr>
          <w:p w14:paraId="6CD45094" w14:textId="606DB330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6F363C">
              <w:rPr>
                <w:b/>
                <w:bCs/>
                <w:lang w:bidi="ar-EG"/>
              </w:rPr>
              <w:t>5</w:t>
            </w:r>
            <w:r w:rsidRPr="007B0AA0">
              <w:rPr>
                <w:b/>
                <w:bCs/>
                <w:lang w:bidi="ar-EG"/>
              </w:rPr>
              <w:t>/</w:t>
            </w:r>
            <w:r w:rsidR="0092359B">
              <w:rPr>
                <w:b/>
                <w:bCs/>
                <w:lang w:bidi="ar-EG"/>
              </w:rPr>
              <w:t>12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72AFFC52" w14:textId="77777777" w:rsidTr="00F363FE">
        <w:tc>
          <w:tcPr>
            <w:tcW w:w="6512" w:type="dxa"/>
          </w:tcPr>
          <w:p w14:paraId="11CEC064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43B78682" w14:textId="43064786" w:rsidR="007B0AA0" w:rsidRPr="007B0AA0" w:rsidRDefault="0092359B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92359B">
              <w:rPr>
                <w:b/>
                <w:bCs/>
                <w:color w:val="000000"/>
                <w:rtl/>
              </w:rPr>
              <w:t>16 مايو 2025</w:t>
            </w:r>
          </w:p>
        </w:tc>
      </w:tr>
      <w:tr w:rsidR="007B0AA0" w14:paraId="403160AF" w14:textId="77777777" w:rsidTr="00F363FE">
        <w:tc>
          <w:tcPr>
            <w:tcW w:w="6512" w:type="dxa"/>
          </w:tcPr>
          <w:p w14:paraId="646FC07C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2E384810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400A9701" w14:textId="77777777" w:rsidTr="00F363FE">
        <w:tc>
          <w:tcPr>
            <w:tcW w:w="6512" w:type="dxa"/>
          </w:tcPr>
          <w:p w14:paraId="4156EF5E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3F29C22A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20934050" w14:textId="77777777" w:rsidTr="00EE7446">
        <w:tc>
          <w:tcPr>
            <w:tcW w:w="9629" w:type="dxa"/>
            <w:gridSpan w:val="2"/>
          </w:tcPr>
          <w:p w14:paraId="714FE1B8" w14:textId="022FAA56" w:rsidR="007B0AA0" w:rsidRDefault="0092359B" w:rsidP="0092359B">
            <w:pPr>
              <w:pStyle w:val="Source"/>
              <w:jc w:val="left"/>
              <w:rPr>
                <w:lang w:bidi="ar-EG"/>
              </w:rPr>
            </w:pPr>
            <w:r w:rsidRPr="0092359B">
              <w:rPr>
                <w:rtl/>
              </w:rPr>
              <w:t>تقرير يقدمه رئيس فريق العمل التابع للمجلس والمعني باللغات</w:t>
            </w:r>
            <w:r w:rsidR="00000911">
              <w:br/>
              <w:t>(CWG-LANG)</w:t>
            </w:r>
          </w:p>
        </w:tc>
      </w:tr>
      <w:tr w:rsidR="007B0AA0" w14:paraId="2ACB4521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4C170944" w14:textId="58A828D3" w:rsidR="007B0AA0" w:rsidRPr="005546CF" w:rsidRDefault="0092359B" w:rsidP="0092359B">
            <w:pPr>
              <w:pStyle w:val="Subtitle0"/>
              <w:rPr>
                <w:sz w:val="32"/>
                <w:szCs w:val="32"/>
              </w:rPr>
            </w:pPr>
            <w:bookmarkStart w:id="0" w:name="_Hlk198302364"/>
            <w:r w:rsidRPr="0092359B">
              <w:rPr>
                <w:sz w:val="32"/>
                <w:szCs w:val="32"/>
                <w:rtl/>
                <w:lang w:bidi="ar-SA"/>
              </w:rPr>
              <w:t>نتائج الاجتماع السادس عشر لفريق العمل التابع للمجلس والمعني باللغات</w:t>
            </w:r>
            <w:bookmarkEnd w:id="0"/>
          </w:p>
        </w:tc>
      </w:tr>
      <w:tr w:rsidR="007B0AA0" w14:paraId="359C7F65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27CB25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38A92136" w14:textId="58D2B04A" w:rsidR="007B0AA0" w:rsidRPr="00000911" w:rsidRDefault="0092359B" w:rsidP="0092359B">
            <w:pPr>
              <w:rPr>
                <w:spacing w:val="-6"/>
                <w:rtl/>
                <w:lang w:eastAsia="zh-TW" w:bidi="en-GB"/>
              </w:rPr>
            </w:pPr>
            <w:r w:rsidRPr="00000911">
              <w:rPr>
                <w:color w:val="000000"/>
                <w:spacing w:val="-6"/>
                <w:rtl/>
              </w:rPr>
              <w:t>ي</w:t>
            </w:r>
            <w:r w:rsidR="00000911">
              <w:rPr>
                <w:rFonts w:hint="cs"/>
                <w:color w:val="000000"/>
                <w:spacing w:val="-6"/>
                <w:rtl/>
              </w:rPr>
              <w:t>ُ</w:t>
            </w:r>
            <w:r w:rsidRPr="00000911">
              <w:rPr>
                <w:color w:val="000000"/>
                <w:spacing w:val="-6"/>
                <w:rtl/>
              </w:rPr>
              <w:t xml:space="preserve">لخص هذا التقرير أنشطة وإنجازات الاجتماع السادس عشر لفريق العمل التابع للمجلس والمعني باللغات </w:t>
            </w:r>
            <w:r w:rsidRPr="00000911">
              <w:rPr>
                <w:color w:val="000000"/>
                <w:spacing w:val="-6"/>
              </w:rPr>
              <w:t>‎</w:t>
            </w:r>
            <w:r w:rsidR="00000911">
              <w:rPr>
                <w:color w:val="000000"/>
                <w:spacing w:val="-6"/>
              </w:rPr>
              <w:t>(</w:t>
            </w:r>
            <w:r w:rsidRPr="00000911">
              <w:rPr>
                <w:color w:val="000000"/>
                <w:spacing w:val="-6"/>
              </w:rPr>
              <w:t>CWG-LANG</w:t>
            </w:r>
            <w:r w:rsidR="00000911">
              <w:rPr>
                <w:color w:val="000000"/>
                <w:spacing w:val="-6"/>
              </w:rPr>
              <w:t>)</w:t>
            </w:r>
            <w:r w:rsidRPr="00000911">
              <w:rPr>
                <w:color w:val="000000"/>
                <w:spacing w:val="-6"/>
                <w:rtl/>
              </w:rPr>
              <w:t xml:space="preserve"> عملاً بالقرار ‎154 (‏المراجَع في بوخارست، ‎2022) ‏وقرار المجلس ‎1372 (‏الم</w:t>
            </w:r>
            <w:r w:rsidR="00000911">
              <w:rPr>
                <w:rFonts w:hint="cs"/>
                <w:color w:val="000000"/>
                <w:spacing w:val="-6"/>
                <w:rtl/>
              </w:rPr>
              <w:t>ُ</w:t>
            </w:r>
            <w:r w:rsidRPr="00000911">
              <w:rPr>
                <w:color w:val="000000"/>
                <w:spacing w:val="-6"/>
                <w:rtl/>
              </w:rPr>
              <w:t>عدل في 2024).</w:t>
            </w:r>
          </w:p>
          <w:p w14:paraId="4B6BD521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02DC3BE4" w14:textId="72C02241" w:rsidR="007B0AA0" w:rsidRDefault="0092359B" w:rsidP="007B0AA0">
            <w:pPr>
              <w:rPr>
                <w:rtl/>
              </w:rPr>
            </w:pPr>
            <w:r w:rsidRPr="00D60307">
              <w:rPr>
                <w:color w:val="000000"/>
                <w:rtl/>
              </w:rPr>
              <w:t xml:space="preserve">يُدعى المجلس إلى </w:t>
            </w:r>
            <w:r w:rsidRPr="00D60307">
              <w:rPr>
                <w:b/>
                <w:bCs/>
                <w:color w:val="000000"/>
                <w:rtl/>
              </w:rPr>
              <w:t>الإحاطة علماً</w:t>
            </w:r>
            <w:r w:rsidRPr="00D60307">
              <w:rPr>
                <w:color w:val="000000"/>
                <w:rtl/>
              </w:rPr>
              <w:t xml:space="preserve"> بالتقرير.</w:t>
            </w:r>
          </w:p>
          <w:p w14:paraId="55F258B1" w14:textId="18482718" w:rsidR="007B0AA0" w:rsidRPr="007B0AA0" w:rsidRDefault="00494119" w:rsidP="007B0A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الصلة</w:t>
            </w:r>
            <w:r w:rsidR="007B0AA0" w:rsidRPr="007B0AA0">
              <w:rPr>
                <w:b/>
                <w:bCs/>
                <w:rtl/>
              </w:rPr>
              <w:t xml:space="preserve"> بالخطة ال</w:t>
            </w:r>
            <w:r w:rsidR="007B0AA0" w:rsidRPr="007B0AA0">
              <w:rPr>
                <w:rFonts w:hint="cs"/>
                <w:b/>
                <w:bCs/>
                <w:rtl/>
              </w:rPr>
              <w:t>ا</w:t>
            </w:r>
            <w:r w:rsidR="007B0AA0" w:rsidRPr="007B0AA0">
              <w:rPr>
                <w:b/>
                <w:bCs/>
                <w:rtl/>
              </w:rPr>
              <w:t>ستراتيجية</w:t>
            </w:r>
          </w:p>
          <w:p w14:paraId="4D41675A" w14:textId="53DDA539" w:rsidR="007B0AA0" w:rsidRDefault="0092359B" w:rsidP="007B0AA0">
            <w:pPr>
              <w:rPr>
                <w:rtl/>
              </w:rPr>
            </w:pPr>
            <w:r w:rsidRPr="00D60307">
              <w:rPr>
                <w:color w:val="000000"/>
                <w:rtl/>
              </w:rPr>
              <w:t>التميز في مجال الموارد البشرية والابتكار التنظيمي.</w:t>
            </w:r>
          </w:p>
          <w:p w14:paraId="6126CB80" w14:textId="77777777" w:rsidR="007B0AA0" w:rsidRDefault="007B0AA0" w:rsidP="00B97F32">
            <w:pPr>
              <w:rPr>
                <w:b/>
                <w:bCs/>
              </w:rPr>
            </w:pPr>
            <w:r w:rsidRPr="007B0AA0">
              <w:rPr>
                <w:rFonts w:hint="cs"/>
                <w:b/>
                <w:bCs/>
                <w:rtl/>
              </w:rPr>
              <w:t>الآثار المالية</w:t>
            </w:r>
          </w:p>
          <w:p w14:paraId="2859C53E" w14:textId="06717523" w:rsidR="006F363C" w:rsidRPr="005546CF" w:rsidRDefault="0092359B" w:rsidP="007B0AA0">
            <w:pPr>
              <w:rPr>
                <w:rtl/>
              </w:rPr>
            </w:pPr>
            <w:r w:rsidRPr="00D60307">
              <w:rPr>
                <w:color w:val="000000"/>
                <w:rtl/>
              </w:rPr>
              <w:t>ضمن الميزانية المخصصة للفتر</w:t>
            </w:r>
            <w:r>
              <w:rPr>
                <w:color w:val="000000"/>
                <w:rtl/>
              </w:rPr>
              <w:t>ة 2024</w:t>
            </w:r>
            <w:r w:rsidRPr="00D60307">
              <w:rPr>
                <w:color w:val="000000"/>
                <w:rtl/>
              </w:rPr>
              <w:t>-</w:t>
            </w:r>
            <w:r>
              <w:rPr>
                <w:color w:val="000000"/>
                <w:rtl/>
              </w:rPr>
              <w:t>2025</w:t>
            </w:r>
            <w:r w:rsidRPr="00D60307">
              <w:rPr>
                <w:color w:val="000000"/>
                <w:rtl/>
              </w:rPr>
              <w:t>.</w:t>
            </w:r>
          </w:p>
          <w:p w14:paraId="16F0A9E7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29B2B63F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4806529F" w14:textId="62188907" w:rsidR="007B0AA0" w:rsidRPr="005546CF" w:rsidRDefault="0092359B" w:rsidP="0092359B">
            <w:pPr>
              <w:rPr>
                <w:i/>
                <w:iCs/>
                <w:rtl/>
              </w:rPr>
            </w:pPr>
            <w:hyperlink r:id="rId8" w:history="1">
              <w:r w:rsidRPr="00000911">
                <w:rPr>
                  <w:rStyle w:val="Hyperlink"/>
                  <w:rFonts w:ascii="Dubai" w:eastAsiaTheme="minorEastAsia" w:hAnsi="Dubai" w:cs="Dubai"/>
                  <w:i/>
                  <w:iCs/>
                  <w:noProof w:val="0"/>
                  <w:sz w:val="22"/>
                  <w:rtl/>
                  <w:lang w:val="en-US" w:eastAsia="zh-CN"/>
                </w:rPr>
                <w:t>القرار 154 (المراجَع في بوخارست، 2022)</w:t>
              </w:r>
            </w:hyperlink>
            <w:r w:rsidRPr="0092359B">
              <w:rPr>
                <w:i/>
                <w:iCs/>
                <w:rtl/>
              </w:rPr>
              <w:t xml:space="preserve"> الصادر عن مؤتمر المندوبين المفوضين</w:t>
            </w:r>
            <w:r w:rsidRPr="00000911">
              <w:rPr>
                <w:i/>
                <w:iCs/>
                <w:rtl/>
              </w:rPr>
              <w:t xml:space="preserve">؛ </w:t>
            </w:r>
            <w:hyperlink r:id="rId9" w:anchor="/ar" w:history="1">
              <w:r w:rsidRPr="00000911">
                <w:rPr>
                  <w:rStyle w:val="Hyperlink"/>
                  <w:rFonts w:ascii="Dubai" w:eastAsiaTheme="minorEastAsia" w:hAnsi="Dubai" w:cs="Dubai"/>
                  <w:i/>
                  <w:iCs/>
                  <w:noProof w:val="0"/>
                  <w:sz w:val="22"/>
                  <w:rtl/>
                  <w:lang w:val="en-US" w:eastAsia="zh-CN"/>
                </w:rPr>
                <w:t>قرار المجلس 1372 (المُعدل في</w:t>
              </w:r>
              <w:r w:rsidR="00407B06">
                <w:rPr>
                  <w:rStyle w:val="Hyperlink"/>
                  <w:rFonts w:ascii="Dubai" w:eastAsiaTheme="minorEastAsia" w:hAnsi="Dubai" w:cs="Dubai" w:hint="cs"/>
                  <w:i/>
                  <w:iCs/>
                  <w:noProof w:val="0"/>
                  <w:sz w:val="22"/>
                  <w:rtl/>
                  <w:lang w:val="en-US" w:eastAsia="zh-CN"/>
                </w:rPr>
                <w:t> </w:t>
              </w:r>
              <w:r w:rsidRPr="00000911">
                <w:rPr>
                  <w:rStyle w:val="Hyperlink"/>
                  <w:rFonts w:ascii="Dubai" w:eastAsiaTheme="minorEastAsia" w:hAnsi="Dubai" w:cs="Dubai"/>
                  <w:i/>
                  <w:iCs/>
                  <w:noProof w:val="0"/>
                  <w:sz w:val="22"/>
                  <w:rtl/>
                  <w:lang w:val="en-US" w:eastAsia="zh-CN"/>
                </w:rPr>
                <w:t>2024)</w:t>
              </w:r>
            </w:hyperlink>
            <w:r w:rsidRPr="0092359B">
              <w:rPr>
                <w:i/>
                <w:iCs/>
                <w:rtl/>
              </w:rPr>
              <w:t xml:space="preserve">؛ الوثائق </w:t>
            </w:r>
            <w:hyperlink r:id="rId10" w:history="1">
              <w:hyperlink r:id="rId11" w:history="1">
                <w:hyperlink r:id="rId12" w:history="1">
                  <w:r w:rsidRPr="0092359B">
                    <w:rPr>
                      <w:rStyle w:val="Hyperlink"/>
                      <w:rFonts w:ascii="Dubai" w:eastAsiaTheme="minorEastAsia" w:hAnsi="Dubai" w:cs="Dubai"/>
                      <w:i/>
                      <w:iCs/>
                      <w:noProof w:val="0"/>
                      <w:sz w:val="22"/>
                      <w:lang w:val="en-US" w:eastAsia="zh-CN"/>
                    </w:rPr>
                    <w:t>CWG-LANG-16/5</w:t>
                  </w:r>
                </w:hyperlink>
              </w:hyperlink>
            </w:hyperlink>
            <w:r w:rsidRPr="0092359B">
              <w:rPr>
                <w:i/>
                <w:iCs/>
                <w:u w:val="single"/>
                <w:rtl/>
              </w:rPr>
              <w:t xml:space="preserve"> </w:t>
            </w:r>
            <w:r w:rsidRPr="0092359B">
              <w:rPr>
                <w:i/>
                <w:iCs/>
                <w:rtl/>
              </w:rPr>
              <w:t>و</w:t>
            </w:r>
            <w:hyperlink r:id="rId13" w:history="1">
              <w:hyperlink r:id="rId14" w:history="1">
                <w:r w:rsidRPr="0092359B">
                  <w:rPr>
                    <w:rStyle w:val="Hyperlink"/>
                    <w:rFonts w:ascii="Dubai" w:eastAsiaTheme="minorEastAsia" w:hAnsi="Dubai" w:cs="Dubai"/>
                    <w:i/>
                    <w:iCs/>
                    <w:noProof w:val="0"/>
                    <w:sz w:val="22"/>
                    <w:lang w:val="en-US" w:eastAsia="zh-CN"/>
                  </w:rPr>
                  <w:t>CWG-LANG/16-3</w:t>
                </w:r>
              </w:hyperlink>
            </w:hyperlink>
            <w:r w:rsidRPr="0092359B">
              <w:rPr>
                <w:i/>
                <w:iCs/>
                <w:u w:val="single"/>
                <w:rtl/>
              </w:rPr>
              <w:t xml:space="preserve"> </w:t>
            </w:r>
            <w:proofErr w:type="spellStart"/>
            <w:r w:rsidRPr="0092359B">
              <w:rPr>
                <w:i/>
                <w:iCs/>
                <w:rtl/>
              </w:rPr>
              <w:t>و</w:t>
            </w:r>
            <w:proofErr w:type="spellEnd"/>
            <w:r w:rsidRPr="0092359B">
              <w:rPr>
                <w:i/>
                <w:iCs/>
              </w:rPr>
              <w:fldChar w:fldCharType="begin"/>
            </w:r>
            <w:r w:rsidRPr="0092359B">
              <w:rPr>
                <w:i/>
                <w:iCs/>
              </w:rPr>
              <w:instrText xml:space="preserve"> HYPERLINK "https://www.itu.int/md/S25-CL-INF-0007/en" </w:instrText>
            </w:r>
            <w:r w:rsidRPr="0092359B">
              <w:rPr>
                <w:i/>
                <w:iCs/>
              </w:rPr>
            </w:r>
            <w:r w:rsidRPr="0092359B">
              <w:rPr>
                <w:i/>
                <w:iCs/>
              </w:rPr>
              <w:fldChar w:fldCharType="separate"/>
            </w:r>
            <w:proofErr w:type="spellStart"/>
            <w:r w:rsidRPr="0092359B">
              <w:rPr>
                <w:rStyle w:val="Hyperlink"/>
                <w:rFonts w:ascii="Dubai" w:eastAsiaTheme="minorEastAsia" w:hAnsi="Dubai" w:cs="Dubai"/>
                <w:i/>
                <w:iCs/>
                <w:noProof w:val="0"/>
                <w:sz w:val="22"/>
                <w:lang w:val="en-US" w:eastAsia="zh-CN"/>
              </w:rPr>
              <w:t>C25</w:t>
            </w:r>
            <w:proofErr w:type="spellEnd"/>
            <w:r w:rsidRPr="0092359B">
              <w:rPr>
                <w:rStyle w:val="Hyperlink"/>
                <w:rFonts w:ascii="Dubai" w:eastAsiaTheme="minorEastAsia" w:hAnsi="Dubai" w:cs="Dubai"/>
                <w:i/>
                <w:iCs/>
                <w:noProof w:val="0"/>
                <w:sz w:val="22"/>
                <w:lang w:val="en-US" w:eastAsia="zh-CN"/>
              </w:rPr>
              <w:t>/INF/7</w:t>
            </w:r>
            <w:r w:rsidRPr="0092359B">
              <w:rPr>
                <w:i/>
                <w:iCs/>
              </w:rPr>
              <w:fldChar w:fldCharType="end"/>
            </w:r>
          </w:p>
        </w:tc>
      </w:tr>
    </w:tbl>
    <w:p w14:paraId="4FD0132B" w14:textId="77777777" w:rsidR="00E61BE8" w:rsidRDefault="00E61BE8" w:rsidP="00E61BE8">
      <w:pPr>
        <w:rPr>
          <w:rtl/>
          <w:lang w:bidi="ar-EG"/>
        </w:rPr>
      </w:pPr>
    </w:p>
    <w:p w14:paraId="7C7C2B6A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6BB1931B" w14:textId="70DBD805" w:rsidR="0092359B" w:rsidRPr="00407B06" w:rsidRDefault="00000911" w:rsidP="00407B06">
      <w:pPr>
        <w:pStyle w:val="Heading1"/>
      </w:pPr>
      <w:r>
        <w:lastRenderedPageBreak/>
        <w:t>1</w:t>
      </w:r>
      <w:r w:rsidR="0092359B" w:rsidRPr="00D60307">
        <w:rPr>
          <w:rtl/>
        </w:rPr>
        <w:tab/>
        <w:t>مقدمة</w:t>
      </w:r>
    </w:p>
    <w:p w14:paraId="16656F58" w14:textId="12C830C8" w:rsidR="0092359B" w:rsidRPr="00407B06" w:rsidRDefault="0092359B" w:rsidP="00407B06">
      <w:r w:rsidRPr="00407B06">
        <w:rPr>
          <w:rtl/>
        </w:rPr>
        <w:t>تحتوي هذه الوثيقة على التقرير الموجز للرئيس عن الاجتماع السادس عشر لفريق العمل التابع للمجلس والمعني باستخدام اللغات الرسمية الست للاتحاد (</w:t>
      </w:r>
      <w:r w:rsidRPr="00407B06">
        <w:t>CWG-LANG</w:t>
      </w:r>
      <w:r w:rsidRPr="00407B06">
        <w:rPr>
          <w:rtl/>
        </w:rPr>
        <w:t>) الذي ع</w:t>
      </w:r>
      <w:r w:rsidR="00000911" w:rsidRPr="00407B06">
        <w:rPr>
          <w:rFonts w:hint="cs"/>
          <w:rtl/>
        </w:rPr>
        <w:t>ُ</w:t>
      </w:r>
      <w:r w:rsidRPr="00407B06">
        <w:rPr>
          <w:rtl/>
        </w:rPr>
        <w:t xml:space="preserve">قد في 12 فبراير 2025، استناداً إلى المحضر الكامل للاجتماع (الوثيقة </w:t>
      </w:r>
      <w:hyperlink r:id="rId15" w:history="1">
        <w:r w:rsidR="00000911" w:rsidRPr="00407B06">
          <w:rPr>
            <w:rStyle w:val="Hyperlink"/>
            <w:rFonts w:ascii="Dubai" w:eastAsiaTheme="minorEastAsia" w:hAnsi="Dubai" w:cs="Dubai"/>
            <w:noProof w:val="0"/>
            <w:sz w:val="22"/>
          </w:rPr>
          <w:t>CWG-LANG-16/5</w:t>
        </w:r>
      </w:hyperlink>
      <w:r w:rsidRPr="00407B06">
        <w:rPr>
          <w:rtl/>
        </w:rPr>
        <w:t xml:space="preserve">). وترأست الاجتماع نائبة رئيس الفريق السيدة بلانكا </w:t>
      </w:r>
      <w:proofErr w:type="spellStart"/>
      <w:r w:rsidRPr="00407B06">
        <w:rPr>
          <w:rtl/>
        </w:rPr>
        <w:t>غونزاليس</w:t>
      </w:r>
      <w:proofErr w:type="spellEnd"/>
      <w:r w:rsidRPr="00407B06">
        <w:rPr>
          <w:rtl/>
        </w:rPr>
        <w:t xml:space="preserve"> (إسبانيا)، بصفتها الرئيسة المؤقتة في غياب رئيسة فريق العمل، السيدة شارون </w:t>
      </w:r>
      <w:proofErr w:type="spellStart"/>
      <w:r w:rsidR="00407B06">
        <w:rPr>
          <w:rFonts w:hint="cs"/>
          <w:rtl/>
        </w:rPr>
        <w:t>بوساير</w:t>
      </w:r>
      <w:proofErr w:type="spellEnd"/>
      <w:r w:rsidR="00407B06" w:rsidRPr="00407B06">
        <w:rPr>
          <w:rtl/>
        </w:rPr>
        <w:t xml:space="preserve"> </w:t>
      </w:r>
      <w:r w:rsidRPr="00407B06">
        <w:rPr>
          <w:rtl/>
        </w:rPr>
        <w:t>(كينيا).</w:t>
      </w:r>
    </w:p>
    <w:p w14:paraId="4C6D3240" w14:textId="100A9853" w:rsidR="0092359B" w:rsidRPr="00407B06" w:rsidRDefault="0092359B" w:rsidP="0092359B">
      <w:pPr>
        <w:textDirection w:val="tbRlV"/>
        <w:rPr>
          <w:rFonts w:eastAsia="SimSun"/>
          <w:spacing w:val="-2"/>
          <w:lang w:val="ar-SA" w:eastAsia="zh-TW" w:bidi="en-GB"/>
        </w:rPr>
      </w:pPr>
      <w:r w:rsidRPr="00407B06">
        <w:rPr>
          <w:spacing w:val="-2"/>
          <w:rtl/>
        </w:rPr>
        <w:t>وتماشيا</w:t>
      </w:r>
      <w:r w:rsidR="00000911" w:rsidRPr="00407B06">
        <w:rPr>
          <w:rFonts w:hint="cs"/>
          <w:spacing w:val="-2"/>
          <w:rtl/>
        </w:rPr>
        <w:t>ً</w:t>
      </w:r>
      <w:r w:rsidRPr="00407B06">
        <w:rPr>
          <w:spacing w:val="-2"/>
          <w:rtl/>
        </w:rPr>
        <w:t xml:space="preserve"> مع القرار 154، ووفقاً لتقرير الأمين العام الوارد في الوثيقة </w:t>
      </w:r>
      <w:hyperlink r:id="rId16" w:history="1">
        <w:r w:rsidR="00000911" w:rsidRPr="00407B06">
          <w:rPr>
            <w:rStyle w:val="Hyperlink"/>
            <w:rFonts w:ascii="Dubai" w:eastAsiaTheme="minorEastAsia" w:hAnsi="Dubai" w:cs="Dubai"/>
            <w:noProof w:val="0"/>
            <w:spacing w:val="-2"/>
            <w:sz w:val="22"/>
          </w:rPr>
          <w:t>CWG-LANG-16/2</w:t>
        </w:r>
      </w:hyperlink>
      <w:r w:rsidRPr="00407B06">
        <w:rPr>
          <w:spacing w:val="-2"/>
          <w:rtl/>
        </w:rPr>
        <w:t>، ركز عمل فريق العمل على ما</w:t>
      </w:r>
      <w:r w:rsidR="00407B06" w:rsidRPr="00407B06">
        <w:rPr>
          <w:rFonts w:hint="cs"/>
          <w:spacing w:val="-2"/>
          <w:rtl/>
        </w:rPr>
        <w:t> </w:t>
      </w:r>
      <w:r w:rsidRPr="00407B06">
        <w:rPr>
          <w:spacing w:val="-2"/>
          <w:rtl/>
        </w:rPr>
        <w:t>يلي:</w:t>
      </w:r>
    </w:p>
    <w:p w14:paraId="142D8C55" w14:textId="559A6DA0" w:rsidR="0092359B" w:rsidRPr="00D60307" w:rsidRDefault="00EA11EB" w:rsidP="00000911">
      <w:pPr>
        <w:pStyle w:val="enumlev1"/>
        <w:rPr>
          <w:rFonts w:eastAsia="SimSun"/>
          <w:lang w:val="ar-SA" w:eastAsia="zh-TW" w:bidi="en-GB"/>
        </w:rPr>
      </w:pPr>
      <w:r>
        <w:rPr>
          <w:rFonts w:hint="eastAsia"/>
          <w:rtl/>
        </w:rPr>
        <w:t> </w:t>
      </w:r>
      <w:r w:rsidR="0092359B" w:rsidRPr="00D60307">
        <w:rPr>
          <w:rtl/>
        </w:rPr>
        <w:t>أ</w:t>
      </w:r>
      <w:r>
        <w:rPr>
          <w:rFonts w:hint="cs"/>
          <w:rtl/>
        </w:rPr>
        <w:t> </w:t>
      </w:r>
      <w:r w:rsidR="0092359B" w:rsidRPr="00D60307">
        <w:rPr>
          <w:rtl/>
        </w:rPr>
        <w:t>)</w:t>
      </w:r>
      <w:r w:rsidR="0092359B" w:rsidRPr="00D60307">
        <w:rPr>
          <w:rtl/>
        </w:rPr>
        <w:tab/>
        <w:t>تحليل ميزانيات وأحجام الترجمة التحريرية والترجمة الشفوية باللغات الرسمية الست للفترة ‎2024-</w:t>
      </w:r>
      <w:r w:rsidR="0092359B">
        <w:rPr>
          <w:rtl/>
        </w:rPr>
        <w:t>2019</w:t>
      </w:r>
      <w:r w:rsidR="0092359B" w:rsidRPr="00D60307">
        <w:rPr>
          <w:rtl/>
        </w:rPr>
        <w:t>.</w:t>
      </w:r>
    </w:p>
    <w:p w14:paraId="326D4C81" w14:textId="070B7067" w:rsidR="0092359B" w:rsidRPr="00D60307" w:rsidRDefault="0092359B" w:rsidP="00000911">
      <w:pPr>
        <w:pStyle w:val="enumlev1"/>
        <w:rPr>
          <w:rFonts w:eastAsia="SimSun"/>
          <w:lang w:val="ar-SA" w:eastAsia="zh-TW" w:bidi="en-GB"/>
        </w:rPr>
      </w:pPr>
      <w:r w:rsidRPr="00D60307">
        <w:rPr>
          <w:rtl/>
        </w:rPr>
        <w:t>ب)</w:t>
      </w:r>
      <w:r w:rsidRPr="00D60307">
        <w:rPr>
          <w:rtl/>
        </w:rPr>
        <w:tab/>
      </w:r>
      <w:r w:rsidRPr="00451DE6">
        <w:rPr>
          <w:spacing w:val="-4"/>
          <w:rtl/>
        </w:rPr>
        <w:t xml:space="preserve">استعمال التكنولوجيات الجديدة لزيادة الكفاءة والفعالية من حيث التكلفة في تقديم الخدمات اللغوية، بما في ذلك الترجمة الآلية من خلال مجموعة أدوات الترجمة "ITU </w:t>
      </w:r>
      <w:proofErr w:type="spellStart"/>
      <w:r w:rsidRPr="00451DE6">
        <w:rPr>
          <w:spacing w:val="-4"/>
          <w:rtl/>
        </w:rPr>
        <w:t>Translate</w:t>
      </w:r>
      <w:proofErr w:type="spellEnd"/>
      <w:r w:rsidRPr="00451DE6">
        <w:rPr>
          <w:spacing w:val="-4"/>
          <w:rtl/>
        </w:rPr>
        <w:t>" التي تستخدم الذكاء الاصطناعي.‎</w:t>
      </w:r>
    </w:p>
    <w:p w14:paraId="261CD079" w14:textId="77777777" w:rsidR="0092359B" w:rsidRPr="00D60307" w:rsidRDefault="0092359B" w:rsidP="00000911">
      <w:pPr>
        <w:pStyle w:val="enumlev1"/>
        <w:rPr>
          <w:rFonts w:eastAsia="SimSun"/>
          <w:lang w:val="ar-SA" w:eastAsia="zh-TW" w:bidi="en-GB"/>
        </w:rPr>
      </w:pPr>
      <w:r w:rsidRPr="00D60307">
        <w:rPr>
          <w:rtl/>
        </w:rPr>
        <w:t>ج)</w:t>
      </w:r>
      <w:r w:rsidRPr="00D60307">
        <w:rPr>
          <w:rtl/>
        </w:rPr>
        <w:tab/>
        <w:t xml:space="preserve">تحديات وفرص الترجمة الشفوية </w:t>
      </w:r>
      <w:r>
        <w:rPr>
          <w:rtl/>
        </w:rPr>
        <w:t>بمساعدة</w:t>
      </w:r>
      <w:r w:rsidRPr="00D60307">
        <w:rPr>
          <w:rtl/>
        </w:rPr>
        <w:t xml:space="preserve"> الذكاء الاصطناعي وتقييم الترجمة الشفوية التي تستخدم الذكاء الاصطناعي كما تمت تجربتها في الاجتماع</w:t>
      </w:r>
      <w:r>
        <w:rPr>
          <w:rtl/>
        </w:rPr>
        <w:t>.</w:t>
      </w:r>
    </w:p>
    <w:p w14:paraId="3A76831B" w14:textId="7DDEABE5" w:rsidR="0092359B" w:rsidRPr="00D60307" w:rsidRDefault="0092359B" w:rsidP="00000911">
      <w:pPr>
        <w:pStyle w:val="enumlev1"/>
        <w:rPr>
          <w:rFonts w:eastAsia="SimSun"/>
          <w:lang w:val="ar-SA" w:eastAsia="zh-TW" w:bidi="en-GB"/>
        </w:rPr>
      </w:pPr>
      <w:r w:rsidRPr="00D60307">
        <w:rPr>
          <w:rtl/>
        </w:rPr>
        <w:t>د</w:t>
      </w:r>
      <w:r w:rsidR="00EA11EB">
        <w:rPr>
          <w:rFonts w:hint="cs"/>
          <w:rtl/>
        </w:rPr>
        <w:t> </w:t>
      </w:r>
      <w:r w:rsidRPr="00D60307">
        <w:rPr>
          <w:rtl/>
        </w:rPr>
        <w:t>)</w:t>
      </w:r>
      <w:r w:rsidRPr="00D60307">
        <w:rPr>
          <w:rtl/>
        </w:rPr>
        <w:tab/>
        <w:t>إعداد دليل للممارسات الحالية والمستقبلية في مجال تعدد اللغات في الاتحاد وما يقترن به من مبادئ توجيهية للموظفين بشأن استعمال الترجمة الآلية.</w:t>
      </w:r>
    </w:p>
    <w:p w14:paraId="6F9071C8" w14:textId="3AC26E6F" w:rsidR="0092359B" w:rsidRPr="00D60307" w:rsidRDefault="0092359B" w:rsidP="00000911">
      <w:pPr>
        <w:pStyle w:val="enumlev1"/>
        <w:rPr>
          <w:rFonts w:eastAsia="SimSun"/>
          <w:lang w:val="ar-SA" w:eastAsia="zh-TW" w:bidi="en-GB"/>
        </w:rPr>
      </w:pPr>
      <w:r w:rsidRPr="00D60307">
        <w:rPr>
          <w:rtl/>
        </w:rPr>
        <w:t>هـ</w:t>
      </w:r>
      <w:r w:rsidR="00EA11EB">
        <w:rPr>
          <w:rFonts w:hint="cs"/>
          <w:rtl/>
        </w:rPr>
        <w:t> </w:t>
      </w:r>
      <w:r w:rsidRPr="00D60307">
        <w:rPr>
          <w:rtl/>
        </w:rPr>
        <w:t>)</w:t>
      </w:r>
      <w:r w:rsidRPr="00D60307">
        <w:rPr>
          <w:rtl/>
        </w:rPr>
        <w:tab/>
        <w:t>التحديثات بشأن عمل لجنة تنسيق المصطلحات</w:t>
      </w:r>
      <w:r>
        <w:rPr>
          <w:rtl/>
        </w:rPr>
        <w:t xml:space="preserve"> (</w:t>
      </w:r>
      <w:r w:rsidRPr="00D60307">
        <w:t>CCT</w:t>
      </w:r>
      <w:r>
        <w:rPr>
          <w:rtl/>
        </w:rPr>
        <w:t>)</w:t>
      </w:r>
      <w:r w:rsidRPr="00D60307">
        <w:rPr>
          <w:rtl/>
        </w:rPr>
        <w:t xml:space="preserve"> ‏التابعة للاتحاد، بما في ذلك سير العمل الجديد والتعاون مع الدول الأعضاء بشأن ترجمة المصطلحات والتعاريف.‎</w:t>
      </w:r>
    </w:p>
    <w:p w14:paraId="1369F0BB" w14:textId="115AF19C" w:rsidR="0092359B" w:rsidRPr="00D60307" w:rsidRDefault="0092359B" w:rsidP="00000911">
      <w:pPr>
        <w:pStyle w:val="enumlev1"/>
        <w:rPr>
          <w:rFonts w:eastAsia="SimSun"/>
          <w:lang w:val="ar-SA" w:eastAsia="zh-TW" w:bidi="en-GB"/>
        </w:rPr>
      </w:pPr>
      <w:r w:rsidRPr="00D60307">
        <w:rPr>
          <w:rtl/>
        </w:rPr>
        <w:t>و</w:t>
      </w:r>
      <w:r w:rsidR="00EA11EB">
        <w:rPr>
          <w:rFonts w:hint="cs"/>
          <w:rtl/>
        </w:rPr>
        <w:t> </w:t>
      </w:r>
      <w:r w:rsidRPr="00D60307">
        <w:rPr>
          <w:rtl/>
        </w:rPr>
        <w:t>)</w:t>
      </w:r>
      <w:r w:rsidRPr="00D60307">
        <w:rPr>
          <w:rtl/>
        </w:rPr>
        <w:tab/>
        <w:t>الجهود الرامية إلى تحسين وتنسيق الموقع الإلكتروني للاتحاد بجميع اللغات الست وتعزيز وظائف البحث.</w:t>
      </w:r>
    </w:p>
    <w:p w14:paraId="6244FF23" w14:textId="67FDE381" w:rsidR="0092359B" w:rsidRPr="00D60307" w:rsidRDefault="0092359B" w:rsidP="00000911">
      <w:pPr>
        <w:pStyle w:val="enumlev1"/>
        <w:rPr>
          <w:rFonts w:eastAsia="SimSun"/>
          <w:lang w:val="ar-SA" w:eastAsia="zh-TW" w:bidi="en-GB"/>
        </w:rPr>
      </w:pPr>
      <w:r w:rsidRPr="00D60307">
        <w:rPr>
          <w:rtl/>
        </w:rPr>
        <w:t>ز</w:t>
      </w:r>
      <w:r w:rsidR="00EA11EB">
        <w:rPr>
          <w:rFonts w:hint="cs"/>
          <w:rtl/>
        </w:rPr>
        <w:t> </w:t>
      </w:r>
      <w:r w:rsidRPr="00D60307">
        <w:rPr>
          <w:rtl/>
        </w:rPr>
        <w:t>)</w:t>
      </w:r>
      <w:r w:rsidRPr="00D60307">
        <w:rPr>
          <w:rtl/>
        </w:rPr>
        <w:tab/>
        <w:t>المشاركة في الاجتماعات المشتركة بين المؤسسات لتقييم الأدوات والإجراءات.</w:t>
      </w:r>
    </w:p>
    <w:p w14:paraId="0BFCCD51" w14:textId="3C3ED045" w:rsidR="0092359B" w:rsidRPr="00D60307" w:rsidRDefault="00000911" w:rsidP="00000911">
      <w:pPr>
        <w:pStyle w:val="Heading1"/>
        <w:rPr>
          <w:rFonts w:eastAsia="SimSun"/>
          <w:lang w:val="ar-SA" w:eastAsia="zh-TW" w:bidi="en-GB"/>
        </w:rPr>
      </w:pPr>
      <w:r>
        <w:rPr>
          <w:rFonts w:hint="cs"/>
          <w:rtl/>
        </w:rPr>
        <w:t>2</w:t>
      </w:r>
      <w:r w:rsidR="0092359B" w:rsidRPr="00D60307">
        <w:rPr>
          <w:rtl/>
        </w:rPr>
        <w:tab/>
        <w:t>المواضيع الرئيسية للمناقشة</w:t>
      </w:r>
    </w:p>
    <w:p w14:paraId="7C5D499B" w14:textId="788E9839" w:rsidR="0092359B" w:rsidRPr="00D60307" w:rsidRDefault="00EA11EB" w:rsidP="00451DE6">
      <w:pPr>
        <w:pStyle w:val="enumlev1"/>
        <w:rPr>
          <w:rFonts w:eastAsia="SimSun"/>
          <w:lang w:val="ar-SA" w:eastAsia="zh-TW" w:bidi="en-GB"/>
        </w:rPr>
      </w:pPr>
      <w:r>
        <w:rPr>
          <w:rFonts w:hint="eastAsia"/>
          <w:rtl/>
        </w:rPr>
        <w:t> </w:t>
      </w:r>
      <w:r w:rsidR="0092359B" w:rsidRPr="00D60307">
        <w:rPr>
          <w:rtl/>
        </w:rPr>
        <w:t>أ</w:t>
      </w:r>
      <w:r>
        <w:rPr>
          <w:rFonts w:hint="cs"/>
          <w:rtl/>
        </w:rPr>
        <w:t> </w:t>
      </w:r>
      <w:r w:rsidR="0092359B" w:rsidRPr="00D60307">
        <w:rPr>
          <w:rtl/>
        </w:rPr>
        <w:t>)</w:t>
      </w:r>
      <w:r w:rsidR="0092359B" w:rsidRPr="00D60307">
        <w:rPr>
          <w:rtl/>
        </w:rPr>
        <w:tab/>
      </w:r>
      <w:r w:rsidR="0092359B" w:rsidRPr="00451DE6">
        <w:rPr>
          <w:rtl/>
        </w:rPr>
        <w:t>رحب المندوبون بالإنجازات التي تحققت في مجال كفاءة التكاليف في خدمات اللغات ومستوى الشفافية في</w:t>
      </w:r>
      <w:r w:rsidR="00451DE6">
        <w:rPr>
          <w:rFonts w:hint="cs"/>
          <w:rtl/>
        </w:rPr>
        <w:t> </w:t>
      </w:r>
      <w:r w:rsidR="0092359B" w:rsidRPr="00451DE6">
        <w:rPr>
          <w:rtl/>
        </w:rPr>
        <w:t>الإبلاغ. ويمكن استخدام أي وفورات لزيادة الاستثمار في التكنولوجيات الجديدة، مع ضمان الحفاظ على جودة الخدمات اللغوية.</w:t>
      </w:r>
    </w:p>
    <w:p w14:paraId="21DDAD75" w14:textId="77777777" w:rsidR="0092359B" w:rsidRPr="00D60307" w:rsidRDefault="0092359B" w:rsidP="00451DE6">
      <w:pPr>
        <w:pStyle w:val="enumlev1"/>
        <w:rPr>
          <w:rFonts w:eastAsia="SimSun"/>
          <w:lang w:val="ar-SA" w:eastAsia="zh-TW" w:bidi="en-GB"/>
        </w:rPr>
      </w:pPr>
      <w:r w:rsidRPr="00D60307">
        <w:rPr>
          <w:rtl/>
        </w:rPr>
        <w:t>ب)</w:t>
      </w:r>
      <w:r w:rsidRPr="00D60307">
        <w:rPr>
          <w:rtl/>
        </w:rPr>
        <w:tab/>
      </w:r>
      <w:r>
        <w:rPr>
          <w:rtl/>
        </w:rPr>
        <w:t>أُشيد ب</w:t>
      </w:r>
      <w:r w:rsidRPr="00D60307">
        <w:rPr>
          <w:rtl/>
        </w:rPr>
        <w:t xml:space="preserve">التطورات الأخرى وزيادة استخدام الترجمة الآلية من خلال أداة الاتحاد (ITU </w:t>
      </w:r>
      <w:proofErr w:type="spellStart"/>
      <w:r w:rsidRPr="00D60307">
        <w:rPr>
          <w:rtl/>
        </w:rPr>
        <w:t>Translate</w:t>
      </w:r>
      <w:proofErr w:type="spellEnd"/>
      <w:r w:rsidRPr="00D60307">
        <w:rPr>
          <w:rtl/>
        </w:rPr>
        <w:t>). وينبغي مواصلة تحسين جودة الأداة على صفحات الويب من خلال آليات الرصد والتحرير اللاحق وتقديم الملاحظات، التي تسمح للمندوبين بتقديم مساهمات مباشرة</w:t>
      </w:r>
      <w:r>
        <w:rPr>
          <w:rtl/>
        </w:rPr>
        <w:t>.</w:t>
      </w:r>
    </w:p>
    <w:p w14:paraId="50541594" w14:textId="5476B19A" w:rsidR="0092359B" w:rsidRPr="00D60307" w:rsidRDefault="00451DE6" w:rsidP="00451DE6">
      <w:pPr>
        <w:pStyle w:val="enumlev1"/>
        <w:rPr>
          <w:rFonts w:eastAsia="SimSun"/>
          <w:lang w:val="ar-SA" w:eastAsia="zh-TW" w:bidi="en-GB"/>
        </w:rPr>
      </w:pPr>
      <w:r>
        <w:rPr>
          <w:rFonts w:hint="cs"/>
          <w:rtl/>
        </w:rPr>
        <w:t>ج)</w:t>
      </w:r>
      <w:r w:rsidR="0092359B" w:rsidRPr="00D60307">
        <w:rPr>
          <w:rtl/>
        </w:rPr>
        <w:tab/>
      </w:r>
      <w:r w:rsidR="0092359B">
        <w:rPr>
          <w:rtl/>
        </w:rPr>
        <w:t>استحسن الاجتماع تجربة</w:t>
      </w:r>
      <w:r w:rsidR="0092359B" w:rsidRPr="00D60307">
        <w:rPr>
          <w:rtl/>
        </w:rPr>
        <w:t xml:space="preserve"> الترجمة الشفوية </w:t>
      </w:r>
      <w:r w:rsidR="0092359B">
        <w:rPr>
          <w:rtl/>
        </w:rPr>
        <w:t>بمساعدة</w:t>
      </w:r>
      <w:r w:rsidR="0092359B" w:rsidRPr="00D60307">
        <w:rPr>
          <w:rtl/>
        </w:rPr>
        <w:t xml:space="preserve"> الذكاء الاصطناعي. وأوصي بإجراء المزيد من التجريب، بما في ذلك في لجان الدراسات القطاعية، حتى يكون المشاركون على دراية باستخدامها و</w:t>
      </w:r>
      <w:r w:rsidR="0092359B">
        <w:rPr>
          <w:rtl/>
        </w:rPr>
        <w:t xml:space="preserve">حتى </w:t>
      </w:r>
      <w:r w:rsidR="0092359B" w:rsidRPr="00D60307">
        <w:rPr>
          <w:rtl/>
        </w:rPr>
        <w:t>يتمكنوا من تقديم تقييم للجودة التقنية واللغوية</w:t>
      </w:r>
      <w:r w:rsidR="0092359B">
        <w:rPr>
          <w:rtl/>
        </w:rPr>
        <w:t>.</w:t>
      </w:r>
    </w:p>
    <w:p w14:paraId="44CCB1D2" w14:textId="5351A713" w:rsidR="0092359B" w:rsidRPr="00D60307" w:rsidRDefault="0092359B" w:rsidP="00451DE6">
      <w:pPr>
        <w:pStyle w:val="enumlev1"/>
        <w:rPr>
          <w:rFonts w:eastAsia="SimSun"/>
          <w:lang w:val="ar-SA" w:eastAsia="zh-TW" w:bidi="en-GB"/>
        </w:rPr>
      </w:pPr>
      <w:r w:rsidRPr="00D60307">
        <w:rPr>
          <w:rtl/>
        </w:rPr>
        <w:t>د</w:t>
      </w:r>
      <w:r w:rsidR="00EA11EB">
        <w:rPr>
          <w:rFonts w:hint="cs"/>
          <w:rtl/>
        </w:rPr>
        <w:t> </w:t>
      </w:r>
      <w:r w:rsidRPr="00D60307">
        <w:rPr>
          <w:rtl/>
        </w:rPr>
        <w:t>)</w:t>
      </w:r>
      <w:r w:rsidRPr="00D60307">
        <w:rPr>
          <w:rtl/>
        </w:rPr>
        <w:tab/>
        <w:t xml:space="preserve">ينبغي فتح باب النقاش بشأن الوثيقة المتعلقة بتدابير ومبادئ الترجمة الشفوية والترجمة التحريرية في الاتحاد بغية إدراج استخدام الترجمة الآلية </w:t>
      </w:r>
      <w:r>
        <w:rPr>
          <w:rtl/>
        </w:rPr>
        <w:t>بوضوح</w:t>
      </w:r>
      <w:r w:rsidRPr="00D60307">
        <w:rPr>
          <w:rtl/>
        </w:rPr>
        <w:t xml:space="preserve"> في الوثائق وصفحات الويب والمنشورات ذات الصلة</w:t>
      </w:r>
      <w:r>
        <w:rPr>
          <w:rtl/>
        </w:rPr>
        <w:t>.</w:t>
      </w:r>
    </w:p>
    <w:p w14:paraId="7BCEA412" w14:textId="6DDFFC96" w:rsidR="0092359B" w:rsidRPr="00D60307" w:rsidRDefault="0092359B" w:rsidP="00451DE6">
      <w:pPr>
        <w:pStyle w:val="enumlev1"/>
        <w:rPr>
          <w:rFonts w:eastAsia="SimSun"/>
          <w:lang w:val="ar-SA" w:eastAsia="zh-TW" w:bidi="en-GB"/>
        </w:rPr>
      </w:pPr>
      <w:r w:rsidRPr="00D60307">
        <w:rPr>
          <w:rtl/>
        </w:rPr>
        <w:t>هـ</w:t>
      </w:r>
      <w:r w:rsidR="00EA11EB">
        <w:rPr>
          <w:rFonts w:hint="cs"/>
          <w:rtl/>
        </w:rPr>
        <w:t> </w:t>
      </w:r>
      <w:r w:rsidRPr="00D60307">
        <w:rPr>
          <w:rtl/>
        </w:rPr>
        <w:t>)</w:t>
      </w:r>
      <w:r w:rsidRPr="00D60307">
        <w:rPr>
          <w:rtl/>
        </w:rPr>
        <w:tab/>
        <w:t xml:space="preserve">ينبغي النظر في استخدام الترجمة الآلية والترجمة الشفوية </w:t>
      </w:r>
      <w:r>
        <w:rPr>
          <w:rtl/>
        </w:rPr>
        <w:t>بمساعدة</w:t>
      </w:r>
      <w:r w:rsidRPr="00D60307">
        <w:rPr>
          <w:rtl/>
        </w:rPr>
        <w:t xml:space="preserve"> الذكاء الاصطناعي في اللغات غير الرسمية في المستقبل</w:t>
      </w:r>
      <w:r>
        <w:rPr>
          <w:rtl/>
        </w:rPr>
        <w:t>.</w:t>
      </w:r>
    </w:p>
    <w:p w14:paraId="41793E20" w14:textId="2FEBA8DE" w:rsidR="0092359B" w:rsidRPr="00584D1F" w:rsidRDefault="0092359B" w:rsidP="00451DE6">
      <w:pPr>
        <w:pStyle w:val="enumlev1"/>
        <w:textDirection w:val="tbRlV"/>
        <w:rPr>
          <w:rFonts w:eastAsia="SimSun"/>
          <w:lang w:val="ar-SA" w:eastAsia="zh-TW" w:bidi="en-GB"/>
        </w:rPr>
      </w:pPr>
      <w:r w:rsidRPr="00D60307">
        <w:rPr>
          <w:rtl/>
        </w:rPr>
        <w:t>و</w:t>
      </w:r>
      <w:r w:rsidR="00EA11EB">
        <w:rPr>
          <w:rFonts w:hint="cs"/>
          <w:rtl/>
        </w:rPr>
        <w:t> </w:t>
      </w:r>
      <w:r w:rsidRPr="00D60307">
        <w:rPr>
          <w:rtl/>
        </w:rPr>
        <w:t>)</w:t>
      </w:r>
      <w:r w:rsidRPr="00D60307">
        <w:rPr>
          <w:rtl/>
        </w:rPr>
        <w:tab/>
        <w:t>ق</w:t>
      </w:r>
      <w:r>
        <w:rPr>
          <w:rtl/>
        </w:rPr>
        <w:t>ُ</w:t>
      </w:r>
      <w:r w:rsidRPr="00D60307">
        <w:rPr>
          <w:rtl/>
        </w:rPr>
        <w:t>د</w:t>
      </w:r>
      <w:r>
        <w:rPr>
          <w:rtl/>
        </w:rPr>
        <w:t>ِّ</w:t>
      </w:r>
      <w:r w:rsidRPr="00D60307">
        <w:rPr>
          <w:rtl/>
        </w:rPr>
        <w:t xml:space="preserve">م التقرير الشفوي التالي عن الجهود المبذولة لتحسين الموقع الإلكتروني للاتحاد إلى فريق العمل التابع للمجلس والمعني باللغات استجابة لطلب </w:t>
      </w:r>
      <w:r>
        <w:rPr>
          <w:rtl/>
        </w:rPr>
        <w:t>ورد</w:t>
      </w:r>
      <w:r w:rsidRPr="00D60307">
        <w:rPr>
          <w:rtl/>
        </w:rPr>
        <w:t xml:space="preserve"> في مساهمة الاتحاد </w:t>
      </w:r>
      <w:r w:rsidRPr="00584D1F">
        <w:rPr>
          <w:rtl/>
        </w:rPr>
        <w:t>الروسي للحصول على معلومات أكثر تفصيلا</w:t>
      </w:r>
      <w:r w:rsidR="00EA11EB">
        <w:rPr>
          <w:rFonts w:hint="cs"/>
          <w:rtl/>
        </w:rPr>
        <w:t>ً</w:t>
      </w:r>
      <w:r w:rsidRPr="00584D1F">
        <w:rPr>
          <w:rtl/>
        </w:rPr>
        <w:t xml:space="preserve"> (الوثيقة </w:t>
      </w:r>
      <w:hyperlink r:id="rId17" w:history="1">
        <w:r w:rsidR="00451DE6" w:rsidRPr="00451DE6">
          <w:rPr>
            <w:rStyle w:val="Hyperlink"/>
            <w:rFonts w:ascii="Dubai" w:eastAsiaTheme="minorEastAsia" w:hAnsi="Dubai" w:cs="Dubai"/>
            <w:bCs/>
            <w:noProof w:val="0"/>
            <w:sz w:val="22"/>
            <w:lang w:eastAsia="zh-CN"/>
          </w:rPr>
          <w:t>CWG-LANG-16/4</w:t>
        </w:r>
      </w:hyperlink>
      <w:r w:rsidRPr="00584D1F">
        <w:rPr>
          <w:rtl/>
        </w:rPr>
        <w:t>):</w:t>
      </w:r>
    </w:p>
    <w:p w14:paraId="63512791" w14:textId="4A9867BC" w:rsidR="0092359B" w:rsidRPr="00D60307" w:rsidRDefault="0092359B" w:rsidP="00451DE6">
      <w:pPr>
        <w:pStyle w:val="enumlev2"/>
        <w:rPr>
          <w:rFonts w:eastAsia="SimSun"/>
          <w:bCs/>
          <w:kern w:val="2"/>
          <w:lang w:val="ar-SA" w:eastAsia="zh-TW" w:bidi="en-GB"/>
          <w14:ligatures w14:val="standardContextual"/>
        </w:rPr>
      </w:pPr>
      <w:r w:rsidRPr="00D60307">
        <w:rPr>
          <w:rtl/>
        </w:rPr>
        <w:tab/>
        <w:t xml:space="preserve">أدخل الاتحاد تحسينات على الموقع الإلكتروني، </w:t>
      </w:r>
      <w:r>
        <w:rPr>
          <w:rtl/>
        </w:rPr>
        <w:t>تشمل</w:t>
      </w:r>
      <w:r w:rsidRPr="00D60307">
        <w:rPr>
          <w:rtl/>
        </w:rPr>
        <w:t xml:space="preserve"> مواصلة تحسين استخدام</w:t>
      </w:r>
      <w:r>
        <w:rPr>
          <w:rtl/>
        </w:rPr>
        <w:t xml:space="preserve"> أداة البحث</w:t>
      </w:r>
      <w:r w:rsidRPr="00D60307">
        <w:rPr>
          <w:rtl/>
        </w:rPr>
        <w:t xml:space="preserve"> </w:t>
      </w:r>
      <w:r>
        <w:t>Google Search</w:t>
      </w:r>
      <w:r w:rsidRPr="00D60307">
        <w:rPr>
          <w:rtl/>
        </w:rPr>
        <w:t xml:space="preserve"> على الموقع الإلكتروني للاتحاد الموجه للجمهور لتحسين تجربة البحث، وتحسين ميزة التعليقات على الموقع وتحليل تجربة المستعمل وسلوكه. وتشمل جميع المواقع الشبكية الجديدة المبنية </w:t>
      </w:r>
      <w:r w:rsidRPr="00EA11EB">
        <w:rPr>
          <w:rtl/>
        </w:rPr>
        <w:t xml:space="preserve">على المنصة </w:t>
      </w:r>
      <w:r w:rsidRPr="00EA11EB">
        <w:t>WordPress</w:t>
      </w:r>
      <w:r w:rsidRPr="00EA11EB">
        <w:rPr>
          <w:rtl/>
        </w:rPr>
        <w:t xml:space="preserve"> الترجمة</w:t>
      </w:r>
      <w:r w:rsidRPr="00D60307">
        <w:rPr>
          <w:rtl/>
        </w:rPr>
        <w:t xml:space="preserve"> الآلية باللغات الرسمية الست للاتحاد. وخ</w:t>
      </w:r>
      <w:r>
        <w:rPr>
          <w:rtl/>
        </w:rPr>
        <w:t>ُ</w:t>
      </w:r>
      <w:r w:rsidRPr="00D60307">
        <w:rPr>
          <w:rtl/>
        </w:rPr>
        <w:t xml:space="preserve">صص للأمانة مبلغ 350 ألف فرنك سويسري لميزانية مشروع الموقع الإلكتروني الجديد، وهي تعمل على </w:t>
      </w:r>
      <w:r w:rsidRPr="00F35881">
        <w:rPr>
          <w:rtl/>
        </w:rPr>
        <w:lastRenderedPageBreak/>
        <w:t>جمع المبلغ المتبقي البالغ 250 ألف فرنك سويسري المحدد</w:t>
      </w:r>
      <w:r w:rsidRPr="00D60307">
        <w:rPr>
          <w:rtl/>
        </w:rPr>
        <w:t xml:space="preserve"> في ميزانية المشروع. </w:t>
      </w:r>
      <w:r>
        <w:rPr>
          <w:rtl/>
        </w:rPr>
        <w:t>و</w:t>
      </w:r>
      <w:r w:rsidRPr="00D60307">
        <w:rPr>
          <w:rtl/>
        </w:rPr>
        <w:t xml:space="preserve">تم إعداد طلبات لتقديم مقترحات لهندسة المعلومات وتصنيفها، ولتطوير </w:t>
      </w:r>
      <w:r>
        <w:rPr>
          <w:rtl/>
        </w:rPr>
        <w:t xml:space="preserve">المنصة </w:t>
      </w:r>
      <w:r>
        <w:rPr>
          <w:lang w:val="en-GB"/>
        </w:rPr>
        <w:t>Expert</w:t>
      </w:r>
      <w:r w:rsidRPr="00D60307">
        <w:rPr>
          <w:rtl/>
        </w:rPr>
        <w:t xml:space="preserve"> </w:t>
      </w:r>
      <w:proofErr w:type="spellStart"/>
      <w:r w:rsidRPr="00D60307">
        <w:rPr>
          <w:rtl/>
        </w:rPr>
        <w:t>WordPress</w:t>
      </w:r>
      <w:proofErr w:type="spellEnd"/>
      <w:r w:rsidRPr="00D60307">
        <w:rPr>
          <w:rtl/>
        </w:rPr>
        <w:t xml:space="preserve">. وقد بدأ العمل على تحليل المواقع </w:t>
      </w:r>
      <w:r>
        <w:rPr>
          <w:rtl/>
        </w:rPr>
        <w:t>الإلكترونية</w:t>
      </w:r>
      <w:r w:rsidRPr="00D60307">
        <w:rPr>
          <w:rtl/>
        </w:rPr>
        <w:t xml:space="preserve"> الحالية وإنشاء إطار لإدارة الويب. </w:t>
      </w:r>
      <w:r>
        <w:rPr>
          <w:rtl/>
        </w:rPr>
        <w:t>وستُقدَّم</w:t>
      </w:r>
      <w:r w:rsidRPr="00D60307">
        <w:rPr>
          <w:rtl/>
        </w:rPr>
        <w:t xml:space="preserve"> تحديثات منتظمة إلى </w:t>
      </w:r>
      <w:r>
        <w:rPr>
          <w:rtl/>
        </w:rPr>
        <w:t>فريق العمل التابع للمجلس والمعني باللغات</w:t>
      </w:r>
      <w:r w:rsidRPr="00D60307">
        <w:rPr>
          <w:rtl/>
        </w:rPr>
        <w:t xml:space="preserve"> وفريق </w:t>
      </w:r>
      <w:r>
        <w:rPr>
          <w:rtl/>
        </w:rPr>
        <w:t>العمل التابع للمجلس و</w:t>
      </w:r>
      <w:r w:rsidRPr="00D60307">
        <w:rPr>
          <w:rtl/>
        </w:rPr>
        <w:t>المعني بالموارد المالية والبشرية والمجلس.</w:t>
      </w:r>
    </w:p>
    <w:p w14:paraId="3B67CCA1" w14:textId="77777777" w:rsidR="0092359B" w:rsidRPr="00D60307" w:rsidRDefault="0092359B" w:rsidP="00451DE6">
      <w:pPr>
        <w:pStyle w:val="Heading1"/>
        <w:rPr>
          <w:rFonts w:eastAsia="SimSun"/>
          <w:lang w:val="ar-SA" w:eastAsia="zh-TW" w:bidi="en-GB"/>
        </w:rPr>
      </w:pPr>
      <w:r w:rsidRPr="00D60307">
        <w:rPr>
          <w:rtl/>
        </w:rPr>
        <w:t>3</w:t>
      </w:r>
      <w:r w:rsidRPr="00D60307">
        <w:rPr>
          <w:rtl/>
        </w:rPr>
        <w:tab/>
        <w:t>نتائج فريق العمل التابع للمجلس والمعني باللغات</w:t>
      </w:r>
    </w:p>
    <w:p w14:paraId="182205FF" w14:textId="70FBC9D3" w:rsidR="0092359B" w:rsidRPr="00F35881" w:rsidRDefault="0092359B" w:rsidP="0092359B">
      <w:pPr>
        <w:textDirection w:val="tbRlV"/>
        <w:rPr>
          <w:rFonts w:eastAsia="SimSun"/>
          <w:b/>
          <w:kern w:val="2"/>
          <w:lang w:val="ar-SA" w:eastAsia="zh-TW" w:bidi="en-GB"/>
          <w14:ligatures w14:val="standardContextual"/>
        </w:rPr>
      </w:pPr>
      <w:r w:rsidRPr="00F35881">
        <w:rPr>
          <w:b/>
          <w:rtl/>
        </w:rPr>
        <w:t xml:space="preserve">تمثلت النتائج الرئيسية </w:t>
      </w:r>
      <w:hyperlink r:id="rId18" w:history="1">
        <w:r w:rsidRPr="00F35881">
          <w:rPr>
            <w:rStyle w:val="Hyperlink"/>
            <w:rFonts w:ascii="Dubai" w:eastAsiaTheme="minorEastAsia" w:hAnsi="Dubai" w:cs="Dubai"/>
            <w:b/>
            <w:noProof w:val="0"/>
            <w:sz w:val="22"/>
            <w:rtl/>
            <w:lang w:val="en-US" w:eastAsia="zh-CN"/>
          </w:rPr>
          <w:t>للاجتماع السادس عشر لفريق العمل التابع للمجلس والمعني باللغات</w:t>
        </w:r>
      </w:hyperlink>
      <w:r w:rsidRPr="00F35881">
        <w:rPr>
          <w:b/>
          <w:rtl/>
        </w:rPr>
        <w:t xml:space="preserve"> فيما يلي:</w:t>
      </w:r>
    </w:p>
    <w:p w14:paraId="6C4CC261" w14:textId="6DA52B2C" w:rsidR="0092359B" w:rsidRPr="00D60307" w:rsidRDefault="0092359B" w:rsidP="00451DE6">
      <w:pPr>
        <w:pStyle w:val="enumlev1"/>
        <w:rPr>
          <w:rFonts w:eastAsia="Calibri"/>
          <w:kern w:val="2"/>
          <w:lang w:val="ar-SA" w:eastAsia="zh-TW" w:bidi="en-GB"/>
          <w14:ligatures w14:val="standardContextual"/>
        </w:rPr>
      </w:pPr>
      <w:r w:rsidRPr="00D60307">
        <w:t>–</w:t>
      </w:r>
      <w:r w:rsidRPr="00D60307">
        <w:rPr>
          <w:rtl/>
        </w:rPr>
        <w:tab/>
        <w:t xml:space="preserve">طلب </w:t>
      </w:r>
      <w:r>
        <w:rPr>
          <w:rtl/>
        </w:rPr>
        <w:t>يتمثل في أن</w:t>
      </w:r>
      <w:r w:rsidRPr="00D60307">
        <w:rPr>
          <w:rtl/>
        </w:rPr>
        <w:t xml:space="preserve"> </w:t>
      </w:r>
      <w:r>
        <w:rPr>
          <w:rtl/>
        </w:rPr>
        <w:t>تقدم</w:t>
      </w:r>
      <w:r w:rsidRPr="00D60307">
        <w:rPr>
          <w:rtl/>
        </w:rPr>
        <w:t xml:space="preserve"> الأمانة النفقات السنوية التفصيلية مقابل سقف الميزانية البالغ 85 مليون فرنك</w:t>
      </w:r>
      <w:r w:rsidR="00F35881">
        <w:rPr>
          <w:rFonts w:hint="cs"/>
          <w:rtl/>
        </w:rPr>
        <w:t> </w:t>
      </w:r>
      <w:r w:rsidRPr="00D60307">
        <w:rPr>
          <w:rtl/>
        </w:rPr>
        <w:t>سويسري لخدمات اللغات في التقارير المقبلة</w:t>
      </w:r>
      <w:r>
        <w:rPr>
          <w:rtl/>
        </w:rPr>
        <w:t xml:space="preserve"> المقدمة</w:t>
      </w:r>
      <w:r w:rsidRPr="00D60307">
        <w:rPr>
          <w:rtl/>
        </w:rPr>
        <w:t xml:space="preserve"> إلى فريق العمل التابع للمجلس والمعني باللغات، بالإضافة إلى حاشية تحدد عام 2022 باعتباره عاما</w:t>
      </w:r>
      <w:r>
        <w:rPr>
          <w:rtl/>
        </w:rPr>
        <w:t>ً</w:t>
      </w:r>
      <w:r w:rsidRPr="00D60307">
        <w:rPr>
          <w:rtl/>
        </w:rPr>
        <w:t xml:space="preserve"> استثنائيا</w:t>
      </w:r>
      <w:r>
        <w:rPr>
          <w:rtl/>
        </w:rPr>
        <w:t>ً</w:t>
      </w:r>
      <w:r w:rsidRPr="00D60307">
        <w:rPr>
          <w:rtl/>
        </w:rPr>
        <w:t xml:space="preserve"> من حيث المؤتمرات التي عقدت؛</w:t>
      </w:r>
    </w:p>
    <w:p w14:paraId="57C9ECA9" w14:textId="5057173D" w:rsidR="0092359B" w:rsidRPr="00D60307" w:rsidRDefault="0092359B" w:rsidP="00451DE6">
      <w:pPr>
        <w:pStyle w:val="enumlev1"/>
        <w:rPr>
          <w:rFonts w:eastAsia="Calibri"/>
          <w:kern w:val="2"/>
          <w:lang w:val="ar-SA" w:eastAsia="zh-TW" w:bidi="en-GB"/>
          <w14:ligatures w14:val="standardContextual"/>
        </w:rPr>
      </w:pPr>
      <w:r w:rsidRPr="00D60307">
        <w:t>–</w:t>
      </w:r>
      <w:r w:rsidRPr="00D60307">
        <w:rPr>
          <w:rtl/>
        </w:rPr>
        <w:tab/>
      </w:r>
      <w:r w:rsidR="005703F0">
        <w:rPr>
          <w:rFonts w:hint="cs"/>
          <w:rtl/>
        </w:rPr>
        <w:t>و</w:t>
      </w:r>
      <w:r w:rsidRPr="00D60307">
        <w:rPr>
          <w:rtl/>
        </w:rPr>
        <w:t>إدراج تحديثات بشأن تطوير الموقع الإلكتروني وتحسين محرك البحث في جميع التقارير المقبلة المقدمة إلى فريق العمل التابع للمجلس والمعني باللغات على النحو المبين في القرار 154؛</w:t>
      </w:r>
    </w:p>
    <w:p w14:paraId="7888FF1C" w14:textId="38235CAC" w:rsidR="0092359B" w:rsidRPr="0093360A" w:rsidRDefault="0092359B" w:rsidP="00451DE6">
      <w:pPr>
        <w:pStyle w:val="enumlev1"/>
        <w:rPr>
          <w:rFonts w:eastAsia="Calibri"/>
          <w:kern w:val="2"/>
          <w:lang w:val="ar-SA" w:eastAsia="zh-TW" w:bidi="en-GB"/>
          <w14:ligatures w14:val="standardContextual"/>
        </w:rPr>
      </w:pPr>
      <w:r w:rsidRPr="00D60307">
        <w:t>–</w:t>
      </w:r>
      <w:r w:rsidRPr="00D60307">
        <w:rPr>
          <w:rtl/>
        </w:rPr>
        <w:tab/>
      </w:r>
      <w:r w:rsidR="005703F0">
        <w:rPr>
          <w:rFonts w:hint="cs"/>
          <w:rtl/>
        </w:rPr>
        <w:t>و</w:t>
      </w:r>
      <w:r w:rsidRPr="00D60307">
        <w:rPr>
          <w:rtl/>
        </w:rPr>
        <w:t>الإحاطة علما</w:t>
      </w:r>
      <w:r w:rsidR="00451DE6">
        <w:rPr>
          <w:rFonts w:hint="cs"/>
          <w:rtl/>
        </w:rPr>
        <w:t>ً</w:t>
      </w:r>
      <w:r w:rsidRPr="00D60307">
        <w:rPr>
          <w:rtl/>
        </w:rPr>
        <w:t xml:space="preserve"> بتحديث تنفيذ دليل تعدد اللغات، بما في ذلك البيانات المتعلقة باستخدام أدوات الترجمة الآلية للاتحاد</w:t>
      </w:r>
      <w:r>
        <w:rPr>
          <w:rtl/>
        </w:rPr>
        <w:t xml:space="preserve"> </w:t>
      </w:r>
      <w:r>
        <w:rPr>
          <w:lang w:val="en-GB"/>
        </w:rPr>
        <w:t>ITU-</w:t>
      </w:r>
      <w:r w:rsidRPr="0093360A">
        <w:rPr>
          <w:lang w:val="en-GB"/>
        </w:rPr>
        <w:t>Translate</w:t>
      </w:r>
      <w:r w:rsidRPr="0093360A">
        <w:rPr>
          <w:rtl/>
        </w:rPr>
        <w:t xml:space="preserve"> (</w:t>
      </w:r>
      <w:hyperlink r:id="rId19" w:history="1">
        <w:r w:rsidR="00451DE6" w:rsidRPr="00451DE6">
          <w:rPr>
            <w:rStyle w:val="Hyperlink"/>
            <w:rFonts w:ascii="Dubai" w:eastAsiaTheme="minorEastAsia" w:hAnsi="Dubai" w:cs="Dubai"/>
            <w:noProof w:val="0"/>
            <w:sz w:val="22"/>
            <w:lang w:eastAsia="zh-CN"/>
          </w:rPr>
          <w:t>CWG-LANG/16-3</w:t>
        </w:r>
      </w:hyperlink>
      <w:r w:rsidRPr="0093360A">
        <w:rPr>
          <w:rtl/>
        </w:rPr>
        <w:t>)؛</w:t>
      </w:r>
    </w:p>
    <w:p w14:paraId="3AAFCEB5" w14:textId="3FA70056" w:rsidR="0092359B" w:rsidRPr="0093360A" w:rsidRDefault="0092359B" w:rsidP="00451DE6">
      <w:pPr>
        <w:pStyle w:val="enumlev1"/>
        <w:rPr>
          <w:rFonts w:eastAsia="Calibri"/>
          <w:kern w:val="2"/>
          <w:lang w:val="ar-SA" w:eastAsia="zh-TW" w:bidi="en-GB"/>
          <w14:ligatures w14:val="standardContextual"/>
        </w:rPr>
      </w:pPr>
      <w:r w:rsidRPr="00D60307">
        <w:t>–</w:t>
      </w:r>
      <w:r w:rsidRPr="00D60307">
        <w:rPr>
          <w:rtl/>
        </w:rPr>
        <w:tab/>
      </w:r>
      <w:r w:rsidR="005703F0">
        <w:rPr>
          <w:rFonts w:hint="cs"/>
          <w:rtl/>
        </w:rPr>
        <w:t>و</w:t>
      </w:r>
      <w:r w:rsidRPr="00D60307">
        <w:rPr>
          <w:rtl/>
        </w:rPr>
        <w:t xml:space="preserve">تقديم وثيقة إعلامية إلى المجلس بشأن التقرير المتعلق بالتحديات والفرص </w:t>
      </w:r>
      <w:r>
        <w:rPr>
          <w:rtl/>
        </w:rPr>
        <w:t>المرتبطة</w:t>
      </w:r>
      <w:r w:rsidRPr="00D60307">
        <w:rPr>
          <w:rtl/>
        </w:rPr>
        <w:t xml:space="preserve"> باستخدام الترجمة الشفوية </w:t>
      </w:r>
      <w:r>
        <w:rPr>
          <w:rtl/>
        </w:rPr>
        <w:t xml:space="preserve">بمساعدة </w:t>
      </w:r>
      <w:r w:rsidRPr="00D60307">
        <w:rPr>
          <w:rtl/>
        </w:rPr>
        <w:t xml:space="preserve">الذكاء الاصطناعي </w:t>
      </w:r>
      <w:r w:rsidRPr="0093360A">
        <w:rPr>
          <w:rtl/>
        </w:rPr>
        <w:t xml:space="preserve">في الاتحاد (الوثيقة </w:t>
      </w:r>
      <w:hyperlink r:id="rId20" w:history="1">
        <w:r w:rsidR="00451DE6" w:rsidRPr="00451DE6">
          <w:rPr>
            <w:rStyle w:val="Hyperlink"/>
            <w:rFonts w:ascii="Dubai" w:eastAsiaTheme="minorEastAsia" w:hAnsi="Dubai" w:cs="Dubai"/>
            <w:noProof w:val="0"/>
            <w:sz w:val="22"/>
            <w:lang w:eastAsia="zh-CN"/>
          </w:rPr>
          <w:t>C25/INF/7</w:t>
        </w:r>
      </w:hyperlink>
      <w:r w:rsidRPr="0093360A">
        <w:rPr>
          <w:rtl/>
        </w:rPr>
        <w:t>).</w:t>
      </w:r>
    </w:p>
    <w:p w14:paraId="64B7E659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21"/>
      <w:headerReference w:type="first" r:id="rId22"/>
      <w:footerReference w:type="first" r:id="rId23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609A" w14:textId="77777777" w:rsidR="0092359B" w:rsidRDefault="0092359B" w:rsidP="006C3242">
      <w:pPr>
        <w:spacing w:before="0" w:line="240" w:lineRule="auto"/>
      </w:pPr>
      <w:r>
        <w:separator/>
      </w:r>
    </w:p>
  </w:endnote>
  <w:endnote w:type="continuationSeparator" w:id="0">
    <w:p w14:paraId="1FA52655" w14:textId="77777777" w:rsidR="0092359B" w:rsidRDefault="0092359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6CF8BEFA" w14:textId="77777777" w:rsidTr="00A67F05">
      <w:trPr>
        <w:jc w:val="center"/>
      </w:trPr>
      <w:tc>
        <w:tcPr>
          <w:tcW w:w="868" w:type="pct"/>
          <w:vAlign w:val="center"/>
        </w:tcPr>
        <w:p w14:paraId="62855612" w14:textId="1B6D5B50" w:rsidR="00F50E3F" w:rsidRPr="007B0AA0" w:rsidRDefault="00F35881" w:rsidP="00DF50EB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>
            <w:rPr>
              <w:rFonts w:ascii="Calibri" w:hAnsi="Calibri" w:cs="Arial"/>
              <w:sz w:val="18"/>
              <w:szCs w:val="14"/>
            </w:rPr>
            <w:t>2501186</w:t>
          </w:r>
        </w:p>
      </w:tc>
      <w:tc>
        <w:tcPr>
          <w:tcW w:w="3912" w:type="pct"/>
        </w:tcPr>
        <w:p w14:paraId="3043D7A5" w14:textId="2C09BCCC" w:rsidR="00F50E3F" w:rsidRPr="007B0AA0" w:rsidRDefault="00F50E3F" w:rsidP="00DF50E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92359B">
            <w:rPr>
              <w:rFonts w:ascii="Calibri" w:hAnsi="Calibri" w:cs="Arial"/>
              <w:bCs/>
              <w:color w:val="7F7F7F"/>
              <w:sz w:val="18"/>
            </w:rPr>
            <w:t>12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5B49D06" w14:textId="77777777" w:rsidR="00F50E3F" w:rsidRPr="007B0AA0" w:rsidRDefault="00F50E3F" w:rsidP="00DF50E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1DC367D2" w14:textId="77777777" w:rsidR="006C3242" w:rsidRPr="0026373E" w:rsidRDefault="006C3242" w:rsidP="00BA04B2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2A7EAE45" w14:textId="77777777" w:rsidTr="00A67F05">
      <w:trPr>
        <w:jc w:val="center"/>
      </w:trPr>
      <w:tc>
        <w:tcPr>
          <w:tcW w:w="1013" w:type="pct"/>
          <w:vAlign w:val="center"/>
        </w:tcPr>
        <w:p w14:paraId="743274E9" w14:textId="77777777" w:rsidR="007B0AA0" w:rsidRPr="00660DEA" w:rsidRDefault="00660DEA" w:rsidP="00DF50EB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Pr="00660DEA">
              <w:rPr>
                <w:rStyle w:val="Hyperlink"/>
              </w:rPr>
              <w:t>council.itu.int/2025</w:t>
            </w:r>
          </w:hyperlink>
        </w:p>
      </w:tc>
      <w:tc>
        <w:tcPr>
          <w:tcW w:w="3768" w:type="pct"/>
        </w:tcPr>
        <w:p w14:paraId="4EBBF8D1" w14:textId="16EC053B" w:rsidR="007B0AA0" w:rsidRPr="007B0AA0" w:rsidRDefault="007B0AA0" w:rsidP="00DF50E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92359B">
            <w:rPr>
              <w:rFonts w:ascii="Calibri" w:hAnsi="Calibri" w:cs="Arial"/>
              <w:bCs/>
              <w:color w:val="7F7F7F"/>
              <w:sz w:val="18"/>
            </w:rPr>
            <w:t>12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1C45529A" w14:textId="77777777" w:rsidR="007B0AA0" w:rsidRPr="007B0AA0" w:rsidRDefault="00F50E3F" w:rsidP="00DF50E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58F05C1D" w14:textId="77777777" w:rsidR="0006468A" w:rsidRPr="007B0AA0" w:rsidRDefault="0006468A" w:rsidP="00BA04B2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4740" w14:textId="77777777" w:rsidR="0092359B" w:rsidRDefault="0092359B" w:rsidP="006C3242">
      <w:pPr>
        <w:spacing w:before="0" w:line="240" w:lineRule="auto"/>
      </w:pPr>
      <w:r>
        <w:separator/>
      </w:r>
    </w:p>
  </w:footnote>
  <w:footnote w:type="continuationSeparator" w:id="0">
    <w:p w14:paraId="65A68F82" w14:textId="77777777" w:rsidR="0092359B" w:rsidRDefault="0092359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1588" w14:textId="77777777" w:rsidR="007B0AA0" w:rsidRDefault="007648A6" w:rsidP="00935AAC">
    <w:pPr>
      <w:pStyle w:val="Header"/>
      <w:spacing w:before="120" w:after="60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F60EF" wp14:editId="4C8684F8">
              <wp:simplePos x="0" y="0"/>
              <wp:positionH relativeFrom="page">
                <wp:posOffset>7453630</wp:posOffset>
              </wp:positionH>
              <wp:positionV relativeFrom="topMargin">
                <wp:posOffset>641294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DC4C7F" id="Rectangle 5" o:spid="_x0000_s1026" style="position:absolute;margin-left:586.9pt;margin-top:50.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" fillcolor="#009cd5" stroked="f">
              <w10:wrap anchorx="page" anchory="margin"/>
            </v:rect>
          </w:pict>
        </mc:Fallback>
      </mc:AlternateContent>
    </w:r>
    <w:r w:rsidR="00420F8A">
      <w:rPr>
        <w:rFonts w:ascii="Avenir Nxt2 W1G Medium" w:eastAsia="Avenir Nxt2 W1G Medium" w:hAnsi="Avenir Nxt2 W1G Medium" w:cs="Avenir Nxt2 W1G Medium"/>
        <w:noProof/>
      </w:rPr>
      <w:drawing>
        <wp:inline distT="0" distB="0" distL="0" distR="0" wp14:anchorId="5FA7F742" wp14:editId="49C57EA9">
          <wp:extent cx="2999433" cy="612775"/>
          <wp:effectExtent l="0" t="0" r="0" b="0"/>
          <wp:docPr id="1631567398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67398" name="Picture 1" descr="A black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02"/>
                  <a:stretch/>
                </pic:blipFill>
                <pic:spPr bwMode="auto">
                  <a:xfrm>
                    <a:off x="0" y="0"/>
                    <a:ext cx="2999932" cy="612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9B"/>
    <w:rsid w:val="00000911"/>
    <w:rsid w:val="00032B8F"/>
    <w:rsid w:val="0006468A"/>
    <w:rsid w:val="00090574"/>
    <w:rsid w:val="000C1C0E"/>
    <w:rsid w:val="000C548A"/>
    <w:rsid w:val="00191059"/>
    <w:rsid w:val="001B6E2B"/>
    <w:rsid w:val="001C0169"/>
    <w:rsid w:val="001C0C21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E6541"/>
    <w:rsid w:val="00334924"/>
    <w:rsid w:val="003409BC"/>
    <w:rsid w:val="00357185"/>
    <w:rsid w:val="00383829"/>
    <w:rsid w:val="003F4B29"/>
    <w:rsid w:val="00406A02"/>
    <w:rsid w:val="00407B06"/>
    <w:rsid w:val="00420F8A"/>
    <w:rsid w:val="0042686F"/>
    <w:rsid w:val="004317D8"/>
    <w:rsid w:val="0043260A"/>
    <w:rsid w:val="00434183"/>
    <w:rsid w:val="00443869"/>
    <w:rsid w:val="00447F32"/>
    <w:rsid w:val="00451DE6"/>
    <w:rsid w:val="00491BA9"/>
    <w:rsid w:val="00494119"/>
    <w:rsid w:val="00497700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703F0"/>
    <w:rsid w:val="0058491B"/>
    <w:rsid w:val="00592EA5"/>
    <w:rsid w:val="005A3170"/>
    <w:rsid w:val="00660DEA"/>
    <w:rsid w:val="0067739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426C5"/>
    <w:rsid w:val="008513CB"/>
    <w:rsid w:val="00874E9F"/>
    <w:rsid w:val="008A7F84"/>
    <w:rsid w:val="0091702E"/>
    <w:rsid w:val="0092359B"/>
    <w:rsid w:val="00923B0C"/>
    <w:rsid w:val="00924F46"/>
    <w:rsid w:val="00935AAC"/>
    <w:rsid w:val="0094021C"/>
    <w:rsid w:val="00952F86"/>
    <w:rsid w:val="00965555"/>
    <w:rsid w:val="00982B28"/>
    <w:rsid w:val="009D313F"/>
    <w:rsid w:val="00A025FA"/>
    <w:rsid w:val="00A47A5A"/>
    <w:rsid w:val="00A63AE6"/>
    <w:rsid w:val="00A6683B"/>
    <w:rsid w:val="00A67F05"/>
    <w:rsid w:val="00A97F94"/>
    <w:rsid w:val="00AA6EF0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A1CF0"/>
    <w:rsid w:val="00DC1E02"/>
    <w:rsid w:val="00DC24B4"/>
    <w:rsid w:val="00DC5FB0"/>
    <w:rsid w:val="00DF16DC"/>
    <w:rsid w:val="00DF50EB"/>
    <w:rsid w:val="00E25355"/>
    <w:rsid w:val="00E45211"/>
    <w:rsid w:val="00E473C5"/>
    <w:rsid w:val="00E61BE8"/>
    <w:rsid w:val="00E83FF1"/>
    <w:rsid w:val="00E92863"/>
    <w:rsid w:val="00E979B2"/>
    <w:rsid w:val="00EA11EB"/>
    <w:rsid w:val="00EB796D"/>
    <w:rsid w:val="00EC4D17"/>
    <w:rsid w:val="00F058DC"/>
    <w:rsid w:val="00F24FC4"/>
    <w:rsid w:val="00F2676C"/>
    <w:rsid w:val="00F35881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D589B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E75F971"/>
  <w15:chartTrackingRefBased/>
  <w15:docId w15:val="{57A68F54-CCD6-4266-8910-CE49FE7E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407B06"/>
    <w:rPr>
      <w:rFonts w:ascii="Calibri" w:eastAsia="Calibri" w:hAnsi="Calibri" w:cs="Arial"/>
      <w:noProof/>
      <w:color w:val="5B9BD5" w:themeColor="accent1"/>
      <w:sz w:val="18"/>
      <w:u w:val="single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091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07B06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154-A.pdf" TargetMode="External"/><Relationship Id="rId13" Type="http://schemas.openxmlformats.org/officeDocument/2006/relationships/hyperlink" Target="https://www.itu.int/md/S25-RCLCWGLANG16-C-0003/en" TargetMode="External"/><Relationship Id="rId18" Type="http://schemas.openxmlformats.org/officeDocument/2006/relationships/hyperlink" Target="https://www.itu.int/md/S25-RCLCWGLANG16-C-0005/e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5-RCLCWGLANG16-C-0005/en" TargetMode="External"/><Relationship Id="rId17" Type="http://schemas.openxmlformats.org/officeDocument/2006/relationships/hyperlink" Target="https://www.itu.int/md/S25-RCLCWGLANG16-C-0004/e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5-RCLCWGLANG16-C-0002/en" TargetMode="External"/><Relationship Id="rId20" Type="http://schemas.openxmlformats.org/officeDocument/2006/relationships/hyperlink" Target="https://www.itu.int/md/S25-CL-INF-0007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5-RCLCWGLANG16-C-0005/e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5-RCLCWGLANG16-C-0005/en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tu.int/md/S25-RCLCWGLANG16-C-0005/en" TargetMode="External"/><Relationship Id="rId19" Type="http://schemas.openxmlformats.org/officeDocument/2006/relationships/hyperlink" Target="https://www.itu.int/md/S25-RCLCWGLANG16-C-0003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hub/publication/s-conf-cl-2024/" TargetMode="External"/><Relationship Id="rId14" Type="http://schemas.openxmlformats.org/officeDocument/2006/relationships/hyperlink" Target="https://www.itu.int/md/S25-RCLCWGLANG16-C-0003/en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SG\PA_Council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 2025.dotx</Template>
  <TotalTime>1</TotalTime>
  <Pages>3</Pages>
  <Words>771</Words>
  <Characters>4501</Characters>
  <Application>Microsoft Office Word</Application>
  <DocSecurity>0</DocSecurity>
  <Lines>82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of the 16th meeting of the Council Working Group on the use of the six official languages of the Union</dc:title>
  <dc:subject>ITU Council 2025</dc:subject>
  <cp:keywords>C2025, C25, Council-25</cp:keywords>
  <dc:description/>
  <dcterms:created xsi:type="dcterms:W3CDTF">2025-05-29T09:06:00Z</dcterms:created>
  <dcterms:modified xsi:type="dcterms:W3CDTF">2025-05-29T09:06:00Z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