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0835308D" w14:textId="77777777" w:rsidTr="00C538FC">
        <w:trPr>
          <w:cantSplit/>
          <w:trHeight w:val="23"/>
        </w:trPr>
        <w:tc>
          <w:tcPr>
            <w:tcW w:w="3969" w:type="dxa"/>
            <w:vMerge w:val="restart"/>
            <w:tcMar>
              <w:left w:w="0" w:type="dxa"/>
            </w:tcMar>
          </w:tcPr>
          <w:p w14:paraId="79C106CD" w14:textId="251FDE98" w:rsidR="00FE57F6" w:rsidRPr="00F4254A" w:rsidRDefault="00F4254A" w:rsidP="00F4254A">
            <w:pPr>
              <w:spacing w:before="0"/>
              <w:rPr>
                <w:b/>
                <w:bCs/>
              </w:rPr>
            </w:pPr>
            <w:bookmarkStart w:id="0" w:name="_Hlk133421839"/>
            <w:r>
              <w:rPr>
                <w:b/>
                <w:bCs/>
              </w:rPr>
              <w:t>Punto del o</w:t>
            </w:r>
            <w:r w:rsidRPr="00F4254A">
              <w:rPr>
                <w:b/>
                <w:bCs/>
              </w:rPr>
              <w:t>rden del día:</w:t>
            </w:r>
            <w:r w:rsidR="0013702E">
              <w:rPr>
                <w:b/>
                <w:bCs/>
              </w:rPr>
              <w:t xml:space="preserve"> </w:t>
            </w:r>
            <w:r w:rsidR="0013702E" w:rsidRPr="0013702E">
              <w:rPr>
                <w:b/>
                <w:bCs/>
              </w:rPr>
              <w:t>ADM 1</w:t>
            </w:r>
          </w:p>
        </w:tc>
        <w:tc>
          <w:tcPr>
            <w:tcW w:w="5245" w:type="dxa"/>
          </w:tcPr>
          <w:p w14:paraId="7D2ED1D7" w14:textId="1CC686B0" w:rsidR="00FE57F6" w:rsidRPr="00F4254A" w:rsidRDefault="00FE57F6" w:rsidP="00F4254A">
            <w:pPr>
              <w:spacing w:before="0"/>
              <w:jc w:val="right"/>
              <w:rPr>
                <w:b/>
                <w:bCs/>
              </w:rPr>
            </w:pPr>
            <w:r w:rsidRPr="00F4254A">
              <w:rPr>
                <w:b/>
                <w:bCs/>
              </w:rPr>
              <w:t>Document</w:t>
            </w:r>
            <w:r w:rsidR="00F24B71" w:rsidRPr="00F4254A">
              <w:rPr>
                <w:b/>
                <w:bCs/>
              </w:rPr>
              <w:t>o</w:t>
            </w:r>
            <w:r w:rsidRPr="00F4254A">
              <w:rPr>
                <w:b/>
                <w:bCs/>
              </w:rPr>
              <w:t xml:space="preserve"> </w:t>
            </w:r>
            <w:proofErr w:type="spellStart"/>
            <w:r w:rsidRPr="00F4254A">
              <w:rPr>
                <w:b/>
                <w:bCs/>
              </w:rPr>
              <w:t>C2</w:t>
            </w:r>
            <w:r w:rsidR="00BB6FD8" w:rsidRPr="00F4254A">
              <w:rPr>
                <w:b/>
                <w:bCs/>
              </w:rPr>
              <w:t>5</w:t>
            </w:r>
            <w:proofErr w:type="spellEnd"/>
            <w:r w:rsidRPr="00F4254A">
              <w:rPr>
                <w:b/>
                <w:bCs/>
              </w:rPr>
              <w:t>/</w:t>
            </w:r>
            <w:r w:rsidR="0013702E">
              <w:rPr>
                <w:b/>
                <w:bCs/>
              </w:rPr>
              <w:t>9</w:t>
            </w:r>
            <w:r w:rsidR="00E10E89">
              <w:rPr>
                <w:b/>
                <w:bCs/>
              </w:rPr>
              <w:t>-</w:t>
            </w:r>
            <w:r w:rsidR="00F24B71" w:rsidRPr="00F4254A">
              <w:rPr>
                <w:b/>
                <w:bCs/>
              </w:rPr>
              <w:t>S</w:t>
            </w:r>
          </w:p>
        </w:tc>
      </w:tr>
      <w:tr w:rsidR="00FE57F6" w:rsidRPr="00666D09" w14:paraId="55771673" w14:textId="77777777" w:rsidTr="00C538FC">
        <w:trPr>
          <w:cantSplit/>
        </w:trPr>
        <w:tc>
          <w:tcPr>
            <w:tcW w:w="3969" w:type="dxa"/>
            <w:vMerge/>
          </w:tcPr>
          <w:p w14:paraId="7B94460B" w14:textId="77777777" w:rsidR="00FE57F6" w:rsidRPr="00BB6FD8" w:rsidRDefault="00FE57F6" w:rsidP="00C538FC">
            <w:pPr>
              <w:tabs>
                <w:tab w:val="left" w:pos="851"/>
              </w:tabs>
              <w:spacing w:line="240" w:lineRule="atLeast"/>
              <w:rPr>
                <w:b/>
              </w:rPr>
            </w:pPr>
          </w:p>
        </w:tc>
        <w:tc>
          <w:tcPr>
            <w:tcW w:w="5245" w:type="dxa"/>
          </w:tcPr>
          <w:p w14:paraId="02501660" w14:textId="34023701" w:rsidR="00FE57F6" w:rsidRPr="00666D09" w:rsidRDefault="0013702E" w:rsidP="00C538FC">
            <w:pPr>
              <w:tabs>
                <w:tab w:val="left" w:pos="851"/>
              </w:tabs>
              <w:spacing w:before="0"/>
              <w:jc w:val="right"/>
              <w:rPr>
                <w:b/>
                <w:lang w:val="en-GB"/>
              </w:rPr>
            </w:pPr>
            <w:r>
              <w:rPr>
                <w:b/>
                <w:lang w:val="es-ES"/>
              </w:rPr>
              <w:t>16 de mayo de 2025</w:t>
            </w:r>
          </w:p>
        </w:tc>
      </w:tr>
      <w:tr w:rsidR="00FE57F6" w:rsidRPr="00BB6FD8" w14:paraId="67602F55" w14:textId="77777777" w:rsidTr="00C538FC">
        <w:trPr>
          <w:cantSplit/>
          <w:trHeight w:val="23"/>
        </w:trPr>
        <w:tc>
          <w:tcPr>
            <w:tcW w:w="3969" w:type="dxa"/>
            <w:vMerge/>
          </w:tcPr>
          <w:p w14:paraId="54A50EBF" w14:textId="77777777" w:rsidR="00FE57F6" w:rsidRPr="00666D09" w:rsidRDefault="00FE57F6" w:rsidP="00C538FC">
            <w:pPr>
              <w:tabs>
                <w:tab w:val="left" w:pos="851"/>
              </w:tabs>
              <w:spacing w:line="240" w:lineRule="atLeast"/>
              <w:rPr>
                <w:b/>
                <w:lang w:val="en-GB"/>
              </w:rPr>
            </w:pPr>
          </w:p>
        </w:tc>
        <w:tc>
          <w:tcPr>
            <w:tcW w:w="5245" w:type="dxa"/>
          </w:tcPr>
          <w:p w14:paraId="5B33A57A" w14:textId="77777777" w:rsidR="00FE57F6" w:rsidRPr="00F4254A" w:rsidRDefault="00F24B71" w:rsidP="00F4254A">
            <w:pPr>
              <w:spacing w:before="0"/>
              <w:jc w:val="right"/>
              <w:rPr>
                <w:b/>
                <w:bCs/>
              </w:rPr>
            </w:pPr>
            <w:r w:rsidRPr="00F4254A">
              <w:rPr>
                <w:b/>
                <w:bCs/>
              </w:rPr>
              <w:t>Original: inglés</w:t>
            </w:r>
          </w:p>
        </w:tc>
      </w:tr>
      <w:tr w:rsidR="00FE57F6" w:rsidRPr="00BB6FD8" w14:paraId="78E66FB6" w14:textId="77777777" w:rsidTr="00C538FC">
        <w:trPr>
          <w:cantSplit/>
          <w:trHeight w:val="23"/>
        </w:trPr>
        <w:tc>
          <w:tcPr>
            <w:tcW w:w="3969" w:type="dxa"/>
          </w:tcPr>
          <w:p w14:paraId="7004ACF0" w14:textId="77777777" w:rsidR="00FE57F6" w:rsidRPr="00BB6FD8" w:rsidRDefault="00FE57F6" w:rsidP="00C538FC">
            <w:pPr>
              <w:tabs>
                <w:tab w:val="left" w:pos="851"/>
              </w:tabs>
              <w:spacing w:line="240" w:lineRule="atLeast"/>
              <w:rPr>
                <w:b/>
              </w:rPr>
            </w:pPr>
          </w:p>
        </w:tc>
        <w:tc>
          <w:tcPr>
            <w:tcW w:w="5245" w:type="dxa"/>
          </w:tcPr>
          <w:p w14:paraId="7E6B63F3" w14:textId="77777777" w:rsidR="00FE57F6" w:rsidRPr="00BB6FD8" w:rsidRDefault="00FE57F6" w:rsidP="00C538FC">
            <w:pPr>
              <w:tabs>
                <w:tab w:val="left" w:pos="851"/>
              </w:tabs>
              <w:spacing w:before="0" w:line="240" w:lineRule="atLeast"/>
              <w:jc w:val="right"/>
              <w:rPr>
                <w:b/>
              </w:rPr>
            </w:pPr>
          </w:p>
        </w:tc>
      </w:tr>
      <w:tr w:rsidR="00FE57F6" w:rsidRPr="00BB6FD8" w14:paraId="52B95C9E" w14:textId="77777777" w:rsidTr="00C538FC">
        <w:trPr>
          <w:cantSplit/>
        </w:trPr>
        <w:tc>
          <w:tcPr>
            <w:tcW w:w="9214" w:type="dxa"/>
            <w:gridSpan w:val="2"/>
            <w:tcMar>
              <w:left w:w="0" w:type="dxa"/>
            </w:tcMar>
          </w:tcPr>
          <w:p w14:paraId="3B58A4DC" w14:textId="77777777" w:rsidR="00FE57F6" w:rsidRPr="00F4254A" w:rsidRDefault="00157AC4" w:rsidP="00F4254A">
            <w:pPr>
              <w:pStyle w:val="Source"/>
              <w:jc w:val="left"/>
              <w:rPr>
                <w:sz w:val="34"/>
                <w:szCs w:val="34"/>
              </w:rPr>
            </w:pPr>
            <w:r w:rsidRPr="00F4254A">
              <w:rPr>
                <w:sz w:val="34"/>
                <w:szCs w:val="34"/>
              </w:rPr>
              <w:t>Informe de la Secretaria General</w:t>
            </w:r>
          </w:p>
        </w:tc>
      </w:tr>
      <w:tr w:rsidR="00FE57F6" w:rsidRPr="00BB6FD8" w14:paraId="5774F351" w14:textId="77777777" w:rsidTr="00C538FC">
        <w:trPr>
          <w:cantSplit/>
        </w:trPr>
        <w:tc>
          <w:tcPr>
            <w:tcW w:w="9214" w:type="dxa"/>
            <w:gridSpan w:val="2"/>
            <w:tcMar>
              <w:left w:w="0" w:type="dxa"/>
            </w:tcMar>
          </w:tcPr>
          <w:p w14:paraId="2C230B4A" w14:textId="150B7844" w:rsidR="00FE57F6" w:rsidRPr="00F92BED" w:rsidRDefault="005713A4" w:rsidP="00F92BED">
            <w:pPr>
              <w:pStyle w:val="Subtitle"/>
              <w:framePr w:hSpace="0" w:wrap="auto" w:vAnchor="margin" w:hAnchor="text" w:xAlign="left" w:yAlign="inline"/>
            </w:pPr>
            <w:r w:rsidRPr="0013702E">
              <w:t>EXAMEN ANUAL DE INGRESOS Y GASTOS RELATIVOS A LA EJECUCIÓN DEL PRESUPUESTO 2025</w:t>
            </w:r>
          </w:p>
        </w:tc>
      </w:tr>
      <w:tr w:rsidR="00FE57F6" w:rsidRPr="00BB6FD8" w14:paraId="331002A9" w14:textId="77777777" w:rsidTr="00C538FC">
        <w:trPr>
          <w:cantSplit/>
        </w:trPr>
        <w:tc>
          <w:tcPr>
            <w:tcW w:w="9214" w:type="dxa"/>
            <w:gridSpan w:val="2"/>
            <w:tcBorders>
              <w:top w:val="single" w:sz="4" w:space="0" w:color="auto"/>
              <w:bottom w:val="single" w:sz="4" w:space="0" w:color="auto"/>
            </w:tcBorders>
            <w:tcMar>
              <w:left w:w="0" w:type="dxa"/>
            </w:tcMar>
          </w:tcPr>
          <w:p w14:paraId="3CA757AC" w14:textId="77777777" w:rsidR="00FE57F6" w:rsidRPr="00BB6FD8" w:rsidRDefault="00F24B71" w:rsidP="00C538FC">
            <w:pPr>
              <w:spacing w:before="160"/>
              <w:rPr>
                <w:b/>
                <w:bCs/>
                <w:sz w:val="26"/>
                <w:szCs w:val="26"/>
              </w:rPr>
            </w:pPr>
            <w:r w:rsidRPr="00BB6FD8">
              <w:rPr>
                <w:b/>
                <w:bCs/>
                <w:sz w:val="26"/>
                <w:szCs w:val="26"/>
              </w:rPr>
              <w:t>Finalidad</w:t>
            </w:r>
          </w:p>
          <w:p w14:paraId="7ADB34E0" w14:textId="6ADD5D94" w:rsidR="00FE57F6" w:rsidRPr="00BB6FD8" w:rsidRDefault="00C4065B" w:rsidP="00C4065B">
            <w:r w:rsidRPr="00C4065B">
              <w:rPr>
                <w:lang w:val="es-ES"/>
              </w:rPr>
              <w:t>En el presente documento figuran los elementos fundamentales relativos a la ejecución del presupuesto para 2025, conforme a lo dispuesto en el número</w:t>
            </w:r>
            <w:r w:rsidR="00880F2D">
              <w:rPr>
                <w:lang w:val="es-ES"/>
              </w:rPr>
              <w:t> </w:t>
            </w:r>
            <w:r w:rsidRPr="00C4065B">
              <w:rPr>
                <w:lang w:val="es-ES"/>
              </w:rPr>
              <w:t>73 del Convenio de la UIT, en el que se estipula que el Consejo debe efectuar un examen anual de los ingresos y gastos.</w:t>
            </w:r>
          </w:p>
          <w:p w14:paraId="46887BF2"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D07D571" w14:textId="06BC8A3B" w:rsidR="00F92BED" w:rsidRPr="00F92BED" w:rsidRDefault="00C4065B" w:rsidP="00C4065B">
            <w:pPr>
              <w:rPr>
                <w:lang w:val="es-ES"/>
              </w:rPr>
            </w:pPr>
            <w:r w:rsidRPr="00C4065B">
              <w:rPr>
                <w:lang w:val="es-ES"/>
              </w:rPr>
              <w:t xml:space="preserve">Se invita al Consejo a </w:t>
            </w:r>
            <w:r w:rsidRPr="00C4065B">
              <w:rPr>
                <w:b/>
                <w:bCs/>
                <w:lang w:val="es-ES"/>
              </w:rPr>
              <w:t>tomar nota</w:t>
            </w:r>
            <w:r w:rsidRPr="00C4065B">
              <w:rPr>
                <w:lang w:val="es-ES"/>
              </w:rPr>
              <w:t xml:space="preserve"> de este documento.</w:t>
            </w:r>
          </w:p>
          <w:p w14:paraId="30944AC9"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4405C8E0" w14:textId="09F23A6B" w:rsidR="00F92BED" w:rsidRPr="00F24B71" w:rsidRDefault="00C4065B" w:rsidP="00C4065B">
            <w:pPr>
              <w:rPr>
                <w:lang w:val="es-ES"/>
              </w:rPr>
            </w:pPr>
            <w:r w:rsidRPr="00C4065B">
              <w:rPr>
                <w:lang w:val="es-ES"/>
              </w:rPr>
              <w:t>El presupuesto de 2025 de la Unión financia los dos objetivos y las cinco prioridades temáticas de la UIT.</w:t>
            </w:r>
          </w:p>
          <w:p w14:paraId="2CF81AA2" w14:textId="77777777" w:rsidR="00F92BED" w:rsidRDefault="00F92BED" w:rsidP="00F92BED">
            <w:pPr>
              <w:spacing w:before="160"/>
              <w:rPr>
                <w:b/>
                <w:bCs/>
                <w:sz w:val="26"/>
                <w:szCs w:val="26"/>
              </w:rPr>
            </w:pPr>
            <w:r w:rsidRPr="00F24B71">
              <w:rPr>
                <w:b/>
                <w:bCs/>
                <w:sz w:val="26"/>
                <w:szCs w:val="26"/>
              </w:rPr>
              <w:t>Repercusiones financieras</w:t>
            </w:r>
          </w:p>
          <w:p w14:paraId="452289D9" w14:textId="5E2AC438" w:rsidR="00F92BED" w:rsidRPr="00BB6FD8" w:rsidRDefault="00C4065B" w:rsidP="00C4065B">
            <w:r w:rsidRPr="00C4065B">
              <w:rPr>
                <w:lang w:val="es-ES"/>
              </w:rPr>
              <w:t>La dirección de la UIT tomará todas las medidas necesarias para garantizar una ejecución adecuada y eficaz del presupuesto para 2025.</w:t>
            </w:r>
          </w:p>
          <w:p w14:paraId="590F313B" w14:textId="77777777" w:rsidR="00FE57F6" w:rsidRPr="00BB6FD8" w:rsidRDefault="00FE57F6" w:rsidP="00C538FC">
            <w:pPr>
              <w:spacing w:before="160"/>
              <w:rPr>
                <w:caps/>
                <w:sz w:val="22"/>
              </w:rPr>
            </w:pPr>
            <w:r w:rsidRPr="00BB6FD8">
              <w:rPr>
                <w:sz w:val="22"/>
              </w:rPr>
              <w:t>__________________</w:t>
            </w:r>
          </w:p>
          <w:p w14:paraId="36E097C0"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612A6921" w14:textId="754635DB" w:rsidR="00FE57F6" w:rsidRPr="005713A4" w:rsidRDefault="00EB03B9" w:rsidP="00C4065B">
            <w:pPr>
              <w:spacing w:after="120"/>
              <w:rPr>
                <w:i/>
                <w:iCs/>
                <w:sz w:val="22"/>
                <w:szCs w:val="22"/>
              </w:rPr>
            </w:pPr>
            <w:r w:rsidRPr="005713A4">
              <w:rPr>
                <w:i/>
                <w:iCs/>
                <w:sz w:val="22"/>
                <w:szCs w:val="22"/>
              </w:rPr>
              <w:t>Resolución</w:t>
            </w:r>
            <w:r w:rsidRPr="005713A4">
              <w:rPr>
                <w:sz w:val="22"/>
                <w:szCs w:val="22"/>
              </w:rPr>
              <w:t> </w:t>
            </w:r>
            <w:hyperlink r:id="rId8" w:history="1">
              <w:r w:rsidRPr="005713A4">
                <w:rPr>
                  <w:rStyle w:val="Hyperlink"/>
                  <w:i/>
                  <w:iCs/>
                  <w:sz w:val="22"/>
                  <w:szCs w:val="22"/>
                  <w:lang w:val="es-ES"/>
                </w:rPr>
                <w:t>1417 del Consejo</w:t>
              </w:r>
            </w:hyperlink>
            <w:r w:rsidR="00C4065B" w:rsidRPr="005713A4">
              <w:rPr>
                <w:i/>
                <w:iCs/>
                <w:sz w:val="22"/>
                <w:szCs w:val="22"/>
                <w:lang w:val="es-ES"/>
              </w:rPr>
              <w:t xml:space="preserve"> – Presupuesto bienal de la Unión Internacional de Telecomunicaciones para 2024-2025;</w:t>
            </w:r>
            <w:r w:rsidRPr="005713A4">
              <w:rPr>
                <w:i/>
                <w:iCs/>
                <w:sz w:val="22"/>
                <w:szCs w:val="22"/>
                <w:lang w:val="es-ES"/>
              </w:rPr>
              <w:t xml:space="preserve"> Decisión </w:t>
            </w:r>
            <w:hyperlink r:id="rId9" w:history="1">
              <w:r w:rsidRPr="005713A4">
                <w:rPr>
                  <w:rStyle w:val="Hyperlink"/>
                  <w:i/>
                  <w:iCs/>
                  <w:sz w:val="22"/>
                  <w:szCs w:val="22"/>
                  <w:lang w:val="es-ES"/>
                </w:rPr>
                <w:t>5 (Rev. Bucarest, 2022)</w:t>
              </w:r>
            </w:hyperlink>
            <w:r w:rsidR="00C4065B" w:rsidRPr="005713A4">
              <w:rPr>
                <w:i/>
                <w:iCs/>
                <w:sz w:val="22"/>
                <w:szCs w:val="22"/>
                <w:lang w:val="es-ES"/>
              </w:rPr>
              <w:t xml:space="preserve"> de la Conferencia de Plenipotenciarios</w:t>
            </w:r>
          </w:p>
        </w:tc>
      </w:tr>
      <w:bookmarkEnd w:id="0"/>
    </w:tbl>
    <w:p w14:paraId="09C7994F" w14:textId="77777777" w:rsidR="001559F5" w:rsidRPr="00BB6FD8" w:rsidRDefault="001559F5" w:rsidP="00F4254A">
      <w:r w:rsidRPr="00BB6FD8">
        <w:br w:type="page"/>
      </w:r>
    </w:p>
    <w:p w14:paraId="4D63BFDB" w14:textId="65FB6042" w:rsidR="00C4065B" w:rsidRPr="00C4065B" w:rsidRDefault="00C4065B" w:rsidP="00C4065B">
      <w:pPr>
        <w:pStyle w:val="Heading1"/>
        <w:rPr>
          <w:lang w:val="es-ES"/>
        </w:rPr>
      </w:pPr>
      <w:r w:rsidRPr="00C4065B">
        <w:rPr>
          <w:lang w:val="es-ES"/>
        </w:rPr>
        <w:lastRenderedPageBreak/>
        <w:t>1</w:t>
      </w:r>
      <w:r w:rsidRPr="00C4065B">
        <w:rPr>
          <w:lang w:val="es-ES"/>
        </w:rPr>
        <w:tab/>
        <w:t>Antecedentes</w:t>
      </w:r>
    </w:p>
    <w:p w14:paraId="06C413A5" w14:textId="65BE1719" w:rsidR="00C4065B" w:rsidRPr="00C4065B" w:rsidRDefault="00C4065B" w:rsidP="005713A4">
      <w:pPr>
        <w:jc w:val="both"/>
        <w:rPr>
          <w:lang w:val="es-ES"/>
        </w:rPr>
      </w:pPr>
      <w:r w:rsidRPr="00C4065B">
        <w:rPr>
          <w:lang w:val="es-ES"/>
        </w:rPr>
        <w:t>1.1</w:t>
      </w:r>
      <w:r w:rsidRPr="00C4065B">
        <w:rPr>
          <w:lang w:val="es-ES"/>
        </w:rPr>
        <w:tab/>
        <w:t xml:space="preserve">En el presente documento se presentan los elementos fundamentales relativos a la ejecución del </w:t>
      </w:r>
      <w:r w:rsidR="003B385E" w:rsidRPr="00C4065B">
        <w:rPr>
          <w:lang w:val="es-ES"/>
        </w:rPr>
        <w:t>p</w:t>
      </w:r>
      <w:r w:rsidRPr="00C4065B">
        <w:rPr>
          <w:lang w:val="es-ES"/>
        </w:rPr>
        <w:t>resupuesto para 2025, conforme a lo dispuesto en el número</w:t>
      </w:r>
      <w:r w:rsidR="00C55138">
        <w:rPr>
          <w:lang w:val="es-ES"/>
        </w:rPr>
        <w:t> </w:t>
      </w:r>
      <w:r w:rsidRPr="00C4065B">
        <w:rPr>
          <w:lang w:val="es-ES"/>
        </w:rPr>
        <w:t>73 del Convenio de la UIT, en el que se estipula que el Consejo debe efectuar un examen anual de los ingresos y gastos.</w:t>
      </w:r>
    </w:p>
    <w:p w14:paraId="2B3267AD" w14:textId="77A8B20B" w:rsidR="00C4065B" w:rsidRPr="00C4065B" w:rsidRDefault="00C4065B" w:rsidP="00C4065B">
      <w:pPr>
        <w:pStyle w:val="Heading1"/>
        <w:rPr>
          <w:lang w:val="es-ES"/>
        </w:rPr>
      </w:pPr>
      <w:r w:rsidRPr="00C4065B">
        <w:rPr>
          <w:lang w:val="es-ES"/>
        </w:rPr>
        <w:t>2</w:t>
      </w:r>
      <w:r w:rsidRPr="00C4065B">
        <w:rPr>
          <w:lang w:val="es-ES"/>
        </w:rPr>
        <w:tab/>
        <w:t>Previsiones de ejecución del presupuesto 2025</w:t>
      </w:r>
    </w:p>
    <w:p w14:paraId="47C01D4E" w14:textId="0AB09181" w:rsidR="00C4065B" w:rsidRPr="00C4065B" w:rsidRDefault="00C4065B" w:rsidP="005713A4">
      <w:pPr>
        <w:jc w:val="both"/>
        <w:rPr>
          <w:lang w:val="es-ES"/>
        </w:rPr>
      </w:pPr>
      <w:r w:rsidRPr="00C4065B">
        <w:rPr>
          <w:lang w:val="es-ES"/>
        </w:rPr>
        <w:t>2.1</w:t>
      </w:r>
      <w:r w:rsidRPr="00C4065B">
        <w:rPr>
          <w:lang w:val="es-ES"/>
        </w:rPr>
        <w:tab/>
        <w:t>El Consejo adoptó el Presupuesto de la Unión para 2024</w:t>
      </w:r>
      <w:r w:rsidR="00C55138">
        <w:rPr>
          <w:lang w:val="es-ES"/>
        </w:rPr>
        <w:noBreakHyphen/>
      </w:r>
      <w:r w:rsidRPr="00C4065B">
        <w:rPr>
          <w:lang w:val="es-ES"/>
        </w:rPr>
        <w:t>2025 en su reunión ordinaria de 2023 mediante la Resolución</w:t>
      </w:r>
      <w:r w:rsidR="00C55138">
        <w:rPr>
          <w:lang w:val="es-ES"/>
        </w:rPr>
        <w:t> </w:t>
      </w:r>
      <w:r w:rsidRPr="00C4065B">
        <w:rPr>
          <w:lang w:val="es-ES"/>
        </w:rPr>
        <w:t>1417. El presupuesto aprobado para 2025 asciende a 164</w:t>
      </w:r>
      <w:r w:rsidR="00C55138">
        <w:rPr>
          <w:lang w:val="es-ES"/>
        </w:rPr>
        <w:t> </w:t>
      </w:r>
      <w:r w:rsidRPr="00C4065B">
        <w:rPr>
          <w:lang w:val="es-ES"/>
        </w:rPr>
        <w:t>134</w:t>
      </w:r>
      <w:r w:rsidR="00C55138">
        <w:rPr>
          <w:lang w:val="es-ES"/>
        </w:rPr>
        <w:t> </w:t>
      </w:r>
      <w:r w:rsidRPr="00C4065B">
        <w:rPr>
          <w:lang w:val="es-ES"/>
        </w:rPr>
        <w:t>000</w:t>
      </w:r>
      <w:r w:rsidR="00C55138">
        <w:rPr>
          <w:lang w:val="es-ES"/>
        </w:rPr>
        <w:t> </w:t>
      </w:r>
      <w:r w:rsidRPr="00C4065B">
        <w:rPr>
          <w:lang w:val="es-ES"/>
        </w:rPr>
        <w:t>CHF, sobre la base de una unidad contributiva anual de 318</w:t>
      </w:r>
      <w:r w:rsidR="00C55138">
        <w:rPr>
          <w:lang w:val="es-ES"/>
        </w:rPr>
        <w:t> </w:t>
      </w:r>
      <w:r w:rsidRPr="00C4065B">
        <w:rPr>
          <w:lang w:val="es-ES"/>
        </w:rPr>
        <w:t>000</w:t>
      </w:r>
      <w:r w:rsidR="00C55138">
        <w:rPr>
          <w:lang w:val="es-ES"/>
        </w:rPr>
        <w:t> </w:t>
      </w:r>
      <w:r w:rsidRPr="00C4065B">
        <w:rPr>
          <w:lang w:val="es-ES"/>
        </w:rPr>
        <w:t>CHF para los Estados Miembros.</w:t>
      </w:r>
    </w:p>
    <w:p w14:paraId="303121CA" w14:textId="3E7F1C6A" w:rsidR="00C4065B" w:rsidRPr="00C4065B" w:rsidRDefault="00C4065B" w:rsidP="005713A4">
      <w:pPr>
        <w:jc w:val="both"/>
        <w:rPr>
          <w:lang w:val="es-ES"/>
        </w:rPr>
      </w:pPr>
      <w:r w:rsidRPr="00C4065B">
        <w:rPr>
          <w:lang w:val="es-ES"/>
        </w:rPr>
        <w:t>2.2</w:t>
      </w:r>
      <w:r w:rsidRPr="00C4065B">
        <w:rPr>
          <w:lang w:val="es-ES"/>
        </w:rPr>
        <w:tab/>
        <w:t>El presupuesto de 2025 se ha actualizado para reflejar el aplazamiento de 2024 a 2025 de tres Reuniones Preparatorias Regionales de la Conferencia Mundial de Desarrollo de las Telecomunicaciones (CMDT-25) (África, CEI y Europa) que estaban incluidas en el presupuesto de 2024 por un importe de 203</w:t>
      </w:r>
      <w:r w:rsidR="00880F2D">
        <w:rPr>
          <w:lang w:val="es-ES"/>
        </w:rPr>
        <w:t> </w:t>
      </w:r>
      <w:r w:rsidRPr="00C4065B">
        <w:rPr>
          <w:lang w:val="es-ES"/>
        </w:rPr>
        <w:t>000</w:t>
      </w:r>
      <w:r w:rsidR="00880F2D">
        <w:rPr>
          <w:lang w:val="es-ES"/>
        </w:rPr>
        <w:t> </w:t>
      </w:r>
      <w:r w:rsidRPr="00C4065B">
        <w:rPr>
          <w:lang w:val="es-ES"/>
        </w:rPr>
        <w:t>CHF. El presupuesto actualizado para 2025 asciende a 164</w:t>
      </w:r>
      <w:r w:rsidR="00880F2D" w:rsidRPr="004139EA">
        <w:rPr>
          <w:lang w:val="es-ES"/>
        </w:rPr>
        <w:t> </w:t>
      </w:r>
      <w:r w:rsidR="00C55138" w:rsidRPr="004139EA">
        <w:rPr>
          <w:lang w:val="es-ES"/>
        </w:rPr>
        <w:t>33</w:t>
      </w:r>
      <w:r w:rsidRPr="00C4065B">
        <w:rPr>
          <w:lang w:val="es-ES"/>
        </w:rPr>
        <w:t>7</w:t>
      </w:r>
      <w:r w:rsidR="00880F2D" w:rsidRPr="004139EA">
        <w:rPr>
          <w:lang w:val="es-ES"/>
        </w:rPr>
        <w:t> </w:t>
      </w:r>
      <w:r w:rsidRPr="00C4065B">
        <w:rPr>
          <w:lang w:val="es-ES"/>
        </w:rPr>
        <w:t>000</w:t>
      </w:r>
      <w:r w:rsidR="00880F2D" w:rsidRPr="004139EA">
        <w:rPr>
          <w:lang w:val="es-ES"/>
        </w:rPr>
        <w:t> </w:t>
      </w:r>
      <w:r w:rsidRPr="00C4065B">
        <w:rPr>
          <w:lang w:val="es-ES"/>
        </w:rPr>
        <w:t>CHF.</w:t>
      </w:r>
    </w:p>
    <w:p w14:paraId="67E9FDCD" w14:textId="72F939FD" w:rsidR="00C4065B" w:rsidRPr="00C4065B" w:rsidRDefault="00C4065B" w:rsidP="005713A4">
      <w:pPr>
        <w:jc w:val="both"/>
        <w:rPr>
          <w:lang w:val="es-ES"/>
        </w:rPr>
      </w:pPr>
      <w:r w:rsidRPr="00C4065B">
        <w:rPr>
          <w:lang w:val="es-ES"/>
        </w:rPr>
        <w:t>2.</w:t>
      </w:r>
      <w:r w:rsidR="0011157B">
        <w:rPr>
          <w:lang w:val="es-ES"/>
        </w:rPr>
        <w:t>3</w:t>
      </w:r>
      <w:r w:rsidRPr="00C4065B">
        <w:rPr>
          <w:lang w:val="es-ES"/>
        </w:rPr>
        <w:tab/>
        <w:t>Los cuatro factores principales que se conocen actualmente y que repercutirán en la ejecución del presupuesto de 2025 son los siguientes:</w:t>
      </w:r>
    </w:p>
    <w:p w14:paraId="16BA7CE3" w14:textId="449C7113" w:rsidR="00C4065B" w:rsidRPr="00C4065B" w:rsidRDefault="00C4065B" w:rsidP="005713A4">
      <w:pPr>
        <w:pStyle w:val="enumlev1"/>
        <w:jc w:val="both"/>
        <w:rPr>
          <w:lang w:val="es-ES"/>
        </w:rPr>
      </w:pPr>
      <w:r w:rsidRPr="00C4065B">
        <w:rPr>
          <w:lang w:val="es-ES"/>
        </w:rPr>
        <w:t>–</w:t>
      </w:r>
      <w:r>
        <w:rPr>
          <w:lang w:val="es-ES"/>
        </w:rPr>
        <w:tab/>
      </w:r>
      <w:r w:rsidR="00C55138">
        <w:rPr>
          <w:lang w:val="es-ES"/>
        </w:rPr>
        <w:t>l</w:t>
      </w:r>
      <w:r w:rsidRPr="00C4065B">
        <w:rPr>
          <w:lang w:val="es-ES"/>
        </w:rPr>
        <w:t>a reducción de los ingresos por recuperación de costes derivados de la tramitación de notificaciones de redes de satélites, por un importe de 3,5</w:t>
      </w:r>
      <w:r w:rsidR="00880F2D">
        <w:rPr>
          <w:lang w:val="es-ES"/>
        </w:rPr>
        <w:t> </w:t>
      </w:r>
      <w:r w:rsidRPr="00C4065B">
        <w:rPr>
          <w:lang w:val="es-ES"/>
        </w:rPr>
        <w:t>millones</w:t>
      </w:r>
      <w:r w:rsidR="00880F2D">
        <w:rPr>
          <w:lang w:val="es-ES"/>
        </w:rPr>
        <w:t> </w:t>
      </w:r>
      <w:r w:rsidRPr="00C4065B">
        <w:rPr>
          <w:lang w:val="es-ES"/>
        </w:rPr>
        <w:t>CHF</w:t>
      </w:r>
      <w:r w:rsidR="00C55138">
        <w:rPr>
          <w:lang w:val="es-ES"/>
        </w:rPr>
        <w:t>;</w:t>
      </w:r>
    </w:p>
    <w:p w14:paraId="0B55DB06" w14:textId="77B40BEC" w:rsidR="00C4065B" w:rsidRPr="00C4065B" w:rsidRDefault="00C4065B" w:rsidP="005713A4">
      <w:pPr>
        <w:pStyle w:val="enumlev1"/>
        <w:jc w:val="both"/>
        <w:rPr>
          <w:lang w:val="es-ES"/>
        </w:rPr>
      </w:pPr>
      <w:r w:rsidRPr="00C4065B">
        <w:rPr>
          <w:lang w:val="es-ES"/>
        </w:rPr>
        <w:t>–</w:t>
      </w:r>
      <w:r>
        <w:rPr>
          <w:lang w:val="es-ES"/>
        </w:rPr>
        <w:tab/>
      </w:r>
      <w:r w:rsidR="00C55138">
        <w:rPr>
          <w:lang w:val="es-ES"/>
        </w:rPr>
        <w:t>e</w:t>
      </w:r>
      <w:r w:rsidRPr="00C4065B">
        <w:rPr>
          <w:lang w:val="es-ES"/>
        </w:rPr>
        <w:t>l aumento, en comparación con el importe presupuestado, de los ingresos en concepto de intereses por un importe de 1,25</w:t>
      </w:r>
      <w:r w:rsidR="00880F2D">
        <w:rPr>
          <w:lang w:val="es-ES"/>
        </w:rPr>
        <w:t> </w:t>
      </w:r>
      <w:r w:rsidRPr="00C4065B">
        <w:rPr>
          <w:lang w:val="es-ES"/>
        </w:rPr>
        <w:t>millones</w:t>
      </w:r>
      <w:r w:rsidR="00880F2D">
        <w:rPr>
          <w:lang w:val="es-ES"/>
        </w:rPr>
        <w:t> </w:t>
      </w:r>
      <w:r w:rsidRPr="00C4065B">
        <w:rPr>
          <w:lang w:val="es-ES"/>
        </w:rPr>
        <w:t>CHF</w:t>
      </w:r>
      <w:r w:rsidR="00C55138">
        <w:rPr>
          <w:lang w:val="es-ES"/>
        </w:rPr>
        <w:t>;</w:t>
      </w:r>
    </w:p>
    <w:p w14:paraId="77C01E63" w14:textId="25F8C683" w:rsidR="00C4065B" w:rsidRPr="00C4065B" w:rsidRDefault="00C4065B" w:rsidP="005713A4">
      <w:pPr>
        <w:pStyle w:val="enumlev1"/>
        <w:jc w:val="both"/>
        <w:rPr>
          <w:lang w:val="es-ES"/>
        </w:rPr>
      </w:pPr>
      <w:r w:rsidRPr="00C4065B">
        <w:rPr>
          <w:lang w:val="es-ES"/>
        </w:rPr>
        <w:t>–</w:t>
      </w:r>
      <w:r>
        <w:rPr>
          <w:lang w:val="es-ES"/>
        </w:rPr>
        <w:tab/>
      </w:r>
      <w:r w:rsidR="00C55138">
        <w:rPr>
          <w:lang w:val="es-ES"/>
        </w:rPr>
        <w:t>l</w:t>
      </w:r>
      <w:r w:rsidRPr="00C4065B">
        <w:rPr>
          <w:lang w:val="es-ES"/>
        </w:rPr>
        <w:t>os ahorros por eficiencia en la producción de documentación por un importe de 1,6</w:t>
      </w:r>
      <w:r w:rsidR="00880F2D">
        <w:rPr>
          <w:lang w:val="es-ES"/>
        </w:rPr>
        <w:t> </w:t>
      </w:r>
      <w:r w:rsidRPr="00C4065B">
        <w:rPr>
          <w:lang w:val="es-ES"/>
        </w:rPr>
        <w:t>millones</w:t>
      </w:r>
      <w:r w:rsidR="00880F2D">
        <w:rPr>
          <w:lang w:val="es-ES"/>
        </w:rPr>
        <w:t> </w:t>
      </w:r>
      <w:r w:rsidRPr="00C4065B">
        <w:rPr>
          <w:lang w:val="es-ES"/>
        </w:rPr>
        <w:t>CHF</w:t>
      </w:r>
      <w:r w:rsidR="00C55138">
        <w:rPr>
          <w:lang w:val="es-ES"/>
        </w:rPr>
        <w:t>;</w:t>
      </w:r>
    </w:p>
    <w:p w14:paraId="205AB86C" w14:textId="65D05D06" w:rsidR="00C4065B" w:rsidRPr="00C4065B" w:rsidRDefault="00C4065B" w:rsidP="005713A4">
      <w:pPr>
        <w:pStyle w:val="enumlev1"/>
        <w:jc w:val="both"/>
        <w:rPr>
          <w:lang w:val="es-ES"/>
        </w:rPr>
      </w:pPr>
      <w:r w:rsidRPr="00C4065B">
        <w:rPr>
          <w:lang w:val="es-ES"/>
        </w:rPr>
        <w:t>–</w:t>
      </w:r>
      <w:r>
        <w:rPr>
          <w:lang w:val="es-ES"/>
        </w:rPr>
        <w:tab/>
      </w:r>
      <w:r w:rsidR="00C55138">
        <w:rPr>
          <w:lang w:val="es-ES"/>
        </w:rPr>
        <w:t>l</w:t>
      </w:r>
      <w:r w:rsidRPr="00C4065B">
        <w:rPr>
          <w:lang w:val="es-ES"/>
        </w:rPr>
        <w:t>os ahorros resultantes de la segunda fase del programa de cese voluntario por un importe estimado de 1,3</w:t>
      </w:r>
      <w:r w:rsidR="00880F2D">
        <w:rPr>
          <w:lang w:val="es-ES"/>
        </w:rPr>
        <w:t> </w:t>
      </w:r>
      <w:r w:rsidRPr="00C4065B">
        <w:rPr>
          <w:lang w:val="es-ES"/>
        </w:rPr>
        <w:t>millones</w:t>
      </w:r>
      <w:r w:rsidR="00880F2D">
        <w:rPr>
          <w:lang w:val="es-ES"/>
        </w:rPr>
        <w:t> </w:t>
      </w:r>
      <w:r w:rsidRPr="00C4065B">
        <w:rPr>
          <w:lang w:val="es-ES"/>
        </w:rPr>
        <w:t>CHF.</w:t>
      </w:r>
    </w:p>
    <w:p w14:paraId="5361D5D5" w14:textId="52D05E2B" w:rsidR="00C4065B" w:rsidRPr="00C4065B" w:rsidRDefault="00C4065B" w:rsidP="00D12E89">
      <w:pPr>
        <w:jc w:val="both"/>
        <w:rPr>
          <w:lang w:val="es-ES"/>
        </w:rPr>
      </w:pPr>
      <w:r w:rsidRPr="00C4065B">
        <w:rPr>
          <w:lang w:val="es-ES"/>
        </w:rPr>
        <w:t>2.</w:t>
      </w:r>
      <w:r w:rsidR="0011157B">
        <w:rPr>
          <w:lang w:val="es-ES"/>
        </w:rPr>
        <w:t>4</w:t>
      </w:r>
      <w:r w:rsidRPr="00C4065B">
        <w:rPr>
          <w:lang w:val="es-ES"/>
        </w:rPr>
        <w:tab/>
        <w:t xml:space="preserve">En caso de que la </w:t>
      </w:r>
      <w:r w:rsidR="004139EA">
        <w:rPr>
          <w:lang w:val="es-ES"/>
        </w:rPr>
        <w:t>s</w:t>
      </w:r>
      <w:r w:rsidRPr="00C4065B">
        <w:rPr>
          <w:lang w:val="es-ES"/>
        </w:rPr>
        <w:t>ecretaría pueda lograr ahorros significativos en la ejecución del presupuesto para 2025, hay una serie de prioridades fundamentales que no están cubiertas por el presupuesto ordinario actual y que podrían financiarse durante el año:</w:t>
      </w:r>
    </w:p>
    <w:p w14:paraId="6B553AF9" w14:textId="3BF0E2CE" w:rsidR="00C4065B" w:rsidRPr="00C4065B" w:rsidRDefault="00C4065B" w:rsidP="00D12E89">
      <w:pPr>
        <w:pStyle w:val="enumlev1"/>
        <w:jc w:val="both"/>
        <w:rPr>
          <w:lang w:val="es-ES"/>
        </w:rPr>
      </w:pPr>
      <w:r w:rsidRPr="00C4065B">
        <w:rPr>
          <w:lang w:val="es-ES"/>
        </w:rPr>
        <w:t>–</w:t>
      </w:r>
      <w:r>
        <w:rPr>
          <w:lang w:val="es-ES"/>
        </w:rPr>
        <w:tab/>
      </w:r>
      <w:r w:rsidR="004139EA">
        <w:rPr>
          <w:lang w:val="es-ES"/>
        </w:rPr>
        <w:t>c</w:t>
      </w:r>
      <w:r w:rsidRPr="00C4065B">
        <w:rPr>
          <w:lang w:val="es-ES"/>
        </w:rPr>
        <w:t>ostos de implementación de la revisión de la presencia regional</w:t>
      </w:r>
      <w:r w:rsidR="004139EA">
        <w:rPr>
          <w:lang w:val="es-ES"/>
        </w:rPr>
        <w:t>;</w:t>
      </w:r>
    </w:p>
    <w:p w14:paraId="3FC44031" w14:textId="11815138" w:rsidR="00C4065B" w:rsidRPr="00C4065B" w:rsidRDefault="00C4065B" w:rsidP="00D12E89">
      <w:pPr>
        <w:pStyle w:val="enumlev1"/>
        <w:jc w:val="both"/>
        <w:rPr>
          <w:lang w:val="es-ES"/>
        </w:rPr>
      </w:pPr>
      <w:r w:rsidRPr="00C4065B">
        <w:rPr>
          <w:lang w:val="es-ES"/>
        </w:rPr>
        <w:t>–</w:t>
      </w:r>
      <w:r>
        <w:rPr>
          <w:lang w:val="es-ES"/>
        </w:rPr>
        <w:tab/>
      </w:r>
      <w:r w:rsidR="004139EA">
        <w:rPr>
          <w:lang w:val="es-ES"/>
        </w:rPr>
        <w:t>a</w:t>
      </w:r>
      <w:r w:rsidRPr="00C4065B">
        <w:rPr>
          <w:lang w:val="es-ES"/>
        </w:rPr>
        <w:t>ctualizaciones y mejoras transformadoras de servicios y sistemas de TI, incluidas las mejoras en la gestión de datos e iniciativas de adopción de IA</w:t>
      </w:r>
      <w:r w:rsidR="004139EA">
        <w:rPr>
          <w:lang w:val="es-ES"/>
        </w:rPr>
        <w:t>;</w:t>
      </w:r>
    </w:p>
    <w:p w14:paraId="66DF7AA1" w14:textId="516FB2B3" w:rsidR="00C4065B" w:rsidRPr="00C4065B" w:rsidRDefault="00C4065B" w:rsidP="00D12E89">
      <w:pPr>
        <w:pStyle w:val="enumlev1"/>
        <w:jc w:val="both"/>
        <w:rPr>
          <w:lang w:val="es-ES"/>
        </w:rPr>
      </w:pPr>
      <w:r w:rsidRPr="00C4065B">
        <w:rPr>
          <w:lang w:val="es-ES"/>
        </w:rPr>
        <w:t>–</w:t>
      </w:r>
      <w:r>
        <w:rPr>
          <w:lang w:val="es-ES"/>
        </w:rPr>
        <w:tab/>
      </w:r>
      <w:r w:rsidR="004139EA">
        <w:rPr>
          <w:lang w:val="es-ES"/>
        </w:rPr>
        <w:t>a</w:t>
      </w:r>
      <w:r w:rsidRPr="00C4065B">
        <w:rPr>
          <w:lang w:val="es-ES"/>
        </w:rPr>
        <w:t>mpliación del Programa de Jóvenes Profesionales.</w:t>
      </w:r>
    </w:p>
    <w:p w14:paraId="267062BC" w14:textId="49F7FC69" w:rsidR="00C4065B" w:rsidRPr="00C4065B" w:rsidRDefault="00C4065B" w:rsidP="00D12E89">
      <w:pPr>
        <w:jc w:val="both"/>
        <w:rPr>
          <w:lang w:val="es-ES"/>
        </w:rPr>
      </w:pPr>
      <w:r w:rsidRPr="00C4065B">
        <w:rPr>
          <w:lang w:val="es-ES"/>
        </w:rPr>
        <w:t>2.</w:t>
      </w:r>
      <w:r w:rsidR="0011157B">
        <w:rPr>
          <w:lang w:val="es-ES"/>
        </w:rPr>
        <w:t>5</w:t>
      </w:r>
      <w:r w:rsidRPr="00C4065B">
        <w:rPr>
          <w:lang w:val="es-ES"/>
        </w:rPr>
        <w:tab/>
        <w:t>A 6 de mayo de 2025, el resultado previsto de la ejecución del presupuesto para 2025 es positivo y asciende a 511</w:t>
      </w:r>
      <w:r w:rsidR="00880F2D">
        <w:rPr>
          <w:lang w:val="es-ES"/>
        </w:rPr>
        <w:t> </w:t>
      </w:r>
      <w:r w:rsidRPr="00C4065B">
        <w:rPr>
          <w:lang w:val="es-ES"/>
        </w:rPr>
        <w:t>000</w:t>
      </w:r>
      <w:r w:rsidR="00880F2D">
        <w:rPr>
          <w:lang w:val="es-ES"/>
        </w:rPr>
        <w:t> </w:t>
      </w:r>
      <w:r w:rsidRPr="00C4065B">
        <w:rPr>
          <w:lang w:val="es-ES"/>
        </w:rPr>
        <w:t>CHF, es decir, 0,31 % del presupuesto, tal y como figura en el Cuadro</w:t>
      </w:r>
      <w:r w:rsidR="004139EA">
        <w:rPr>
          <w:lang w:val="es-ES"/>
        </w:rPr>
        <w:t> </w:t>
      </w:r>
      <w:r w:rsidRPr="00C4065B">
        <w:rPr>
          <w:lang w:val="es-ES"/>
        </w:rPr>
        <w:t>1.</w:t>
      </w:r>
    </w:p>
    <w:p w14:paraId="40887D85" w14:textId="5913747B" w:rsidR="00C4065B" w:rsidRPr="00C4065B" w:rsidRDefault="00C4065B" w:rsidP="00D12E89">
      <w:pPr>
        <w:jc w:val="both"/>
        <w:rPr>
          <w:lang w:val="es-ES"/>
        </w:rPr>
      </w:pPr>
      <w:r w:rsidRPr="00C4065B">
        <w:rPr>
          <w:lang w:val="es-ES"/>
        </w:rPr>
        <w:t>Se prevé aportar una cuantía suplementaria de 700</w:t>
      </w:r>
      <w:r w:rsidR="00880F2D">
        <w:rPr>
          <w:lang w:val="es-ES"/>
        </w:rPr>
        <w:t> </w:t>
      </w:r>
      <w:r w:rsidRPr="00C4065B">
        <w:rPr>
          <w:lang w:val="es-ES"/>
        </w:rPr>
        <w:t>000</w:t>
      </w:r>
      <w:r w:rsidR="00880F2D">
        <w:rPr>
          <w:lang w:val="es-ES"/>
        </w:rPr>
        <w:t> </w:t>
      </w:r>
      <w:r w:rsidRPr="00C4065B">
        <w:rPr>
          <w:lang w:val="es-ES"/>
        </w:rPr>
        <w:t>CHF, además de los 750</w:t>
      </w:r>
      <w:r w:rsidR="00880F2D">
        <w:rPr>
          <w:lang w:val="es-ES"/>
        </w:rPr>
        <w:t> </w:t>
      </w:r>
      <w:r w:rsidRPr="00C4065B">
        <w:rPr>
          <w:lang w:val="es-ES"/>
        </w:rPr>
        <w:t>000</w:t>
      </w:r>
      <w:r w:rsidR="00880F2D">
        <w:rPr>
          <w:lang w:val="es-ES"/>
        </w:rPr>
        <w:t> </w:t>
      </w:r>
      <w:r w:rsidRPr="00C4065B">
        <w:rPr>
          <w:lang w:val="es-ES"/>
        </w:rPr>
        <w:t>CHF incluidos en el presupuesto, al fondo de mantenimiento de edificios (véase el Cuadro</w:t>
      </w:r>
      <w:r w:rsidR="004139EA">
        <w:rPr>
          <w:lang w:val="es-ES"/>
        </w:rPr>
        <w:t> </w:t>
      </w:r>
      <w:r w:rsidRPr="00C4065B">
        <w:rPr>
          <w:lang w:val="es-ES"/>
        </w:rPr>
        <w:t xml:space="preserve">3), con objeto de garantizar fondos suficientes para el mantenimiento de los edificios de la UIT, en particular habida cuenta de que el mantenimiento del edificio de Varembé no se incluyó de forma general en el presupuesto para 2024-2025. Como medida adicional para reponer </w:t>
      </w:r>
      <w:r w:rsidRPr="00C4065B">
        <w:rPr>
          <w:lang w:val="es-ES"/>
        </w:rPr>
        <w:lastRenderedPageBreak/>
        <w:t>el</w:t>
      </w:r>
      <w:r w:rsidR="008D0EE7">
        <w:rPr>
          <w:lang w:val="es-ES"/>
        </w:rPr>
        <w:t> </w:t>
      </w:r>
      <w:r w:rsidRPr="00C4065B">
        <w:rPr>
          <w:lang w:val="es-ES"/>
        </w:rPr>
        <w:t>FD</w:t>
      </w:r>
      <w:r w:rsidR="008D0EE7">
        <w:rPr>
          <w:lang w:val="es-ES"/>
        </w:rPr>
        <w:noBreakHyphen/>
      </w:r>
      <w:r w:rsidRPr="00C4065B">
        <w:rPr>
          <w:lang w:val="es-ES"/>
        </w:rPr>
        <w:t>TIC, todo excedente de costes de los servicios administrativos y operativos (AOS) que se genere por encima de la cantidad presupuestada anualmente a partir de 2024 se destinará a la cuenta de capital del FD</w:t>
      </w:r>
      <w:r w:rsidR="008D0EE7">
        <w:rPr>
          <w:lang w:val="es-ES"/>
        </w:rPr>
        <w:noBreakHyphen/>
      </w:r>
      <w:r w:rsidRPr="00C4065B">
        <w:rPr>
          <w:lang w:val="es-ES"/>
        </w:rPr>
        <w:t xml:space="preserve">TIC, con el objetivo principal de </w:t>
      </w:r>
      <w:r w:rsidR="004139EA">
        <w:rPr>
          <w:lang w:val="es-ES"/>
        </w:rPr>
        <w:t xml:space="preserve">que </w:t>
      </w:r>
      <w:r w:rsidRPr="00C4065B">
        <w:rPr>
          <w:lang w:val="es-ES"/>
        </w:rPr>
        <w:t>dichos fondos respalden la ejecución de proyectos.</w:t>
      </w:r>
    </w:p>
    <w:p w14:paraId="4F442C22" w14:textId="3BAA9EA6" w:rsidR="00C4065B" w:rsidRPr="00C4065B" w:rsidRDefault="00C4065B" w:rsidP="00D12E89">
      <w:pPr>
        <w:jc w:val="both"/>
        <w:rPr>
          <w:lang w:val="es-ES"/>
        </w:rPr>
      </w:pPr>
      <w:r w:rsidRPr="00C4065B">
        <w:rPr>
          <w:lang w:val="es-ES"/>
        </w:rPr>
        <w:t>Esta ejecución presupuestaria de 2025 se debe principalmente a un mayor incremento previsto en los rendimientos por intereses de tesorería y equivalentes de tesorería, a ahorros en gatos operativos y a los retrasos en la contratación. Se presentan detalles adicionales en los Cuadros</w:t>
      </w:r>
      <w:r w:rsidR="00880F2D">
        <w:rPr>
          <w:lang w:val="es-ES"/>
        </w:rPr>
        <w:t> </w:t>
      </w:r>
      <w:r w:rsidRPr="00C4065B">
        <w:rPr>
          <w:lang w:val="es-ES"/>
        </w:rPr>
        <w:t>1 a 4.</w:t>
      </w:r>
    </w:p>
    <w:p w14:paraId="055E05DF" w14:textId="184BB6BC" w:rsidR="00C4065B" w:rsidRDefault="00C4065B" w:rsidP="00841272">
      <w:pPr>
        <w:pStyle w:val="TableNo"/>
      </w:pPr>
      <w:r w:rsidRPr="00C4065B">
        <w:t>Cuadro 1</w:t>
      </w:r>
    </w:p>
    <w:p w14:paraId="0401C84F" w14:textId="131BA960" w:rsidR="00A9763A" w:rsidRPr="00C4065B" w:rsidRDefault="00A9763A" w:rsidP="00A9763A">
      <w:pPr>
        <w:pStyle w:val="Figure"/>
        <w:rPr>
          <w:lang w:val="en-GB"/>
        </w:rPr>
      </w:pPr>
      <w:r w:rsidRPr="00A9763A">
        <w:rPr>
          <w:noProof/>
        </w:rPr>
        <w:drawing>
          <wp:inline distT="0" distB="0" distL="0" distR="0" wp14:anchorId="273D7AAE" wp14:editId="6AA9EBD0">
            <wp:extent cx="3571200" cy="9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1200" cy="957600"/>
                    </a:xfrm>
                    <a:prstGeom prst="rect">
                      <a:avLst/>
                    </a:prstGeom>
                  </pic:spPr>
                </pic:pic>
              </a:graphicData>
            </a:graphic>
          </wp:inline>
        </w:drawing>
      </w:r>
    </w:p>
    <w:p w14:paraId="5AF36F3A" w14:textId="04CAC6FE" w:rsidR="00C4065B" w:rsidRPr="00C4065B" w:rsidRDefault="00C4065B" w:rsidP="00D12E89">
      <w:pPr>
        <w:jc w:val="both"/>
        <w:rPr>
          <w:lang w:val="es-ES"/>
        </w:rPr>
      </w:pPr>
      <w:r w:rsidRPr="00C4065B">
        <w:rPr>
          <w:lang w:val="es-ES"/>
        </w:rPr>
        <w:t>En el Cuadro</w:t>
      </w:r>
      <w:r w:rsidR="00C55138">
        <w:rPr>
          <w:lang w:val="es-ES"/>
        </w:rPr>
        <w:t> </w:t>
      </w:r>
      <w:r w:rsidRPr="00C4065B">
        <w:rPr>
          <w:lang w:val="es-ES"/>
        </w:rPr>
        <w:t>2 y el Gráfico</w:t>
      </w:r>
      <w:r w:rsidR="00C55138">
        <w:rPr>
          <w:lang w:val="es-ES"/>
        </w:rPr>
        <w:t> </w:t>
      </w:r>
      <w:r w:rsidRPr="00C4065B">
        <w:rPr>
          <w:lang w:val="es-ES"/>
        </w:rPr>
        <w:t>1 se desglosan los gastos por Sector:</w:t>
      </w:r>
    </w:p>
    <w:p w14:paraId="1B9BF6E4" w14:textId="120601F4" w:rsidR="00C4065B" w:rsidRPr="004139EA" w:rsidRDefault="00C4065B" w:rsidP="00841272">
      <w:pPr>
        <w:pStyle w:val="TableNo"/>
      </w:pPr>
      <w:r w:rsidRPr="004139EA">
        <w:t>Cuadro 2</w:t>
      </w:r>
    </w:p>
    <w:p w14:paraId="0B859E33" w14:textId="17FE1B43" w:rsidR="00A9763A" w:rsidRPr="00A9763A" w:rsidRDefault="00A9763A" w:rsidP="000372F2">
      <w:pPr>
        <w:pStyle w:val="Figure"/>
        <w:rPr>
          <w:lang w:val="en-GB"/>
        </w:rPr>
      </w:pPr>
      <w:r w:rsidRPr="00A9763A">
        <w:rPr>
          <w:noProof/>
        </w:rPr>
        <w:drawing>
          <wp:inline distT="0" distB="0" distL="0" distR="0" wp14:anchorId="0A688B52" wp14:editId="481EBD72">
            <wp:extent cx="5760085" cy="1283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1283335"/>
                    </a:xfrm>
                    <a:prstGeom prst="rect">
                      <a:avLst/>
                    </a:prstGeom>
                  </pic:spPr>
                </pic:pic>
              </a:graphicData>
            </a:graphic>
          </wp:inline>
        </w:drawing>
      </w:r>
    </w:p>
    <w:p w14:paraId="06E66139" w14:textId="626C1D5B" w:rsidR="00C4065B" w:rsidRPr="004139EA" w:rsidRDefault="00C4065B" w:rsidP="00841272">
      <w:pPr>
        <w:pStyle w:val="FigureNo"/>
        <w:rPr>
          <w:lang w:val="es-ES"/>
        </w:rPr>
      </w:pPr>
      <w:r w:rsidRPr="004139EA">
        <w:rPr>
          <w:lang w:val="es-ES"/>
        </w:rPr>
        <w:t>Gráfico 1</w:t>
      </w:r>
    </w:p>
    <w:p w14:paraId="396847F9" w14:textId="1369E6B7" w:rsidR="00C55138" w:rsidRPr="00C55138" w:rsidRDefault="00C55138" w:rsidP="00C55138">
      <w:pPr>
        <w:pStyle w:val="Figure"/>
      </w:pPr>
      <w:r w:rsidRPr="00C55138">
        <w:rPr>
          <w:noProof/>
        </w:rPr>
        <w:drawing>
          <wp:inline distT="0" distB="0" distL="0" distR="0" wp14:anchorId="60C4AD6E" wp14:editId="2413B504">
            <wp:extent cx="5220000" cy="2682000"/>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20000" cy="2682000"/>
                    </a:xfrm>
                    <a:prstGeom prst="rect">
                      <a:avLst/>
                    </a:prstGeom>
                  </pic:spPr>
                </pic:pic>
              </a:graphicData>
            </a:graphic>
          </wp:inline>
        </w:drawing>
      </w:r>
    </w:p>
    <w:p w14:paraId="43768322" w14:textId="51395910" w:rsidR="00C4065B" w:rsidRPr="00C4065B" w:rsidRDefault="00C4065B" w:rsidP="00841272">
      <w:pPr>
        <w:keepNext/>
        <w:rPr>
          <w:lang w:val="es-ES"/>
        </w:rPr>
      </w:pPr>
      <w:r w:rsidRPr="00C4065B">
        <w:rPr>
          <w:lang w:val="es-ES"/>
        </w:rPr>
        <w:lastRenderedPageBreak/>
        <w:t>En el Cuadro</w:t>
      </w:r>
      <w:r w:rsidR="00C55138">
        <w:rPr>
          <w:lang w:val="es-ES"/>
        </w:rPr>
        <w:t> </w:t>
      </w:r>
      <w:r w:rsidRPr="00C4065B">
        <w:rPr>
          <w:lang w:val="es-ES"/>
        </w:rPr>
        <w:t>3 y el Gráfico</w:t>
      </w:r>
      <w:r w:rsidR="00C55138">
        <w:rPr>
          <w:lang w:val="es-ES"/>
        </w:rPr>
        <w:t> </w:t>
      </w:r>
      <w:r w:rsidRPr="00C4065B">
        <w:rPr>
          <w:lang w:val="es-ES"/>
        </w:rPr>
        <w:t>2 se desglosan los ingresos por procedencia:</w:t>
      </w:r>
    </w:p>
    <w:p w14:paraId="349182D3" w14:textId="77777777" w:rsidR="00C4065B" w:rsidRPr="004139EA" w:rsidRDefault="00C4065B" w:rsidP="00841272">
      <w:pPr>
        <w:pStyle w:val="TableNo"/>
      </w:pPr>
      <w:r w:rsidRPr="00841272">
        <w:t>Cuadro</w:t>
      </w:r>
      <w:r w:rsidRPr="004139EA">
        <w:t xml:space="preserve"> 3</w:t>
      </w:r>
    </w:p>
    <w:p w14:paraId="54473C35" w14:textId="20578005" w:rsidR="009C7FBD" w:rsidRDefault="009C7FBD" w:rsidP="000372F2">
      <w:pPr>
        <w:pStyle w:val="Figure"/>
        <w:rPr>
          <w:lang w:val="en-GB"/>
        </w:rPr>
      </w:pPr>
      <w:r w:rsidRPr="009C7FBD">
        <w:rPr>
          <w:noProof/>
        </w:rPr>
        <w:drawing>
          <wp:inline distT="0" distB="0" distL="0" distR="0" wp14:anchorId="57D70B45" wp14:editId="49239073">
            <wp:extent cx="5760085" cy="20173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017395"/>
                    </a:xfrm>
                    <a:prstGeom prst="rect">
                      <a:avLst/>
                    </a:prstGeom>
                  </pic:spPr>
                </pic:pic>
              </a:graphicData>
            </a:graphic>
          </wp:inline>
        </w:drawing>
      </w:r>
    </w:p>
    <w:p w14:paraId="6607DF1E" w14:textId="6F218BC4" w:rsidR="00C4065B" w:rsidRPr="00841272" w:rsidRDefault="00C4065B" w:rsidP="00841272">
      <w:pPr>
        <w:pStyle w:val="FigureNo"/>
      </w:pPr>
      <w:r w:rsidRPr="00841272">
        <w:t>Gráfico 2</w:t>
      </w:r>
    </w:p>
    <w:p w14:paraId="74FBD317" w14:textId="2BE7CFD2" w:rsidR="002F1CB4" w:rsidRPr="002F1CB4" w:rsidRDefault="002F1CB4" w:rsidP="002F1CB4">
      <w:pPr>
        <w:pStyle w:val="Figure"/>
        <w:rPr>
          <w:lang w:val="en-GB"/>
        </w:rPr>
      </w:pPr>
      <w:r>
        <w:rPr>
          <w:noProof/>
          <w:lang w:val="en-GB"/>
        </w:rPr>
        <w:drawing>
          <wp:inline distT="0" distB="0" distL="0" distR="0" wp14:anchorId="52F0DB6B" wp14:editId="7677BD66">
            <wp:extent cx="5414400" cy="325440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4400" cy="3254400"/>
                    </a:xfrm>
                    <a:prstGeom prst="rect">
                      <a:avLst/>
                    </a:prstGeom>
                    <a:noFill/>
                  </pic:spPr>
                </pic:pic>
              </a:graphicData>
            </a:graphic>
          </wp:inline>
        </w:drawing>
      </w:r>
    </w:p>
    <w:p w14:paraId="59A01B91" w14:textId="04178547" w:rsidR="00C4065B" w:rsidRPr="00C4065B" w:rsidRDefault="00C4065B" w:rsidP="00194A47">
      <w:pPr>
        <w:keepNext/>
        <w:rPr>
          <w:lang w:val="es-ES"/>
        </w:rPr>
      </w:pPr>
      <w:r w:rsidRPr="00C4065B">
        <w:rPr>
          <w:lang w:val="es-ES"/>
        </w:rPr>
        <w:lastRenderedPageBreak/>
        <w:t>En el Cuadro</w:t>
      </w:r>
      <w:r w:rsidR="00880F2D">
        <w:rPr>
          <w:lang w:val="es-ES"/>
        </w:rPr>
        <w:t> </w:t>
      </w:r>
      <w:r w:rsidRPr="00C4065B">
        <w:rPr>
          <w:lang w:val="es-ES"/>
        </w:rPr>
        <w:t>4 se desglosan los ingresos por recuperación de costes:</w:t>
      </w:r>
    </w:p>
    <w:p w14:paraId="6E4E7C17" w14:textId="61567E1D" w:rsidR="00C4065B" w:rsidRPr="004139EA" w:rsidRDefault="00C4065B" w:rsidP="00841272">
      <w:pPr>
        <w:pStyle w:val="TableNo"/>
      </w:pPr>
      <w:r w:rsidRPr="004139EA">
        <w:t>Cuadro 4</w:t>
      </w:r>
    </w:p>
    <w:p w14:paraId="4E30FA19" w14:textId="0D0B9E20" w:rsidR="000372F2" w:rsidRPr="000372F2" w:rsidRDefault="000372F2" w:rsidP="000372F2">
      <w:pPr>
        <w:pStyle w:val="Figure"/>
        <w:rPr>
          <w:lang w:val="en-GB"/>
        </w:rPr>
      </w:pPr>
      <w:r w:rsidRPr="000372F2">
        <w:rPr>
          <w:noProof/>
        </w:rPr>
        <w:drawing>
          <wp:inline distT="0" distB="0" distL="0" distR="0" wp14:anchorId="11BDF4B0" wp14:editId="1E2BC300">
            <wp:extent cx="5760085" cy="15030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85" cy="1503045"/>
                    </a:xfrm>
                    <a:prstGeom prst="rect">
                      <a:avLst/>
                    </a:prstGeom>
                  </pic:spPr>
                </pic:pic>
              </a:graphicData>
            </a:graphic>
          </wp:inline>
        </w:drawing>
      </w:r>
    </w:p>
    <w:p w14:paraId="2B23CD01" w14:textId="77777777" w:rsidR="00F92BED" w:rsidRDefault="00F92BED" w:rsidP="0032202E">
      <w:pPr>
        <w:pStyle w:val="Reasons"/>
      </w:pPr>
    </w:p>
    <w:p w14:paraId="177C71B6" w14:textId="77777777" w:rsidR="00F92BED" w:rsidRPr="00F92BED" w:rsidRDefault="00F92BED" w:rsidP="00F92BED">
      <w:pPr>
        <w:jc w:val="center"/>
      </w:pPr>
      <w:r>
        <w:t>______________</w:t>
      </w:r>
    </w:p>
    <w:sectPr w:rsidR="00F92BED" w:rsidRPr="00F92BED" w:rsidSect="00C538FC">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FEAD9" w14:textId="77777777" w:rsidR="00D10E47" w:rsidRDefault="00D10E47">
      <w:r>
        <w:separator/>
      </w:r>
    </w:p>
  </w:endnote>
  <w:endnote w:type="continuationSeparator" w:id="0">
    <w:p w14:paraId="4D9E6FE1" w14:textId="77777777" w:rsidR="00D10E47" w:rsidRDefault="00D1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2BC6901" w14:textId="77777777" w:rsidTr="00E31DCE">
      <w:trPr>
        <w:jc w:val="center"/>
      </w:trPr>
      <w:tc>
        <w:tcPr>
          <w:tcW w:w="1803" w:type="dxa"/>
          <w:vAlign w:val="center"/>
        </w:tcPr>
        <w:p w14:paraId="522F499F" w14:textId="426D56C3" w:rsidR="003273A4" w:rsidRDefault="002946E2" w:rsidP="003273A4">
          <w:pPr>
            <w:pStyle w:val="Header"/>
            <w:jc w:val="left"/>
            <w:rPr>
              <w:noProof/>
            </w:rPr>
          </w:pPr>
          <w:r>
            <w:rPr>
              <w:noProof/>
            </w:rPr>
            <w:t xml:space="preserve">gDoc </w:t>
          </w:r>
          <w:r w:rsidR="00C4065B">
            <w:rPr>
              <w:noProof/>
            </w:rPr>
            <w:t>2501240</w:t>
          </w:r>
        </w:p>
      </w:tc>
      <w:tc>
        <w:tcPr>
          <w:tcW w:w="8261" w:type="dxa"/>
        </w:tcPr>
        <w:p w14:paraId="7B2843C2" w14:textId="2EEFAA74"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C4065B">
            <w:rPr>
              <w:bCs/>
            </w:rPr>
            <w:t>9</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1152B33"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C74452D" w14:textId="77777777" w:rsidTr="00E31DCE">
      <w:trPr>
        <w:jc w:val="center"/>
      </w:trPr>
      <w:tc>
        <w:tcPr>
          <w:tcW w:w="1803" w:type="dxa"/>
          <w:vAlign w:val="center"/>
        </w:tcPr>
        <w:p w14:paraId="7A0D5084"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6BD6D9F4" w14:textId="034FA537"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C4065B">
            <w:rPr>
              <w:bCs/>
            </w:rPr>
            <w:t>9</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38E999B"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263B7" w14:textId="77777777" w:rsidR="00D10E47" w:rsidRDefault="00D10E47">
      <w:r>
        <w:t>____________________</w:t>
      </w:r>
    </w:p>
  </w:footnote>
  <w:footnote w:type="continuationSeparator" w:id="0">
    <w:p w14:paraId="73A77C71" w14:textId="77777777" w:rsidR="00D10E47" w:rsidRDefault="00D1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752E7AB" w14:textId="77777777" w:rsidTr="00666D09">
      <w:trPr>
        <w:trHeight w:val="1104"/>
        <w:jc w:val="center"/>
      </w:trPr>
      <w:tc>
        <w:tcPr>
          <w:tcW w:w="5998" w:type="dxa"/>
          <w:vAlign w:val="center"/>
        </w:tcPr>
        <w:p w14:paraId="27B33DF5"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0B2DF5C" wp14:editId="492FC222">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25CA5D7" w14:textId="77777777" w:rsidR="00666D09" w:rsidRDefault="00666D09" w:rsidP="001559F5">
          <w:pPr>
            <w:pStyle w:val="Header"/>
            <w:jc w:val="right"/>
            <w:rPr>
              <w:rFonts w:ascii="Arial" w:hAnsi="Arial" w:cs="Arial"/>
              <w:b/>
              <w:bCs/>
              <w:color w:val="009CD6"/>
              <w:szCs w:val="18"/>
            </w:rPr>
          </w:pPr>
        </w:p>
      </w:tc>
    </w:tr>
  </w:tbl>
  <w:p w14:paraId="228E7EAA"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3779E7" wp14:editId="134C6DC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6D67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D0B61"/>
    <w:multiLevelType w:val="hybridMultilevel"/>
    <w:tmpl w:val="6614AB62"/>
    <w:lvl w:ilvl="0" w:tplc="6FE41CE8">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61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4A"/>
    <w:rsid w:val="000007D1"/>
    <w:rsid w:val="000372F2"/>
    <w:rsid w:val="00051340"/>
    <w:rsid w:val="0006007D"/>
    <w:rsid w:val="00093EEB"/>
    <w:rsid w:val="000B0D00"/>
    <w:rsid w:val="000B7C15"/>
    <w:rsid w:val="000C4733"/>
    <w:rsid w:val="000D1D0F"/>
    <w:rsid w:val="000E3F07"/>
    <w:rsid w:val="000F5290"/>
    <w:rsid w:val="0010165C"/>
    <w:rsid w:val="0011157B"/>
    <w:rsid w:val="0013702E"/>
    <w:rsid w:val="00146BFB"/>
    <w:rsid w:val="001559F5"/>
    <w:rsid w:val="00157AC4"/>
    <w:rsid w:val="0016169C"/>
    <w:rsid w:val="001944B5"/>
    <w:rsid w:val="00194A47"/>
    <w:rsid w:val="001B6E2B"/>
    <w:rsid w:val="001F14A2"/>
    <w:rsid w:val="002801AA"/>
    <w:rsid w:val="002946E2"/>
    <w:rsid w:val="002C3F32"/>
    <w:rsid w:val="002C4676"/>
    <w:rsid w:val="002C70B0"/>
    <w:rsid w:val="002F1CB4"/>
    <w:rsid w:val="002F3CC4"/>
    <w:rsid w:val="003032E2"/>
    <w:rsid w:val="0031300A"/>
    <w:rsid w:val="003273A4"/>
    <w:rsid w:val="0034796E"/>
    <w:rsid w:val="003B385E"/>
    <w:rsid w:val="004139EA"/>
    <w:rsid w:val="00414DAC"/>
    <w:rsid w:val="00473962"/>
    <w:rsid w:val="004B5D49"/>
    <w:rsid w:val="004D3A3C"/>
    <w:rsid w:val="00513630"/>
    <w:rsid w:val="00560125"/>
    <w:rsid w:val="005713A4"/>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15709"/>
    <w:rsid w:val="00726872"/>
    <w:rsid w:val="00760F1C"/>
    <w:rsid w:val="007657F0"/>
    <w:rsid w:val="0077110E"/>
    <w:rsid w:val="0077252D"/>
    <w:rsid w:val="007955DA"/>
    <w:rsid w:val="007B73C6"/>
    <w:rsid w:val="007E5DD3"/>
    <w:rsid w:val="007F350B"/>
    <w:rsid w:val="00820BE4"/>
    <w:rsid w:val="00841272"/>
    <w:rsid w:val="008451E8"/>
    <w:rsid w:val="00880F2D"/>
    <w:rsid w:val="008D0EE7"/>
    <w:rsid w:val="008F6ABC"/>
    <w:rsid w:val="00913B9C"/>
    <w:rsid w:val="00927F93"/>
    <w:rsid w:val="00956E77"/>
    <w:rsid w:val="009A338E"/>
    <w:rsid w:val="009C7FBD"/>
    <w:rsid w:val="009F4811"/>
    <w:rsid w:val="00A94438"/>
    <w:rsid w:val="00A9763A"/>
    <w:rsid w:val="00AA390C"/>
    <w:rsid w:val="00B0200A"/>
    <w:rsid w:val="00B060DF"/>
    <w:rsid w:val="00B574DB"/>
    <w:rsid w:val="00B826C2"/>
    <w:rsid w:val="00B8298E"/>
    <w:rsid w:val="00BB6FD8"/>
    <w:rsid w:val="00BD0723"/>
    <w:rsid w:val="00BD2518"/>
    <w:rsid w:val="00BF1D1C"/>
    <w:rsid w:val="00C17600"/>
    <w:rsid w:val="00C20C59"/>
    <w:rsid w:val="00C23465"/>
    <w:rsid w:val="00C2727F"/>
    <w:rsid w:val="00C4065B"/>
    <w:rsid w:val="00C538FC"/>
    <w:rsid w:val="00C55138"/>
    <w:rsid w:val="00C55B1F"/>
    <w:rsid w:val="00CF1A67"/>
    <w:rsid w:val="00CF4623"/>
    <w:rsid w:val="00D041A3"/>
    <w:rsid w:val="00D10E47"/>
    <w:rsid w:val="00D12E89"/>
    <w:rsid w:val="00D2750E"/>
    <w:rsid w:val="00D375E0"/>
    <w:rsid w:val="00D50A36"/>
    <w:rsid w:val="00D62446"/>
    <w:rsid w:val="00D73C7A"/>
    <w:rsid w:val="00DA4EA2"/>
    <w:rsid w:val="00DC3D3E"/>
    <w:rsid w:val="00DD77D3"/>
    <w:rsid w:val="00DE2C90"/>
    <w:rsid w:val="00DE3B24"/>
    <w:rsid w:val="00DF4AD5"/>
    <w:rsid w:val="00E06947"/>
    <w:rsid w:val="00E10E89"/>
    <w:rsid w:val="00E11319"/>
    <w:rsid w:val="00E11859"/>
    <w:rsid w:val="00E21444"/>
    <w:rsid w:val="00E25355"/>
    <w:rsid w:val="00E34072"/>
    <w:rsid w:val="00E3592D"/>
    <w:rsid w:val="00E50D76"/>
    <w:rsid w:val="00E8018B"/>
    <w:rsid w:val="00E92DE8"/>
    <w:rsid w:val="00EB03B9"/>
    <w:rsid w:val="00EB1212"/>
    <w:rsid w:val="00ED65AB"/>
    <w:rsid w:val="00EE4349"/>
    <w:rsid w:val="00F12850"/>
    <w:rsid w:val="00F24B71"/>
    <w:rsid w:val="00F33BF4"/>
    <w:rsid w:val="00F4254A"/>
    <w:rsid w:val="00F7105E"/>
    <w:rsid w:val="00F75F57"/>
    <w:rsid w:val="00F82FEE"/>
    <w:rsid w:val="00F91261"/>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8F5A9"/>
  <w15:docId w15:val="{7EE013CD-68B1-415D-9A83-401871A2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D12E89"/>
    <w:pPr>
      <w:spacing w:after="24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41272"/>
    <w:pPr>
      <w:keepNext/>
      <w:spacing w:before="480" w:after="120"/>
      <w:jc w:val="center"/>
    </w:pPr>
    <w:rPr>
      <w:caps/>
      <w:lang w:val="es-E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EB03B9"/>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841272"/>
    <w:pPr>
      <w:keepNext/>
      <w:keepLines/>
      <w:spacing w:before="48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8D0EE7"/>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15/es"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2023/DEC-005-S.pdf" TargetMode="Externa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8CD0-DF68-4D08-BB9E-AF4C6645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0</TotalTime>
  <Pages>5</Pages>
  <Words>783</Words>
  <Characters>3998</Characters>
  <Application>Microsoft Office Word</Application>
  <DocSecurity>0</DocSecurity>
  <Lines>93</Lines>
  <Paragraphs>44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4746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anual de ingresos y gastos relativos a la ejecución del presupuesto 2025</dc:title>
  <dc:subject>Consejo 2025 de la UIT</dc:subject>
  <cp:keywords>C2025, C25, Council-25</cp:keywords>
  <dc:description/>
  <cp:lastPrinted>2006-03-24T09:51:00Z</cp:lastPrinted>
  <dcterms:created xsi:type="dcterms:W3CDTF">2025-05-29T07:32:00Z</dcterms:created>
  <dcterms:modified xsi:type="dcterms:W3CDTF">2025-05-29T07:32:00Z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