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3AC2C6EB" w14:textId="77777777" w:rsidTr="00D72F49">
        <w:trPr>
          <w:cantSplit/>
          <w:trHeight w:val="23"/>
        </w:trPr>
        <w:tc>
          <w:tcPr>
            <w:tcW w:w="3969" w:type="dxa"/>
            <w:vMerge w:val="restart"/>
            <w:tcMar>
              <w:left w:w="0" w:type="dxa"/>
            </w:tcMar>
          </w:tcPr>
          <w:p w14:paraId="52D51D11" w14:textId="7E2E4B1B" w:rsidR="00D72F49" w:rsidRPr="00E85629" w:rsidRDefault="00D72F49" w:rsidP="00D72F49">
            <w:pPr>
              <w:tabs>
                <w:tab w:val="left" w:pos="851"/>
              </w:tabs>
              <w:spacing w:before="0" w:line="240" w:lineRule="atLeast"/>
              <w:rPr>
                <w:b/>
              </w:rPr>
            </w:pPr>
            <w:r w:rsidRPr="00122CE1">
              <w:rPr>
                <w:b/>
              </w:rPr>
              <w:t>Point de l'ordre du jour</w:t>
            </w:r>
            <w:r>
              <w:rPr>
                <w:b/>
              </w:rPr>
              <w:t>:</w:t>
            </w:r>
            <w:r w:rsidR="00F114D7">
              <w:rPr>
                <w:b/>
              </w:rPr>
              <w:t xml:space="preserve"> ADM 1</w:t>
            </w:r>
          </w:p>
        </w:tc>
        <w:tc>
          <w:tcPr>
            <w:tcW w:w="5245" w:type="dxa"/>
          </w:tcPr>
          <w:p w14:paraId="54C8E9EB" w14:textId="4FBFF131" w:rsidR="00D72F49" w:rsidRPr="00E85629" w:rsidRDefault="00D72F49" w:rsidP="00D72F49">
            <w:pPr>
              <w:tabs>
                <w:tab w:val="left" w:pos="851"/>
              </w:tabs>
              <w:spacing w:before="0" w:line="240" w:lineRule="atLeast"/>
              <w:jc w:val="right"/>
              <w:rPr>
                <w:b/>
              </w:rPr>
            </w:pPr>
            <w:r>
              <w:rPr>
                <w:b/>
              </w:rPr>
              <w:t>Document C2</w:t>
            </w:r>
            <w:r w:rsidR="00FC6D7D">
              <w:rPr>
                <w:b/>
              </w:rPr>
              <w:t>5</w:t>
            </w:r>
            <w:r>
              <w:rPr>
                <w:b/>
              </w:rPr>
              <w:t>/</w:t>
            </w:r>
            <w:r w:rsidR="00F114D7">
              <w:rPr>
                <w:b/>
              </w:rPr>
              <w:t>9</w:t>
            </w:r>
            <w:r>
              <w:rPr>
                <w:b/>
              </w:rPr>
              <w:t>-F</w:t>
            </w:r>
          </w:p>
        </w:tc>
      </w:tr>
      <w:tr w:rsidR="00D72F49" w:rsidRPr="00C049D7" w14:paraId="3050D7DF" w14:textId="77777777" w:rsidTr="00D72F49">
        <w:trPr>
          <w:cantSplit/>
        </w:trPr>
        <w:tc>
          <w:tcPr>
            <w:tcW w:w="3969" w:type="dxa"/>
            <w:vMerge/>
          </w:tcPr>
          <w:p w14:paraId="5D560A73" w14:textId="77777777" w:rsidR="00D72F49" w:rsidRPr="00813E5E" w:rsidRDefault="00D72F49" w:rsidP="00D72F49">
            <w:pPr>
              <w:tabs>
                <w:tab w:val="left" w:pos="851"/>
              </w:tabs>
              <w:spacing w:line="240" w:lineRule="atLeast"/>
              <w:rPr>
                <w:b/>
              </w:rPr>
            </w:pPr>
          </w:p>
        </w:tc>
        <w:tc>
          <w:tcPr>
            <w:tcW w:w="5245" w:type="dxa"/>
          </w:tcPr>
          <w:p w14:paraId="48DBB8E4" w14:textId="1D53AD0D" w:rsidR="00D72F49" w:rsidRPr="00FC6D7D" w:rsidRDefault="00F114D7" w:rsidP="00D72F49">
            <w:pPr>
              <w:tabs>
                <w:tab w:val="left" w:pos="851"/>
              </w:tabs>
              <w:spacing w:before="0"/>
              <w:jc w:val="right"/>
              <w:rPr>
                <w:b/>
                <w:lang w:val="en-GB"/>
              </w:rPr>
            </w:pPr>
            <w:r>
              <w:rPr>
                <w:b/>
              </w:rPr>
              <w:t>16 mai 2025</w:t>
            </w:r>
          </w:p>
        </w:tc>
      </w:tr>
      <w:tr w:rsidR="00D72F49" w:rsidRPr="00813E5E" w14:paraId="060415F7" w14:textId="77777777" w:rsidTr="00D72F49">
        <w:trPr>
          <w:cantSplit/>
          <w:trHeight w:val="23"/>
        </w:trPr>
        <w:tc>
          <w:tcPr>
            <w:tcW w:w="3969" w:type="dxa"/>
            <w:vMerge/>
          </w:tcPr>
          <w:p w14:paraId="28766612" w14:textId="77777777" w:rsidR="00D72F49" w:rsidRPr="00FC6D7D" w:rsidRDefault="00D72F49" w:rsidP="00D72F49">
            <w:pPr>
              <w:tabs>
                <w:tab w:val="left" w:pos="851"/>
              </w:tabs>
              <w:spacing w:line="240" w:lineRule="atLeast"/>
              <w:rPr>
                <w:b/>
                <w:lang w:val="en-GB"/>
              </w:rPr>
            </w:pPr>
          </w:p>
        </w:tc>
        <w:tc>
          <w:tcPr>
            <w:tcW w:w="5245" w:type="dxa"/>
          </w:tcPr>
          <w:p w14:paraId="61369522" w14:textId="77777777" w:rsidR="00D72F49" w:rsidRPr="00E85629" w:rsidRDefault="00D72F49" w:rsidP="00D72F49">
            <w:pPr>
              <w:tabs>
                <w:tab w:val="left" w:pos="851"/>
              </w:tabs>
              <w:spacing w:before="0" w:line="240" w:lineRule="atLeast"/>
              <w:jc w:val="right"/>
              <w:rPr>
                <w:b/>
              </w:rPr>
            </w:pPr>
            <w:r w:rsidRPr="00122CE1">
              <w:rPr>
                <w:b/>
                <w:lang w:val="fr-CH"/>
              </w:rPr>
              <w:t>Original: anglais</w:t>
            </w:r>
          </w:p>
        </w:tc>
      </w:tr>
      <w:tr w:rsidR="00D72F49" w:rsidRPr="00813E5E" w14:paraId="3AAA7B0F" w14:textId="77777777" w:rsidTr="00D72F49">
        <w:trPr>
          <w:cantSplit/>
          <w:trHeight w:val="23"/>
        </w:trPr>
        <w:tc>
          <w:tcPr>
            <w:tcW w:w="3969" w:type="dxa"/>
          </w:tcPr>
          <w:p w14:paraId="65CB6BB0" w14:textId="77777777" w:rsidR="00D72F49" w:rsidRPr="00813E5E" w:rsidRDefault="00D72F49" w:rsidP="00D72F49">
            <w:pPr>
              <w:tabs>
                <w:tab w:val="left" w:pos="851"/>
              </w:tabs>
              <w:spacing w:line="240" w:lineRule="atLeast"/>
              <w:rPr>
                <w:b/>
              </w:rPr>
            </w:pPr>
          </w:p>
        </w:tc>
        <w:tc>
          <w:tcPr>
            <w:tcW w:w="5245" w:type="dxa"/>
          </w:tcPr>
          <w:p w14:paraId="47EF194D" w14:textId="77777777" w:rsidR="00D72F49" w:rsidRDefault="00D72F49" w:rsidP="00D72F49">
            <w:pPr>
              <w:tabs>
                <w:tab w:val="left" w:pos="851"/>
              </w:tabs>
              <w:spacing w:before="0" w:line="240" w:lineRule="atLeast"/>
              <w:jc w:val="right"/>
              <w:rPr>
                <w:b/>
              </w:rPr>
            </w:pPr>
          </w:p>
        </w:tc>
      </w:tr>
      <w:tr w:rsidR="00D72F49" w:rsidRPr="00122CE1" w14:paraId="604F60E8" w14:textId="77777777" w:rsidTr="00D72F49">
        <w:trPr>
          <w:cantSplit/>
        </w:trPr>
        <w:tc>
          <w:tcPr>
            <w:tcW w:w="9214" w:type="dxa"/>
            <w:gridSpan w:val="2"/>
            <w:tcMar>
              <w:left w:w="0" w:type="dxa"/>
            </w:tcMar>
          </w:tcPr>
          <w:p w14:paraId="393FD15B" w14:textId="77777777" w:rsidR="00D72F49" w:rsidRPr="00C42437" w:rsidRDefault="00D72F49" w:rsidP="00D72F49">
            <w:pPr>
              <w:pStyle w:val="Source"/>
              <w:jc w:val="left"/>
              <w:rPr>
                <w:sz w:val="34"/>
                <w:szCs w:val="34"/>
                <w:lang w:val="fr-CH"/>
              </w:rPr>
            </w:pPr>
            <w:r w:rsidRPr="00D72F49">
              <w:rPr>
                <w:rFonts w:cstheme="minorHAnsi"/>
                <w:color w:val="000000"/>
                <w:sz w:val="34"/>
                <w:szCs w:val="34"/>
              </w:rPr>
              <w:t xml:space="preserve">Rapport </w:t>
            </w:r>
            <w:r w:rsidR="00E95647">
              <w:rPr>
                <w:rFonts w:cstheme="minorHAnsi"/>
                <w:color w:val="000000"/>
                <w:sz w:val="34"/>
                <w:szCs w:val="34"/>
              </w:rPr>
              <w:t xml:space="preserve">de la </w:t>
            </w:r>
            <w:r w:rsidRPr="00D72F49">
              <w:rPr>
                <w:rFonts w:cstheme="minorHAnsi"/>
                <w:color w:val="000000"/>
                <w:sz w:val="34"/>
                <w:szCs w:val="34"/>
              </w:rPr>
              <w:t>Secrétaire général</w:t>
            </w:r>
            <w:r w:rsidR="00E95647">
              <w:rPr>
                <w:rFonts w:cstheme="minorHAnsi"/>
                <w:color w:val="000000"/>
                <w:sz w:val="34"/>
                <w:szCs w:val="34"/>
              </w:rPr>
              <w:t>e</w:t>
            </w:r>
          </w:p>
        </w:tc>
      </w:tr>
      <w:tr w:rsidR="00D72F49" w:rsidRPr="00813E5E" w14:paraId="64F5DD94" w14:textId="77777777" w:rsidTr="00D72F49">
        <w:trPr>
          <w:cantSplit/>
        </w:trPr>
        <w:tc>
          <w:tcPr>
            <w:tcW w:w="9214" w:type="dxa"/>
            <w:gridSpan w:val="2"/>
            <w:tcMar>
              <w:left w:w="0" w:type="dxa"/>
            </w:tcMar>
          </w:tcPr>
          <w:p w14:paraId="60457DBE" w14:textId="5EA78716" w:rsidR="00D72F49" w:rsidRPr="00F114D7" w:rsidRDefault="00F114D7" w:rsidP="00D72F49">
            <w:pPr>
              <w:pStyle w:val="Subtitle"/>
              <w:framePr w:hSpace="0" w:wrap="auto" w:hAnchor="text" w:xAlign="left" w:yAlign="inline"/>
              <w:rPr>
                <w:sz w:val="32"/>
                <w:szCs w:val="32"/>
                <w:lang w:val="fr-FR"/>
              </w:rPr>
            </w:pPr>
            <w:bookmarkStart w:id="0" w:name="_Hlk200654489"/>
            <w:r w:rsidRPr="00F114D7">
              <w:rPr>
                <w:rFonts w:cstheme="minorHAnsi"/>
                <w:sz w:val="32"/>
                <w:szCs w:val="32"/>
                <w:lang w:val="fr-FR"/>
              </w:rPr>
              <w:t>EXAMEN ANNUEL DES PRODUITS ET DES CHARGES DANS LE CADRE DE LA MISE EN ŒUVRE DU BUDGET 2025</w:t>
            </w:r>
            <w:bookmarkEnd w:id="0"/>
          </w:p>
        </w:tc>
      </w:tr>
      <w:tr w:rsidR="00D72F49" w:rsidRPr="00813E5E" w14:paraId="7599FD3F" w14:textId="77777777" w:rsidTr="00D72F49">
        <w:trPr>
          <w:cantSplit/>
        </w:trPr>
        <w:tc>
          <w:tcPr>
            <w:tcW w:w="9214" w:type="dxa"/>
            <w:gridSpan w:val="2"/>
            <w:tcBorders>
              <w:top w:val="single" w:sz="4" w:space="0" w:color="auto"/>
              <w:bottom w:val="single" w:sz="4" w:space="0" w:color="auto"/>
            </w:tcBorders>
            <w:tcMar>
              <w:left w:w="0" w:type="dxa"/>
            </w:tcMar>
          </w:tcPr>
          <w:p w14:paraId="474264C3" w14:textId="77777777" w:rsidR="00D72F49" w:rsidRPr="0099485B" w:rsidRDefault="00F37FE5" w:rsidP="00D72F49">
            <w:pPr>
              <w:spacing w:before="160"/>
              <w:rPr>
                <w:b/>
                <w:bCs/>
                <w:sz w:val="26"/>
                <w:szCs w:val="26"/>
                <w:lang w:val="fr-CH"/>
              </w:rPr>
            </w:pPr>
            <w:r>
              <w:rPr>
                <w:b/>
                <w:bCs/>
                <w:sz w:val="26"/>
                <w:szCs w:val="26"/>
                <w:lang w:val="fr-CH"/>
              </w:rPr>
              <w:t>Objet</w:t>
            </w:r>
          </w:p>
          <w:p w14:paraId="59205931" w14:textId="62C3A90E" w:rsidR="00D72F49" w:rsidRPr="0099485B" w:rsidRDefault="00F114D7" w:rsidP="00F114D7">
            <w:pPr>
              <w:rPr>
                <w:lang w:val="fr-CH"/>
              </w:rPr>
            </w:pPr>
            <w:r w:rsidRPr="00F114D7">
              <w:rPr>
                <w:lang w:val="fr-CH"/>
              </w:rPr>
              <w:t>Le présent document rend compte des principaux éléments de la mise en œuvre du budget pour 2025, conformément au numéro 73 de la Convention de l'UIT, qui dispose que le</w:t>
            </w:r>
            <w:r w:rsidR="003A4AC5">
              <w:rPr>
                <w:lang w:val="fr-CH"/>
              </w:rPr>
              <w:t> </w:t>
            </w:r>
            <w:r w:rsidRPr="00F114D7">
              <w:rPr>
                <w:lang w:val="fr-CH"/>
              </w:rPr>
              <w:t>Conseil procède à un examen annuel des produits et des charges.</w:t>
            </w:r>
          </w:p>
          <w:p w14:paraId="490A8A29" w14:textId="77777777" w:rsidR="00D72F49" w:rsidRPr="00122CE1" w:rsidRDefault="00D72F49" w:rsidP="00D72F49">
            <w:pPr>
              <w:spacing w:before="160"/>
              <w:rPr>
                <w:b/>
                <w:bCs/>
                <w:sz w:val="26"/>
                <w:szCs w:val="26"/>
                <w:lang w:val="fr-CH"/>
              </w:rPr>
            </w:pPr>
            <w:r w:rsidRPr="00122CE1">
              <w:rPr>
                <w:b/>
                <w:bCs/>
                <w:sz w:val="26"/>
                <w:szCs w:val="26"/>
                <w:lang w:val="fr-CH"/>
              </w:rPr>
              <w:t>Suite à donner par le Conseil</w:t>
            </w:r>
          </w:p>
          <w:p w14:paraId="34632D2C" w14:textId="223C69CD" w:rsidR="00D72F49" w:rsidRPr="00122CE1" w:rsidRDefault="00F114D7" w:rsidP="00D72F49">
            <w:pPr>
              <w:rPr>
                <w:lang w:val="fr-CH"/>
              </w:rPr>
            </w:pPr>
            <w:r w:rsidRPr="00F114D7">
              <w:rPr>
                <w:lang w:val="fr-CH"/>
              </w:rPr>
              <w:t xml:space="preserve">Le Conseil est invité à </w:t>
            </w:r>
            <w:r w:rsidRPr="00F114D7">
              <w:rPr>
                <w:b/>
                <w:bCs/>
                <w:lang w:val="fr-CH"/>
              </w:rPr>
              <w:t>prendre note</w:t>
            </w:r>
            <w:r w:rsidRPr="00F114D7">
              <w:rPr>
                <w:lang w:val="fr-CH"/>
              </w:rPr>
              <w:t xml:space="preserve"> du présent document</w:t>
            </w:r>
            <w:r>
              <w:rPr>
                <w:lang w:val="fr-CH"/>
              </w:rPr>
              <w:t>.</w:t>
            </w:r>
          </w:p>
          <w:p w14:paraId="5BC8C880" w14:textId="7E007349" w:rsidR="00D72F49" w:rsidRPr="00122CE1" w:rsidRDefault="00D72F49" w:rsidP="00D72F49">
            <w:pPr>
              <w:spacing w:before="160"/>
              <w:rPr>
                <w:b/>
                <w:bCs/>
                <w:sz w:val="26"/>
                <w:szCs w:val="26"/>
                <w:lang w:val="fr-CH"/>
              </w:rPr>
            </w:pPr>
            <w:r w:rsidRPr="00122CE1">
              <w:rPr>
                <w:b/>
                <w:bCs/>
                <w:sz w:val="26"/>
                <w:szCs w:val="26"/>
                <w:lang w:val="fr-CH"/>
              </w:rPr>
              <w:t xml:space="preserve">Lien pertinent avec le </w:t>
            </w:r>
            <w:r w:rsidR="00F37FE5">
              <w:rPr>
                <w:b/>
                <w:bCs/>
                <w:sz w:val="26"/>
                <w:szCs w:val="26"/>
                <w:lang w:val="fr-CH"/>
              </w:rPr>
              <w:t>p</w:t>
            </w:r>
            <w:r w:rsidRPr="00122CE1">
              <w:rPr>
                <w:b/>
                <w:bCs/>
                <w:sz w:val="26"/>
                <w:szCs w:val="26"/>
                <w:lang w:val="fr-CH"/>
              </w:rPr>
              <w:t>lan stratégique</w:t>
            </w:r>
          </w:p>
          <w:p w14:paraId="40C0B655" w14:textId="79C8F136" w:rsidR="00D72F49" w:rsidRPr="00122CE1" w:rsidRDefault="00F114D7" w:rsidP="00D72F49">
            <w:pPr>
              <w:rPr>
                <w:lang w:val="fr-CH"/>
              </w:rPr>
            </w:pPr>
            <w:r w:rsidRPr="00F114D7">
              <w:rPr>
                <w:lang w:val="fr-CH"/>
              </w:rPr>
              <w:t>Le budget de l'Union pour 2025 permet le financement des deux buts et des cinq priorités thématiques de l'UIT.</w:t>
            </w:r>
          </w:p>
          <w:p w14:paraId="3C1FC0EF" w14:textId="77777777" w:rsidR="00E95647" w:rsidRDefault="00D72F49" w:rsidP="00D72F49">
            <w:pPr>
              <w:spacing w:before="160"/>
              <w:rPr>
                <w:b/>
                <w:bCs/>
                <w:sz w:val="26"/>
                <w:szCs w:val="26"/>
                <w:lang w:val="fr-CH"/>
              </w:rPr>
            </w:pPr>
            <w:r w:rsidRPr="00122CE1">
              <w:rPr>
                <w:b/>
                <w:bCs/>
                <w:sz w:val="26"/>
                <w:szCs w:val="26"/>
                <w:lang w:val="fr-CH"/>
              </w:rPr>
              <w:t>Incidences financières</w:t>
            </w:r>
          </w:p>
          <w:p w14:paraId="29395370" w14:textId="489CC866" w:rsidR="00D72F49" w:rsidRPr="00882919" w:rsidRDefault="00F114D7" w:rsidP="00882919">
            <w:pPr>
              <w:rPr>
                <w:szCs w:val="24"/>
              </w:rPr>
            </w:pPr>
            <w:r w:rsidRPr="00F114D7">
              <w:rPr>
                <w:szCs w:val="24"/>
              </w:rPr>
              <w:t>La direction de l'UIT prendra toutes les mesures nécessaires pour garantir une mise en œuvre optimale du budget 2025.</w:t>
            </w:r>
          </w:p>
          <w:p w14:paraId="1742B586" w14:textId="77777777" w:rsidR="00D72F49" w:rsidRPr="00813E5E" w:rsidRDefault="00D72F49" w:rsidP="00D72F49">
            <w:pPr>
              <w:spacing w:before="160"/>
              <w:rPr>
                <w:caps/>
                <w:sz w:val="22"/>
              </w:rPr>
            </w:pPr>
            <w:r w:rsidRPr="00813E5E">
              <w:rPr>
                <w:sz w:val="22"/>
              </w:rPr>
              <w:t>____________</w:t>
            </w:r>
            <w:r>
              <w:rPr>
                <w:sz w:val="22"/>
              </w:rPr>
              <w:t>______</w:t>
            </w:r>
          </w:p>
          <w:p w14:paraId="753A943E" w14:textId="77777777" w:rsidR="00D72F49" w:rsidRDefault="00D72F49" w:rsidP="00D72F49">
            <w:pPr>
              <w:spacing w:before="160"/>
              <w:rPr>
                <w:b/>
                <w:bCs/>
                <w:sz w:val="26"/>
                <w:szCs w:val="26"/>
              </w:rPr>
            </w:pPr>
            <w:r w:rsidRPr="00F16BAB">
              <w:rPr>
                <w:b/>
                <w:bCs/>
                <w:sz w:val="26"/>
                <w:szCs w:val="26"/>
              </w:rPr>
              <w:t>Références</w:t>
            </w:r>
          </w:p>
          <w:p w14:paraId="63560210" w14:textId="46BAD844" w:rsidR="00D72F49" w:rsidRPr="00B717AB" w:rsidRDefault="00F114D7" w:rsidP="00F114D7">
            <w:pPr>
              <w:spacing w:after="160"/>
              <w:rPr>
                <w:i/>
                <w:iCs/>
                <w:sz w:val="22"/>
                <w:szCs w:val="22"/>
              </w:rPr>
            </w:pPr>
            <w:hyperlink r:id="rId6" w:history="1">
              <w:r w:rsidRPr="00B717AB">
                <w:rPr>
                  <w:rStyle w:val="Hyperlink"/>
                  <w:rFonts w:eastAsia="Times New Roman" w:cs="Times New Roman"/>
                  <w:i/>
                  <w:iCs/>
                  <w:sz w:val="22"/>
                </w:rPr>
                <w:t>Résolution 1417</w:t>
              </w:r>
            </w:hyperlink>
            <w:r w:rsidRPr="00B717AB">
              <w:rPr>
                <w:i/>
                <w:iCs/>
                <w:sz w:val="22"/>
                <w:szCs w:val="22"/>
              </w:rPr>
              <w:t xml:space="preserve"> du Conseil (Budget biennal de l'Union internationale des télécommunications pour 2024-2025); </w:t>
            </w:r>
            <w:hyperlink r:id="rId7" w:history="1">
              <w:r w:rsidRPr="00B717AB">
                <w:rPr>
                  <w:rStyle w:val="Hyperlink"/>
                  <w:rFonts w:eastAsia="Times New Roman" w:cs="Times New Roman"/>
                  <w:i/>
                  <w:iCs/>
                  <w:sz w:val="22"/>
                </w:rPr>
                <w:t>Décision 5</w:t>
              </w:r>
            </w:hyperlink>
            <w:r w:rsidRPr="00B717AB">
              <w:rPr>
                <w:i/>
                <w:iCs/>
                <w:sz w:val="22"/>
                <w:szCs w:val="22"/>
              </w:rPr>
              <w:t xml:space="preserve"> (Rév. Bucarest, 2022) de la Conférence de plénipotentiaires.</w:t>
            </w:r>
          </w:p>
        </w:tc>
      </w:tr>
    </w:tbl>
    <w:p w14:paraId="0CD6B6E6" w14:textId="77777777" w:rsidR="00A51849" w:rsidRDefault="00A51849">
      <w:pPr>
        <w:tabs>
          <w:tab w:val="clear" w:pos="567"/>
          <w:tab w:val="clear" w:pos="1134"/>
          <w:tab w:val="clear" w:pos="1701"/>
          <w:tab w:val="clear" w:pos="2268"/>
          <w:tab w:val="clear" w:pos="2835"/>
        </w:tabs>
        <w:overflowPunct/>
        <w:autoSpaceDE/>
        <w:autoSpaceDN/>
        <w:adjustRightInd/>
        <w:spacing w:before="0"/>
        <w:textAlignment w:val="auto"/>
      </w:pPr>
      <w:r>
        <w:br w:type="page"/>
      </w:r>
    </w:p>
    <w:p w14:paraId="2C7EEC56" w14:textId="77777777" w:rsidR="00F114D7" w:rsidRDefault="00F114D7" w:rsidP="00F114D7">
      <w:pPr>
        <w:pStyle w:val="Heading1"/>
      </w:pPr>
      <w:r>
        <w:lastRenderedPageBreak/>
        <w:t>1</w:t>
      </w:r>
      <w:r>
        <w:tab/>
        <w:t>Considérations générales</w:t>
      </w:r>
    </w:p>
    <w:p w14:paraId="1C3D6B72" w14:textId="77777777" w:rsidR="00F114D7" w:rsidRDefault="00F114D7" w:rsidP="00F114D7">
      <w:r>
        <w:t>1.1</w:t>
      </w:r>
      <w:r>
        <w:tab/>
        <w:t>Le présent document expose les principaux éléments de la mise en œuvre du budget pour 2025, conformément à l'article 73 de la Convention de l'UIT, qui dispose que le Conseil procède à un examen annuel des produits et des charges.</w:t>
      </w:r>
    </w:p>
    <w:p w14:paraId="3E18D743" w14:textId="77777777" w:rsidR="00F114D7" w:rsidRDefault="00F114D7" w:rsidP="00F114D7">
      <w:pPr>
        <w:pStyle w:val="Heading1"/>
      </w:pPr>
      <w:r>
        <w:t>2</w:t>
      </w:r>
      <w:r>
        <w:tab/>
        <w:t>Prévisions concernant la mise en œuvre du budget pour 2025</w:t>
      </w:r>
    </w:p>
    <w:p w14:paraId="5A06FC2E" w14:textId="3DE3428F" w:rsidR="00F114D7" w:rsidRDefault="00F114D7" w:rsidP="00F114D7">
      <w:r>
        <w:t>2.1</w:t>
      </w:r>
      <w:r>
        <w:tab/>
        <w:t>Le Conseil a adopté le budget de l'Union pour la période 2024-2025 à sa session ordinaire de 2023 par sa Résolution 1417. Le budget approuvé pour 2025 s'élève à 164 134 000 CHF, sur la base d'une unité contributive annuelle de 318 000 CHF pour les États Membres.</w:t>
      </w:r>
    </w:p>
    <w:p w14:paraId="59055E8E" w14:textId="3B91E347" w:rsidR="00F114D7" w:rsidRDefault="00F114D7" w:rsidP="00F114D7">
      <w:r>
        <w:t>2.2</w:t>
      </w:r>
      <w:r>
        <w:tab/>
        <w:t>Le budget 2025 a été actualisé afin de tenir compte du report, de 2024 à 2025, de trois réunions préparatoires régionales (Afrique, CEI et Europe) en vue de la Conférence mondiale de développement des télécommunications de 2025 (CMDT-25) qui étaient incluses dans le budget 2024 pour un montant de 203 000 CHF. Le budget actualisé pour 2025 s'élève à 164 337 000 CHF.</w:t>
      </w:r>
    </w:p>
    <w:p w14:paraId="3E09525D" w14:textId="77777777" w:rsidR="00F114D7" w:rsidRDefault="00F114D7" w:rsidP="00F114D7">
      <w:r>
        <w:t>2.3</w:t>
      </w:r>
      <w:r>
        <w:tab/>
        <w:t>Les quatre principaux facteurs actuellement connus qui auront une incidence sur la mise en œuvre du budget pour 2025 sont les suivants:</w:t>
      </w:r>
    </w:p>
    <w:p w14:paraId="06A99F64" w14:textId="332F1B70" w:rsidR="00F114D7" w:rsidRDefault="00F114D7" w:rsidP="00F114D7">
      <w:pPr>
        <w:pStyle w:val="enumlev1"/>
      </w:pPr>
      <w:r>
        <w:t>–</w:t>
      </w:r>
      <w:r>
        <w:tab/>
        <w:t>La réduction des produits tirés du recouvrement des coûts pour le traitement des fiches de notification des réseaux à satellite pour un montant de 3,5 millions CHF.</w:t>
      </w:r>
    </w:p>
    <w:p w14:paraId="34547E7E" w14:textId="2EF91AD9" w:rsidR="00F114D7" w:rsidRDefault="00F114D7" w:rsidP="00F114D7">
      <w:pPr>
        <w:pStyle w:val="enumlev1"/>
      </w:pPr>
      <w:r>
        <w:t>–</w:t>
      </w:r>
      <w:r>
        <w:tab/>
        <w:t>L'augmentation, par rapport au montant inscrit au budget, des intérêts créditeurs pour un montant de 1,25 million CHF.</w:t>
      </w:r>
    </w:p>
    <w:p w14:paraId="28858656" w14:textId="630A4E6F" w:rsidR="00F114D7" w:rsidRDefault="00F114D7" w:rsidP="00F114D7">
      <w:pPr>
        <w:pStyle w:val="enumlev1"/>
      </w:pPr>
      <w:r>
        <w:t>–</w:t>
      </w:r>
      <w:r>
        <w:tab/>
        <w:t>Les économies dues aux mesures d'efficacité relatives à la production des documents pour un montant de 1,6 million CHF.</w:t>
      </w:r>
    </w:p>
    <w:p w14:paraId="257F4D90" w14:textId="6A61F2F0" w:rsidR="00F114D7" w:rsidRDefault="00F114D7" w:rsidP="00F114D7">
      <w:pPr>
        <w:pStyle w:val="enumlev1"/>
      </w:pPr>
      <w:r>
        <w:t>–</w:t>
      </w:r>
      <w:r>
        <w:tab/>
        <w:t>Les économies dues à la mise en œuvre de la deuxième phase du programme de départ volontaire pour un montant estimé de 1,3 million CHF.</w:t>
      </w:r>
    </w:p>
    <w:p w14:paraId="1FCF4942" w14:textId="77777777" w:rsidR="00F114D7" w:rsidRDefault="00F114D7" w:rsidP="00F114D7">
      <w:r>
        <w:t>2.4</w:t>
      </w:r>
      <w:r>
        <w:tab/>
        <w:t>Si le Secrétariat parvient à réaliser des économies importantes dans l'exécution du budget pour 2025, un certain nombre de priorités essentielles qui ne sont pas couvertes par le budget ordinaire actuel pourraient être financées au cours de l'année. Il s'agit notamment:</w:t>
      </w:r>
    </w:p>
    <w:p w14:paraId="6E3A2870" w14:textId="59481B88" w:rsidR="00F114D7" w:rsidRDefault="00F114D7" w:rsidP="00F114D7">
      <w:pPr>
        <w:pStyle w:val="enumlev1"/>
      </w:pPr>
      <w:r>
        <w:t>–</w:t>
      </w:r>
      <w:r>
        <w:tab/>
        <w:t>des coûts liés à la mise en œuvre de l'examen de la présence régionale;</w:t>
      </w:r>
    </w:p>
    <w:p w14:paraId="482E4B1F" w14:textId="619BEBDB" w:rsidR="00F114D7" w:rsidRDefault="00F114D7" w:rsidP="00F114D7">
      <w:pPr>
        <w:pStyle w:val="enumlev1"/>
      </w:pPr>
      <w:r>
        <w:t>–</w:t>
      </w:r>
      <w:r>
        <w:tab/>
        <w:t>des mises à niveau et des améliorations des systèmes et services informatiques utilisés pour la transformation, y compris l'amélioration de la gestion des données et les initiatives en faveur de l'adoption de l'IA;</w:t>
      </w:r>
    </w:p>
    <w:p w14:paraId="3304B69C" w14:textId="6E6A9D57" w:rsidR="00F114D7" w:rsidRDefault="00F114D7" w:rsidP="00F114D7">
      <w:pPr>
        <w:pStyle w:val="enumlev1"/>
      </w:pPr>
      <w:r>
        <w:t>–</w:t>
      </w:r>
      <w:r>
        <w:tab/>
        <w:t>de la mise en œuvre du Programme pour les jeunes professionnels (YPP) élargi.</w:t>
      </w:r>
    </w:p>
    <w:p w14:paraId="28CBA439" w14:textId="59B47D8F" w:rsidR="00F114D7" w:rsidRDefault="00F114D7" w:rsidP="00F114D7">
      <w:r>
        <w:t>2.5</w:t>
      </w:r>
      <w:r>
        <w:tab/>
        <w:t>Au 6 mai 2025, le résultat prévu de la mise en œuvre du budget pour 2025 est positif et s'élève à 511 000 CHF, soit 0,31% du budget, comme indiqué dans le Tableau 1.</w:t>
      </w:r>
    </w:p>
    <w:p w14:paraId="2767EDD5" w14:textId="5146C59A" w:rsidR="00F114D7" w:rsidRDefault="00F114D7" w:rsidP="00F114D7">
      <w:r>
        <w:t>Un montant supplémentaire de 700 000 CHF, en plus des 750 000 CHF déjà inscrits au budget, devrait être versé au Fonds d'entretien des bâtiments (voir Tableau 3) afin de garantir des fonds suffisants pour l'entretien des bâtiments de l'UIT, d'autant plus que l'entretien du bâtiment Varembé n'a généralement pas été inclus dans le budget pour 2024</w:t>
      </w:r>
      <w:r>
        <w:noBreakHyphen/>
        <w:t xml:space="preserve">2025. À titre de mesure supplémentaire pour réapprovisionner le Fonds pour le </w:t>
      </w:r>
      <w:r>
        <w:lastRenderedPageBreak/>
        <w:t>développement des technologies de l'information et de la communication (FD-TIC), les éventuels excédents liés aux frais de services administratifs et opérationnels générés par</w:t>
      </w:r>
      <w:r w:rsidR="003A4AC5">
        <w:t> </w:t>
      </w:r>
      <w:r>
        <w:t>rapport au montant inscrit au budget chaque année à compter de 2024 devront être réinjectés dans le compte de capital du Fonds FD-TIC, et la finalité première de ce fond</w:t>
      </w:r>
      <w:r w:rsidR="003A4AC5">
        <w:t>s</w:t>
      </w:r>
      <w:r>
        <w:t xml:space="preserve"> sera d'appuyer la mise en œuvre des projets.</w:t>
      </w:r>
    </w:p>
    <w:p w14:paraId="61908687" w14:textId="591BD706" w:rsidR="006A11AE" w:rsidRDefault="00F114D7" w:rsidP="00F114D7">
      <w:r>
        <w:t>Cette mise en œuvre du budget pour 2025 s'explique principalement par l'augmentation prévue des gains d'intérêts sur la trésorerie et les équivalents de trésorerie, les économies réalisées sur les charges d'exploitation et les délais de recrutement. De plus amples détails sont fournis dans les Tableaux 1 à 4.</w:t>
      </w:r>
    </w:p>
    <w:p w14:paraId="753F0655" w14:textId="684AC4EC" w:rsidR="00F114D7" w:rsidRDefault="00560FE2" w:rsidP="00560FE2">
      <w:pPr>
        <w:pStyle w:val="Tabletitle"/>
        <w:spacing w:before="360"/>
      </w:pPr>
      <w:r w:rsidRPr="00560FE2">
        <w:t>Tableau 1</w:t>
      </w:r>
    </w:p>
    <w:p w14:paraId="16729AD1" w14:textId="0EFE3782" w:rsidR="00560FE2" w:rsidRDefault="00560FE2" w:rsidP="00560FE2">
      <w:pPr>
        <w:pStyle w:val="Figure"/>
      </w:pPr>
      <w:r w:rsidRPr="00560FE2">
        <w:rPr>
          <w:noProof/>
        </w:rPr>
        <w:drawing>
          <wp:inline distT="0" distB="0" distL="0" distR="0" wp14:anchorId="5A44EC06" wp14:editId="4C7DBE66">
            <wp:extent cx="3898900" cy="1163320"/>
            <wp:effectExtent l="0" t="0" r="6350" b="0"/>
            <wp:docPr id="1273579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0" cy="1163320"/>
                    </a:xfrm>
                    <a:prstGeom prst="rect">
                      <a:avLst/>
                    </a:prstGeom>
                    <a:noFill/>
                    <a:ln>
                      <a:noFill/>
                    </a:ln>
                  </pic:spPr>
                </pic:pic>
              </a:graphicData>
            </a:graphic>
          </wp:inline>
        </w:drawing>
      </w:r>
    </w:p>
    <w:p w14:paraId="3B11625B" w14:textId="3B9821FF" w:rsidR="00560FE2" w:rsidRDefault="00560FE2" w:rsidP="00560FE2">
      <w:pPr>
        <w:pStyle w:val="Normalaftertitle"/>
      </w:pPr>
      <w:r w:rsidRPr="00560FE2">
        <w:t>Le Tableau 2 et le Graphique 1 montrent la ventilation des charges par Secteur:</w:t>
      </w:r>
    </w:p>
    <w:p w14:paraId="27B6C06C" w14:textId="2E00EAEB" w:rsidR="00560FE2" w:rsidRPr="00560FE2" w:rsidRDefault="00560FE2" w:rsidP="00560FE2">
      <w:pPr>
        <w:pStyle w:val="Tabletitle"/>
        <w:spacing w:before="360"/>
      </w:pPr>
      <w:r w:rsidRPr="00560FE2">
        <w:t xml:space="preserve">Tableau </w:t>
      </w:r>
      <w:r>
        <w:t>2</w:t>
      </w:r>
    </w:p>
    <w:p w14:paraId="4BD207DF" w14:textId="4D099C3D" w:rsidR="00560FE2" w:rsidRDefault="00560FE2" w:rsidP="00560FE2">
      <w:pPr>
        <w:pStyle w:val="Figure"/>
      </w:pPr>
      <w:r w:rsidRPr="00560FE2">
        <w:rPr>
          <w:noProof/>
        </w:rPr>
        <w:drawing>
          <wp:inline distT="0" distB="0" distL="0" distR="0" wp14:anchorId="156998B3" wp14:editId="4438B101">
            <wp:extent cx="5618073" cy="1168084"/>
            <wp:effectExtent l="0" t="0" r="1905" b="0"/>
            <wp:docPr id="1184389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332" cy="1172296"/>
                    </a:xfrm>
                    <a:prstGeom prst="rect">
                      <a:avLst/>
                    </a:prstGeom>
                    <a:noFill/>
                    <a:ln>
                      <a:noFill/>
                    </a:ln>
                  </pic:spPr>
                </pic:pic>
              </a:graphicData>
            </a:graphic>
          </wp:inline>
        </w:drawing>
      </w:r>
    </w:p>
    <w:p w14:paraId="1908A226" w14:textId="45534E39" w:rsidR="00560FE2" w:rsidRPr="00560FE2" w:rsidRDefault="00560FE2" w:rsidP="00560FE2">
      <w:pPr>
        <w:pStyle w:val="Figuretitle"/>
        <w:spacing w:before="360" w:after="120"/>
      </w:pPr>
      <w:r>
        <w:t>Graphique</w:t>
      </w:r>
      <w:r w:rsidRPr="00560FE2">
        <w:t xml:space="preserve"> </w:t>
      </w:r>
      <w:r>
        <w:t>1</w:t>
      </w:r>
    </w:p>
    <w:p w14:paraId="7A26DF9D" w14:textId="61BE5338" w:rsidR="00560FE2" w:rsidRDefault="00B90800" w:rsidP="00AD48FE">
      <w:pPr>
        <w:pStyle w:val="Figure"/>
        <w:keepNext w:val="0"/>
        <w:keepLines w:val="0"/>
      </w:pPr>
      <w:r>
        <w:rPr>
          <w:noProof/>
        </w:rPr>
        <w:drawing>
          <wp:inline distT="0" distB="0" distL="0" distR="0" wp14:anchorId="26288952" wp14:editId="106E8CAB">
            <wp:extent cx="5608452" cy="2696929"/>
            <wp:effectExtent l="0" t="0" r="0" b="8255"/>
            <wp:docPr id="161195463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0813" cy="2712490"/>
                    </a:xfrm>
                    <a:prstGeom prst="rect">
                      <a:avLst/>
                    </a:prstGeom>
                    <a:noFill/>
                  </pic:spPr>
                </pic:pic>
              </a:graphicData>
            </a:graphic>
          </wp:inline>
        </w:drawing>
      </w:r>
    </w:p>
    <w:p w14:paraId="6BAB5F4F" w14:textId="0DAA9E4B" w:rsidR="00AD48FE" w:rsidRDefault="00AD48FE" w:rsidP="00AD48FE">
      <w:r>
        <w:br w:type="page"/>
      </w:r>
    </w:p>
    <w:p w14:paraId="59DA5A7F" w14:textId="16EB2D67" w:rsidR="003A4AC5" w:rsidRPr="003A4AC5" w:rsidRDefault="003A4AC5" w:rsidP="003A4AC5">
      <w:r w:rsidRPr="003A4AC5">
        <w:lastRenderedPageBreak/>
        <w:t>Le Tableau 3 et le Graphique 2 montrent la ventilation des produits par Secteur:</w:t>
      </w:r>
    </w:p>
    <w:p w14:paraId="50DFE67D" w14:textId="23178F1F" w:rsidR="00AD48FE" w:rsidRPr="00560FE2" w:rsidRDefault="00AD48FE" w:rsidP="00307745">
      <w:pPr>
        <w:pStyle w:val="Tabletitle"/>
        <w:spacing w:before="120"/>
      </w:pPr>
      <w:r w:rsidRPr="00560FE2">
        <w:t xml:space="preserve">Tableau </w:t>
      </w:r>
      <w:r>
        <w:t>3</w:t>
      </w:r>
    </w:p>
    <w:p w14:paraId="65875CA4" w14:textId="2D022F5B" w:rsidR="00AD48FE" w:rsidRDefault="003A4AC5" w:rsidP="00FB1CC7">
      <w:pPr>
        <w:pStyle w:val="Figure"/>
      </w:pPr>
      <w:r w:rsidRPr="003A4AC5">
        <w:rPr>
          <w:noProof/>
        </w:rPr>
        <w:drawing>
          <wp:inline distT="0" distB="0" distL="0" distR="0" wp14:anchorId="63F9D4A3" wp14:editId="1F02371F">
            <wp:extent cx="5760085" cy="1807845"/>
            <wp:effectExtent l="0" t="0" r="0" b="1905"/>
            <wp:docPr id="5077470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807845"/>
                    </a:xfrm>
                    <a:prstGeom prst="rect">
                      <a:avLst/>
                    </a:prstGeom>
                    <a:noFill/>
                    <a:ln>
                      <a:noFill/>
                    </a:ln>
                  </pic:spPr>
                </pic:pic>
              </a:graphicData>
            </a:graphic>
          </wp:inline>
        </w:drawing>
      </w:r>
    </w:p>
    <w:p w14:paraId="3DA35E49" w14:textId="41181466" w:rsidR="00FB1CC7" w:rsidRPr="00560FE2" w:rsidRDefault="00FB1CC7" w:rsidP="00FB1CC7">
      <w:pPr>
        <w:pStyle w:val="Figuretitle"/>
        <w:spacing w:before="360" w:after="120"/>
      </w:pPr>
      <w:r>
        <w:t>Graphique</w:t>
      </w:r>
      <w:r w:rsidRPr="00560FE2">
        <w:t xml:space="preserve"> </w:t>
      </w:r>
      <w:r w:rsidR="0069588D">
        <w:t>2</w:t>
      </w:r>
    </w:p>
    <w:p w14:paraId="20505224" w14:textId="0A28D151" w:rsidR="00FB1CC7" w:rsidRDefault="00433839" w:rsidP="00FB1CC7">
      <w:pPr>
        <w:pStyle w:val="Figure"/>
      </w:pPr>
      <w:r w:rsidRPr="00433839">
        <w:rPr>
          <w:noProof/>
        </w:rPr>
        <w:drawing>
          <wp:inline distT="0" distB="0" distL="0" distR="0" wp14:anchorId="46B76B8E" wp14:editId="4C12A808">
            <wp:extent cx="4745414" cy="3423513"/>
            <wp:effectExtent l="0" t="0" r="0" b="5715"/>
            <wp:docPr id="168063048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8591" cy="3433020"/>
                    </a:xfrm>
                    <a:prstGeom prst="rect">
                      <a:avLst/>
                    </a:prstGeom>
                    <a:noFill/>
                    <a:ln>
                      <a:noFill/>
                    </a:ln>
                  </pic:spPr>
                </pic:pic>
              </a:graphicData>
            </a:graphic>
          </wp:inline>
        </w:drawing>
      </w:r>
    </w:p>
    <w:p w14:paraId="704D2ECB" w14:textId="49D287CC" w:rsidR="0069588D" w:rsidRPr="0069588D" w:rsidRDefault="0069588D" w:rsidP="0069588D">
      <w:r w:rsidRPr="0069588D">
        <w:t>Le Tableau 4 montre la ventilation des produits tirés du recouvrement des coûts:</w:t>
      </w:r>
    </w:p>
    <w:p w14:paraId="2EFD87C4" w14:textId="4C5EF10D" w:rsidR="00FB1CC7" w:rsidRPr="00560FE2" w:rsidRDefault="00FB1CC7" w:rsidP="00307745">
      <w:pPr>
        <w:pStyle w:val="Tabletitle"/>
        <w:spacing w:before="360" w:after="0"/>
      </w:pPr>
      <w:r w:rsidRPr="00560FE2">
        <w:t xml:space="preserve">Tableau </w:t>
      </w:r>
      <w:r>
        <w:t>4</w:t>
      </w:r>
    </w:p>
    <w:p w14:paraId="267C7C78" w14:textId="67DC7D6C" w:rsidR="00FB1CC7" w:rsidRDefault="00307745" w:rsidP="00307745">
      <w:pPr>
        <w:spacing w:before="0"/>
      </w:pPr>
      <w:r w:rsidRPr="00307745">
        <w:rPr>
          <w:noProof/>
        </w:rPr>
        <w:drawing>
          <wp:inline distT="0" distB="0" distL="0" distR="0" wp14:anchorId="660CC3B0" wp14:editId="2E096CD7">
            <wp:extent cx="5760085" cy="1660525"/>
            <wp:effectExtent l="0" t="0" r="0" b="0"/>
            <wp:docPr id="6436973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1660525"/>
                    </a:xfrm>
                    <a:prstGeom prst="rect">
                      <a:avLst/>
                    </a:prstGeom>
                    <a:noFill/>
                    <a:ln>
                      <a:noFill/>
                    </a:ln>
                  </pic:spPr>
                </pic:pic>
              </a:graphicData>
            </a:graphic>
          </wp:inline>
        </w:drawing>
      </w:r>
    </w:p>
    <w:p w14:paraId="0085E487" w14:textId="77777777" w:rsidR="00897553" w:rsidRDefault="006A11AE" w:rsidP="006A11AE">
      <w:pPr>
        <w:jc w:val="center"/>
      </w:pPr>
      <w:r>
        <w:t>______________</w:t>
      </w:r>
    </w:p>
    <w:sectPr w:rsidR="00897553" w:rsidSect="00D72F49">
      <w:headerReference w:type="even" r:id="rId14"/>
      <w:footerReference w:type="even" r:id="rId15"/>
      <w:footerReference w:type="default" r:id="rId16"/>
      <w:headerReference w:type="first" r:id="rId17"/>
      <w:footerReference w:type="first" r:id="rId18"/>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55D88" w14:textId="77777777" w:rsidR="00AF6831" w:rsidRDefault="00AF6831">
      <w:r>
        <w:separator/>
      </w:r>
    </w:p>
  </w:endnote>
  <w:endnote w:type="continuationSeparator" w:id="0">
    <w:p w14:paraId="0F4CF7DB" w14:textId="77777777" w:rsidR="00AF6831" w:rsidRDefault="00AF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420DC" w14:textId="02DA3218" w:rsidR="00732045" w:rsidRPr="00B717AB" w:rsidRDefault="00B90800">
    <w:pPr>
      <w:pStyle w:val="Footer"/>
      <w:rPr>
        <w:lang w:val="en-GB"/>
      </w:rPr>
    </w:pPr>
    <w:r>
      <w:fldChar w:fldCharType="begin"/>
    </w:r>
    <w:r w:rsidRPr="00B717AB">
      <w:rPr>
        <w:lang w:val="en-GB"/>
      </w:rPr>
      <w:instrText xml:space="preserve"> FILENAME \p \* MERGEFORMAT </w:instrText>
    </w:r>
    <w:r>
      <w:fldChar w:fldCharType="separate"/>
    </w:r>
    <w:r w:rsidRPr="00B717AB">
      <w:rPr>
        <w:lang w:val="en-GB"/>
      </w:rPr>
      <w:t>P:\FRA\gDoc\SG\C25\2501240F.docx</w:t>
    </w:r>
    <w:r>
      <w:fldChar w:fldCharType="end"/>
    </w:r>
    <w:r w:rsidR="00732045" w:rsidRPr="00B717AB">
      <w:rPr>
        <w:lang w:val="en-GB"/>
      </w:rPr>
      <w:tab/>
    </w:r>
    <w:r w:rsidR="002F1B76">
      <w:fldChar w:fldCharType="begin"/>
    </w:r>
    <w:r w:rsidR="00732045">
      <w:instrText xml:space="preserve"> savedate \@ dd.MM.yy </w:instrText>
    </w:r>
    <w:r w:rsidR="002F1B76">
      <w:fldChar w:fldCharType="separate"/>
    </w:r>
    <w:r w:rsidR="00B717AB">
      <w:t>05.06.25</w:t>
    </w:r>
    <w:r w:rsidR="002F1B76">
      <w:fldChar w:fldCharType="end"/>
    </w:r>
    <w:r w:rsidR="00732045" w:rsidRPr="00B717AB">
      <w:rPr>
        <w:lang w:val="en-GB"/>
      </w:rPr>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D6989DD" w14:textId="77777777" w:rsidTr="00E31DCE">
      <w:trPr>
        <w:jc w:val="center"/>
      </w:trPr>
      <w:tc>
        <w:tcPr>
          <w:tcW w:w="1803" w:type="dxa"/>
          <w:vAlign w:val="center"/>
        </w:tcPr>
        <w:p w14:paraId="009D165E" w14:textId="0DE66667" w:rsidR="00A51849" w:rsidRDefault="00F114D7" w:rsidP="00A51849">
          <w:pPr>
            <w:pStyle w:val="Header"/>
            <w:jc w:val="left"/>
            <w:rPr>
              <w:noProof/>
            </w:rPr>
          </w:pPr>
          <w:r>
            <w:rPr>
              <w:noProof/>
            </w:rPr>
            <w:t>2501240</w:t>
          </w:r>
        </w:p>
      </w:tc>
      <w:tc>
        <w:tcPr>
          <w:tcW w:w="8261" w:type="dxa"/>
        </w:tcPr>
        <w:p w14:paraId="256FCF1E" w14:textId="7C4A1B36"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F114D7">
            <w:rPr>
              <w:bCs/>
            </w:rPr>
            <w:t>9</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4DAD211"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83FDF13" w14:textId="77777777" w:rsidTr="00E31DCE">
      <w:trPr>
        <w:jc w:val="center"/>
      </w:trPr>
      <w:tc>
        <w:tcPr>
          <w:tcW w:w="1803" w:type="dxa"/>
          <w:vAlign w:val="center"/>
        </w:tcPr>
        <w:p w14:paraId="41663D1E"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0A437082" w14:textId="5809596B"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F114D7">
            <w:rPr>
              <w:bCs/>
            </w:rPr>
            <w:t>9</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55DD06B"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9508E" w14:textId="77777777" w:rsidR="00AF6831" w:rsidRDefault="00AF6831">
      <w:r>
        <w:t>____________________</w:t>
      </w:r>
    </w:p>
  </w:footnote>
  <w:footnote w:type="continuationSeparator" w:id="0">
    <w:p w14:paraId="06809F61" w14:textId="77777777" w:rsidR="00AF6831" w:rsidRDefault="00AF6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A66C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1C6B57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2B41E18F" w14:textId="77777777" w:rsidTr="00D37B53">
      <w:trPr>
        <w:trHeight w:val="1104"/>
        <w:jc w:val="center"/>
      </w:trPr>
      <w:tc>
        <w:tcPr>
          <w:tcW w:w="5317" w:type="dxa"/>
          <w:vAlign w:val="center"/>
        </w:tcPr>
        <w:p w14:paraId="23F5B760"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0B7C080" wp14:editId="7460A02D">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2488B2D8" w14:textId="77777777" w:rsidR="00524E8D" w:rsidRDefault="00524E8D" w:rsidP="00A51849">
          <w:pPr>
            <w:pStyle w:val="Header"/>
            <w:jc w:val="right"/>
            <w:rPr>
              <w:rFonts w:ascii="Arial" w:hAnsi="Arial" w:cs="Arial"/>
              <w:b/>
              <w:bCs/>
              <w:color w:val="009CD6"/>
              <w:szCs w:val="18"/>
            </w:rPr>
          </w:pPr>
        </w:p>
      </w:tc>
    </w:tr>
  </w:tbl>
  <w:p w14:paraId="197703AB"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9EDC899" wp14:editId="72355EE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42F24"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31"/>
    <w:rsid w:val="00076A2C"/>
    <w:rsid w:val="000D0D0A"/>
    <w:rsid w:val="000E4AEC"/>
    <w:rsid w:val="00103163"/>
    <w:rsid w:val="00106B19"/>
    <w:rsid w:val="001133EF"/>
    <w:rsid w:val="00115D93"/>
    <w:rsid w:val="001247A8"/>
    <w:rsid w:val="001370B2"/>
    <w:rsid w:val="001378C0"/>
    <w:rsid w:val="00167BD4"/>
    <w:rsid w:val="0018694A"/>
    <w:rsid w:val="001A3287"/>
    <w:rsid w:val="001A6508"/>
    <w:rsid w:val="001D4C31"/>
    <w:rsid w:val="001E4D21"/>
    <w:rsid w:val="00207CD1"/>
    <w:rsid w:val="00226657"/>
    <w:rsid w:val="002477A2"/>
    <w:rsid w:val="00263A51"/>
    <w:rsid w:val="00267E02"/>
    <w:rsid w:val="002A5D44"/>
    <w:rsid w:val="002C3F32"/>
    <w:rsid w:val="002C4E3D"/>
    <w:rsid w:val="002E0BC4"/>
    <w:rsid w:val="002F1B76"/>
    <w:rsid w:val="00307745"/>
    <w:rsid w:val="0033568E"/>
    <w:rsid w:val="00355FF5"/>
    <w:rsid w:val="00361350"/>
    <w:rsid w:val="00365074"/>
    <w:rsid w:val="003A4AC5"/>
    <w:rsid w:val="003C3FAE"/>
    <w:rsid w:val="004038CB"/>
    <w:rsid w:val="0040546F"/>
    <w:rsid w:val="004177BD"/>
    <w:rsid w:val="0042404A"/>
    <w:rsid w:val="00433839"/>
    <w:rsid w:val="0044618F"/>
    <w:rsid w:val="0046769A"/>
    <w:rsid w:val="00475FB3"/>
    <w:rsid w:val="004C37A9"/>
    <w:rsid w:val="004D1D50"/>
    <w:rsid w:val="004F259E"/>
    <w:rsid w:val="00511F1D"/>
    <w:rsid w:val="00520F36"/>
    <w:rsid w:val="00524E8D"/>
    <w:rsid w:val="00534E13"/>
    <w:rsid w:val="00540615"/>
    <w:rsid w:val="00540A6D"/>
    <w:rsid w:val="00560FE2"/>
    <w:rsid w:val="00566679"/>
    <w:rsid w:val="00571EEA"/>
    <w:rsid w:val="00575417"/>
    <w:rsid w:val="005768E1"/>
    <w:rsid w:val="005B1938"/>
    <w:rsid w:val="005C3890"/>
    <w:rsid w:val="005E1C59"/>
    <w:rsid w:val="005F7BFE"/>
    <w:rsid w:val="00600017"/>
    <w:rsid w:val="006235CA"/>
    <w:rsid w:val="0062366E"/>
    <w:rsid w:val="006643AB"/>
    <w:rsid w:val="0069588D"/>
    <w:rsid w:val="006A11AE"/>
    <w:rsid w:val="006D5F37"/>
    <w:rsid w:val="006F0A53"/>
    <w:rsid w:val="0071539D"/>
    <w:rsid w:val="007210CD"/>
    <w:rsid w:val="00732045"/>
    <w:rsid w:val="0073275D"/>
    <w:rsid w:val="007369DB"/>
    <w:rsid w:val="0077110E"/>
    <w:rsid w:val="007956C2"/>
    <w:rsid w:val="007A187E"/>
    <w:rsid w:val="007C72C2"/>
    <w:rsid w:val="007D4436"/>
    <w:rsid w:val="007F257A"/>
    <w:rsid w:val="007F3665"/>
    <w:rsid w:val="00800037"/>
    <w:rsid w:val="0082299A"/>
    <w:rsid w:val="0083391C"/>
    <w:rsid w:val="00861D73"/>
    <w:rsid w:val="00882919"/>
    <w:rsid w:val="00897553"/>
    <w:rsid w:val="008A4E87"/>
    <w:rsid w:val="008D76E6"/>
    <w:rsid w:val="0092392D"/>
    <w:rsid w:val="0093234A"/>
    <w:rsid w:val="00956A78"/>
    <w:rsid w:val="0097363B"/>
    <w:rsid w:val="00973F53"/>
    <w:rsid w:val="009A6BAA"/>
    <w:rsid w:val="009C307F"/>
    <w:rsid w:val="009C353C"/>
    <w:rsid w:val="009F0FB8"/>
    <w:rsid w:val="00A2113E"/>
    <w:rsid w:val="00A23A51"/>
    <w:rsid w:val="00A24607"/>
    <w:rsid w:val="00A25CD3"/>
    <w:rsid w:val="00A51849"/>
    <w:rsid w:val="00A709FE"/>
    <w:rsid w:val="00A73C60"/>
    <w:rsid w:val="00A82767"/>
    <w:rsid w:val="00AA332F"/>
    <w:rsid w:val="00AA7BBB"/>
    <w:rsid w:val="00AB64A8"/>
    <w:rsid w:val="00AC0266"/>
    <w:rsid w:val="00AD24EC"/>
    <w:rsid w:val="00AD48FE"/>
    <w:rsid w:val="00AF6831"/>
    <w:rsid w:val="00B27B00"/>
    <w:rsid w:val="00B309F9"/>
    <w:rsid w:val="00B32B60"/>
    <w:rsid w:val="00B51005"/>
    <w:rsid w:val="00B61619"/>
    <w:rsid w:val="00B717AB"/>
    <w:rsid w:val="00B90800"/>
    <w:rsid w:val="00BB4545"/>
    <w:rsid w:val="00BD5873"/>
    <w:rsid w:val="00BF4B60"/>
    <w:rsid w:val="00C049D7"/>
    <w:rsid w:val="00C04BE3"/>
    <w:rsid w:val="00C25D29"/>
    <w:rsid w:val="00C27A7C"/>
    <w:rsid w:val="00C42437"/>
    <w:rsid w:val="00CA08ED"/>
    <w:rsid w:val="00CC6EAA"/>
    <w:rsid w:val="00CF183B"/>
    <w:rsid w:val="00D34E5B"/>
    <w:rsid w:val="00D375CD"/>
    <w:rsid w:val="00D37B53"/>
    <w:rsid w:val="00D553A2"/>
    <w:rsid w:val="00D72F49"/>
    <w:rsid w:val="00D774D3"/>
    <w:rsid w:val="00D904E8"/>
    <w:rsid w:val="00DA08C3"/>
    <w:rsid w:val="00DB5A3E"/>
    <w:rsid w:val="00DC22AA"/>
    <w:rsid w:val="00DD1A99"/>
    <w:rsid w:val="00DF74DD"/>
    <w:rsid w:val="00E25AD0"/>
    <w:rsid w:val="00E4428F"/>
    <w:rsid w:val="00E47427"/>
    <w:rsid w:val="00E93668"/>
    <w:rsid w:val="00E95647"/>
    <w:rsid w:val="00EB6350"/>
    <w:rsid w:val="00F114D7"/>
    <w:rsid w:val="00F15B57"/>
    <w:rsid w:val="00F35EF4"/>
    <w:rsid w:val="00F37FE5"/>
    <w:rsid w:val="00F427DB"/>
    <w:rsid w:val="00FA5EB1"/>
    <w:rsid w:val="00FA7439"/>
    <w:rsid w:val="00FB1CC7"/>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99BD7"/>
  <w15:docId w15:val="{22A2BE3D-30DE-497A-B9CF-EB1B74D3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en/council/Documents/basic-texts-2023/DEC-005-F.pdf" TargetMode="Externa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md/S23-CL-C-0115/fr" TargetMode="External"/><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1</TotalTime>
  <Pages>4</Pages>
  <Words>814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5108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annuel des produits et des charges dans le cadre de la mise en oeuvre du budget 2025</dc:title>
  <dc:subject>ITU Council 2025</dc:subject>
  <dc:creator>French</dc:creator>
  <cp:keywords>C2025, C25, Council-25</cp:keywords>
  <dc:description/>
  <cp:lastModifiedBy>GBS</cp:lastModifiedBy>
  <cp:revision>2</cp:revision>
  <cp:lastPrinted>2000-07-18T08:55:00Z</cp:lastPrinted>
  <dcterms:created xsi:type="dcterms:W3CDTF">2025-06-12T19:02:00Z</dcterms:created>
  <dcterms:modified xsi:type="dcterms:W3CDTF">2025-06-12T19:02:00Z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