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3AD601BC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  <w:r w:rsidR="00FD6721">
              <w:rPr>
                <w:b/>
              </w:rPr>
              <w:t>ADM</w:t>
            </w:r>
            <w:r w:rsidR="00536F25">
              <w:rPr>
                <w:b/>
              </w:rPr>
              <w:t xml:space="preserve"> 1</w:t>
            </w:r>
          </w:p>
        </w:tc>
        <w:tc>
          <w:tcPr>
            <w:tcW w:w="5245" w:type="dxa"/>
          </w:tcPr>
          <w:p w14:paraId="6779937E" w14:textId="0B65AC4D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FD6721">
              <w:rPr>
                <w:b/>
              </w:rPr>
              <w:t>9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3F0D6C0E" w:rsidR="00AD3606" w:rsidRPr="00C0458D" w:rsidRDefault="00536F2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3035B">
              <w:rPr>
                <w:b/>
              </w:rPr>
              <w:t>6</w:t>
            </w:r>
            <w:r w:rsidR="00FD6721">
              <w:rPr>
                <w:b/>
              </w:rPr>
              <w:t xml:space="preserve"> </w:t>
            </w:r>
            <w:r w:rsidR="0003035B">
              <w:rPr>
                <w:b/>
              </w:rPr>
              <w:t>May</w:t>
            </w:r>
            <w:r w:rsidR="00FD6721">
              <w:rPr>
                <w:b/>
              </w:rPr>
              <w:t xml:space="preserve">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4AD6F7DD" w:rsidR="00AD3606" w:rsidRPr="000F7289" w:rsidRDefault="00750D93" w:rsidP="00945CC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Report by the Secretary-General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52BA3125" w:rsidR="00AD3606" w:rsidRPr="000F7289" w:rsidRDefault="000E4F56" w:rsidP="007C3083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FD6721">
              <w:t>ANNUAL REVIEW OF REVENUE AND EXPENSES OF THE IMPLEMENTATION OF THE BUDGET 2025</w:t>
            </w:r>
          </w:p>
        </w:tc>
      </w:tr>
      <w:tr w:rsidR="00AD3606" w:rsidRPr="00C0458D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602F71CA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67D070EA" w14:textId="25D2767A" w:rsidR="00AD3606" w:rsidRPr="00C0458D" w:rsidRDefault="00FD6721" w:rsidP="000E4F56">
            <w:pPr>
              <w:jc w:val="both"/>
            </w:pPr>
            <w:r w:rsidRPr="00FD6721">
              <w:t>This document presents the key elements of the 202</w:t>
            </w:r>
            <w:r>
              <w:t>5</w:t>
            </w:r>
            <w:r w:rsidRPr="00FD6721">
              <w:t xml:space="preserve"> budget implementation, pursuant to No. 73 of the ITU Convention, which stipulates that an annual review of revenue and expenses shall be carried out by the Council.</w:t>
            </w:r>
          </w:p>
          <w:p w14:paraId="4288AA6F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31F0870" w14:textId="2FCE3FE4" w:rsidR="00453079" w:rsidRDefault="00FD6721" w:rsidP="00F16BAB">
            <w:pPr>
              <w:spacing w:before="160"/>
              <w:rPr>
                <w:szCs w:val="24"/>
              </w:rPr>
            </w:pPr>
            <w:r w:rsidRPr="00FD6721">
              <w:rPr>
                <w:szCs w:val="24"/>
              </w:rPr>
              <w:t xml:space="preserve">The Council is invited to </w:t>
            </w:r>
            <w:r w:rsidRPr="007C3083">
              <w:rPr>
                <w:b/>
                <w:bCs/>
                <w:szCs w:val="24"/>
              </w:rPr>
              <w:t>note</w:t>
            </w:r>
            <w:r w:rsidRPr="00FD6721">
              <w:rPr>
                <w:szCs w:val="24"/>
              </w:rPr>
              <w:t xml:space="preserve"> this document.</w:t>
            </w:r>
          </w:p>
          <w:p w14:paraId="627C84A2" w14:textId="77777777" w:rsidR="00A11233" w:rsidRPr="00A11233" w:rsidRDefault="00A11233" w:rsidP="00A11233">
            <w:pPr>
              <w:spacing w:before="160"/>
              <w:rPr>
                <w:b/>
                <w:bCs/>
                <w:szCs w:val="24"/>
              </w:rPr>
            </w:pPr>
            <w:r w:rsidRPr="00A11233">
              <w:rPr>
                <w:b/>
                <w:bCs/>
                <w:szCs w:val="24"/>
              </w:rPr>
              <w:t>Relevant link(s) with the Strategic Plan</w:t>
            </w:r>
          </w:p>
          <w:p w14:paraId="5DF9344F" w14:textId="77777777" w:rsidR="00A11233" w:rsidRPr="00A11233" w:rsidRDefault="00A11233" w:rsidP="00EA6BC9">
            <w:pPr>
              <w:spacing w:before="160"/>
              <w:jc w:val="both"/>
              <w:rPr>
                <w:szCs w:val="24"/>
              </w:rPr>
            </w:pPr>
            <w:r w:rsidRPr="00A11233">
              <w:rPr>
                <w:szCs w:val="24"/>
              </w:rPr>
              <w:t>The 2025 budget of the Union provides funding for the two goals and the five thematic priorities of the ITU.</w:t>
            </w:r>
          </w:p>
          <w:p w14:paraId="3C58A566" w14:textId="77777777" w:rsidR="00A11233" w:rsidRPr="00A11233" w:rsidRDefault="00A11233" w:rsidP="00EA6BC9">
            <w:pPr>
              <w:spacing w:before="160"/>
              <w:jc w:val="both"/>
              <w:rPr>
                <w:b/>
                <w:bCs/>
                <w:szCs w:val="24"/>
              </w:rPr>
            </w:pPr>
            <w:r w:rsidRPr="00A11233">
              <w:rPr>
                <w:b/>
                <w:bCs/>
                <w:szCs w:val="24"/>
              </w:rPr>
              <w:t>Financial implications</w:t>
            </w:r>
          </w:p>
          <w:p w14:paraId="01ECA677" w14:textId="2FCE06B5" w:rsidR="00A11233" w:rsidRPr="00453079" w:rsidRDefault="00A11233" w:rsidP="00EA6BC9">
            <w:pPr>
              <w:spacing w:before="160"/>
              <w:jc w:val="both"/>
              <w:rPr>
                <w:szCs w:val="24"/>
              </w:rPr>
            </w:pPr>
            <w:r w:rsidRPr="00A11233">
              <w:rPr>
                <w:szCs w:val="24"/>
              </w:rPr>
              <w:t>The ITU management will take all necessary measures to ensure a sound and optimal implementation of the 2025 budget.</w:t>
            </w:r>
          </w:p>
          <w:p w14:paraId="08939791" w14:textId="77777777" w:rsidR="00C0458D" w:rsidRDefault="00C0458D">
            <w:r>
              <w:t>_______________</w:t>
            </w:r>
          </w:p>
          <w:p w14:paraId="212A584A" w14:textId="61454405" w:rsidR="00AD3606" w:rsidRPr="00C0458D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References</w:t>
            </w:r>
          </w:p>
          <w:p w14:paraId="7089D4B7" w14:textId="59332ABF" w:rsidR="00AD3606" w:rsidRPr="00EB2A2F" w:rsidRDefault="001E211D" w:rsidP="00EB2A2F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1E211D">
              <w:rPr>
                <w:i/>
                <w:iCs/>
                <w:sz w:val="22"/>
                <w:szCs w:val="22"/>
              </w:rPr>
              <w:t>Council Resolution</w:t>
            </w:r>
            <w:r>
              <w:t xml:space="preserve"> </w:t>
            </w:r>
            <w:hyperlink r:id="rId11" w:history="1">
              <w:r>
                <w:rPr>
                  <w:rStyle w:val="Hyperlink"/>
                  <w:i/>
                  <w:iCs/>
                  <w:sz w:val="22"/>
                  <w:szCs w:val="22"/>
                </w:rPr>
                <w:t>1417</w:t>
              </w:r>
            </w:hyperlink>
            <w:r w:rsidR="00EB2A2F" w:rsidRPr="00EB2A2F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="00EB2A2F" w:rsidRPr="00EB2A2F">
              <w:rPr>
                <w:i/>
                <w:iCs/>
                <w:sz w:val="22"/>
                <w:szCs w:val="22"/>
              </w:rPr>
              <w:t xml:space="preserve"> Biennial budget of the International Telecommunication Union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EB2A2F" w:rsidRPr="00EB2A2F">
              <w:rPr>
                <w:i/>
                <w:iCs/>
                <w:sz w:val="22"/>
                <w:szCs w:val="22"/>
              </w:rPr>
              <w:t>for 2024-2025);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E211D">
              <w:rPr>
                <w:i/>
                <w:iCs/>
                <w:sz w:val="22"/>
                <w:szCs w:val="22"/>
              </w:rPr>
              <w:t xml:space="preserve">Decision </w:t>
            </w:r>
            <w:hyperlink r:id="rId12" w:history="1">
              <w:r w:rsidRPr="001E211D">
                <w:rPr>
                  <w:rStyle w:val="Hyperlink"/>
                  <w:i/>
                  <w:iCs/>
                  <w:sz w:val="22"/>
                  <w:szCs w:val="22"/>
                </w:rPr>
                <w:t>5</w:t>
              </w:r>
              <w:r w:rsidR="00EB2A2F" w:rsidRPr="001E211D">
                <w:rPr>
                  <w:rStyle w:val="Hyperlink"/>
                  <w:i/>
                  <w:iCs/>
                  <w:sz w:val="22"/>
                  <w:szCs w:val="22"/>
                </w:rPr>
                <w:t xml:space="preserve"> (Rev. Bucharest, 2022)</w:t>
              </w:r>
            </w:hyperlink>
            <w:r w:rsidR="00EB2A2F" w:rsidRPr="00EB2A2F">
              <w:rPr>
                <w:i/>
                <w:iCs/>
                <w:sz w:val="22"/>
                <w:szCs w:val="22"/>
              </w:rPr>
              <w:t xml:space="preserve"> of the Plenipotentiary Conference</w:t>
            </w:r>
          </w:p>
        </w:tc>
      </w:tr>
    </w:tbl>
    <w:p w14:paraId="3E836A65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0458D">
        <w:br w:type="page"/>
      </w:r>
    </w:p>
    <w:bookmarkEnd w:id="5"/>
    <w:bookmarkEnd w:id="10"/>
    <w:p w14:paraId="1E2DD306" w14:textId="17F4A2D2" w:rsidR="00FD6721" w:rsidRPr="00D5155B" w:rsidRDefault="00FD6721" w:rsidP="00A66D69">
      <w:pPr>
        <w:pStyle w:val="Heading1"/>
      </w:pPr>
      <w:r w:rsidRPr="00D5155B">
        <w:lastRenderedPageBreak/>
        <w:t>1</w:t>
      </w:r>
      <w:r w:rsidRPr="00D5155B">
        <w:tab/>
        <w:t>Background</w:t>
      </w:r>
    </w:p>
    <w:p w14:paraId="5F05624C" w14:textId="6D5CDA83" w:rsidR="00FD6721" w:rsidRDefault="00FD6721" w:rsidP="00A66D69">
      <w:pPr>
        <w:jc w:val="both"/>
        <w:rPr>
          <w:lang w:val="en-US"/>
        </w:rPr>
      </w:pPr>
      <w:r w:rsidRPr="00D5155B">
        <w:t>1.1</w:t>
      </w:r>
      <w:r w:rsidRPr="00D5155B">
        <w:tab/>
      </w:r>
      <w:r w:rsidRPr="00D5155B">
        <w:rPr>
          <w:lang w:val="en-US"/>
        </w:rPr>
        <w:t xml:space="preserve">This document presents the key elements </w:t>
      </w:r>
      <w:r>
        <w:rPr>
          <w:lang w:val="en-US"/>
        </w:rPr>
        <w:t xml:space="preserve">of the </w:t>
      </w:r>
      <w:r w:rsidRPr="00D5155B">
        <w:rPr>
          <w:lang w:val="en-US"/>
        </w:rPr>
        <w:t>202</w:t>
      </w:r>
      <w:r>
        <w:rPr>
          <w:lang w:val="en-US"/>
        </w:rPr>
        <w:t>5</w:t>
      </w:r>
      <w:r w:rsidRPr="00D5155B">
        <w:rPr>
          <w:lang w:val="en-US"/>
        </w:rPr>
        <w:t xml:space="preserve"> Budget implementation, pursuant to No. 73 of the ITU Convention, which stipulates that the Council shall carry out an annual review of revenue and expenses.</w:t>
      </w:r>
    </w:p>
    <w:p w14:paraId="2C1FACE3" w14:textId="6EB2FA18" w:rsidR="00FD6721" w:rsidRPr="00D5155B" w:rsidRDefault="00FD6721" w:rsidP="00A66D69">
      <w:pPr>
        <w:pStyle w:val="Heading1"/>
      </w:pPr>
      <w:r w:rsidRPr="00D5155B">
        <w:t>2.</w:t>
      </w:r>
      <w:r w:rsidRPr="00D5155B">
        <w:tab/>
        <w:t>202</w:t>
      </w:r>
      <w:r>
        <w:t>5</w:t>
      </w:r>
      <w:r w:rsidRPr="00D5155B">
        <w:t xml:space="preserve"> budget implementation forecasts</w:t>
      </w:r>
    </w:p>
    <w:p w14:paraId="56385489" w14:textId="18B22C16" w:rsidR="00FD6721" w:rsidRDefault="00FD6721" w:rsidP="00A66D69">
      <w:pPr>
        <w:jc w:val="both"/>
      </w:pPr>
      <w:r w:rsidRPr="00D5155B">
        <w:t>2.1</w:t>
      </w:r>
      <w:r w:rsidRPr="00D5155B">
        <w:tab/>
        <w:t xml:space="preserve">The Council adopted the 2024-2025 Budget of the Union at its 2023 ordinary session by Resolution 1417. The </w:t>
      </w:r>
      <w:r>
        <w:t>approved</w:t>
      </w:r>
      <w:r w:rsidRPr="00D5155B">
        <w:t xml:space="preserve"> budget </w:t>
      </w:r>
      <w:r>
        <w:t xml:space="preserve">for 2025 </w:t>
      </w:r>
      <w:r w:rsidRPr="00D5155B">
        <w:t>amounts to KCHF 164</w:t>
      </w:r>
      <w:r w:rsidR="00B22644">
        <w:t> </w:t>
      </w:r>
      <w:r w:rsidR="00C21DFD">
        <w:t>134</w:t>
      </w:r>
      <w:r>
        <w:t xml:space="preserve">, </w:t>
      </w:r>
      <w:r w:rsidRPr="00D5155B">
        <w:t>based on an annual contributory unit amount of CHF</w:t>
      </w:r>
      <w:r w:rsidR="002C4F81">
        <w:t> </w:t>
      </w:r>
      <w:r w:rsidRPr="00D5155B">
        <w:t>318</w:t>
      </w:r>
      <w:r w:rsidR="002C4F81">
        <w:t> </w:t>
      </w:r>
      <w:r w:rsidRPr="00D5155B">
        <w:t>000 for Member States.</w:t>
      </w:r>
    </w:p>
    <w:p w14:paraId="26BDFAEB" w14:textId="60F79296" w:rsidR="00FD6721" w:rsidRPr="00D5155B" w:rsidRDefault="00FD6721" w:rsidP="00A66D69">
      <w:pPr>
        <w:jc w:val="both"/>
      </w:pPr>
      <w:r>
        <w:t>2.2</w:t>
      </w:r>
      <w:r>
        <w:tab/>
        <w:t xml:space="preserve">The 2025 budget has been updated to reflect the deferment </w:t>
      </w:r>
      <w:r w:rsidR="00C21DFD">
        <w:t xml:space="preserve">from 2024 to 2025 </w:t>
      </w:r>
      <w:r>
        <w:t xml:space="preserve">of </w:t>
      </w:r>
      <w:r w:rsidR="00C21DFD">
        <w:t>three</w:t>
      </w:r>
      <w:r w:rsidR="00C21DFD" w:rsidRPr="00C21DFD">
        <w:t xml:space="preserve"> W</w:t>
      </w:r>
      <w:r w:rsidR="00CB0B8A">
        <w:t>orld Telecommunication Development Conference (WTD</w:t>
      </w:r>
      <w:r w:rsidR="00B51B04">
        <w:t>C</w:t>
      </w:r>
      <w:r w:rsidR="00C21DFD" w:rsidRPr="00C21DFD">
        <w:t>-25</w:t>
      </w:r>
      <w:r w:rsidR="00B51B04">
        <w:t>)</w:t>
      </w:r>
      <w:r w:rsidR="00C21DFD" w:rsidRPr="00C21DFD">
        <w:t xml:space="preserve"> Regional Preparatory Meetings (Africa, CIS</w:t>
      </w:r>
      <w:r w:rsidR="009415B7">
        <w:t>,</w:t>
      </w:r>
      <w:r w:rsidR="00C21DFD" w:rsidRPr="00C21DFD">
        <w:t xml:space="preserve"> and Europe) </w:t>
      </w:r>
      <w:r w:rsidR="00C21DFD">
        <w:t xml:space="preserve">that </w:t>
      </w:r>
      <w:r w:rsidR="00C21DFD" w:rsidRPr="00C21DFD">
        <w:t>were included in the 2024 budget</w:t>
      </w:r>
      <w:r w:rsidR="00C21DFD">
        <w:t xml:space="preserve"> for an amount of KCHF</w:t>
      </w:r>
      <w:r w:rsidR="00BC1903">
        <w:t> </w:t>
      </w:r>
      <w:r w:rsidR="00C21DFD">
        <w:t>203. The 2025 updated budget amounts to KCHF</w:t>
      </w:r>
      <w:r w:rsidR="00FE490E">
        <w:t> </w:t>
      </w:r>
      <w:r w:rsidR="00C21DFD">
        <w:t>164</w:t>
      </w:r>
      <w:r w:rsidR="00BC1903">
        <w:t> </w:t>
      </w:r>
      <w:r w:rsidR="00C21DFD">
        <w:t>337.</w:t>
      </w:r>
    </w:p>
    <w:p w14:paraId="4A0FDDF7" w14:textId="5C3C8AAB" w:rsidR="00FD6721" w:rsidRPr="00D5155B" w:rsidRDefault="00FD6721" w:rsidP="00A66D69">
      <w:pPr>
        <w:jc w:val="both"/>
      </w:pPr>
      <w:r w:rsidRPr="00D5155B">
        <w:t>2.</w:t>
      </w:r>
      <w:r w:rsidR="00A66D69">
        <w:t>3</w:t>
      </w:r>
      <w:r w:rsidRPr="00D5155B">
        <w:tab/>
        <w:t xml:space="preserve">The </w:t>
      </w:r>
      <w:r w:rsidR="00556687">
        <w:t>four</w:t>
      </w:r>
      <w:r w:rsidRPr="00D5155B">
        <w:t xml:space="preserve"> key factors currently known that will impact the 202</w:t>
      </w:r>
      <w:r w:rsidR="00C21DFD">
        <w:t>5</w:t>
      </w:r>
      <w:r w:rsidRPr="00D5155B">
        <w:t xml:space="preserve"> budget implementation are:</w:t>
      </w:r>
    </w:p>
    <w:p w14:paraId="5DFF745B" w14:textId="3367EA97" w:rsidR="00FD6721" w:rsidRPr="00A66D69" w:rsidRDefault="00A66D69" w:rsidP="00987C1F">
      <w:pPr>
        <w:pStyle w:val="enumlev1"/>
        <w:jc w:val="both"/>
        <w:rPr>
          <w:rFonts w:eastAsiaTheme="minorHAnsi"/>
          <w:lang w:val="en-US"/>
        </w:rPr>
      </w:pPr>
      <w:r>
        <w:rPr>
          <w:rFonts w:eastAsiaTheme="minorHAnsi" w:cs="Calibri"/>
          <w:lang w:val="en-US"/>
        </w:rPr>
        <w:t>–</w:t>
      </w:r>
      <w:r w:rsidRPr="00FE1788">
        <w:rPr>
          <w:rFonts w:eastAsiaTheme="minorHAnsi" w:cs="Calibri"/>
          <w:lang w:val="en-US"/>
        </w:rPr>
        <w:tab/>
      </w:r>
      <w:r w:rsidR="00FD6721" w:rsidRPr="00A66D69">
        <w:rPr>
          <w:rFonts w:eastAsiaTheme="minorHAnsi"/>
          <w:lang w:val="en-US"/>
        </w:rPr>
        <w:t xml:space="preserve">The reduction in cost recovery revenue from the processing of satellite network filings for an amount of </w:t>
      </w:r>
      <w:r w:rsidR="00C21DFD" w:rsidRPr="00A66D69">
        <w:rPr>
          <w:rFonts w:eastAsiaTheme="minorHAnsi"/>
          <w:color w:val="000000" w:themeColor="text1"/>
          <w:lang w:val="en-US"/>
        </w:rPr>
        <w:t>MCHF</w:t>
      </w:r>
      <w:r w:rsidR="00FE1788" w:rsidRPr="00A66D69">
        <w:rPr>
          <w:rFonts w:eastAsiaTheme="minorHAnsi"/>
          <w:color w:val="000000" w:themeColor="text1"/>
          <w:lang w:val="en-US"/>
        </w:rPr>
        <w:t> </w:t>
      </w:r>
      <w:r w:rsidR="00C21DFD" w:rsidRPr="00A66D69">
        <w:rPr>
          <w:rFonts w:eastAsiaTheme="minorHAnsi"/>
          <w:color w:val="000000" w:themeColor="text1"/>
          <w:lang w:val="en-US"/>
        </w:rPr>
        <w:t>3.5.</w:t>
      </w:r>
    </w:p>
    <w:p w14:paraId="1CE61845" w14:textId="63ADDF49" w:rsidR="00C21DFD" w:rsidRPr="00A66D69" w:rsidRDefault="00A66D69" w:rsidP="00987C1F">
      <w:pPr>
        <w:pStyle w:val="enumlev1"/>
        <w:jc w:val="both"/>
        <w:rPr>
          <w:rFonts w:eastAsiaTheme="minorHAnsi"/>
          <w:color w:val="000000" w:themeColor="text1"/>
          <w:lang w:val="en-US"/>
        </w:rPr>
      </w:pPr>
      <w:r>
        <w:rPr>
          <w:rFonts w:eastAsiaTheme="minorHAnsi" w:cs="Calibri"/>
          <w:lang w:val="en-US"/>
        </w:rPr>
        <w:t>–</w:t>
      </w:r>
      <w:r w:rsidRPr="00556687">
        <w:rPr>
          <w:rFonts w:eastAsiaTheme="minorHAnsi" w:cs="Calibri"/>
          <w:lang w:val="en-US"/>
        </w:rPr>
        <w:tab/>
      </w:r>
      <w:r w:rsidR="00C21DFD" w:rsidRPr="00A66D69">
        <w:rPr>
          <w:rFonts w:eastAsiaTheme="minorHAnsi"/>
          <w:color w:val="000000" w:themeColor="text1"/>
          <w:lang w:val="en-US"/>
        </w:rPr>
        <w:t>The increase, as compared to the budgeted amount, of the revenue from interest for an amount of MCHF</w:t>
      </w:r>
      <w:r w:rsidR="00FE1788" w:rsidRPr="00A66D69">
        <w:rPr>
          <w:rFonts w:eastAsiaTheme="minorHAnsi"/>
          <w:color w:val="000000" w:themeColor="text1"/>
          <w:lang w:val="en-US"/>
        </w:rPr>
        <w:t> </w:t>
      </w:r>
      <w:r w:rsidR="00C21DFD" w:rsidRPr="00A66D69">
        <w:rPr>
          <w:rFonts w:eastAsiaTheme="minorHAnsi"/>
          <w:color w:val="000000" w:themeColor="text1"/>
          <w:lang w:val="en-US"/>
        </w:rPr>
        <w:t>1.25.</w:t>
      </w:r>
    </w:p>
    <w:p w14:paraId="49268129" w14:textId="7F20FA3A" w:rsidR="00C21DFD" w:rsidRPr="00A66D69" w:rsidRDefault="00A66D69" w:rsidP="00987C1F">
      <w:pPr>
        <w:pStyle w:val="enumlev1"/>
        <w:jc w:val="both"/>
        <w:rPr>
          <w:rFonts w:eastAsiaTheme="minorHAnsi"/>
          <w:color w:val="000000" w:themeColor="text1"/>
          <w:lang w:val="en-US"/>
        </w:rPr>
      </w:pPr>
      <w:r>
        <w:rPr>
          <w:rFonts w:eastAsiaTheme="minorHAnsi" w:cs="Calibri"/>
          <w:lang w:val="en-US"/>
        </w:rPr>
        <w:t>–</w:t>
      </w:r>
      <w:r w:rsidRPr="00556687">
        <w:rPr>
          <w:rFonts w:eastAsiaTheme="minorHAnsi" w:cs="Calibri"/>
          <w:lang w:val="en-US"/>
        </w:rPr>
        <w:tab/>
      </w:r>
      <w:r w:rsidR="00C21DFD" w:rsidRPr="00A66D69">
        <w:rPr>
          <w:rFonts w:eastAsiaTheme="minorHAnsi"/>
          <w:color w:val="000000" w:themeColor="text1"/>
          <w:lang w:val="en-US"/>
        </w:rPr>
        <w:t>The efficiency savings for documentation production for an amount of MCHF</w:t>
      </w:r>
      <w:r w:rsidR="00FE1788" w:rsidRPr="00A66D69">
        <w:rPr>
          <w:rFonts w:eastAsiaTheme="minorHAnsi"/>
          <w:color w:val="000000" w:themeColor="text1"/>
          <w:lang w:val="en-US"/>
        </w:rPr>
        <w:t> </w:t>
      </w:r>
      <w:r w:rsidR="00C21DFD" w:rsidRPr="00A66D69">
        <w:rPr>
          <w:rFonts w:eastAsiaTheme="minorHAnsi"/>
          <w:color w:val="000000" w:themeColor="text1"/>
          <w:lang w:val="en-US"/>
        </w:rPr>
        <w:t>1.6.</w:t>
      </w:r>
    </w:p>
    <w:p w14:paraId="48A94D12" w14:textId="56DAC706" w:rsidR="00556687" w:rsidRPr="00A66D69" w:rsidRDefault="00A66D69" w:rsidP="00987C1F">
      <w:pPr>
        <w:pStyle w:val="enumlev1"/>
        <w:jc w:val="both"/>
        <w:rPr>
          <w:rFonts w:eastAsiaTheme="minorHAnsi"/>
          <w:color w:val="000000" w:themeColor="text1"/>
          <w:lang w:val="en-US"/>
        </w:rPr>
      </w:pPr>
      <w:r>
        <w:rPr>
          <w:rFonts w:eastAsiaTheme="minorHAnsi" w:cs="Calibri"/>
          <w:lang w:val="en-US"/>
        </w:rPr>
        <w:t>–</w:t>
      </w:r>
      <w:r>
        <w:rPr>
          <w:rFonts w:eastAsiaTheme="minorHAnsi" w:cs="Calibri"/>
          <w:lang w:val="en-US"/>
        </w:rPr>
        <w:tab/>
      </w:r>
      <w:r w:rsidR="00556687" w:rsidRPr="00A66D69">
        <w:rPr>
          <w:rFonts w:eastAsiaTheme="minorHAnsi"/>
          <w:color w:val="000000" w:themeColor="text1"/>
          <w:lang w:val="en-US"/>
        </w:rPr>
        <w:t>The savings from the second phase of the voluntary separation program</w:t>
      </w:r>
      <w:r w:rsidR="006A0785" w:rsidRPr="00A66D69">
        <w:rPr>
          <w:rFonts w:eastAsiaTheme="minorHAnsi"/>
          <w:color w:val="000000" w:themeColor="text1"/>
          <w:lang w:val="en-US"/>
        </w:rPr>
        <w:t>me</w:t>
      </w:r>
      <w:r w:rsidR="00556687" w:rsidRPr="00A66D69">
        <w:rPr>
          <w:rFonts w:eastAsiaTheme="minorHAnsi"/>
          <w:color w:val="000000" w:themeColor="text1"/>
          <w:lang w:val="en-US"/>
        </w:rPr>
        <w:t xml:space="preserve"> for an estimated amount of MCHF</w:t>
      </w:r>
      <w:r w:rsidR="00FE1788" w:rsidRPr="00A66D69">
        <w:rPr>
          <w:rFonts w:eastAsiaTheme="minorHAnsi"/>
          <w:color w:val="000000" w:themeColor="text1"/>
          <w:lang w:val="en-US"/>
        </w:rPr>
        <w:t> </w:t>
      </w:r>
      <w:r w:rsidR="00556687" w:rsidRPr="00A66D69">
        <w:rPr>
          <w:rFonts w:eastAsiaTheme="minorHAnsi"/>
          <w:color w:val="000000" w:themeColor="text1"/>
          <w:lang w:val="en-US"/>
        </w:rPr>
        <w:t>1.3.</w:t>
      </w:r>
    </w:p>
    <w:p w14:paraId="7103065C" w14:textId="2BDB525B" w:rsidR="00300CBF" w:rsidRPr="00A20069" w:rsidRDefault="00300CBF" w:rsidP="00A0478E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2.</w:t>
      </w:r>
      <w:r w:rsidR="00A66D69">
        <w:rPr>
          <w:rFonts w:eastAsiaTheme="minorHAnsi"/>
          <w:lang w:val="en-US"/>
        </w:rPr>
        <w:t>4</w:t>
      </w:r>
      <w:r>
        <w:rPr>
          <w:rFonts w:eastAsiaTheme="minorHAnsi"/>
          <w:lang w:val="en-US"/>
        </w:rPr>
        <w:tab/>
      </w:r>
      <w:r w:rsidR="00602756">
        <w:rPr>
          <w:rFonts w:eastAsiaTheme="minorHAnsi"/>
          <w:lang w:val="en-US"/>
        </w:rPr>
        <w:t xml:space="preserve">In the event that the </w:t>
      </w:r>
      <w:r w:rsidR="006A0785">
        <w:rPr>
          <w:rFonts w:eastAsiaTheme="minorHAnsi"/>
          <w:lang w:val="en-US"/>
        </w:rPr>
        <w:t>s</w:t>
      </w:r>
      <w:r w:rsidR="00602756">
        <w:rPr>
          <w:rFonts w:eastAsiaTheme="minorHAnsi"/>
          <w:lang w:val="en-US"/>
        </w:rPr>
        <w:t xml:space="preserve">ecretariat </w:t>
      </w:r>
      <w:proofErr w:type="gramStart"/>
      <w:r w:rsidR="00602756">
        <w:rPr>
          <w:rFonts w:eastAsiaTheme="minorHAnsi"/>
          <w:lang w:val="en-US"/>
        </w:rPr>
        <w:t>is able to</w:t>
      </w:r>
      <w:proofErr w:type="gramEnd"/>
      <w:r w:rsidR="00602756">
        <w:rPr>
          <w:rFonts w:eastAsiaTheme="minorHAnsi"/>
          <w:lang w:val="en-US"/>
        </w:rPr>
        <w:t xml:space="preserve"> achieve significant savings in its implementation of the Budget for 2025</w:t>
      </w:r>
      <w:r>
        <w:rPr>
          <w:rFonts w:eastAsiaTheme="minorHAnsi"/>
          <w:lang w:val="en-US"/>
        </w:rPr>
        <w:t xml:space="preserve">, </w:t>
      </w:r>
      <w:r w:rsidR="00602756">
        <w:rPr>
          <w:rFonts w:eastAsiaTheme="minorHAnsi"/>
          <w:lang w:val="en-US"/>
        </w:rPr>
        <w:t xml:space="preserve">there are </w:t>
      </w:r>
      <w:proofErr w:type="gramStart"/>
      <w:r w:rsidR="00602756">
        <w:rPr>
          <w:rFonts w:eastAsiaTheme="minorHAnsi"/>
          <w:lang w:val="en-US"/>
        </w:rPr>
        <w:t>a number of</w:t>
      </w:r>
      <w:proofErr w:type="gramEnd"/>
      <w:r w:rsidR="00602756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 xml:space="preserve">key priorities which </w:t>
      </w:r>
      <w:r w:rsidR="00602756">
        <w:rPr>
          <w:rFonts w:eastAsiaTheme="minorHAnsi"/>
          <w:lang w:val="en-US"/>
        </w:rPr>
        <w:t xml:space="preserve">are </w:t>
      </w:r>
      <w:r>
        <w:rPr>
          <w:rFonts w:eastAsiaTheme="minorHAnsi"/>
          <w:lang w:val="en-US"/>
        </w:rPr>
        <w:t>not covered by the current regular budget</w:t>
      </w:r>
      <w:r w:rsidR="00602756">
        <w:rPr>
          <w:rFonts w:eastAsiaTheme="minorHAnsi"/>
          <w:lang w:val="en-US"/>
        </w:rPr>
        <w:t xml:space="preserve"> that could be funded during the year</w:t>
      </w:r>
      <w:r>
        <w:rPr>
          <w:rFonts w:eastAsiaTheme="minorHAnsi"/>
          <w:lang w:val="en-US"/>
        </w:rPr>
        <w:t>:</w:t>
      </w:r>
    </w:p>
    <w:p w14:paraId="4150EF6C" w14:textId="6AB759F1" w:rsidR="00300CBF" w:rsidRPr="00A66D69" w:rsidRDefault="00A66D69" w:rsidP="00987C1F">
      <w:pPr>
        <w:pStyle w:val="enumlev1"/>
        <w:jc w:val="both"/>
        <w:rPr>
          <w:rFonts w:eastAsiaTheme="minorHAnsi"/>
          <w:lang w:val="en-US"/>
        </w:rPr>
      </w:pPr>
      <w:r>
        <w:rPr>
          <w:rFonts w:eastAsiaTheme="minorHAnsi" w:cs="Calibri"/>
          <w:lang w:val="en-US"/>
        </w:rPr>
        <w:t>–</w:t>
      </w:r>
      <w:r>
        <w:rPr>
          <w:rFonts w:eastAsiaTheme="minorHAnsi" w:cs="Calibri"/>
          <w:lang w:val="en-US"/>
        </w:rPr>
        <w:tab/>
      </w:r>
      <w:r w:rsidR="00300CBF" w:rsidRPr="00A66D69">
        <w:rPr>
          <w:rFonts w:eastAsiaTheme="minorHAnsi"/>
          <w:lang w:val="en-US"/>
        </w:rPr>
        <w:t xml:space="preserve">Regional presence review </w:t>
      </w:r>
      <w:r w:rsidR="004B318F" w:rsidRPr="00A66D69">
        <w:rPr>
          <w:rFonts w:eastAsiaTheme="minorHAnsi"/>
          <w:lang w:val="en-US"/>
        </w:rPr>
        <w:t>implementation costs</w:t>
      </w:r>
      <w:r w:rsidR="00902CDE" w:rsidRPr="00A66D69">
        <w:rPr>
          <w:rFonts w:eastAsiaTheme="minorHAnsi"/>
          <w:lang w:val="en-US"/>
        </w:rPr>
        <w:t>.</w:t>
      </w:r>
    </w:p>
    <w:p w14:paraId="6783FCE4" w14:textId="4FA0B9D5" w:rsidR="0003035B" w:rsidRPr="00A66D69" w:rsidRDefault="00A66D69" w:rsidP="00987C1F">
      <w:pPr>
        <w:pStyle w:val="enumlev1"/>
        <w:jc w:val="both"/>
        <w:rPr>
          <w:rFonts w:eastAsiaTheme="minorHAnsi"/>
          <w:lang w:val="en-US"/>
        </w:rPr>
      </w:pPr>
      <w:r>
        <w:rPr>
          <w:rFonts w:eastAsiaTheme="minorHAnsi" w:cs="Calibri"/>
          <w:lang w:val="en-US"/>
        </w:rPr>
        <w:t>–</w:t>
      </w:r>
      <w:r>
        <w:rPr>
          <w:rFonts w:eastAsiaTheme="minorHAnsi" w:cs="Calibri"/>
          <w:lang w:val="en-US"/>
        </w:rPr>
        <w:tab/>
      </w:r>
      <w:r w:rsidR="00602756" w:rsidRPr="00A66D69">
        <w:rPr>
          <w:rFonts w:eastAsiaTheme="minorHAnsi"/>
          <w:lang w:val="en-US"/>
        </w:rPr>
        <w:t>T</w:t>
      </w:r>
      <w:r w:rsidR="004B318F" w:rsidRPr="00A66D69">
        <w:rPr>
          <w:rFonts w:eastAsiaTheme="minorHAnsi"/>
          <w:lang w:val="en-US"/>
        </w:rPr>
        <w:t xml:space="preserve">ransformational </w:t>
      </w:r>
      <w:r w:rsidR="00C342DB" w:rsidRPr="00A66D69">
        <w:rPr>
          <w:rFonts w:eastAsiaTheme="minorHAnsi"/>
          <w:lang w:val="en-US"/>
        </w:rPr>
        <w:t xml:space="preserve">IT </w:t>
      </w:r>
      <w:r w:rsidR="004B318F" w:rsidRPr="00A66D69">
        <w:rPr>
          <w:rFonts w:eastAsiaTheme="minorHAnsi"/>
          <w:lang w:val="en-US"/>
        </w:rPr>
        <w:t>system and service upgrades and improvements, including data management improvements and AI adoption</w:t>
      </w:r>
      <w:r w:rsidR="00C342DB" w:rsidRPr="00A66D69">
        <w:rPr>
          <w:rFonts w:eastAsiaTheme="minorHAnsi"/>
          <w:lang w:val="en-US"/>
        </w:rPr>
        <w:t xml:space="preserve"> initiatives</w:t>
      </w:r>
      <w:r w:rsidR="0003035B" w:rsidRPr="00A66D69">
        <w:rPr>
          <w:rFonts w:eastAsiaTheme="minorHAnsi"/>
          <w:lang w:val="en-US"/>
        </w:rPr>
        <w:t>.</w:t>
      </w:r>
    </w:p>
    <w:p w14:paraId="684A18EC" w14:textId="579602E6" w:rsidR="0003035B" w:rsidRPr="00A66D69" w:rsidRDefault="00A66D69" w:rsidP="00987C1F">
      <w:pPr>
        <w:pStyle w:val="enumlev1"/>
        <w:jc w:val="both"/>
        <w:rPr>
          <w:rFonts w:eastAsiaTheme="minorHAnsi"/>
          <w:lang w:val="en-US"/>
        </w:rPr>
      </w:pPr>
      <w:r>
        <w:rPr>
          <w:rFonts w:eastAsiaTheme="minorHAnsi" w:cs="Calibri"/>
          <w:lang w:val="en-US"/>
        </w:rPr>
        <w:t>–</w:t>
      </w:r>
      <w:r w:rsidRPr="00556687">
        <w:rPr>
          <w:rFonts w:eastAsiaTheme="minorHAnsi" w:cs="Calibri"/>
          <w:lang w:val="en-US"/>
        </w:rPr>
        <w:tab/>
      </w:r>
      <w:r w:rsidR="00602756" w:rsidRPr="00A66D69">
        <w:rPr>
          <w:rFonts w:eastAsiaTheme="minorHAnsi"/>
          <w:lang w:val="en-US"/>
        </w:rPr>
        <w:t>Broadening</w:t>
      </w:r>
      <w:r w:rsidR="004B318F" w:rsidRPr="00A66D69">
        <w:rPr>
          <w:rFonts w:eastAsiaTheme="minorHAnsi"/>
          <w:lang w:val="en-US"/>
        </w:rPr>
        <w:t xml:space="preserve"> of </w:t>
      </w:r>
      <w:r w:rsidR="0003035B" w:rsidRPr="00A66D69">
        <w:rPr>
          <w:rFonts w:eastAsiaTheme="minorHAnsi"/>
          <w:lang w:val="en-US"/>
        </w:rPr>
        <w:t>the Young Professionals Program</w:t>
      </w:r>
      <w:r w:rsidR="00493184" w:rsidRPr="00A66D69">
        <w:rPr>
          <w:rFonts w:eastAsiaTheme="minorHAnsi"/>
          <w:lang w:val="en-US"/>
        </w:rPr>
        <w:t>me</w:t>
      </w:r>
      <w:r w:rsidR="0003035B" w:rsidRPr="00A66D69">
        <w:rPr>
          <w:rFonts w:eastAsiaTheme="minorHAnsi"/>
          <w:lang w:val="en-US"/>
        </w:rPr>
        <w:t>.</w:t>
      </w:r>
    </w:p>
    <w:p w14:paraId="001274B3" w14:textId="6836CFE3" w:rsidR="00FD6721" w:rsidRDefault="00FD6721" w:rsidP="00A0478E">
      <w:pPr>
        <w:jc w:val="both"/>
      </w:pPr>
      <w:r w:rsidRPr="311B6658">
        <w:t>2.</w:t>
      </w:r>
      <w:r w:rsidR="00A0478E">
        <w:t>5</w:t>
      </w:r>
      <w:r>
        <w:tab/>
      </w:r>
      <w:r w:rsidRPr="311B6658">
        <w:t xml:space="preserve">As of </w:t>
      </w:r>
      <w:r w:rsidR="0003035B">
        <w:t>6 May</w:t>
      </w:r>
      <w:r w:rsidR="00560850">
        <w:t xml:space="preserve"> </w:t>
      </w:r>
      <w:r w:rsidRPr="311B6658">
        <w:t>202</w:t>
      </w:r>
      <w:r w:rsidR="00556687">
        <w:t xml:space="preserve">8 </w:t>
      </w:r>
      <w:r w:rsidRPr="311B6658">
        <w:t>the anticipated 202</w:t>
      </w:r>
      <w:r w:rsidR="00556687">
        <w:t>5</w:t>
      </w:r>
      <w:r w:rsidRPr="311B6658">
        <w:t xml:space="preserve"> budget implementation result is </w:t>
      </w:r>
      <w:r w:rsidRPr="00F65EAC">
        <w:rPr>
          <w:color w:val="000000" w:themeColor="text1"/>
        </w:rPr>
        <w:t xml:space="preserve">positive </w:t>
      </w:r>
      <w:r w:rsidRPr="311B6658">
        <w:t>and stands at</w:t>
      </w:r>
      <w:r w:rsidR="00807D96">
        <w:t xml:space="preserve"> KCHF</w:t>
      </w:r>
      <w:r w:rsidR="00902CDE">
        <w:t> </w:t>
      </w:r>
      <w:r w:rsidR="004B318F">
        <w:t>5</w:t>
      </w:r>
      <w:r w:rsidR="006D238B">
        <w:t>1</w:t>
      </w:r>
      <w:r w:rsidR="004B318F">
        <w:t>1</w:t>
      </w:r>
      <w:r w:rsidR="004B318F">
        <w:rPr>
          <w:b/>
          <w:bCs/>
          <w:color w:val="0070C0"/>
        </w:rPr>
        <w:t xml:space="preserve"> </w:t>
      </w:r>
      <w:r w:rsidRPr="00E5361B">
        <w:rPr>
          <w:color w:val="000000" w:themeColor="text1"/>
        </w:rPr>
        <w:t>or</w:t>
      </w:r>
      <w:r w:rsidR="0045282E">
        <w:rPr>
          <w:color w:val="000000" w:themeColor="text1"/>
        </w:rPr>
        <w:t xml:space="preserve"> </w:t>
      </w:r>
      <w:r w:rsidR="00B65AC7" w:rsidRPr="0045282E">
        <w:rPr>
          <w:color w:val="000000" w:themeColor="text1"/>
        </w:rPr>
        <w:t>0.</w:t>
      </w:r>
      <w:r w:rsidR="00B65AC7">
        <w:rPr>
          <w:color w:val="000000" w:themeColor="text1"/>
        </w:rPr>
        <w:t>31</w:t>
      </w:r>
      <w:r w:rsidR="00F65EAC">
        <w:rPr>
          <w:color w:val="000000" w:themeColor="text1"/>
        </w:rPr>
        <w:t>%</w:t>
      </w:r>
      <w:r w:rsidRPr="00E5361B">
        <w:rPr>
          <w:color w:val="000000" w:themeColor="text1"/>
        </w:rPr>
        <w:t xml:space="preserve"> of the budget</w:t>
      </w:r>
      <w:r>
        <w:rPr>
          <w:color w:val="000000" w:themeColor="text1"/>
        </w:rPr>
        <w:t xml:space="preserve">, as </w:t>
      </w:r>
      <w:r>
        <w:t>shown</w:t>
      </w:r>
      <w:r w:rsidRPr="311B6658">
        <w:t xml:space="preserve"> in Table 1</w:t>
      </w:r>
      <w:r w:rsidR="00F65EAC">
        <w:t>.</w:t>
      </w:r>
    </w:p>
    <w:p w14:paraId="4D0085A8" w14:textId="4B94F95F" w:rsidR="00300CBF" w:rsidRDefault="00FC7E15" w:rsidP="00A0478E">
      <w:pPr>
        <w:jc w:val="both"/>
      </w:pPr>
      <w:r w:rsidRPr="00FC7E15">
        <w:t>An additional amount of KCHF</w:t>
      </w:r>
      <w:r w:rsidR="00902CDE">
        <w:t> </w:t>
      </w:r>
      <w:r w:rsidRPr="00FC7E15">
        <w:t>700, beyond the KCHF</w:t>
      </w:r>
      <w:r w:rsidR="00902CDE">
        <w:t> </w:t>
      </w:r>
      <w:r w:rsidRPr="00FC7E15">
        <w:t xml:space="preserve">750 already included in the budget, is anticipated to be paid to the building maintenance fund (see Table </w:t>
      </w:r>
      <w:r>
        <w:t>3</w:t>
      </w:r>
      <w:r w:rsidRPr="00FC7E15">
        <w:t xml:space="preserve">) to ensure sufficient funds for maintenance of the ITU buildings, especially as maintenance of </w:t>
      </w:r>
      <w:proofErr w:type="spellStart"/>
      <w:r w:rsidRPr="00FC7E15">
        <w:t>Varemb</w:t>
      </w:r>
      <w:r w:rsidR="00807D96">
        <w:t>é</w:t>
      </w:r>
      <w:proofErr w:type="spellEnd"/>
      <w:r w:rsidRPr="00FC7E15">
        <w:t xml:space="preserve"> building </w:t>
      </w:r>
      <w:r w:rsidRPr="00902CDE">
        <w:rPr>
          <w:spacing w:val="2"/>
        </w:rPr>
        <w:t xml:space="preserve">was generally not included in the budget for 2024-2025. </w:t>
      </w:r>
      <w:r w:rsidR="00300CBF" w:rsidRPr="00902CDE">
        <w:rPr>
          <w:spacing w:val="2"/>
        </w:rPr>
        <w:t>As a further step to replenish the</w:t>
      </w:r>
      <w:r w:rsidR="00300CBF" w:rsidRPr="00300CBF">
        <w:t xml:space="preserve"> ICT-DF, any surplus Administrative and Operational Services</w:t>
      </w:r>
      <w:r w:rsidR="00300CBF">
        <w:t xml:space="preserve"> </w:t>
      </w:r>
      <w:r w:rsidR="00300CBF" w:rsidRPr="00300CBF">
        <w:t xml:space="preserve">(AOS) costs generated beyond the budgeted amount annually from 2024 onwards </w:t>
      </w:r>
      <w:r w:rsidR="004B318F">
        <w:t>are earmarked to</w:t>
      </w:r>
      <w:r w:rsidR="004B318F" w:rsidRPr="00300CBF">
        <w:t xml:space="preserve"> </w:t>
      </w:r>
      <w:r w:rsidR="00792871" w:rsidRPr="00300CBF">
        <w:t>be channelled</w:t>
      </w:r>
      <w:r w:rsidR="00300CBF" w:rsidRPr="00300CBF">
        <w:t xml:space="preserve"> back to the ICT-DF Capital Account, with the primary purpose of such funds to</w:t>
      </w:r>
      <w:r w:rsidR="00300CBF">
        <w:t xml:space="preserve"> </w:t>
      </w:r>
      <w:r w:rsidR="00300CBF" w:rsidRPr="00300CBF">
        <w:t>support project implementation.</w:t>
      </w:r>
    </w:p>
    <w:p w14:paraId="72629759" w14:textId="73CE540B" w:rsidR="00FC7E15" w:rsidRPr="0047313C" w:rsidRDefault="00FC7E15" w:rsidP="00987C1F">
      <w:pPr>
        <w:keepNext/>
        <w:keepLines/>
        <w:jc w:val="both"/>
        <w:rPr>
          <w:rFonts w:cstheme="minorBidi"/>
        </w:rPr>
      </w:pPr>
      <w:r w:rsidRPr="00FC7E15">
        <w:rPr>
          <w:rFonts w:cstheme="minorBidi"/>
        </w:rPr>
        <w:lastRenderedPageBreak/>
        <w:t xml:space="preserve">This </w:t>
      </w:r>
      <w:r w:rsidR="00A20069">
        <w:rPr>
          <w:rFonts w:cstheme="minorBidi"/>
        </w:rPr>
        <w:t>2025 budget</w:t>
      </w:r>
      <w:r w:rsidRPr="00FC7E15">
        <w:rPr>
          <w:rFonts w:cstheme="minorBidi"/>
        </w:rPr>
        <w:t xml:space="preserve"> </w:t>
      </w:r>
      <w:r w:rsidRPr="00A0478E">
        <w:rPr>
          <w:spacing w:val="2"/>
        </w:rPr>
        <w:t>implementation</w:t>
      </w:r>
      <w:r w:rsidRPr="00FC7E15">
        <w:rPr>
          <w:rFonts w:cstheme="minorBidi"/>
        </w:rPr>
        <w:t xml:space="preserve"> is mainly on account of higher forecasted for increase in interest rate gains on cash and cash equivalents, savings in operational expenses and recruitment delays. </w:t>
      </w:r>
      <w:r w:rsidRPr="22A2DA4F">
        <w:rPr>
          <w:rFonts w:cstheme="minorBidi"/>
        </w:rPr>
        <w:t xml:space="preserve">Further details are provided in </w:t>
      </w:r>
      <w:r w:rsidR="00A0478E" w:rsidRPr="22A2DA4F">
        <w:rPr>
          <w:rFonts w:cstheme="minorBidi"/>
        </w:rPr>
        <w:t xml:space="preserve">Tables </w:t>
      </w:r>
      <w:r w:rsidRPr="22A2DA4F">
        <w:rPr>
          <w:rFonts w:cstheme="minorBidi"/>
        </w:rPr>
        <w:t xml:space="preserve">1 to </w:t>
      </w:r>
      <w:r w:rsidR="00792871">
        <w:rPr>
          <w:rFonts w:cstheme="minorBidi"/>
        </w:rPr>
        <w:t>4</w:t>
      </w:r>
      <w:r w:rsidRPr="22A2DA4F">
        <w:rPr>
          <w:rFonts w:cstheme="minorBidi"/>
        </w:rPr>
        <w:t xml:space="preserve">. </w:t>
      </w:r>
    </w:p>
    <w:p w14:paraId="62111ABB" w14:textId="2A5AC598" w:rsidR="00E06825" w:rsidRDefault="00F65EAC" w:rsidP="00A0478E">
      <w:pPr>
        <w:pStyle w:val="TableNo"/>
      </w:pPr>
      <w:r>
        <w:t>Table 1</w:t>
      </w:r>
    </w:p>
    <w:p w14:paraId="2791D048" w14:textId="77777777" w:rsidR="0082191E" w:rsidRDefault="00B65AC7" w:rsidP="00A0478E">
      <w:pPr>
        <w:pStyle w:val="Figure"/>
        <w:rPr>
          <w:rFonts w:asciiTheme="minorHAnsi" w:hAnsiTheme="minorHAnsi" w:cstheme="minorHAnsi"/>
        </w:rPr>
      </w:pPr>
      <w:r w:rsidRPr="00B65AC7">
        <w:rPr>
          <w:noProof/>
        </w:rPr>
        <w:drawing>
          <wp:inline distT="0" distB="0" distL="0" distR="0" wp14:anchorId="0F430807" wp14:editId="7F0A08FF">
            <wp:extent cx="3407434" cy="1181735"/>
            <wp:effectExtent l="0" t="0" r="2540" b="0"/>
            <wp:docPr id="7326990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51"/>
                    <a:stretch/>
                  </pic:blipFill>
                  <pic:spPr bwMode="auto">
                    <a:xfrm>
                      <a:off x="0" y="0"/>
                      <a:ext cx="3407875" cy="118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1DDCA1" w14:textId="0B6C61C2" w:rsidR="00556687" w:rsidRDefault="00556687" w:rsidP="00A0478E">
      <w:pPr>
        <w:jc w:val="both"/>
      </w:pPr>
      <w:r w:rsidRPr="00D5155B">
        <w:t>Table 2 and Chart 1 provide the breakdown of expenses by Sector:</w:t>
      </w:r>
    </w:p>
    <w:p w14:paraId="492CDC9E" w14:textId="100FFBD1" w:rsidR="005B7949" w:rsidRPr="00D5155B" w:rsidRDefault="005B7949" w:rsidP="00A0478E">
      <w:pPr>
        <w:pStyle w:val="TableNo"/>
      </w:pPr>
      <w:r>
        <w:t>Table 2</w:t>
      </w:r>
    </w:p>
    <w:p w14:paraId="0B14F82B" w14:textId="23729B2F" w:rsidR="005B7949" w:rsidRDefault="00807D96" w:rsidP="00A0478E">
      <w:pPr>
        <w:pStyle w:val="Figure"/>
      </w:pPr>
      <w:r w:rsidRPr="00807D96">
        <w:rPr>
          <w:noProof/>
        </w:rPr>
        <w:drawing>
          <wp:inline distT="0" distB="0" distL="0" distR="0" wp14:anchorId="5C55876E" wp14:editId="1C037430">
            <wp:extent cx="5760085" cy="1502410"/>
            <wp:effectExtent l="0" t="0" r="5715" b="0"/>
            <wp:docPr id="2057717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1765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BAF68" w14:textId="4160CCBE" w:rsidR="0003035B" w:rsidRDefault="0003035B" w:rsidP="00A0478E">
      <w:pPr>
        <w:pStyle w:val="FigureNo"/>
      </w:pPr>
      <w:r>
        <w:t>Chart 1</w:t>
      </w:r>
    </w:p>
    <w:p w14:paraId="68CDB2DE" w14:textId="445E9497" w:rsidR="007E2207" w:rsidRDefault="00F37C20" w:rsidP="00A0478E">
      <w:pPr>
        <w:pStyle w:val="Figure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56C8246" wp14:editId="65E681C7">
            <wp:extent cx="5374019" cy="2590146"/>
            <wp:effectExtent l="0" t="0" r="0" b="1270"/>
            <wp:docPr id="87867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778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9868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72C7D" w14:textId="18DB5639" w:rsidR="005B7949" w:rsidRPr="00D5155B" w:rsidRDefault="005B7949" w:rsidP="00505BE2">
      <w:pPr>
        <w:keepNext/>
        <w:snapToGrid w:val="0"/>
        <w:spacing w:before="0"/>
        <w:jc w:val="both"/>
        <w:rPr>
          <w:rFonts w:asciiTheme="minorHAnsi" w:hAnsiTheme="minorHAnsi" w:cstheme="minorHAnsi"/>
        </w:rPr>
      </w:pPr>
      <w:r w:rsidRPr="00D5155B">
        <w:rPr>
          <w:rFonts w:asciiTheme="minorHAnsi" w:hAnsiTheme="minorHAnsi" w:cstheme="minorHAnsi"/>
        </w:rPr>
        <w:lastRenderedPageBreak/>
        <w:t xml:space="preserve">Table 3 </w:t>
      </w:r>
      <w:r>
        <w:rPr>
          <w:rFonts w:asciiTheme="minorHAnsi" w:hAnsiTheme="minorHAnsi" w:cstheme="minorHAnsi"/>
        </w:rPr>
        <w:t xml:space="preserve">and Chart 2 </w:t>
      </w:r>
      <w:r w:rsidRPr="00D5155B">
        <w:rPr>
          <w:rFonts w:asciiTheme="minorHAnsi" w:hAnsiTheme="minorHAnsi" w:cstheme="minorHAnsi"/>
        </w:rPr>
        <w:t>provide the breakdown of revenue by source:</w:t>
      </w:r>
    </w:p>
    <w:p w14:paraId="37737570" w14:textId="1E91A759" w:rsidR="005B7949" w:rsidRDefault="005B7949" w:rsidP="00505BE2">
      <w:pPr>
        <w:pStyle w:val="TableNo"/>
      </w:pPr>
      <w:r>
        <w:t>Table 3</w:t>
      </w:r>
    </w:p>
    <w:p w14:paraId="7C189B0E" w14:textId="13F79C2A" w:rsidR="0045282E" w:rsidRDefault="0045282E" w:rsidP="00505BE2">
      <w:pPr>
        <w:pStyle w:val="Figure"/>
      </w:pPr>
      <w:r w:rsidRPr="0045282E">
        <w:rPr>
          <w:noProof/>
        </w:rPr>
        <w:drawing>
          <wp:inline distT="0" distB="0" distL="0" distR="0" wp14:anchorId="023A872D" wp14:editId="0CDADE5F">
            <wp:extent cx="5760085" cy="2143760"/>
            <wp:effectExtent l="0" t="0" r="0" b="8890"/>
            <wp:docPr id="3312258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9EE7" w14:textId="77777777" w:rsidR="007E2207" w:rsidRDefault="005B7949" w:rsidP="000669F0">
      <w:pPr>
        <w:pStyle w:val="FigureNo"/>
      </w:pPr>
      <w:r>
        <w:t xml:space="preserve">Chart </w:t>
      </w:r>
      <w:r w:rsidR="007E2207">
        <w:t>2</w:t>
      </w:r>
    </w:p>
    <w:p w14:paraId="0341C99B" w14:textId="6B9C1CE4" w:rsidR="007E2207" w:rsidRDefault="00F37C20" w:rsidP="000669F0">
      <w:pPr>
        <w:pStyle w:val="Figure"/>
      </w:pPr>
      <w:r>
        <w:rPr>
          <w:noProof/>
        </w:rPr>
        <w:drawing>
          <wp:inline distT="0" distB="0" distL="0" distR="0" wp14:anchorId="718ED201" wp14:editId="0F1B6F12">
            <wp:extent cx="5638800" cy="3581400"/>
            <wp:effectExtent l="0" t="0" r="0" b="0"/>
            <wp:docPr id="1093409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0940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052AC" w14:textId="693707A0" w:rsidR="00F65EAC" w:rsidRPr="00D5155B" w:rsidRDefault="00F65EAC" w:rsidP="000669F0">
      <w:pPr>
        <w:keepNext/>
        <w:snapToGrid w:val="0"/>
        <w:spacing w:before="0"/>
        <w:jc w:val="both"/>
        <w:rPr>
          <w:rFonts w:asciiTheme="minorHAnsi" w:hAnsiTheme="minorHAnsi" w:cstheme="minorHAnsi"/>
        </w:rPr>
      </w:pPr>
      <w:r w:rsidRPr="00D5155B">
        <w:rPr>
          <w:rFonts w:asciiTheme="minorHAnsi" w:hAnsiTheme="minorHAnsi" w:cstheme="minorHAnsi"/>
        </w:rPr>
        <w:lastRenderedPageBreak/>
        <w:t xml:space="preserve">Table </w:t>
      </w:r>
      <w:r>
        <w:rPr>
          <w:rFonts w:asciiTheme="minorHAnsi" w:hAnsiTheme="minorHAnsi" w:cstheme="minorHAnsi"/>
        </w:rPr>
        <w:t>4 provides the breakdown of cost recovery revenue</w:t>
      </w:r>
      <w:r w:rsidRPr="00D5155B">
        <w:rPr>
          <w:rFonts w:asciiTheme="minorHAnsi" w:hAnsiTheme="minorHAnsi" w:cstheme="minorHAnsi"/>
        </w:rPr>
        <w:t>:</w:t>
      </w:r>
    </w:p>
    <w:p w14:paraId="51232C2C" w14:textId="663F08B7" w:rsidR="00F65EAC" w:rsidRDefault="00F65EAC" w:rsidP="000669F0">
      <w:pPr>
        <w:pStyle w:val="TableNo"/>
      </w:pPr>
      <w:r>
        <w:t>Table 4</w:t>
      </w:r>
    </w:p>
    <w:p w14:paraId="2A59925A" w14:textId="16B5959B" w:rsidR="00F65EAC" w:rsidRDefault="0003035B" w:rsidP="000669F0">
      <w:pPr>
        <w:pStyle w:val="Figure"/>
      </w:pPr>
      <w:r w:rsidRPr="0003035B">
        <w:rPr>
          <w:noProof/>
        </w:rPr>
        <w:drawing>
          <wp:inline distT="0" distB="0" distL="0" distR="0" wp14:anchorId="4F3929C2" wp14:editId="01765769">
            <wp:extent cx="5760085" cy="1618615"/>
            <wp:effectExtent l="0" t="0" r="5715" b="0"/>
            <wp:docPr id="1482775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7593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6D0A5" w14:textId="1365256D" w:rsidR="007A3FCD" w:rsidRPr="00C0458D" w:rsidRDefault="007A3FCD" w:rsidP="009D37F9">
      <w:pPr>
        <w:spacing w:before="600"/>
        <w:jc w:val="center"/>
      </w:pPr>
      <w:r>
        <w:t>______________</w:t>
      </w:r>
    </w:p>
    <w:sectPr w:rsidR="007A3FCD" w:rsidRPr="00C0458D" w:rsidSect="00AD3606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9F02" w14:textId="77777777" w:rsidR="00EA7B40" w:rsidRDefault="00EA7B40">
      <w:r>
        <w:separator/>
      </w:r>
    </w:p>
  </w:endnote>
  <w:endnote w:type="continuationSeparator" w:id="0">
    <w:p w14:paraId="2B972F2B" w14:textId="77777777" w:rsidR="00EA7B40" w:rsidRDefault="00EA7B40">
      <w:r>
        <w:continuationSeparator/>
      </w:r>
    </w:p>
  </w:endnote>
  <w:endnote w:type="continuationNotice" w:id="1">
    <w:p w14:paraId="32D85283" w14:textId="77777777" w:rsidR="00EA7B40" w:rsidRDefault="00EA7B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E2D70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5F162FE0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7C5E28">
            <w:rPr>
              <w:bCs/>
            </w:rPr>
            <w:t>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1CE1EF0F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7C3083">
            <w:rPr>
              <w:bCs/>
            </w:rPr>
            <w:t>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5BD1" w14:textId="77777777" w:rsidR="00EA7B40" w:rsidRDefault="00EA7B40">
      <w:r>
        <w:t>____________________</w:t>
      </w:r>
    </w:p>
  </w:footnote>
  <w:footnote w:type="continuationSeparator" w:id="0">
    <w:p w14:paraId="2B04F829" w14:textId="77777777" w:rsidR="00EA7B40" w:rsidRDefault="00EA7B40">
      <w:r>
        <w:continuationSeparator/>
      </w:r>
    </w:p>
  </w:footnote>
  <w:footnote w:type="continuationNotice" w:id="1">
    <w:p w14:paraId="386C6DE4" w14:textId="77777777" w:rsidR="00EA7B40" w:rsidRDefault="00EA7B4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4E2D70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B339E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3B0759"/>
    <w:multiLevelType w:val="hybridMultilevel"/>
    <w:tmpl w:val="106AF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D0B61"/>
    <w:multiLevelType w:val="hybridMultilevel"/>
    <w:tmpl w:val="6614AB62"/>
    <w:lvl w:ilvl="0" w:tplc="6FE41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950425125">
    <w:abstractNumId w:val="1"/>
  </w:num>
  <w:num w:numId="3" w16cid:durableId="424151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05EC7"/>
    <w:rsid w:val="00012EA1"/>
    <w:rsid w:val="000210D4"/>
    <w:rsid w:val="0003035B"/>
    <w:rsid w:val="0006007D"/>
    <w:rsid w:val="00063016"/>
    <w:rsid w:val="0006388D"/>
    <w:rsid w:val="00065531"/>
    <w:rsid w:val="00066795"/>
    <w:rsid w:val="000669F0"/>
    <w:rsid w:val="000745AB"/>
    <w:rsid w:val="00076AF6"/>
    <w:rsid w:val="000830DA"/>
    <w:rsid w:val="00085CF2"/>
    <w:rsid w:val="000B1705"/>
    <w:rsid w:val="000D75B2"/>
    <w:rsid w:val="000E4F56"/>
    <w:rsid w:val="000F5DDB"/>
    <w:rsid w:val="000F7289"/>
    <w:rsid w:val="001121F5"/>
    <w:rsid w:val="00123B5F"/>
    <w:rsid w:val="00136513"/>
    <w:rsid w:val="001400DC"/>
    <w:rsid w:val="00140CE1"/>
    <w:rsid w:val="001421C1"/>
    <w:rsid w:val="00145D9A"/>
    <w:rsid w:val="0017539C"/>
    <w:rsid w:val="00175AC2"/>
    <w:rsid w:val="0017609F"/>
    <w:rsid w:val="00192A33"/>
    <w:rsid w:val="001A282B"/>
    <w:rsid w:val="001A3154"/>
    <w:rsid w:val="001A7D1D"/>
    <w:rsid w:val="001B51DD"/>
    <w:rsid w:val="001C0FC7"/>
    <w:rsid w:val="001C1EAF"/>
    <w:rsid w:val="001C628E"/>
    <w:rsid w:val="001D5ADE"/>
    <w:rsid w:val="001D70F8"/>
    <w:rsid w:val="001E0F7B"/>
    <w:rsid w:val="001E211D"/>
    <w:rsid w:val="001F5569"/>
    <w:rsid w:val="00210D71"/>
    <w:rsid w:val="002119FD"/>
    <w:rsid w:val="002130E0"/>
    <w:rsid w:val="00217EAC"/>
    <w:rsid w:val="00220771"/>
    <w:rsid w:val="00221F46"/>
    <w:rsid w:val="00235318"/>
    <w:rsid w:val="0023673E"/>
    <w:rsid w:val="00245A77"/>
    <w:rsid w:val="00254D75"/>
    <w:rsid w:val="00264425"/>
    <w:rsid w:val="00265875"/>
    <w:rsid w:val="0027303B"/>
    <w:rsid w:val="002760C9"/>
    <w:rsid w:val="0028109B"/>
    <w:rsid w:val="002A2188"/>
    <w:rsid w:val="002A4AFD"/>
    <w:rsid w:val="002B1F58"/>
    <w:rsid w:val="002C1C7A"/>
    <w:rsid w:val="002C4F81"/>
    <w:rsid w:val="002C54E2"/>
    <w:rsid w:val="002D076F"/>
    <w:rsid w:val="002D3E89"/>
    <w:rsid w:val="002D7E22"/>
    <w:rsid w:val="002E2DFD"/>
    <w:rsid w:val="00300CBF"/>
    <w:rsid w:val="0030160F"/>
    <w:rsid w:val="0031155F"/>
    <w:rsid w:val="00320223"/>
    <w:rsid w:val="00322D0D"/>
    <w:rsid w:val="00361465"/>
    <w:rsid w:val="0038471E"/>
    <w:rsid w:val="003877F5"/>
    <w:rsid w:val="003936D3"/>
    <w:rsid w:val="0039422E"/>
    <w:rsid w:val="003942D4"/>
    <w:rsid w:val="003958A8"/>
    <w:rsid w:val="003A3698"/>
    <w:rsid w:val="003B29C2"/>
    <w:rsid w:val="003C2533"/>
    <w:rsid w:val="003C7B8A"/>
    <w:rsid w:val="003D228E"/>
    <w:rsid w:val="003D5A7F"/>
    <w:rsid w:val="0040435A"/>
    <w:rsid w:val="00416A24"/>
    <w:rsid w:val="00427BFF"/>
    <w:rsid w:val="00431D9E"/>
    <w:rsid w:val="00433CE8"/>
    <w:rsid w:val="00434A5C"/>
    <w:rsid w:val="00445B63"/>
    <w:rsid w:val="0045282E"/>
    <w:rsid w:val="00453079"/>
    <w:rsid w:val="004544D9"/>
    <w:rsid w:val="00463BE6"/>
    <w:rsid w:val="00472BAD"/>
    <w:rsid w:val="004811F8"/>
    <w:rsid w:val="00484009"/>
    <w:rsid w:val="00484F93"/>
    <w:rsid w:val="00490E72"/>
    <w:rsid w:val="00491157"/>
    <w:rsid w:val="00491BA9"/>
    <w:rsid w:val="004921C8"/>
    <w:rsid w:val="00493184"/>
    <w:rsid w:val="00495B0B"/>
    <w:rsid w:val="004A1B8B"/>
    <w:rsid w:val="004B25A1"/>
    <w:rsid w:val="004B318F"/>
    <w:rsid w:val="004D1851"/>
    <w:rsid w:val="004D599D"/>
    <w:rsid w:val="004E2D70"/>
    <w:rsid w:val="004E2EA5"/>
    <w:rsid w:val="004E3AEB"/>
    <w:rsid w:val="004F6DF2"/>
    <w:rsid w:val="0050223C"/>
    <w:rsid w:val="00505BE2"/>
    <w:rsid w:val="005243FF"/>
    <w:rsid w:val="005246F9"/>
    <w:rsid w:val="00536F25"/>
    <w:rsid w:val="00551EA0"/>
    <w:rsid w:val="00555AEF"/>
    <w:rsid w:val="00556687"/>
    <w:rsid w:val="0055755E"/>
    <w:rsid w:val="00560850"/>
    <w:rsid w:val="00564FBC"/>
    <w:rsid w:val="005800BC"/>
    <w:rsid w:val="00582442"/>
    <w:rsid w:val="005850A6"/>
    <w:rsid w:val="005B7949"/>
    <w:rsid w:val="005C5766"/>
    <w:rsid w:val="005D4AF4"/>
    <w:rsid w:val="005F3269"/>
    <w:rsid w:val="005F7C19"/>
    <w:rsid w:val="00602756"/>
    <w:rsid w:val="00623AE3"/>
    <w:rsid w:val="00630C4D"/>
    <w:rsid w:val="00644EC6"/>
    <w:rsid w:val="0064737F"/>
    <w:rsid w:val="006535F1"/>
    <w:rsid w:val="0065557D"/>
    <w:rsid w:val="00660D50"/>
    <w:rsid w:val="00662984"/>
    <w:rsid w:val="00663D8C"/>
    <w:rsid w:val="006716BB"/>
    <w:rsid w:val="006A0785"/>
    <w:rsid w:val="006B1859"/>
    <w:rsid w:val="006B4A22"/>
    <w:rsid w:val="006B6680"/>
    <w:rsid w:val="006B6DCC"/>
    <w:rsid w:val="006B77F1"/>
    <w:rsid w:val="006C3398"/>
    <w:rsid w:val="006C5ECF"/>
    <w:rsid w:val="006D238B"/>
    <w:rsid w:val="006D7A72"/>
    <w:rsid w:val="00702DEF"/>
    <w:rsid w:val="00706861"/>
    <w:rsid w:val="00722551"/>
    <w:rsid w:val="007249F0"/>
    <w:rsid w:val="0074387D"/>
    <w:rsid w:val="0075051B"/>
    <w:rsid w:val="00750D93"/>
    <w:rsid w:val="00751A6F"/>
    <w:rsid w:val="0077110E"/>
    <w:rsid w:val="00784346"/>
    <w:rsid w:val="00792871"/>
    <w:rsid w:val="00793188"/>
    <w:rsid w:val="00794D34"/>
    <w:rsid w:val="007A3FCD"/>
    <w:rsid w:val="007B19CF"/>
    <w:rsid w:val="007C3083"/>
    <w:rsid w:val="007C5E28"/>
    <w:rsid w:val="007D01AF"/>
    <w:rsid w:val="007E2207"/>
    <w:rsid w:val="007E47D8"/>
    <w:rsid w:val="00807D96"/>
    <w:rsid w:val="00813E5E"/>
    <w:rsid w:val="00820DF2"/>
    <w:rsid w:val="0082191E"/>
    <w:rsid w:val="0083581B"/>
    <w:rsid w:val="00853134"/>
    <w:rsid w:val="00863874"/>
    <w:rsid w:val="00864AFF"/>
    <w:rsid w:val="00865925"/>
    <w:rsid w:val="00873DD9"/>
    <w:rsid w:val="008B4A6A"/>
    <w:rsid w:val="008C7E27"/>
    <w:rsid w:val="008F3262"/>
    <w:rsid w:val="008F7448"/>
    <w:rsid w:val="0090147A"/>
    <w:rsid w:val="00902CDE"/>
    <w:rsid w:val="009173EF"/>
    <w:rsid w:val="00932906"/>
    <w:rsid w:val="009415B7"/>
    <w:rsid w:val="00945CC6"/>
    <w:rsid w:val="00947A42"/>
    <w:rsid w:val="00961B0B"/>
    <w:rsid w:val="00962D33"/>
    <w:rsid w:val="00977662"/>
    <w:rsid w:val="00987C1F"/>
    <w:rsid w:val="00992AD2"/>
    <w:rsid w:val="009A491E"/>
    <w:rsid w:val="009A75C5"/>
    <w:rsid w:val="009B38C3"/>
    <w:rsid w:val="009D37F9"/>
    <w:rsid w:val="009E17BD"/>
    <w:rsid w:val="009E485A"/>
    <w:rsid w:val="00A0478E"/>
    <w:rsid w:val="00A04983"/>
    <w:rsid w:val="00A04CEC"/>
    <w:rsid w:val="00A11233"/>
    <w:rsid w:val="00A20069"/>
    <w:rsid w:val="00A27F92"/>
    <w:rsid w:val="00A32257"/>
    <w:rsid w:val="00A33051"/>
    <w:rsid w:val="00A35927"/>
    <w:rsid w:val="00A36D20"/>
    <w:rsid w:val="00A514A4"/>
    <w:rsid w:val="00A55622"/>
    <w:rsid w:val="00A66D69"/>
    <w:rsid w:val="00A7495D"/>
    <w:rsid w:val="00A80A63"/>
    <w:rsid w:val="00A83502"/>
    <w:rsid w:val="00A906FF"/>
    <w:rsid w:val="00A94BAB"/>
    <w:rsid w:val="00AC4693"/>
    <w:rsid w:val="00AD0600"/>
    <w:rsid w:val="00AD15B3"/>
    <w:rsid w:val="00AD3606"/>
    <w:rsid w:val="00AD4A3D"/>
    <w:rsid w:val="00AD677D"/>
    <w:rsid w:val="00AF0DEF"/>
    <w:rsid w:val="00AF2BC3"/>
    <w:rsid w:val="00AF6E49"/>
    <w:rsid w:val="00B04A67"/>
    <w:rsid w:val="00B0583C"/>
    <w:rsid w:val="00B22644"/>
    <w:rsid w:val="00B40411"/>
    <w:rsid w:val="00B40A81"/>
    <w:rsid w:val="00B44910"/>
    <w:rsid w:val="00B518E3"/>
    <w:rsid w:val="00B51B04"/>
    <w:rsid w:val="00B65AC7"/>
    <w:rsid w:val="00B72267"/>
    <w:rsid w:val="00B74D83"/>
    <w:rsid w:val="00B76EB6"/>
    <w:rsid w:val="00B7737B"/>
    <w:rsid w:val="00B824C8"/>
    <w:rsid w:val="00B84B9D"/>
    <w:rsid w:val="00B9131F"/>
    <w:rsid w:val="00BB0646"/>
    <w:rsid w:val="00BC1903"/>
    <w:rsid w:val="00BC251A"/>
    <w:rsid w:val="00BD032B"/>
    <w:rsid w:val="00BD3859"/>
    <w:rsid w:val="00BE01C6"/>
    <w:rsid w:val="00BE0510"/>
    <w:rsid w:val="00BE2640"/>
    <w:rsid w:val="00BF1FDE"/>
    <w:rsid w:val="00BF6909"/>
    <w:rsid w:val="00C01189"/>
    <w:rsid w:val="00C0458D"/>
    <w:rsid w:val="00C21DFD"/>
    <w:rsid w:val="00C22B37"/>
    <w:rsid w:val="00C342DB"/>
    <w:rsid w:val="00C374DE"/>
    <w:rsid w:val="00C47AD4"/>
    <w:rsid w:val="00C52D81"/>
    <w:rsid w:val="00C55198"/>
    <w:rsid w:val="00C6520B"/>
    <w:rsid w:val="00CA6393"/>
    <w:rsid w:val="00CA72BF"/>
    <w:rsid w:val="00CA7995"/>
    <w:rsid w:val="00CB0B8A"/>
    <w:rsid w:val="00CB18FF"/>
    <w:rsid w:val="00CD0C08"/>
    <w:rsid w:val="00CE03FB"/>
    <w:rsid w:val="00CE433C"/>
    <w:rsid w:val="00CF0161"/>
    <w:rsid w:val="00CF33F3"/>
    <w:rsid w:val="00CF4A2B"/>
    <w:rsid w:val="00CF78A9"/>
    <w:rsid w:val="00D024CA"/>
    <w:rsid w:val="00D06183"/>
    <w:rsid w:val="00D22C42"/>
    <w:rsid w:val="00D306B3"/>
    <w:rsid w:val="00D65041"/>
    <w:rsid w:val="00D6759F"/>
    <w:rsid w:val="00DB1936"/>
    <w:rsid w:val="00DB384B"/>
    <w:rsid w:val="00DC440F"/>
    <w:rsid w:val="00DD11ED"/>
    <w:rsid w:val="00DF0189"/>
    <w:rsid w:val="00DF26C9"/>
    <w:rsid w:val="00E06825"/>
    <w:rsid w:val="00E06FD5"/>
    <w:rsid w:val="00E10E80"/>
    <w:rsid w:val="00E124F0"/>
    <w:rsid w:val="00E227F3"/>
    <w:rsid w:val="00E25355"/>
    <w:rsid w:val="00E545C6"/>
    <w:rsid w:val="00E54AE0"/>
    <w:rsid w:val="00E60F04"/>
    <w:rsid w:val="00E64CB2"/>
    <w:rsid w:val="00E65B24"/>
    <w:rsid w:val="00E854E4"/>
    <w:rsid w:val="00E86DBF"/>
    <w:rsid w:val="00E969AF"/>
    <w:rsid w:val="00EA6BC9"/>
    <w:rsid w:val="00EA7B40"/>
    <w:rsid w:val="00EB0D6F"/>
    <w:rsid w:val="00EB2232"/>
    <w:rsid w:val="00EB2A2F"/>
    <w:rsid w:val="00EC5337"/>
    <w:rsid w:val="00ED503E"/>
    <w:rsid w:val="00EE49E8"/>
    <w:rsid w:val="00F130C0"/>
    <w:rsid w:val="00F16BAB"/>
    <w:rsid w:val="00F2150A"/>
    <w:rsid w:val="00F231D8"/>
    <w:rsid w:val="00F27100"/>
    <w:rsid w:val="00F37C20"/>
    <w:rsid w:val="00F41209"/>
    <w:rsid w:val="00F44C00"/>
    <w:rsid w:val="00F45D2C"/>
    <w:rsid w:val="00F46C5F"/>
    <w:rsid w:val="00F54740"/>
    <w:rsid w:val="00F632C0"/>
    <w:rsid w:val="00F641E1"/>
    <w:rsid w:val="00F65EAC"/>
    <w:rsid w:val="00F80FC9"/>
    <w:rsid w:val="00F9292F"/>
    <w:rsid w:val="00F94A63"/>
    <w:rsid w:val="00FA1C28"/>
    <w:rsid w:val="00FB1279"/>
    <w:rsid w:val="00FB6B76"/>
    <w:rsid w:val="00FB7596"/>
    <w:rsid w:val="00FC7E15"/>
    <w:rsid w:val="00FD373F"/>
    <w:rsid w:val="00FD6721"/>
    <w:rsid w:val="00FD6CDD"/>
    <w:rsid w:val="00FE1788"/>
    <w:rsid w:val="00FE4077"/>
    <w:rsid w:val="00FE42C7"/>
    <w:rsid w:val="00FE490E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F5DDA5D5-FEF2-4170-A8D3-2176EE7A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669F0"/>
    <w:pPr>
      <w:keepNext/>
      <w:spacing w:before="48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0669F0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556687"/>
    <w:pPr>
      <w:ind w:left="720"/>
      <w:contextualSpacing/>
    </w:pPr>
  </w:style>
  <w:style w:type="paragraph" w:styleId="Revision">
    <w:name w:val="Revision"/>
    <w:hidden/>
    <w:uiPriority w:val="99"/>
    <w:semiHidden/>
    <w:rsid w:val="00FC7E15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semiHidden/>
    <w:unhideWhenUsed/>
    <w:rsid w:val="00300CBF"/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D306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06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06B3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6B3"/>
    <w:rPr>
      <w:rFonts w:ascii="Calibri" w:hAnsi="Calibr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306B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DEC-005-E.pdf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115/e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8" ma:contentTypeDescription="Create a new document." ma:contentTypeScope="" ma:versionID="df57621dcd9cb730b7324d398b3ce10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21bebef123d8a211588512afbbbc1c26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948C-8BD4-416F-A486-816D7725F49E}">
  <ds:schemaRefs>
    <ds:schemaRef ds:uri="a1cf676c-2816-4389-ad5d-0f2e7c7e67c4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FF6530-A715-4F28-8BE5-727993247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A2927-9A09-44F4-9331-29261B60D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650</Words>
  <Characters>3409</Characters>
  <Application>Microsoft Office Word</Application>
  <DocSecurity>0</DocSecurity>
  <Lines>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of revenue and expenses of the implementation of the budget 2025</vt:lpstr>
    </vt:vector>
  </TitlesOfParts>
  <Manager>General Secretariat</Manager>
  <Company>International Telecommunication Union (ITU)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 of the implementation of the budget 2025</dc:title>
  <dc:subject>ITU Council 2025</dc:subject>
  <dc:creator>LRT</dc:creator>
  <cp:keywords>C25; C2025; Council 2025; ITU160</cp:keywords>
  <dc:description/>
  <cp:lastModifiedBy>LRT</cp:lastModifiedBy>
  <cp:revision>2</cp:revision>
  <cp:lastPrinted>2000-07-18T22:30:00Z</cp:lastPrinted>
  <dcterms:created xsi:type="dcterms:W3CDTF">2025-05-29T07:32:00Z</dcterms:created>
  <dcterms:modified xsi:type="dcterms:W3CDTF">2025-05-29T07:32:00Z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