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4C31B72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7A77B3" w:rsidRPr="007A77B3">
              <w:rPr>
                <w:rFonts w:cstheme="minorHAnsi"/>
                <w:b/>
                <w:bCs/>
                <w:lang w:val="ru-RU"/>
              </w:rPr>
              <w:t xml:space="preserve">ADM </w:t>
            </w:r>
            <w:r w:rsidR="00525093">
              <w:rPr>
                <w:rFonts w:cstheme="minorHAnsi" w:hint="eastAsia"/>
                <w:b/>
                <w:bCs/>
                <w:lang w:val="ru-RU" w:eastAsia="zh-CN"/>
              </w:rPr>
              <w:t>1</w:t>
            </w:r>
          </w:p>
        </w:tc>
        <w:tc>
          <w:tcPr>
            <w:tcW w:w="5245" w:type="dxa"/>
          </w:tcPr>
          <w:p w14:paraId="64410F78" w14:textId="607ECA6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525093">
              <w:rPr>
                <w:b/>
              </w:rPr>
              <w:t>9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57B58D58" w:rsidR="00E24D59" w:rsidRPr="00E85629" w:rsidRDefault="007A77B3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A77B3">
              <w:rPr>
                <w:rFonts w:hint="eastAsia"/>
                <w:b/>
              </w:rPr>
              <w:t>2025</w:t>
            </w:r>
            <w:r w:rsidRPr="007A77B3">
              <w:rPr>
                <w:rFonts w:hint="eastAsia"/>
                <w:b/>
              </w:rPr>
              <w:t>年</w:t>
            </w:r>
            <w:r w:rsidRPr="007A77B3">
              <w:rPr>
                <w:rFonts w:hint="eastAsia"/>
                <w:b/>
              </w:rPr>
              <w:t>5</w:t>
            </w:r>
            <w:r w:rsidRPr="007A77B3">
              <w:rPr>
                <w:rFonts w:hint="eastAsia"/>
                <w:b/>
              </w:rPr>
              <w:t>月</w:t>
            </w:r>
            <w:r w:rsidRPr="007A77B3">
              <w:rPr>
                <w:rFonts w:hint="eastAsia"/>
                <w:b/>
              </w:rPr>
              <w:t>16</w:t>
            </w:r>
            <w:r w:rsidRPr="007A77B3">
              <w:rPr>
                <w:rFonts w:hint="eastAsia"/>
                <w:b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2E99E71F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7A77B3" w:rsidRPr="007A77B3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18BD6876" w:rsidR="00E24D59" w:rsidRPr="00477D57" w:rsidRDefault="00CF0B15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CF0B15">
              <w:rPr>
                <w:rFonts w:eastAsia="SimSun" w:hint="eastAsia"/>
                <w:lang w:eastAsia="zh-CN"/>
              </w:rPr>
              <w:t>关于</w:t>
            </w:r>
            <w:r w:rsidRPr="00CF0B15">
              <w:rPr>
                <w:rFonts w:eastAsia="SimSun" w:hint="eastAsia"/>
                <w:lang w:eastAsia="zh-CN"/>
              </w:rPr>
              <w:t>2025</w:t>
            </w:r>
            <w:r w:rsidRPr="00CF0B15">
              <w:rPr>
                <w:rFonts w:eastAsia="SimSun" w:hint="eastAsia"/>
                <w:lang w:eastAsia="zh-CN"/>
              </w:rPr>
              <w:t>年预算执行收支情况的年度审议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4F9F8034" w:rsidR="003F086E" w:rsidRPr="00CF0B15" w:rsidRDefault="00CF0B15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CF0B15">
              <w:rPr>
                <w:rFonts w:cs="Calibri" w:hint="eastAsia"/>
                <w:lang w:eastAsia="zh-CN"/>
              </w:rPr>
              <w:t>根据国际电联《公约》第</w:t>
            </w:r>
            <w:r w:rsidRPr="00CF0B15">
              <w:rPr>
                <w:rFonts w:cs="Calibri" w:hint="eastAsia"/>
                <w:lang w:eastAsia="zh-CN"/>
              </w:rPr>
              <w:t>73</w:t>
            </w:r>
            <w:r w:rsidRPr="00CF0B15">
              <w:rPr>
                <w:rFonts w:cs="Calibri" w:hint="eastAsia"/>
                <w:lang w:eastAsia="zh-CN"/>
              </w:rPr>
              <w:t>款的规定，理事会应每年对收支状况进行审议，本文件介绍了</w:t>
            </w:r>
            <w:r w:rsidRPr="00CF0B15">
              <w:rPr>
                <w:rFonts w:cs="Calibri" w:hint="eastAsia"/>
                <w:lang w:eastAsia="zh-CN"/>
              </w:rPr>
              <w:t>2025</w:t>
            </w:r>
            <w:r w:rsidRPr="00CF0B15">
              <w:rPr>
                <w:rFonts w:cs="Calibri" w:hint="eastAsia"/>
                <w:lang w:eastAsia="zh-CN"/>
              </w:rPr>
              <w:t>年预算执行的关键要素。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41AF7C03" w:rsidR="003F086E" w:rsidRPr="00477D57" w:rsidRDefault="007A77B3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color w:val="000000"/>
                <w:lang w:val="zh-CN" w:eastAsia="zh-CN"/>
              </w:rPr>
              <w:t>请理事会将本报告</w:t>
            </w:r>
            <w:r w:rsidRPr="00226DD0">
              <w:rPr>
                <w:b/>
                <w:bCs/>
                <w:color w:val="000000"/>
                <w:lang w:val="zh-CN" w:eastAsia="zh-CN"/>
              </w:rPr>
              <w:t>记录在案</w:t>
            </w:r>
            <w:r>
              <w:rPr>
                <w:color w:val="000000"/>
                <w:lang w:val="zh-CN" w:eastAsia="zh-CN"/>
              </w:rPr>
              <w:t>。</w:t>
            </w:r>
          </w:p>
          <w:p w14:paraId="06CF1837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51E09A3F" w14:textId="203AB529" w:rsidR="003F086E" w:rsidRPr="00477D57" w:rsidRDefault="00CF0B15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F0B15">
              <w:rPr>
                <w:rFonts w:hint="eastAsia"/>
                <w:color w:val="000000"/>
                <w:lang w:val="zh-CN" w:eastAsia="zh-CN"/>
              </w:rPr>
              <w:t>国际电联</w:t>
            </w:r>
            <w:r w:rsidRPr="00CF0B15">
              <w:rPr>
                <w:rFonts w:hint="eastAsia"/>
                <w:color w:val="000000"/>
                <w:lang w:val="zh-CN" w:eastAsia="zh-CN"/>
              </w:rPr>
              <w:t>2025</w:t>
            </w:r>
            <w:r w:rsidRPr="00CF0B15">
              <w:rPr>
                <w:rFonts w:hint="eastAsia"/>
                <w:color w:val="000000"/>
                <w:lang w:val="zh-CN" w:eastAsia="zh-CN"/>
              </w:rPr>
              <w:t>年预算为国际电联的两项总体目标和五个主题重点提供资金。</w:t>
            </w:r>
          </w:p>
          <w:p w14:paraId="308A396E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41CA02EF" w14:textId="702A387D" w:rsidR="008F64AD" w:rsidRPr="00477D57" w:rsidRDefault="008C4BDD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8C4BDD">
              <w:rPr>
                <w:rFonts w:hint="eastAsia"/>
                <w:color w:val="000000"/>
                <w:lang w:val="zh-CN" w:eastAsia="zh-CN"/>
              </w:rPr>
              <w:t>国际电联管理层将采取一切必要措施，确保</w:t>
            </w:r>
            <w:r w:rsidRPr="008C4BDD">
              <w:rPr>
                <w:rFonts w:hint="eastAsia"/>
                <w:color w:val="000000"/>
                <w:lang w:val="zh-CN" w:eastAsia="zh-CN"/>
              </w:rPr>
              <w:t>2025</w:t>
            </w:r>
            <w:r w:rsidRPr="008C4BDD">
              <w:rPr>
                <w:rFonts w:hint="eastAsia"/>
                <w:color w:val="000000"/>
                <w:lang w:val="zh-CN" w:eastAsia="zh-CN"/>
              </w:rPr>
              <w:t>年预算得到合理和最佳落实。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7C610607" w:rsidR="00E24D59" w:rsidRPr="007A77B3" w:rsidRDefault="008C4BDD" w:rsidP="008C4BDD">
            <w:pPr>
              <w:spacing w:after="120"/>
              <w:rPr>
                <w:rFonts w:ascii="STKaiti" w:eastAsia="STKaiti" w:hAnsi="STKaiti" w:cs="Calibri"/>
                <w:sz w:val="22"/>
                <w:szCs w:val="22"/>
                <w:lang w:eastAsia="zh-CN"/>
              </w:rPr>
            </w:pPr>
            <w:hyperlink r:id="rId8" w:history="1">
              <w:r w:rsidRPr="002100B0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理事会第</w:t>
              </w:r>
              <w:r w:rsidRPr="002100B0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1417</w:t>
              </w:r>
              <w:r w:rsidRPr="002100B0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号决议</w:t>
              </w:r>
            </w:hyperlink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（国际电信联盟</w:t>
            </w:r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2024-2025</w:t>
            </w:r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双年度预算）</w:t>
            </w:r>
            <w:r w:rsidRPr="001553F7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;全权</w:t>
            </w:r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代表大会</w:t>
            </w:r>
            <w:hyperlink r:id="rId9" w:history="1">
              <w:r w:rsidRPr="002100B0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第</w:t>
              </w:r>
              <w:r w:rsidRPr="002100B0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5</w:t>
              </w:r>
              <w:r w:rsidRPr="002100B0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号决定</w:t>
              </w:r>
            </w:hyperlink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（</w:t>
            </w:r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2022</w:t>
            </w:r>
            <w:r w:rsidRPr="002100B0">
              <w:rPr>
                <w:rFonts w:eastAsia="STKaiti" w:hint="eastAsia"/>
                <w:sz w:val="22"/>
                <w:szCs w:val="22"/>
                <w:lang w:eastAsia="zh-CN"/>
              </w:rPr>
              <w:t>年，布加勒斯特，修订版）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4EDEAD8" w14:textId="54040D11" w:rsidR="001553F7" w:rsidRPr="00D5155B" w:rsidRDefault="001553F7" w:rsidP="000E48FF">
      <w:pPr>
        <w:pStyle w:val="Heading1"/>
        <w:rPr>
          <w:lang w:eastAsia="zh-CN"/>
        </w:rPr>
      </w:pPr>
      <w:r w:rsidRPr="00D5155B">
        <w:rPr>
          <w:lang w:eastAsia="zh-CN"/>
        </w:rPr>
        <w:lastRenderedPageBreak/>
        <w:t>1</w:t>
      </w:r>
      <w:r w:rsidRPr="00D5155B"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46574925" w14:textId="77777777" w:rsidR="001553F7" w:rsidRDefault="001553F7" w:rsidP="001553F7">
      <w:pPr>
        <w:overflowPunct/>
        <w:autoSpaceDE/>
        <w:autoSpaceDN/>
        <w:adjustRightInd/>
        <w:spacing w:after="120"/>
        <w:jc w:val="both"/>
        <w:textAlignment w:val="auto"/>
        <w:rPr>
          <w:lang w:val="en-US" w:eastAsia="zh-CN"/>
        </w:rPr>
      </w:pPr>
      <w:r w:rsidRPr="00D5155B">
        <w:rPr>
          <w:lang w:eastAsia="zh-CN"/>
        </w:rPr>
        <w:t>1.1</w:t>
      </w:r>
      <w:r w:rsidRPr="00D5155B">
        <w:rPr>
          <w:lang w:eastAsia="zh-CN"/>
        </w:rPr>
        <w:tab/>
      </w:r>
      <w:r w:rsidRPr="00691072">
        <w:rPr>
          <w:rFonts w:hint="eastAsia"/>
          <w:lang w:val="en-US" w:eastAsia="zh-CN"/>
        </w:rPr>
        <w:t>根据国际电联《公约》第</w:t>
      </w:r>
      <w:r w:rsidRPr="00691072">
        <w:rPr>
          <w:rFonts w:hint="eastAsia"/>
          <w:lang w:val="en-US" w:eastAsia="zh-CN"/>
        </w:rPr>
        <w:t>73</w:t>
      </w:r>
      <w:r w:rsidRPr="00691072">
        <w:rPr>
          <w:rFonts w:hint="eastAsia"/>
          <w:lang w:val="en-US" w:eastAsia="zh-CN"/>
        </w:rPr>
        <w:t>款的规定，理事会应</w:t>
      </w:r>
      <w:r>
        <w:rPr>
          <w:rFonts w:hint="eastAsia"/>
          <w:lang w:val="en-US" w:eastAsia="zh-CN"/>
        </w:rPr>
        <w:t>每年</w:t>
      </w:r>
      <w:r w:rsidRPr="00691072">
        <w:rPr>
          <w:rFonts w:hint="eastAsia"/>
          <w:lang w:val="en-US" w:eastAsia="zh-CN"/>
        </w:rPr>
        <w:t>对收支</w:t>
      </w:r>
      <w:r>
        <w:rPr>
          <w:rFonts w:hint="eastAsia"/>
          <w:lang w:val="en-US" w:eastAsia="zh-CN"/>
        </w:rPr>
        <w:t>状</w:t>
      </w:r>
      <w:r w:rsidRPr="00691072">
        <w:rPr>
          <w:rFonts w:hint="eastAsia"/>
          <w:lang w:val="en-US" w:eastAsia="zh-CN"/>
        </w:rPr>
        <w:t>况进行审议，本文件介绍了</w:t>
      </w:r>
      <w:r w:rsidRPr="00691072">
        <w:rPr>
          <w:rFonts w:hint="eastAsia"/>
          <w:lang w:val="en-US" w:eastAsia="zh-CN"/>
        </w:rPr>
        <w:t>2025</w:t>
      </w:r>
      <w:r w:rsidRPr="00691072">
        <w:rPr>
          <w:rFonts w:hint="eastAsia"/>
          <w:lang w:val="en-US" w:eastAsia="zh-CN"/>
        </w:rPr>
        <w:t>年预算执行的关键要素。</w:t>
      </w:r>
    </w:p>
    <w:p w14:paraId="1D9DE0C4" w14:textId="3A7632DF" w:rsidR="001553F7" w:rsidRPr="000E48FF" w:rsidRDefault="001553F7" w:rsidP="000E48FF">
      <w:pPr>
        <w:pStyle w:val="Heading1"/>
        <w:rPr>
          <w:lang w:eastAsia="zh-CN"/>
        </w:rPr>
      </w:pPr>
      <w:r w:rsidRPr="000E48FF">
        <w:rPr>
          <w:lang w:eastAsia="zh-CN"/>
        </w:rPr>
        <w:t>2</w:t>
      </w:r>
      <w:r w:rsidRPr="00D5155B">
        <w:rPr>
          <w:lang w:eastAsia="zh-CN"/>
        </w:rPr>
        <w:tab/>
      </w:r>
      <w:r w:rsidRPr="000E48FF">
        <w:rPr>
          <w:lang w:eastAsia="zh-CN"/>
        </w:rPr>
        <w:t>2025</w:t>
      </w:r>
      <w:r w:rsidRPr="000E48FF">
        <w:rPr>
          <w:rFonts w:hint="eastAsia"/>
          <w:lang w:eastAsia="zh-CN"/>
        </w:rPr>
        <w:t>年预算执行预测</w:t>
      </w:r>
    </w:p>
    <w:p w14:paraId="4CC48E41" w14:textId="77777777" w:rsidR="001553F7" w:rsidRDefault="001553F7" w:rsidP="001553F7">
      <w:pPr>
        <w:overflowPunct/>
        <w:autoSpaceDE/>
        <w:autoSpaceDN/>
        <w:snapToGrid w:val="0"/>
        <w:spacing w:before="240" w:after="120"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D5155B">
        <w:rPr>
          <w:rFonts w:asciiTheme="minorHAnsi" w:hAnsiTheme="minorHAnsi" w:cstheme="minorHAnsi"/>
          <w:lang w:eastAsia="zh-CN"/>
        </w:rPr>
        <w:t>2.1</w:t>
      </w:r>
      <w:r w:rsidRPr="00D5155B">
        <w:rPr>
          <w:rFonts w:asciiTheme="minorHAnsi" w:hAnsiTheme="minorHAnsi" w:cstheme="minorHAnsi"/>
          <w:lang w:eastAsia="zh-CN"/>
        </w:rPr>
        <w:tab/>
      </w:r>
      <w:r w:rsidRPr="002100B0">
        <w:rPr>
          <w:rFonts w:asciiTheme="minorHAnsi" w:hAnsiTheme="minorHAnsi" w:cstheme="minorHAnsi" w:hint="eastAsia"/>
          <w:lang w:eastAsia="zh-CN"/>
        </w:rPr>
        <w:t>理事会在</w:t>
      </w:r>
      <w:r w:rsidRPr="002100B0">
        <w:rPr>
          <w:rFonts w:asciiTheme="minorHAnsi" w:hAnsiTheme="minorHAnsi" w:cstheme="minorHAnsi" w:hint="eastAsia"/>
          <w:lang w:eastAsia="zh-CN"/>
        </w:rPr>
        <w:t>2023</w:t>
      </w:r>
      <w:r w:rsidRPr="002100B0">
        <w:rPr>
          <w:rFonts w:asciiTheme="minorHAnsi" w:hAnsiTheme="minorHAnsi" w:cstheme="minorHAnsi" w:hint="eastAsia"/>
          <w:lang w:eastAsia="zh-CN"/>
        </w:rPr>
        <w:t>年例会上</w:t>
      </w:r>
      <w:r>
        <w:rPr>
          <w:rFonts w:asciiTheme="minorHAnsi" w:hAnsiTheme="minorHAnsi" w:cstheme="minorHAnsi" w:hint="eastAsia"/>
          <w:lang w:eastAsia="zh-CN"/>
        </w:rPr>
        <w:t>经</w:t>
      </w:r>
      <w:r w:rsidRPr="002100B0">
        <w:rPr>
          <w:rFonts w:asciiTheme="minorHAnsi" w:hAnsiTheme="minorHAnsi" w:cstheme="minorHAnsi" w:hint="eastAsia"/>
          <w:lang w:eastAsia="zh-CN"/>
        </w:rPr>
        <w:t>第</w:t>
      </w:r>
      <w:r w:rsidRPr="002100B0">
        <w:rPr>
          <w:rFonts w:asciiTheme="minorHAnsi" w:hAnsiTheme="minorHAnsi" w:cstheme="minorHAnsi" w:hint="eastAsia"/>
          <w:lang w:eastAsia="zh-CN"/>
        </w:rPr>
        <w:t>1417</w:t>
      </w:r>
      <w:r w:rsidRPr="002100B0">
        <w:rPr>
          <w:rFonts w:asciiTheme="minorHAnsi" w:hAnsiTheme="minorHAnsi" w:cstheme="minorHAnsi" w:hint="eastAsia"/>
          <w:lang w:eastAsia="zh-CN"/>
        </w:rPr>
        <w:t>号决议通过了国际电联</w:t>
      </w:r>
      <w:r w:rsidRPr="002100B0">
        <w:rPr>
          <w:rFonts w:asciiTheme="minorHAnsi" w:hAnsiTheme="minorHAnsi" w:cstheme="minorHAnsi" w:hint="eastAsia"/>
          <w:lang w:eastAsia="zh-CN"/>
        </w:rPr>
        <w:t>2024-2025</w:t>
      </w:r>
      <w:r w:rsidRPr="002100B0">
        <w:rPr>
          <w:rFonts w:asciiTheme="minorHAnsi" w:hAnsiTheme="minorHAnsi" w:cstheme="minorHAnsi" w:hint="eastAsia"/>
          <w:lang w:eastAsia="zh-CN"/>
        </w:rPr>
        <w:t>年预算。基于成员国</w:t>
      </w:r>
      <w:r w:rsidRPr="002100B0">
        <w:rPr>
          <w:rFonts w:asciiTheme="minorHAnsi" w:hAnsiTheme="minorHAnsi" w:cstheme="minorHAnsi" w:hint="eastAsia"/>
          <w:lang w:eastAsia="zh-CN"/>
        </w:rPr>
        <w:t>318 000</w:t>
      </w:r>
      <w:r w:rsidRPr="002100B0">
        <w:rPr>
          <w:rFonts w:asciiTheme="minorHAnsi" w:hAnsiTheme="minorHAnsi" w:cstheme="minorHAnsi" w:hint="eastAsia"/>
          <w:lang w:eastAsia="zh-CN"/>
        </w:rPr>
        <w:t>瑞郎的年度会费单位金额</w:t>
      </w:r>
      <w:r>
        <w:rPr>
          <w:rFonts w:asciiTheme="minorHAnsi" w:hAnsiTheme="minorHAnsi" w:cstheme="minorHAnsi" w:hint="eastAsia"/>
          <w:lang w:eastAsia="zh-CN"/>
        </w:rPr>
        <w:t>，批准的</w:t>
      </w:r>
      <w:r w:rsidRPr="002100B0">
        <w:rPr>
          <w:rFonts w:asciiTheme="minorHAnsi" w:hAnsiTheme="minorHAnsi" w:cstheme="minorHAnsi" w:hint="eastAsia"/>
          <w:lang w:eastAsia="zh-CN"/>
        </w:rPr>
        <w:t>2025</w:t>
      </w:r>
      <w:r w:rsidRPr="002100B0">
        <w:rPr>
          <w:rFonts w:asciiTheme="minorHAnsi" w:hAnsiTheme="minorHAnsi" w:cstheme="minorHAnsi" w:hint="eastAsia"/>
          <w:lang w:eastAsia="zh-CN"/>
        </w:rPr>
        <w:t>年预算金额为</w:t>
      </w:r>
      <w:r w:rsidRPr="002100B0">
        <w:rPr>
          <w:rFonts w:asciiTheme="minorHAnsi" w:hAnsiTheme="minorHAnsi" w:cstheme="minorHAnsi" w:hint="eastAsia"/>
          <w:lang w:eastAsia="zh-CN"/>
        </w:rPr>
        <w:t>164 134</w:t>
      </w:r>
      <w:r>
        <w:rPr>
          <w:rFonts w:asciiTheme="minorHAnsi" w:hAnsiTheme="minorHAnsi" w:cstheme="minorHAnsi" w:hint="eastAsia"/>
          <w:lang w:eastAsia="zh-CN"/>
        </w:rPr>
        <w:t xml:space="preserve"> </w:t>
      </w:r>
      <w:r w:rsidRPr="002100B0">
        <w:rPr>
          <w:rFonts w:asciiTheme="minorHAnsi" w:hAnsiTheme="minorHAnsi" w:cstheme="minorHAnsi" w:hint="eastAsia"/>
          <w:lang w:eastAsia="zh-CN"/>
        </w:rPr>
        <w:t>000</w:t>
      </w:r>
      <w:r w:rsidRPr="002100B0">
        <w:rPr>
          <w:rFonts w:asciiTheme="minorHAnsi" w:hAnsiTheme="minorHAnsi" w:cstheme="minorHAnsi" w:hint="eastAsia"/>
          <w:lang w:eastAsia="zh-CN"/>
        </w:rPr>
        <w:t>瑞郎。</w:t>
      </w:r>
    </w:p>
    <w:p w14:paraId="2B921F4B" w14:textId="77777777" w:rsidR="001553F7" w:rsidRPr="00D5155B" w:rsidRDefault="001553F7" w:rsidP="001553F7">
      <w:pPr>
        <w:overflowPunct/>
        <w:autoSpaceDE/>
        <w:autoSpaceDN/>
        <w:snapToGrid w:val="0"/>
        <w:spacing w:before="240" w:after="120"/>
        <w:jc w:val="both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2.2</w:t>
      </w:r>
      <w:r>
        <w:rPr>
          <w:rFonts w:asciiTheme="minorHAnsi" w:hAnsiTheme="minorHAnsi" w:cstheme="minorHAnsi"/>
          <w:lang w:eastAsia="zh-CN"/>
        </w:rPr>
        <w:tab/>
      </w:r>
      <w:r w:rsidRPr="002100B0">
        <w:rPr>
          <w:rFonts w:asciiTheme="minorHAnsi" w:hAnsiTheme="minorHAnsi" w:cstheme="minorHAnsi" w:hint="eastAsia"/>
          <w:lang w:eastAsia="zh-CN"/>
        </w:rPr>
        <w:t>已更新</w:t>
      </w:r>
      <w:r w:rsidRPr="002100B0">
        <w:rPr>
          <w:rFonts w:asciiTheme="minorHAnsi" w:hAnsiTheme="minorHAnsi" w:cstheme="minorHAnsi" w:hint="eastAsia"/>
          <w:lang w:eastAsia="zh-CN"/>
        </w:rPr>
        <w:t>2025</w:t>
      </w:r>
      <w:r w:rsidRPr="002100B0">
        <w:rPr>
          <w:rFonts w:asciiTheme="minorHAnsi" w:hAnsiTheme="minorHAnsi" w:cstheme="minorHAnsi" w:hint="eastAsia"/>
          <w:lang w:eastAsia="zh-CN"/>
        </w:rPr>
        <w:t>年预算，以反映三个世界电信发展大会（</w:t>
      </w:r>
      <w:r w:rsidRPr="002100B0">
        <w:rPr>
          <w:rFonts w:asciiTheme="minorHAnsi" w:hAnsiTheme="minorHAnsi" w:cstheme="minorHAnsi" w:hint="eastAsia"/>
          <w:lang w:eastAsia="zh-CN"/>
        </w:rPr>
        <w:t>WTDC-25</w:t>
      </w:r>
      <w:r w:rsidRPr="002100B0">
        <w:rPr>
          <w:rFonts w:asciiTheme="minorHAnsi" w:hAnsiTheme="minorHAnsi" w:cstheme="minorHAnsi" w:hint="eastAsia"/>
          <w:lang w:eastAsia="zh-CN"/>
        </w:rPr>
        <w:t>）区域性筹备会议（非洲、独联体和欧洲）从</w:t>
      </w:r>
      <w:r w:rsidRPr="002100B0">
        <w:rPr>
          <w:rFonts w:asciiTheme="minorHAnsi" w:hAnsiTheme="minorHAnsi" w:cstheme="minorHAnsi" w:hint="eastAsia"/>
          <w:lang w:eastAsia="zh-CN"/>
        </w:rPr>
        <w:t>2024</w:t>
      </w:r>
      <w:r w:rsidRPr="002100B0">
        <w:rPr>
          <w:rFonts w:asciiTheme="minorHAnsi" w:hAnsiTheme="minorHAnsi" w:cstheme="minorHAnsi" w:hint="eastAsia"/>
          <w:lang w:eastAsia="zh-CN"/>
        </w:rPr>
        <w:t>年推迟</w:t>
      </w:r>
      <w:r>
        <w:rPr>
          <w:rFonts w:asciiTheme="minorHAnsi" w:hAnsiTheme="minorHAnsi" w:cstheme="minorHAnsi" w:hint="eastAsia"/>
          <w:lang w:eastAsia="zh-CN"/>
        </w:rPr>
        <w:t>至</w:t>
      </w:r>
      <w:r w:rsidRPr="002100B0">
        <w:rPr>
          <w:rFonts w:asciiTheme="minorHAnsi" w:hAnsiTheme="minorHAnsi" w:cstheme="minorHAnsi" w:hint="eastAsia"/>
          <w:lang w:eastAsia="zh-CN"/>
        </w:rPr>
        <w:t>2025</w:t>
      </w:r>
      <w:r w:rsidRPr="002100B0"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eastAsia="zh-CN"/>
        </w:rPr>
        <w:t>召开的情况</w:t>
      </w:r>
      <w:r w:rsidRPr="002100B0">
        <w:rPr>
          <w:rFonts w:asciiTheme="minorHAnsi" w:hAnsiTheme="minorHAnsi" w:cstheme="minorHAnsi" w:hint="eastAsia"/>
          <w:lang w:eastAsia="zh-CN"/>
        </w:rPr>
        <w:t>，这些会议已列入</w:t>
      </w:r>
      <w:r w:rsidRPr="002100B0">
        <w:rPr>
          <w:rFonts w:asciiTheme="minorHAnsi" w:hAnsiTheme="minorHAnsi" w:cstheme="minorHAnsi" w:hint="eastAsia"/>
          <w:lang w:eastAsia="zh-CN"/>
        </w:rPr>
        <w:t>2024</w:t>
      </w:r>
      <w:r w:rsidRPr="002100B0">
        <w:rPr>
          <w:rFonts w:asciiTheme="minorHAnsi" w:hAnsiTheme="minorHAnsi" w:cstheme="minorHAnsi" w:hint="eastAsia"/>
          <w:lang w:eastAsia="zh-CN"/>
        </w:rPr>
        <w:t>年预算，金额为</w:t>
      </w:r>
      <w:r w:rsidRPr="002100B0">
        <w:rPr>
          <w:rFonts w:asciiTheme="minorHAnsi" w:hAnsiTheme="minorHAnsi" w:cstheme="minorHAnsi" w:hint="eastAsia"/>
          <w:lang w:eastAsia="zh-CN"/>
        </w:rPr>
        <w:t>20.3</w:t>
      </w:r>
      <w:r w:rsidRPr="002100B0">
        <w:rPr>
          <w:rFonts w:asciiTheme="minorHAnsi" w:hAnsiTheme="minorHAnsi" w:cstheme="minorHAnsi" w:hint="eastAsia"/>
          <w:lang w:eastAsia="zh-CN"/>
        </w:rPr>
        <w:t>万瑞郎。更新后</w:t>
      </w:r>
      <w:r>
        <w:rPr>
          <w:rFonts w:asciiTheme="minorHAnsi" w:hAnsiTheme="minorHAnsi" w:cstheme="minorHAnsi" w:hint="eastAsia"/>
          <w:lang w:eastAsia="zh-CN"/>
        </w:rPr>
        <w:t>的</w:t>
      </w:r>
      <w:r w:rsidRPr="002100B0">
        <w:rPr>
          <w:rFonts w:asciiTheme="minorHAnsi" w:hAnsiTheme="minorHAnsi" w:cstheme="minorHAnsi" w:hint="eastAsia"/>
          <w:lang w:eastAsia="zh-CN"/>
        </w:rPr>
        <w:t>2025</w:t>
      </w:r>
      <w:r w:rsidRPr="002100B0">
        <w:rPr>
          <w:rFonts w:asciiTheme="minorHAnsi" w:hAnsiTheme="minorHAnsi" w:cstheme="minorHAnsi" w:hint="eastAsia"/>
          <w:lang w:eastAsia="zh-CN"/>
        </w:rPr>
        <w:t>年预算</w:t>
      </w:r>
      <w:r>
        <w:rPr>
          <w:rFonts w:asciiTheme="minorHAnsi" w:hAnsiTheme="minorHAnsi" w:cstheme="minorHAnsi" w:hint="eastAsia"/>
          <w:lang w:eastAsia="zh-CN"/>
        </w:rPr>
        <w:t>金</w:t>
      </w:r>
      <w:r w:rsidRPr="002100B0">
        <w:rPr>
          <w:rFonts w:asciiTheme="minorHAnsi" w:hAnsiTheme="minorHAnsi" w:cstheme="minorHAnsi" w:hint="eastAsia"/>
          <w:lang w:eastAsia="zh-CN"/>
        </w:rPr>
        <w:t>额为</w:t>
      </w:r>
      <w:r w:rsidRPr="002100B0">
        <w:rPr>
          <w:rFonts w:asciiTheme="minorHAnsi" w:hAnsiTheme="minorHAnsi" w:cstheme="minorHAnsi" w:hint="eastAsia"/>
          <w:lang w:eastAsia="zh-CN"/>
        </w:rPr>
        <w:t>164 337 000</w:t>
      </w:r>
      <w:r w:rsidRPr="002100B0">
        <w:rPr>
          <w:rFonts w:asciiTheme="minorHAnsi" w:hAnsiTheme="minorHAnsi" w:cstheme="minorHAnsi" w:hint="eastAsia"/>
          <w:lang w:eastAsia="zh-CN"/>
        </w:rPr>
        <w:t>瑞郎。</w:t>
      </w:r>
    </w:p>
    <w:p w14:paraId="1FC74542" w14:textId="79D051CF" w:rsidR="001553F7" w:rsidRPr="00D5155B" w:rsidRDefault="001553F7" w:rsidP="001553F7">
      <w:pPr>
        <w:overflowPunct/>
        <w:autoSpaceDE/>
        <w:autoSpaceDN/>
        <w:snapToGrid w:val="0"/>
        <w:spacing w:before="240"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D5155B">
        <w:rPr>
          <w:rFonts w:asciiTheme="minorHAnsi" w:hAnsiTheme="minorHAnsi" w:cstheme="minorHAnsi"/>
          <w:lang w:eastAsia="zh-CN"/>
        </w:rPr>
        <w:t>2.</w:t>
      </w:r>
      <w:r w:rsidR="00B14C5D">
        <w:rPr>
          <w:rFonts w:asciiTheme="minorHAnsi" w:hAnsiTheme="minorHAnsi" w:cstheme="minorHAnsi"/>
          <w:lang w:eastAsia="zh-CN"/>
        </w:rPr>
        <w:t>3</w:t>
      </w:r>
      <w:r w:rsidRPr="00D5155B">
        <w:rPr>
          <w:rFonts w:asciiTheme="minorHAnsi" w:hAnsiTheme="minorHAnsi" w:cstheme="minorHAnsi"/>
          <w:lang w:eastAsia="zh-CN"/>
        </w:rPr>
        <w:tab/>
      </w:r>
      <w:r w:rsidRPr="002100B0">
        <w:rPr>
          <w:rFonts w:asciiTheme="minorHAnsi" w:hAnsiTheme="minorHAnsi" w:cstheme="minorHAnsi" w:hint="eastAsia"/>
          <w:lang w:eastAsia="zh-CN"/>
        </w:rPr>
        <w:t>目前已知将影响</w:t>
      </w:r>
      <w:r w:rsidRPr="002100B0">
        <w:rPr>
          <w:rFonts w:asciiTheme="minorHAnsi" w:hAnsiTheme="minorHAnsi" w:cstheme="minorHAnsi" w:hint="eastAsia"/>
          <w:lang w:eastAsia="zh-CN"/>
        </w:rPr>
        <w:t>2025</w:t>
      </w:r>
      <w:r w:rsidRPr="002100B0">
        <w:rPr>
          <w:rFonts w:asciiTheme="minorHAnsi" w:hAnsiTheme="minorHAnsi" w:cstheme="minorHAnsi" w:hint="eastAsia"/>
          <w:lang w:eastAsia="zh-CN"/>
        </w:rPr>
        <w:t>年预算执行的四个关键因素是：</w:t>
      </w:r>
    </w:p>
    <w:p w14:paraId="3AB8B39E" w14:textId="2C0D6500" w:rsidR="001553F7" w:rsidRPr="001A6C0C" w:rsidRDefault="000E48FF" w:rsidP="000E48FF">
      <w:pPr>
        <w:pStyle w:val="enumlev1"/>
        <w:rPr>
          <w:rFonts w:cstheme="minorHAnsi"/>
          <w:lang w:val="en-US" w:eastAsia="zh-CN"/>
        </w:rPr>
      </w:pPr>
      <w:r w:rsidRPr="000E48FF">
        <w:rPr>
          <w:rFonts w:cstheme="minorHAnsi"/>
          <w:lang w:val="en-US" w:eastAsia="zh-CN"/>
        </w:rPr>
        <w:t>–</w:t>
      </w:r>
      <w:r>
        <w:rPr>
          <w:rFonts w:cstheme="minorHAnsi"/>
          <w:lang w:val="en-US" w:eastAsia="zh-CN"/>
        </w:rPr>
        <w:tab/>
      </w:r>
      <w:r w:rsidR="001553F7">
        <w:rPr>
          <w:rFonts w:cstheme="minorHAnsi" w:hint="eastAsia"/>
          <w:lang w:val="en-US" w:eastAsia="zh-CN"/>
        </w:rPr>
        <w:t>来自</w:t>
      </w:r>
      <w:r w:rsidR="001553F7" w:rsidRPr="001A6C0C">
        <w:rPr>
          <w:rFonts w:hint="eastAsia"/>
          <w:lang w:val="en-US" w:eastAsia="zh-CN"/>
        </w:rPr>
        <w:t>处理卫星网络申报资料的成本回收收入减少了</w:t>
      </w:r>
      <w:r w:rsidR="001553F7" w:rsidRPr="001A6C0C">
        <w:rPr>
          <w:rFonts w:cstheme="minorHAnsi" w:hint="eastAsia"/>
          <w:lang w:val="en-US" w:eastAsia="zh-CN"/>
        </w:rPr>
        <w:t>350</w:t>
      </w:r>
      <w:r w:rsidR="001553F7" w:rsidRPr="001A6C0C">
        <w:rPr>
          <w:rFonts w:hint="eastAsia"/>
          <w:lang w:val="en-US" w:eastAsia="zh-CN"/>
        </w:rPr>
        <w:t>万瑞郎。</w:t>
      </w:r>
    </w:p>
    <w:p w14:paraId="5ACF888B" w14:textId="7CE98DC3" w:rsidR="001553F7" w:rsidRPr="001A6C0C" w:rsidRDefault="000E48FF" w:rsidP="000E48FF">
      <w:pPr>
        <w:pStyle w:val="enumlev1"/>
        <w:rPr>
          <w:rFonts w:cstheme="minorHAnsi"/>
          <w:lang w:val="en-US" w:eastAsia="zh-CN"/>
        </w:rPr>
      </w:pPr>
      <w:r w:rsidRPr="000E48FF">
        <w:rPr>
          <w:lang w:val="en-US" w:eastAsia="zh-CN"/>
        </w:rPr>
        <w:t>–</w:t>
      </w:r>
      <w:r>
        <w:rPr>
          <w:lang w:val="en-US" w:eastAsia="zh-CN"/>
        </w:rPr>
        <w:tab/>
      </w:r>
      <w:r w:rsidR="001553F7" w:rsidRPr="001A6C0C">
        <w:rPr>
          <w:rFonts w:hint="eastAsia"/>
          <w:lang w:val="en-US" w:eastAsia="zh-CN"/>
        </w:rPr>
        <w:t>与预算金额相比，利息收入增加了</w:t>
      </w:r>
      <w:r w:rsidR="001553F7" w:rsidRPr="001A6C0C">
        <w:rPr>
          <w:rFonts w:cstheme="minorHAnsi" w:hint="eastAsia"/>
          <w:lang w:val="en-US" w:eastAsia="zh-CN"/>
        </w:rPr>
        <w:t>125</w:t>
      </w:r>
      <w:r w:rsidR="001553F7" w:rsidRPr="001A6C0C">
        <w:rPr>
          <w:rFonts w:hint="eastAsia"/>
          <w:lang w:val="en-US" w:eastAsia="zh-CN"/>
        </w:rPr>
        <w:t>万瑞郎。</w:t>
      </w:r>
    </w:p>
    <w:p w14:paraId="66B615A9" w14:textId="727ED44A" w:rsidR="001553F7" w:rsidRPr="001A6C0C" w:rsidRDefault="000E48FF" w:rsidP="000E48FF">
      <w:pPr>
        <w:pStyle w:val="enumlev1"/>
        <w:rPr>
          <w:rFonts w:cstheme="minorHAnsi"/>
          <w:lang w:val="en-US" w:eastAsia="zh-CN"/>
        </w:rPr>
      </w:pPr>
      <w:r w:rsidRPr="000E48FF">
        <w:rPr>
          <w:rFonts w:cstheme="minorHAnsi"/>
          <w:lang w:val="en-US" w:eastAsia="zh-CN"/>
        </w:rPr>
        <w:t>–</w:t>
      </w:r>
      <w:r>
        <w:rPr>
          <w:rFonts w:cstheme="minorHAnsi"/>
          <w:lang w:val="en-US" w:eastAsia="zh-CN"/>
        </w:rPr>
        <w:tab/>
      </w:r>
      <w:r w:rsidR="001553F7">
        <w:rPr>
          <w:rFonts w:cstheme="minorHAnsi" w:hint="eastAsia"/>
          <w:lang w:val="en-US" w:eastAsia="zh-CN"/>
        </w:rPr>
        <w:t>通过增效措施，</w:t>
      </w:r>
      <w:r w:rsidR="001553F7" w:rsidRPr="001A6C0C">
        <w:rPr>
          <w:rFonts w:hint="eastAsia"/>
          <w:lang w:val="en-US" w:eastAsia="zh-CN"/>
        </w:rPr>
        <w:t>文件制作</w:t>
      </w:r>
      <w:r w:rsidR="001553F7">
        <w:rPr>
          <w:rFonts w:hint="eastAsia"/>
          <w:lang w:val="en-US" w:eastAsia="zh-CN"/>
        </w:rPr>
        <w:t>实现成本节约，金额</w:t>
      </w:r>
      <w:r w:rsidR="001553F7" w:rsidRPr="001A6C0C">
        <w:rPr>
          <w:rFonts w:hint="eastAsia"/>
          <w:lang w:val="en-US" w:eastAsia="zh-CN"/>
        </w:rPr>
        <w:t>为</w:t>
      </w:r>
      <w:r w:rsidR="001553F7" w:rsidRPr="001A6C0C">
        <w:rPr>
          <w:rFonts w:cstheme="minorHAnsi" w:hint="eastAsia"/>
          <w:lang w:val="en-US" w:eastAsia="zh-CN"/>
        </w:rPr>
        <w:t>160</w:t>
      </w:r>
      <w:r w:rsidR="001553F7" w:rsidRPr="001A6C0C">
        <w:rPr>
          <w:rFonts w:hint="eastAsia"/>
          <w:lang w:val="en-US" w:eastAsia="zh-CN"/>
        </w:rPr>
        <w:t>万瑞郎。</w:t>
      </w:r>
    </w:p>
    <w:p w14:paraId="7269D413" w14:textId="3A500CF2" w:rsidR="001553F7" w:rsidRPr="001A6C0C" w:rsidRDefault="000E48FF" w:rsidP="000E48FF">
      <w:pPr>
        <w:pStyle w:val="enumlev1"/>
        <w:rPr>
          <w:rFonts w:cstheme="minorHAnsi"/>
          <w:lang w:val="en-US" w:eastAsia="zh-CN"/>
        </w:rPr>
      </w:pPr>
      <w:r w:rsidRPr="000E48FF">
        <w:rPr>
          <w:rFonts w:cstheme="minorHAnsi"/>
          <w:lang w:val="en-US" w:eastAsia="zh-CN"/>
        </w:rPr>
        <w:t>–</w:t>
      </w:r>
      <w:r>
        <w:rPr>
          <w:rFonts w:cstheme="minorHAnsi"/>
          <w:lang w:val="en-US" w:eastAsia="zh-CN"/>
        </w:rPr>
        <w:tab/>
      </w:r>
      <w:r w:rsidR="001553F7">
        <w:rPr>
          <w:rFonts w:cstheme="minorHAnsi" w:hint="eastAsia"/>
          <w:lang w:val="en-US" w:eastAsia="zh-CN"/>
        </w:rPr>
        <w:t>通过</w:t>
      </w:r>
      <w:r w:rsidR="001553F7" w:rsidRPr="001A6C0C">
        <w:rPr>
          <w:rFonts w:hint="eastAsia"/>
          <w:lang w:val="en-US" w:eastAsia="zh-CN"/>
        </w:rPr>
        <w:t>自愿离职</w:t>
      </w:r>
      <w:r w:rsidR="001553F7">
        <w:rPr>
          <w:rFonts w:hint="eastAsia"/>
          <w:lang w:val="en-US" w:eastAsia="zh-CN"/>
        </w:rPr>
        <w:t>计划</w:t>
      </w:r>
      <w:r w:rsidR="001553F7" w:rsidRPr="001A6C0C">
        <w:rPr>
          <w:rFonts w:hint="eastAsia"/>
          <w:lang w:val="en-US" w:eastAsia="zh-CN"/>
        </w:rPr>
        <w:t>第二阶段</w:t>
      </w:r>
      <w:r w:rsidR="001553F7">
        <w:rPr>
          <w:rFonts w:hint="eastAsia"/>
          <w:lang w:val="en-US" w:eastAsia="zh-CN"/>
        </w:rPr>
        <w:t>节约</w:t>
      </w:r>
      <w:r w:rsidR="001553F7" w:rsidRPr="001A6C0C">
        <w:rPr>
          <w:rFonts w:hint="eastAsia"/>
          <w:lang w:val="en-US" w:eastAsia="zh-CN"/>
        </w:rPr>
        <w:t>的</w:t>
      </w:r>
      <w:r w:rsidR="001553F7">
        <w:rPr>
          <w:rFonts w:hint="eastAsia"/>
          <w:lang w:val="en-US" w:eastAsia="zh-CN"/>
        </w:rPr>
        <w:t>成本</w:t>
      </w:r>
      <w:r w:rsidR="001553F7" w:rsidRPr="001A6C0C">
        <w:rPr>
          <w:rFonts w:hint="eastAsia"/>
          <w:lang w:val="en-US" w:eastAsia="zh-CN"/>
        </w:rPr>
        <w:t>估计为</w:t>
      </w:r>
      <w:r w:rsidR="001553F7" w:rsidRPr="001A6C0C">
        <w:rPr>
          <w:rFonts w:cstheme="minorHAnsi" w:hint="eastAsia"/>
          <w:lang w:val="en-US" w:eastAsia="zh-CN"/>
        </w:rPr>
        <w:t>130</w:t>
      </w:r>
      <w:r w:rsidR="001553F7" w:rsidRPr="001A6C0C">
        <w:rPr>
          <w:rFonts w:hint="eastAsia"/>
          <w:lang w:val="en-US" w:eastAsia="zh-CN"/>
        </w:rPr>
        <w:t>万瑞郎。</w:t>
      </w:r>
    </w:p>
    <w:p w14:paraId="60F9DB61" w14:textId="633FFF10" w:rsidR="001553F7" w:rsidRPr="001A6C0C" w:rsidRDefault="001553F7" w:rsidP="001553F7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color w:val="000000" w:themeColor="text1"/>
          <w:szCs w:val="24"/>
          <w:lang w:val="en-US" w:eastAsia="zh-CN"/>
        </w:rPr>
      </w:pPr>
      <w:r w:rsidRPr="001A6C0C">
        <w:rPr>
          <w:rFonts w:asciiTheme="minorHAnsi" w:hAnsiTheme="minorHAnsi" w:cstheme="minorHAnsi"/>
          <w:color w:val="000000" w:themeColor="text1"/>
          <w:szCs w:val="24"/>
          <w:lang w:val="en-US" w:eastAsia="zh-CN"/>
        </w:rPr>
        <w:t>2.</w:t>
      </w:r>
      <w:r w:rsidR="00B14C5D">
        <w:rPr>
          <w:rFonts w:asciiTheme="minorHAnsi" w:hAnsiTheme="minorHAnsi" w:cstheme="minorHAnsi"/>
          <w:color w:val="000000" w:themeColor="text1"/>
          <w:szCs w:val="24"/>
          <w:lang w:val="en-US" w:eastAsia="zh-CN"/>
        </w:rPr>
        <w:t>4</w:t>
      </w:r>
      <w:r w:rsidRPr="001A6C0C">
        <w:rPr>
          <w:rFonts w:asciiTheme="minorHAnsi" w:hAnsiTheme="minorHAnsi" w:cstheme="minorHAnsi"/>
          <w:color w:val="000000" w:themeColor="text1"/>
          <w:szCs w:val="24"/>
          <w:lang w:val="en-US" w:eastAsia="zh-CN"/>
        </w:rPr>
        <w:tab/>
      </w:r>
      <w:r w:rsidRPr="001A6C0C"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如果秘书处能够在</w:t>
      </w:r>
      <w:r w:rsidRPr="001A6C0C">
        <w:rPr>
          <w:rFonts w:asciiTheme="minorHAnsi" w:hAnsiTheme="minorHAnsi" w:cstheme="minorHAnsi" w:hint="eastAsia"/>
          <w:color w:val="000000" w:themeColor="text1"/>
          <w:szCs w:val="24"/>
          <w:lang w:val="en-US" w:eastAsia="zh-CN"/>
        </w:rPr>
        <w:t>2025</w:t>
      </w:r>
      <w:r w:rsidRPr="001A6C0C"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年预算执行过程中实现大量节余，则可以在本年度为当前正常预算</w:t>
      </w:r>
      <w:r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未覆盖</w:t>
      </w:r>
      <w:r w:rsidRPr="001A6C0C"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的一些关键</w:t>
      </w:r>
      <w:r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重点工作</w:t>
      </w:r>
      <w:r w:rsidRPr="001A6C0C"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提供</w:t>
      </w:r>
      <w:r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资金</w:t>
      </w:r>
      <w:r w:rsidRPr="001A6C0C">
        <w:rPr>
          <w:rFonts w:asciiTheme="minorHAnsi" w:hAnsiTheme="minorHAnsi" w:cs="Microsoft YaHei" w:hint="eastAsia"/>
          <w:color w:val="000000" w:themeColor="text1"/>
          <w:szCs w:val="24"/>
          <w:lang w:val="en-US" w:eastAsia="zh-CN"/>
        </w:rPr>
        <w:t>：</w:t>
      </w:r>
    </w:p>
    <w:p w14:paraId="6C620974" w14:textId="0C1173D3" w:rsidR="001553F7" w:rsidRPr="000E48FF" w:rsidRDefault="000E48FF" w:rsidP="000E48FF">
      <w:pPr>
        <w:pStyle w:val="enumlev1"/>
        <w:rPr>
          <w:rFonts w:cstheme="minorHAnsi"/>
          <w:lang w:val="en-US" w:eastAsia="zh-CN"/>
        </w:rPr>
      </w:pPr>
      <w:r w:rsidRPr="000E48FF">
        <w:rPr>
          <w:rFonts w:cstheme="minorHAnsi"/>
          <w:lang w:val="en-US" w:eastAsia="zh-CN"/>
        </w:rPr>
        <w:t>–</w:t>
      </w:r>
      <w:r>
        <w:rPr>
          <w:rFonts w:cstheme="minorHAnsi"/>
          <w:lang w:val="en-US" w:eastAsia="zh-CN"/>
        </w:rPr>
        <w:tab/>
      </w:r>
      <w:r w:rsidR="001553F7" w:rsidRPr="000E48FF">
        <w:rPr>
          <w:rFonts w:cstheme="minorHAnsi" w:hint="eastAsia"/>
          <w:lang w:val="en-US" w:eastAsia="zh-CN"/>
        </w:rPr>
        <w:t>实施区域代表性审查的费用。</w:t>
      </w:r>
    </w:p>
    <w:p w14:paraId="08119297" w14:textId="14951995" w:rsidR="001553F7" w:rsidRPr="000E48FF" w:rsidRDefault="000E48FF" w:rsidP="000E48FF">
      <w:pPr>
        <w:pStyle w:val="enumlev1"/>
        <w:rPr>
          <w:rFonts w:cstheme="minorHAnsi"/>
          <w:lang w:val="en-US" w:eastAsia="zh-CN"/>
        </w:rPr>
      </w:pPr>
      <w:r w:rsidRPr="000E48FF">
        <w:rPr>
          <w:rFonts w:cstheme="minorHAnsi"/>
          <w:lang w:val="en-US" w:eastAsia="zh-CN"/>
        </w:rPr>
        <w:t>–</w:t>
      </w:r>
      <w:r>
        <w:rPr>
          <w:rFonts w:cstheme="minorHAnsi"/>
          <w:lang w:val="en-US" w:eastAsia="zh-CN"/>
        </w:rPr>
        <w:tab/>
      </w:r>
      <w:r w:rsidR="001553F7" w:rsidRPr="000E48FF">
        <w:rPr>
          <w:rFonts w:cstheme="minorHAnsi" w:hint="eastAsia"/>
          <w:lang w:val="en-US" w:eastAsia="zh-CN"/>
        </w:rPr>
        <w:t>IT</w:t>
      </w:r>
      <w:r w:rsidR="001553F7" w:rsidRPr="000E48FF">
        <w:rPr>
          <w:rFonts w:cstheme="minorHAnsi" w:hint="eastAsia"/>
          <w:lang w:val="en-US" w:eastAsia="zh-CN"/>
        </w:rPr>
        <w:t>系统和服务的转型升级和改进，包括数据管理改进和人工智能采用举措。</w:t>
      </w:r>
    </w:p>
    <w:p w14:paraId="2531709E" w14:textId="370317E3" w:rsidR="001553F7" w:rsidRPr="001A6C0C" w:rsidRDefault="000E48FF" w:rsidP="000E48FF">
      <w:pPr>
        <w:pStyle w:val="enumlev1"/>
        <w:rPr>
          <w:rFonts w:asciiTheme="minorHAnsi" w:hAnsiTheme="minorHAnsi" w:cstheme="minorHAnsi"/>
          <w:color w:val="000000" w:themeColor="text1"/>
          <w:szCs w:val="24"/>
          <w:lang w:val="en-US" w:eastAsia="zh-CN"/>
        </w:rPr>
      </w:pPr>
      <w:r w:rsidRPr="000E48FF">
        <w:rPr>
          <w:rFonts w:cstheme="minorHAnsi"/>
          <w:lang w:val="en-US" w:eastAsia="zh-CN"/>
        </w:rPr>
        <w:t>–</w:t>
      </w:r>
      <w:r>
        <w:rPr>
          <w:rFonts w:cstheme="minorHAnsi"/>
          <w:lang w:val="en-US" w:eastAsia="zh-CN"/>
        </w:rPr>
        <w:tab/>
      </w:r>
      <w:r w:rsidR="001553F7" w:rsidRPr="000E48FF">
        <w:rPr>
          <w:rFonts w:cstheme="minorHAnsi" w:hint="eastAsia"/>
          <w:lang w:val="en-US" w:eastAsia="zh-CN"/>
        </w:rPr>
        <w:t>扩大“青年专业人士计划”。</w:t>
      </w:r>
    </w:p>
    <w:p w14:paraId="74BA14FE" w14:textId="20891279" w:rsidR="001553F7" w:rsidRDefault="001553F7" w:rsidP="001553F7">
      <w:pPr>
        <w:snapToGrid w:val="0"/>
        <w:jc w:val="both"/>
        <w:rPr>
          <w:rFonts w:cstheme="minorBidi"/>
          <w:lang w:eastAsia="zh-CN"/>
        </w:rPr>
      </w:pPr>
      <w:r w:rsidRPr="311B6658">
        <w:rPr>
          <w:rFonts w:cstheme="minorBidi"/>
          <w:lang w:eastAsia="zh-CN"/>
        </w:rPr>
        <w:t>2.</w:t>
      </w:r>
      <w:r w:rsidR="00B14C5D">
        <w:rPr>
          <w:rFonts w:cstheme="minorBidi"/>
          <w:lang w:eastAsia="zh-CN"/>
        </w:rPr>
        <w:t>5</w:t>
      </w:r>
      <w:r>
        <w:rPr>
          <w:lang w:eastAsia="zh-CN"/>
        </w:rPr>
        <w:tab/>
      </w:r>
      <w:r w:rsidRPr="002100B0">
        <w:rPr>
          <w:rFonts w:cstheme="minorBidi" w:hint="eastAsia"/>
          <w:lang w:eastAsia="zh-CN"/>
        </w:rPr>
        <w:t>截至</w:t>
      </w:r>
      <w:r w:rsidRPr="002100B0">
        <w:rPr>
          <w:rFonts w:cstheme="minorBidi" w:hint="eastAsia"/>
          <w:lang w:eastAsia="zh-CN"/>
        </w:rPr>
        <w:t>202</w:t>
      </w:r>
      <w:r>
        <w:rPr>
          <w:rFonts w:cstheme="minorBidi" w:hint="eastAsia"/>
          <w:lang w:eastAsia="zh-CN"/>
        </w:rPr>
        <w:t>5</w:t>
      </w:r>
      <w:r w:rsidRPr="002100B0">
        <w:rPr>
          <w:rFonts w:cstheme="minorBidi" w:hint="eastAsia"/>
          <w:lang w:eastAsia="zh-CN"/>
        </w:rPr>
        <w:t>年</w:t>
      </w:r>
      <w:r w:rsidRPr="002100B0">
        <w:rPr>
          <w:rFonts w:cstheme="minorBidi" w:hint="eastAsia"/>
          <w:lang w:eastAsia="zh-CN"/>
        </w:rPr>
        <w:t>5</w:t>
      </w:r>
      <w:r w:rsidRPr="002100B0">
        <w:rPr>
          <w:rFonts w:cstheme="minorBidi" w:hint="eastAsia"/>
          <w:lang w:eastAsia="zh-CN"/>
        </w:rPr>
        <w:t>月</w:t>
      </w:r>
      <w:r w:rsidRPr="002100B0">
        <w:rPr>
          <w:rFonts w:cstheme="minorBidi" w:hint="eastAsia"/>
          <w:lang w:eastAsia="zh-CN"/>
        </w:rPr>
        <w:t>6</w:t>
      </w:r>
      <w:r w:rsidRPr="002100B0">
        <w:rPr>
          <w:rFonts w:cstheme="minorBidi" w:hint="eastAsia"/>
          <w:lang w:eastAsia="zh-CN"/>
        </w:rPr>
        <w:t>日，</w:t>
      </w:r>
      <w:r w:rsidRPr="00574C80">
        <w:rPr>
          <w:rFonts w:cstheme="minorBidi" w:hint="eastAsia"/>
          <w:lang w:eastAsia="zh-CN"/>
        </w:rPr>
        <w:t>2025</w:t>
      </w:r>
      <w:r w:rsidRPr="00574C80">
        <w:rPr>
          <w:rFonts w:cstheme="minorBidi" w:hint="eastAsia"/>
          <w:lang w:eastAsia="zh-CN"/>
        </w:rPr>
        <w:t>年预算执行预期结果为正向盈余</w:t>
      </w:r>
      <w:r>
        <w:rPr>
          <w:rFonts w:cstheme="minorBidi" w:hint="eastAsia"/>
          <w:lang w:eastAsia="zh-CN"/>
        </w:rPr>
        <w:t>，金额达</w:t>
      </w:r>
      <w:r w:rsidRPr="002100B0">
        <w:rPr>
          <w:rFonts w:cstheme="minorBidi" w:hint="eastAsia"/>
          <w:lang w:eastAsia="zh-CN"/>
        </w:rPr>
        <w:t>511 000</w:t>
      </w:r>
      <w:r w:rsidRPr="002100B0">
        <w:rPr>
          <w:rFonts w:cstheme="minorBidi" w:hint="eastAsia"/>
          <w:lang w:eastAsia="zh-CN"/>
        </w:rPr>
        <w:t>瑞郎</w:t>
      </w:r>
      <w:r>
        <w:rPr>
          <w:rFonts w:cstheme="minorBidi" w:hint="eastAsia"/>
          <w:lang w:eastAsia="zh-CN"/>
        </w:rPr>
        <w:t>，</w:t>
      </w:r>
      <w:r w:rsidRPr="002100B0">
        <w:rPr>
          <w:rFonts w:cstheme="minorBidi" w:hint="eastAsia"/>
          <w:lang w:eastAsia="zh-CN"/>
        </w:rPr>
        <w:t>或预算的</w:t>
      </w:r>
      <w:r w:rsidRPr="002100B0">
        <w:rPr>
          <w:rFonts w:cstheme="minorBidi" w:hint="eastAsia"/>
          <w:lang w:eastAsia="zh-CN"/>
        </w:rPr>
        <w:t>0.31%</w:t>
      </w:r>
      <w:r w:rsidRPr="002100B0">
        <w:rPr>
          <w:rFonts w:cstheme="minorBidi" w:hint="eastAsia"/>
          <w:lang w:eastAsia="zh-CN"/>
        </w:rPr>
        <w:t>，如表</w:t>
      </w:r>
      <w:r w:rsidRPr="002100B0">
        <w:rPr>
          <w:rFonts w:cstheme="minorBidi" w:hint="eastAsia"/>
          <w:lang w:eastAsia="zh-CN"/>
        </w:rPr>
        <w:t>1</w:t>
      </w:r>
      <w:r w:rsidRPr="002100B0">
        <w:rPr>
          <w:rFonts w:cstheme="minorBidi" w:hint="eastAsia"/>
          <w:lang w:eastAsia="zh-CN"/>
        </w:rPr>
        <w:t>所示。</w:t>
      </w:r>
    </w:p>
    <w:p w14:paraId="21C44BF0" w14:textId="6DF38551" w:rsidR="001553F7" w:rsidRDefault="001553F7" w:rsidP="000E48FF">
      <w:pPr>
        <w:snapToGrid w:val="0"/>
        <w:ind w:firstLineChars="200" w:firstLine="480"/>
        <w:jc w:val="both"/>
        <w:rPr>
          <w:rFonts w:cstheme="minorBidi"/>
          <w:lang w:eastAsia="zh-CN"/>
        </w:rPr>
      </w:pPr>
      <w:r>
        <w:rPr>
          <w:rFonts w:cstheme="minorBidi" w:hint="eastAsia"/>
          <w:lang w:eastAsia="zh-CN"/>
        </w:rPr>
        <w:t>除</w:t>
      </w:r>
      <w:r w:rsidRPr="002100B0">
        <w:rPr>
          <w:rFonts w:cstheme="minorBidi" w:hint="eastAsia"/>
          <w:lang w:eastAsia="zh-CN"/>
        </w:rPr>
        <w:t>预算已包括的</w:t>
      </w:r>
      <w:r w:rsidRPr="002100B0">
        <w:rPr>
          <w:rFonts w:cstheme="minorBidi" w:hint="eastAsia"/>
          <w:lang w:eastAsia="zh-CN"/>
        </w:rPr>
        <w:t>75</w:t>
      </w:r>
      <w:proofErr w:type="gramStart"/>
      <w:r w:rsidRPr="002100B0">
        <w:rPr>
          <w:rFonts w:cstheme="minorBidi" w:hint="eastAsia"/>
          <w:lang w:eastAsia="zh-CN"/>
        </w:rPr>
        <w:t>万瑞</w:t>
      </w:r>
      <w:proofErr w:type="gramEnd"/>
      <w:r w:rsidRPr="002100B0">
        <w:rPr>
          <w:rFonts w:cstheme="minorBidi" w:hint="eastAsia"/>
          <w:lang w:eastAsia="zh-CN"/>
        </w:rPr>
        <w:t>郎之外，预计</w:t>
      </w:r>
      <w:r>
        <w:rPr>
          <w:rFonts w:cstheme="minorBidi" w:hint="eastAsia"/>
          <w:lang w:eastAsia="zh-CN"/>
        </w:rPr>
        <w:t>还</w:t>
      </w:r>
      <w:r w:rsidRPr="002100B0">
        <w:rPr>
          <w:rFonts w:cstheme="minorBidi" w:hint="eastAsia"/>
          <w:lang w:eastAsia="zh-CN"/>
        </w:rPr>
        <w:t>将</w:t>
      </w:r>
      <w:r>
        <w:rPr>
          <w:rFonts w:cstheme="minorBidi" w:hint="eastAsia"/>
          <w:lang w:eastAsia="zh-CN"/>
        </w:rPr>
        <w:t>额外</w:t>
      </w:r>
      <w:r w:rsidRPr="002100B0">
        <w:rPr>
          <w:rFonts w:cstheme="minorBidi" w:hint="eastAsia"/>
          <w:lang w:eastAsia="zh-CN"/>
        </w:rPr>
        <w:t>向办公楼维护基金支付</w:t>
      </w:r>
      <w:r w:rsidRPr="002100B0">
        <w:rPr>
          <w:rFonts w:cstheme="minorBidi" w:hint="eastAsia"/>
          <w:lang w:eastAsia="zh-CN"/>
        </w:rPr>
        <w:t>70</w:t>
      </w:r>
      <w:proofErr w:type="gramStart"/>
      <w:r w:rsidRPr="002100B0">
        <w:rPr>
          <w:rFonts w:cstheme="minorBidi" w:hint="eastAsia"/>
          <w:lang w:eastAsia="zh-CN"/>
        </w:rPr>
        <w:t>万瑞</w:t>
      </w:r>
      <w:proofErr w:type="gramEnd"/>
      <w:r w:rsidRPr="002100B0">
        <w:rPr>
          <w:rFonts w:cstheme="minorBidi" w:hint="eastAsia"/>
          <w:lang w:eastAsia="zh-CN"/>
        </w:rPr>
        <w:t>郎（见表</w:t>
      </w:r>
      <w:r w:rsidRPr="002100B0">
        <w:rPr>
          <w:rFonts w:cstheme="minorBidi" w:hint="eastAsia"/>
          <w:lang w:eastAsia="zh-CN"/>
        </w:rPr>
        <w:t>3</w:t>
      </w:r>
      <w:r w:rsidRPr="002100B0">
        <w:rPr>
          <w:rFonts w:cstheme="minorBidi" w:hint="eastAsia"/>
          <w:lang w:eastAsia="zh-CN"/>
        </w:rPr>
        <w:t>），以确保国际电联办公楼的维护</w:t>
      </w:r>
      <w:r>
        <w:rPr>
          <w:rFonts w:cstheme="minorBidi" w:hint="eastAsia"/>
          <w:lang w:eastAsia="zh-CN"/>
        </w:rPr>
        <w:t>工作</w:t>
      </w:r>
      <w:r w:rsidRPr="002100B0">
        <w:rPr>
          <w:rFonts w:cstheme="minorBidi" w:hint="eastAsia"/>
          <w:lang w:eastAsia="zh-CN"/>
        </w:rPr>
        <w:t>有</w:t>
      </w:r>
      <w:r>
        <w:rPr>
          <w:rFonts w:cstheme="minorBidi" w:hint="eastAsia"/>
          <w:lang w:eastAsia="zh-CN"/>
        </w:rPr>
        <w:t>充足的</w:t>
      </w:r>
      <w:r w:rsidRPr="002100B0">
        <w:rPr>
          <w:rFonts w:cstheme="minorBidi" w:hint="eastAsia"/>
          <w:lang w:eastAsia="zh-CN"/>
        </w:rPr>
        <w:t>资金，特别是</w:t>
      </w:r>
      <w:r>
        <w:rPr>
          <w:rFonts w:cstheme="minorBidi" w:hint="eastAsia"/>
          <w:lang w:eastAsia="zh-CN"/>
        </w:rPr>
        <w:t>由于</w:t>
      </w:r>
      <w:proofErr w:type="spellStart"/>
      <w:r w:rsidR="00A44DC7" w:rsidRPr="00FC7E15">
        <w:rPr>
          <w:rFonts w:cstheme="minorBidi"/>
          <w:lang w:eastAsia="zh-CN"/>
        </w:rPr>
        <w:t>Varemb</w:t>
      </w:r>
      <w:r w:rsidR="00A44DC7">
        <w:rPr>
          <w:rFonts w:cstheme="minorBidi"/>
          <w:lang w:eastAsia="zh-CN"/>
        </w:rPr>
        <w:t>é</w:t>
      </w:r>
      <w:proofErr w:type="spellEnd"/>
      <w:r w:rsidRPr="002100B0">
        <w:rPr>
          <w:rFonts w:cstheme="minorBidi" w:hint="eastAsia"/>
          <w:lang w:eastAsia="zh-CN"/>
        </w:rPr>
        <w:t>办公楼的维护</w:t>
      </w:r>
      <w:r>
        <w:rPr>
          <w:rFonts w:cstheme="minorBidi" w:hint="eastAsia"/>
          <w:lang w:eastAsia="zh-CN"/>
        </w:rPr>
        <w:t>费用</w:t>
      </w:r>
      <w:proofErr w:type="gramStart"/>
      <w:r>
        <w:rPr>
          <w:rFonts w:cstheme="minorBidi" w:hint="eastAsia"/>
          <w:lang w:eastAsia="zh-CN"/>
        </w:rPr>
        <w:t>通常</w:t>
      </w:r>
      <w:r w:rsidRPr="002100B0">
        <w:rPr>
          <w:rFonts w:cstheme="minorBidi" w:hint="eastAsia"/>
          <w:lang w:eastAsia="zh-CN"/>
        </w:rPr>
        <w:t>未</w:t>
      </w:r>
      <w:proofErr w:type="gramEnd"/>
      <w:r>
        <w:rPr>
          <w:rFonts w:cstheme="minorBidi" w:hint="eastAsia"/>
          <w:lang w:eastAsia="zh-CN"/>
        </w:rPr>
        <w:t>纳入</w:t>
      </w:r>
      <w:r w:rsidRPr="002100B0">
        <w:rPr>
          <w:rFonts w:cstheme="minorBidi" w:hint="eastAsia"/>
          <w:lang w:eastAsia="zh-CN"/>
        </w:rPr>
        <w:t>2024-2025</w:t>
      </w:r>
      <w:r w:rsidRPr="002100B0">
        <w:rPr>
          <w:rFonts w:cstheme="minorBidi" w:hint="eastAsia"/>
          <w:lang w:eastAsia="zh-CN"/>
        </w:rPr>
        <w:t>年预算。为进一步补充</w:t>
      </w:r>
      <w:r>
        <w:rPr>
          <w:rFonts w:cstheme="minorBidi" w:hint="eastAsia"/>
          <w:lang w:eastAsia="zh-CN"/>
        </w:rPr>
        <w:t>ICT</w:t>
      </w:r>
      <w:r>
        <w:rPr>
          <w:rFonts w:cstheme="minorBidi" w:hint="eastAsia"/>
          <w:lang w:eastAsia="zh-CN"/>
        </w:rPr>
        <w:t>发展基金（</w:t>
      </w:r>
      <w:r w:rsidRPr="002100B0">
        <w:rPr>
          <w:rFonts w:cstheme="minorBidi" w:hint="eastAsia"/>
          <w:lang w:eastAsia="zh-CN"/>
        </w:rPr>
        <w:t>ICT-DF</w:t>
      </w:r>
      <w:r>
        <w:rPr>
          <w:rFonts w:cstheme="minorBidi" w:hint="eastAsia"/>
          <w:lang w:eastAsia="zh-CN"/>
        </w:rPr>
        <w:t>）</w:t>
      </w:r>
      <w:r w:rsidRPr="002100B0">
        <w:rPr>
          <w:rFonts w:cstheme="minorBidi" w:hint="eastAsia"/>
          <w:lang w:eastAsia="zh-CN"/>
        </w:rPr>
        <w:t>，从</w:t>
      </w:r>
      <w:r w:rsidRPr="002100B0">
        <w:rPr>
          <w:rFonts w:cstheme="minorBidi" w:hint="eastAsia"/>
          <w:lang w:eastAsia="zh-CN"/>
        </w:rPr>
        <w:t>2024</w:t>
      </w:r>
      <w:r w:rsidRPr="002100B0">
        <w:rPr>
          <w:rFonts w:cstheme="minorBidi" w:hint="eastAsia"/>
          <w:lang w:eastAsia="zh-CN"/>
        </w:rPr>
        <w:t>年起，任何超出年度预算金额的行政</w:t>
      </w:r>
      <w:r>
        <w:rPr>
          <w:rFonts w:cstheme="minorBidi" w:hint="eastAsia"/>
          <w:lang w:eastAsia="zh-CN"/>
        </w:rPr>
        <w:t>运营</w:t>
      </w:r>
      <w:r w:rsidRPr="002100B0">
        <w:rPr>
          <w:rFonts w:cstheme="minorBidi" w:hint="eastAsia"/>
          <w:lang w:eastAsia="zh-CN"/>
        </w:rPr>
        <w:t>服务（</w:t>
      </w:r>
      <w:r w:rsidRPr="002100B0">
        <w:rPr>
          <w:rFonts w:cstheme="minorBidi" w:hint="eastAsia"/>
          <w:lang w:eastAsia="zh-CN"/>
        </w:rPr>
        <w:t>AOS</w:t>
      </w:r>
      <w:r w:rsidRPr="002100B0">
        <w:rPr>
          <w:rFonts w:cstheme="minorBidi" w:hint="eastAsia"/>
          <w:lang w:eastAsia="zh-CN"/>
        </w:rPr>
        <w:t>）</w:t>
      </w:r>
      <w:r>
        <w:rPr>
          <w:rFonts w:cstheme="minorBidi" w:hint="eastAsia"/>
          <w:lang w:eastAsia="zh-CN"/>
        </w:rPr>
        <w:t>费用</w:t>
      </w:r>
      <w:r w:rsidRPr="002100B0">
        <w:rPr>
          <w:rFonts w:cstheme="minorBidi" w:hint="eastAsia"/>
          <w:lang w:eastAsia="zh-CN"/>
        </w:rPr>
        <w:t>盈余均将转回</w:t>
      </w:r>
      <w:r w:rsidRPr="002100B0">
        <w:rPr>
          <w:rFonts w:cstheme="minorBidi" w:hint="eastAsia"/>
          <w:lang w:eastAsia="zh-CN"/>
        </w:rPr>
        <w:t>ICT-DF</w:t>
      </w:r>
      <w:r w:rsidRPr="002100B0">
        <w:rPr>
          <w:rFonts w:cstheme="minorBidi" w:hint="eastAsia"/>
          <w:lang w:eastAsia="zh-CN"/>
        </w:rPr>
        <w:t>资本账户，这些资金的主要目的是支持项目的实施。</w:t>
      </w:r>
    </w:p>
    <w:p w14:paraId="02A1ECD0" w14:textId="77777777" w:rsidR="001553F7" w:rsidRPr="0047313C" w:rsidRDefault="001553F7" w:rsidP="00644B53">
      <w:pPr>
        <w:snapToGrid w:val="0"/>
        <w:ind w:firstLineChars="200" w:firstLine="480"/>
        <w:jc w:val="both"/>
        <w:rPr>
          <w:rFonts w:cstheme="minorBidi"/>
          <w:lang w:eastAsia="zh-CN"/>
        </w:rPr>
      </w:pPr>
      <w:r w:rsidRPr="002100B0">
        <w:rPr>
          <w:rFonts w:cstheme="minorBidi" w:hint="eastAsia"/>
          <w:lang w:eastAsia="zh-CN"/>
        </w:rPr>
        <w:t>2025</w:t>
      </w:r>
      <w:r w:rsidRPr="002100B0">
        <w:rPr>
          <w:rFonts w:cstheme="minorBidi" w:hint="eastAsia"/>
          <w:lang w:eastAsia="zh-CN"/>
        </w:rPr>
        <w:t>年预算执行</w:t>
      </w:r>
      <w:r>
        <w:rPr>
          <w:rFonts w:cstheme="minorBidi" w:hint="eastAsia"/>
          <w:lang w:eastAsia="zh-CN"/>
        </w:rPr>
        <w:t>情况</w:t>
      </w:r>
      <w:r w:rsidRPr="002100B0">
        <w:rPr>
          <w:rFonts w:cstheme="minorBidi" w:hint="eastAsia"/>
          <w:lang w:eastAsia="zh-CN"/>
        </w:rPr>
        <w:t>主要</w:t>
      </w:r>
      <w:r>
        <w:rPr>
          <w:rFonts w:cstheme="minorBidi" w:hint="eastAsia"/>
          <w:lang w:eastAsia="zh-CN"/>
        </w:rPr>
        <w:t>受以下因素影响：</w:t>
      </w:r>
      <w:r w:rsidRPr="002100B0">
        <w:rPr>
          <w:rFonts w:cstheme="minorBidi" w:hint="eastAsia"/>
          <w:lang w:eastAsia="zh-CN"/>
        </w:rPr>
        <w:t>现金和现金等价物的</w:t>
      </w:r>
      <w:r>
        <w:rPr>
          <w:rFonts w:cstheme="minorBidi" w:hint="eastAsia"/>
          <w:lang w:eastAsia="zh-CN"/>
        </w:rPr>
        <w:t>利息</w:t>
      </w:r>
      <w:r w:rsidRPr="002100B0">
        <w:rPr>
          <w:rFonts w:cstheme="minorBidi" w:hint="eastAsia"/>
          <w:lang w:eastAsia="zh-CN"/>
        </w:rPr>
        <w:t>收益</w:t>
      </w:r>
      <w:r>
        <w:rPr>
          <w:rFonts w:cstheme="minorBidi" w:hint="eastAsia"/>
          <w:lang w:eastAsia="zh-CN"/>
        </w:rPr>
        <w:t>增幅超预期</w:t>
      </w:r>
      <w:r w:rsidRPr="002100B0">
        <w:rPr>
          <w:rFonts w:cstheme="minorBidi" w:hint="eastAsia"/>
          <w:lang w:eastAsia="zh-CN"/>
        </w:rPr>
        <w:t>、运营</w:t>
      </w:r>
      <w:r>
        <w:rPr>
          <w:rFonts w:cstheme="minorBidi" w:hint="eastAsia"/>
          <w:lang w:eastAsia="zh-CN"/>
        </w:rPr>
        <w:t>支出</w:t>
      </w:r>
      <w:r w:rsidRPr="002100B0">
        <w:rPr>
          <w:rFonts w:cstheme="minorBidi" w:hint="eastAsia"/>
          <w:lang w:eastAsia="zh-CN"/>
        </w:rPr>
        <w:t>节余和招聘推迟。更多</w:t>
      </w:r>
      <w:r>
        <w:rPr>
          <w:rFonts w:cstheme="minorBidi" w:hint="eastAsia"/>
          <w:lang w:eastAsia="zh-CN"/>
        </w:rPr>
        <w:t>详细内容</w:t>
      </w:r>
      <w:r w:rsidRPr="002100B0">
        <w:rPr>
          <w:rFonts w:cstheme="minorBidi" w:hint="eastAsia"/>
          <w:lang w:eastAsia="zh-CN"/>
        </w:rPr>
        <w:t>见表</w:t>
      </w:r>
      <w:r w:rsidRPr="002100B0">
        <w:rPr>
          <w:rFonts w:cstheme="minorBidi" w:hint="eastAsia"/>
          <w:lang w:eastAsia="zh-CN"/>
        </w:rPr>
        <w:t>1</w:t>
      </w:r>
      <w:r w:rsidRPr="002100B0">
        <w:rPr>
          <w:rFonts w:cstheme="minorBidi" w:hint="eastAsia"/>
          <w:lang w:eastAsia="zh-CN"/>
        </w:rPr>
        <w:t>至表</w:t>
      </w:r>
      <w:r w:rsidRPr="002100B0">
        <w:rPr>
          <w:rFonts w:cstheme="minorBidi" w:hint="eastAsia"/>
          <w:lang w:eastAsia="zh-CN"/>
        </w:rPr>
        <w:t>4</w:t>
      </w:r>
      <w:r w:rsidRPr="002100B0">
        <w:rPr>
          <w:rFonts w:cstheme="minorBidi" w:hint="eastAsia"/>
          <w:lang w:eastAsia="zh-CN"/>
        </w:rPr>
        <w:t>。</w:t>
      </w:r>
    </w:p>
    <w:p w14:paraId="1906AB00" w14:textId="77777777" w:rsidR="001553F7" w:rsidRDefault="001553F7" w:rsidP="00EE1F0C">
      <w:pPr>
        <w:pStyle w:val="TableNo"/>
      </w:pPr>
      <w:r>
        <w:rPr>
          <w:rFonts w:hint="eastAsia"/>
        </w:rPr>
        <w:lastRenderedPageBreak/>
        <w:t>表</w:t>
      </w:r>
      <w:r>
        <w:t>1</w:t>
      </w:r>
    </w:p>
    <w:p w14:paraId="2FDAE4C3" w14:textId="52DE476E" w:rsidR="001553F7" w:rsidRPr="00B14C5D" w:rsidRDefault="00607EDA" w:rsidP="00B14C5D">
      <w:pPr>
        <w:pStyle w:val="Figure"/>
      </w:pPr>
      <w:r w:rsidRPr="00B14C5D">
        <w:drawing>
          <wp:inline distT="0" distB="0" distL="0" distR="0" wp14:anchorId="56AD181D" wp14:editId="346739FA">
            <wp:extent cx="3564000" cy="992297"/>
            <wp:effectExtent l="0" t="0" r="0" b="0"/>
            <wp:docPr id="20692724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9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FF70" w14:textId="77777777" w:rsidR="001553F7" w:rsidRDefault="001553F7" w:rsidP="008D5C76">
      <w:pPr>
        <w:pStyle w:val="Normalaftertitle"/>
        <w:ind w:firstLineChars="200" w:firstLine="480"/>
        <w:rPr>
          <w:lang w:eastAsia="zh-CN"/>
        </w:rPr>
      </w:pPr>
      <w:r w:rsidRPr="002100B0">
        <w:rPr>
          <w:rFonts w:hint="eastAsia"/>
          <w:lang w:eastAsia="zh-CN"/>
        </w:rPr>
        <w:t>表</w:t>
      </w:r>
      <w:r w:rsidRPr="002100B0">
        <w:rPr>
          <w:rFonts w:hint="eastAsia"/>
          <w:lang w:eastAsia="zh-CN"/>
        </w:rPr>
        <w:t>2</w:t>
      </w:r>
      <w:r w:rsidRPr="002100B0">
        <w:rPr>
          <w:rFonts w:hint="eastAsia"/>
          <w:lang w:eastAsia="zh-CN"/>
        </w:rPr>
        <w:t>和图</w:t>
      </w:r>
      <w:r w:rsidRPr="002100B0">
        <w:rPr>
          <w:rFonts w:hint="eastAsia"/>
          <w:lang w:eastAsia="zh-CN"/>
        </w:rPr>
        <w:t>1</w:t>
      </w:r>
      <w:r w:rsidRPr="002100B0">
        <w:rPr>
          <w:rFonts w:hint="eastAsia"/>
          <w:lang w:eastAsia="zh-CN"/>
        </w:rPr>
        <w:t>按部门提供了支出明细：</w:t>
      </w:r>
    </w:p>
    <w:p w14:paraId="33111CBD" w14:textId="77777777" w:rsidR="001553F7" w:rsidRPr="007E6C06" w:rsidRDefault="001553F7" w:rsidP="00EE1F0C">
      <w:pPr>
        <w:pStyle w:val="TableNo"/>
      </w:pPr>
      <w:r w:rsidRPr="007E6C06">
        <w:rPr>
          <w:rFonts w:hint="eastAsia"/>
        </w:rPr>
        <w:t>表</w:t>
      </w:r>
      <w:r w:rsidRPr="007E6C06">
        <w:t>2</w:t>
      </w:r>
    </w:p>
    <w:p w14:paraId="7F04AA9E" w14:textId="53C73BA9" w:rsidR="00E40965" w:rsidRPr="00B14C5D" w:rsidRDefault="00E40965" w:rsidP="00B14C5D">
      <w:pPr>
        <w:pStyle w:val="Figure"/>
      </w:pPr>
      <w:r w:rsidRPr="00B14C5D">
        <w:drawing>
          <wp:inline distT="0" distB="0" distL="0" distR="0" wp14:anchorId="0288068A" wp14:editId="7A373276">
            <wp:extent cx="5760085" cy="1578610"/>
            <wp:effectExtent l="0" t="0" r="0" b="2540"/>
            <wp:docPr id="19192699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79B5C" w14:textId="77777777" w:rsidR="001553F7" w:rsidRPr="00EE1F0C" w:rsidRDefault="001553F7" w:rsidP="00EE1F0C">
      <w:pPr>
        <w:pStyle w:val="FigureNo"/>
      </w:pPr>
      <w:r w:rsidRPr="00EE1F0C">
        <w:rPr>
          <w:rFonts w:hint="eastAsia"/>
        </w:rPr>
        <w:t>图</w:t>
      </w:r>
      <w:r w:rsidRPr="00EE1F0C">
        <w:t>1</w:t>
      </w:r>
    </w:p>
    <w:p w14:paraId="12E24224" w14:textId="00177FD6" w:rsidR="00A57D61" w:rsidRPr="00B14C5D" w:rsidRDefault="00A57D61" w:rsidP="00B14C5D">
      <w:pPr>
        <w:pStyle w:val="Figure"/>
      </w:pPr>
      <w:r w:rsidRPr="00B14C5D">
        <w:drawing>
          <wp:inline distT="0" distB="0" distL="0" distR="0" wp14:anchorId="6DE9C88C" wp14:editId="63D60292">
            <wp:extent cx="5400000" cy="2599725"/>
            <wp:effectExtent l="0" t="0" r="0" b="0"/>
            <wp:docPr id="4132261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9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E0CFE" w14:textId="77777777" w:rsidR="001553F7" w:rsidRPr="00D5155B" w:rsidRDefault="001553F7" w:rsidP="001E7D4D">
      <w:pPr>
        <w:pStyle w:val="Normalaftertitle"/>
        <w:keepNext/>
        <w:ind w:firstLineChars="200" w:firstLine="480"/>
        <w:rPr>
          <w:lang w:eastAsia="zh-CN"/>
        </w:rPr>
      </w:pPr>
      <w:r w:rsidRPr="002100B0">
        <w:rPr>
          <w:rFonts w:hint="eastAsia"/>
          <w:lang w:eastAsia="zh-CN"/>
        </w:rPr>
        <w:lastRenderedPageBreak/>
        <w:t>表</w:t>
      </w:r>
      <w:r w:rsidRPr="002100B0">
        <w:rPr>
          <w:rFonts w:hint="eastAsia"/>
          <w:lang w:eastAsia="zh-CN"/>
        </w:rPr>
        <w:t>3</w:t>
      </w:r>
      <w:r w:rsidRPr="002100B0">
        <w:rPr>
          <w:rFonts w:hint="eastAsia"/>
          <w:lang w:eastAsia="zh-CN"/>
        </w:rPr>
        <w:t>和图</w:t>
      </w:r>
      <w:r w:rsidRPr="002100B0">
        <w:rPr>
          <w:rFonts w:hint="eastAsia"/>
          <w:lang w:eastAsia="zh-CN"/>
        </w:rPr>
        <w:t>2</w:t>
      </w:r>
      <w:r w:rsidRPr="002100B0">
        <w:rPr>
          <w:rFonts w:hint="eastAsia"/>
          <w:lang w:eastAsia="zh-CN"/>
        </w:rPr>
        <w:t>提供了按来源划分的收入明细：</w:t>
      </w:r>
    </w:p>
    <w:p w14:paraId="2A65680E" w14:textId="77777777" w:rsidR="001553F7" w:rsidRPr="00EE1F0C" w:rsidRDefault="001553F7" w:rsidP="00EE1F0C">
      <w:pPr>
        <w:pStyle w:val="TableNo"/>
      </w:pPr>
      <w:r>
        <w:rPr>
          <w:rFonts w:hint="eastAsia"/>
        </w:rPr>
        <w:t>表</w:t>
      </w:r>
      <w:r>
        <w:t>3</w:t>
      </w:r>
    </w:p>
    <w:p w14:paraId="6758631D" w14:textId="6E2B82C9" w:rsidR="001553F7" w:rsidRDefault="00C9427F" w:rsidP="00B14C5D">
      <w:pPr>
        <w:pStyle w:val="Figure"/>
        <w:rPr>
          <w:lang w:eastAsia="zh-CN"/>
        </w:rPr>
      </w:pPr>
      <w:r w:rsidRPr="00C9427F">
        <w:drawing>
          <wp:inline distT="0" distB="0" distL="0" distR="0" wp14:anchorId="13D4D04A" wp14:editId="4DDF819C">
            <wp:extent cx="5760085" cy="2188210"/>
            <wp:effectExtent l="0" t="0" r="0" b="2540"/>
            <wp:docPr id="3905612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8A8D" w14:textId="423299B9" w:rsidR="001553F7" w:rsidRDefault="001553F7" w:rsidP="00EE1F0C">
      <w:pPr>
        <w:pStyle w:val="FigureNo"/>
      </w:pPr>
      <w:r w:rsidRPr="00B67610">
        <w:rPr>
          <w:rFonts w:hint="eastAsia"/>
        </w:rPr>
        <w:t>图</w:t>
      </w:r>
      <w:r w:rsidRPr="00B67610">
        <w:t>2</w:t>
      </w:r>
    </w:p>
    <w:p w14:paraId="00FD380C" w14:textId="4C63C4B4" w:rsidR="00922336" w:rsidRDefault="00B67610" w:rsidP="00B14C5D">
      <w:pPr>
        <w:pStyle w:val="Figure"/>
      </w:pPr>
      <w:r>
        <w:drawing>
          <wp:inline distT="0" distB="0" distL="0" distR="0" wp14:anchorId="17A4B699" wp14:editId="527422B1">
            <wp:extent cx="5096510" cy="3602990"/>
            <wp:effectExtent l="0" t="0" r="8890" b="0"/>
            <wp:docPr id="50028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DE880" w14:textId="77777777" w:rsidR="001553F7" w:rsidRPr="00D5155B" w:rsidRDefault="001553F7" w:rsidP="001E7D4D">
      <w:pPr>
        <w:keepNext/>
        <w:rPr>
          <w:lang w:eastAsia="zh-CN"/>
        </w:rPr>
      </w:pPr>
      <w:r w:rsidRPr="002100B0">
        <w:rPr>
          <w:rFonts w:hint="eastAsia"/>
          <w:lang w:eastAsia="zh-CN"/>
        </w:rPr>
        <w:lastRenderedPageBreak/>
        <w:t>表</w:t>
      </w:r>
      <w:r w:rsidRPr="002100B0">
        <w:rPr>
          <w:rFonts w:hint="eastAsia"/>
          <w:lang w:eastAsia="zh-CN"/>
        </w:rPr>
        <w:t>4</w:t>
      </w:r>
      <w:r w:rsidRPr="002100B0">
        <w:rPr>
          <w:rFonts w:hint="eastAsia"/>
          <w:lang w:eastAsia="zh-CN"/>
        </w:rPr>
        <w:t>提供了成本回收收入</w:t>
      </w:r>
      <w:r>
        <w:rPr>
          <w:rFonts w:hint="eastAsia"/>
          <w:lang w:eastAsia="zh-CN"/>
        </w:rPr>
        <w:t>明细</w:t>
      </w:r>
      <w:r w:rsidRPr="002100B0">
        <w:rPr>
          <w:rFonts w:hint="eastAsia"/>
          <w:lang w:eastAsia="zh-CN"/>
        </w:rPr>
        <w:t>：</w:t>
      </w:r>
    </w:p>
    <w:p w14:paraId="028D43D4" w14:textId="77777777" w:rsidR="001553F7" w:rsidRDefault="001553F7" w:rsidP="00EE1F0C">
      <w:pPr>
        <w:pStyle w:val="TableNo"/>
      </w:pPr>
      <w:r>
        <w:rPr>
          <w:rFonts w:hint="eastAsia"/>
        </w:rPr>
        <w:t>表</w:t>
      </w:r>
      <w:r>
        <w:t>4</w:t>
      </w:r>
    </w:p>
    <w:p w14:paraId="2B59EB8C" w14:textId="7834B315" w:rsidR="00E77136" w:rsidRDefault="004843CD" w:rsidP="00B14C5D">
      <w:pPr>
        <w:pStyle w:val="Figure"/>
      </w:pPr>
      <w:r w:rsidRPr="004843CD">
        <w:drawing>
          <wp:inline distT="0" distB="0" distL="0" distR="0" wp14:anchorId="702BC01C" wp14:editId="44AF8EC8">
            <wp:extent cx="5760085" cy="1798320"/>
            <wp:effectExtent l="0" t="0" r="0" b="0"/>
            <wp:docPr id="31197218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FF6B" w14:textId="77777777" w:rsidR="007F2469" w:rsidRDefault="007F2469" w:rsidP="007F2469"/>
    <w:p w14:paraId="7C7F8E6D" w14:textId="451AAC89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0A0B" w14:textId="77777777" w:rsidR="00B33B87" w:rsidRDefault="00B33B87">
      <w:r>
        <w:separator/>
      </w:r>
    </w:p>
  </w:endnote>
  <w:endnote w:type="continuationSeparator" w:id="0">
    <w:p w14:paraId="53B27082" w14:textId="77777777" w:rsidR="00B33B87" w:rsidRDefault="00B3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0DB77FF0" w:rsidR="00E24D59" w:rsidRPr="00A13406" w:rsidRDefault="002519E9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2519E9">
            <w:rPr>
              <w:noProof/>
              <w:color w:val="808080" w:themeColor="background1" w:themeShade="80"/>
            </w:rPr>
            <w:t>2501240</w:t>
          </w:r>
        </w:p>
      </w:tc>
      <w:tc>
        <w:tcPr>
          <w:tcW w:w="8261" w:type="dxa"/>
        </w:tcPr>
        <w:p w14:paraId="4BD8989B" w14:textId="06382FA4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0E48FF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779D138F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2519E9" w:rsidRPr="002519E9">
            <w:rPr>
              <w:bCs/>
              <w:color w:val="808080" w:themeColor="background1" w:themeShade="80"/>
            </w:rPr>
            <w:t>9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C1C0" w14:textId="77777777" w:rsidR="00B33B87" w:rsidRDefault="00B33B87">
      <w:r>
        <w:t>____________________</w:t>
      </w:r>
    </w:p>
  </w:footnote>
  <w:footnote w:type="continuationSeparator" w:id="0">
    <w:p w14:paraId="7D476BB8" w14:textId="77777777" w:rsidR="00B33B87" w:rsidRDefault="00B3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B61"/>
    <w:multiLevelType w:val="hybridMultilevel"/>
    <w:tmpl w:val="6614AB62"/>
    <w:lvl w:ilvl="0" w:tplc="6FE41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42415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53C0"/>
    <w:rsid w:val="00093DD9"/>
    <w:rsid w:val="0009409E"/>
    <w:rsid w:val="000A1C21"/>
    <w:rsid w:val="000C0BC5"/>
    <w:rsid w:val="000D15EA"/>
    <w:rsid w:val="000D7012"/>
    <w:rsid w:val="000E48FF"/>
    <w:rsid w:val="00100D84"/>
    <w:rsid w:val="001113B9"/>
    <w:rsid w:val="00124C9D"/>
    <w:rsid w:val="001305DE"/>
    <w:rsid w:val="0015333E"/>
    <w:rsid w:val="001553F7"/>
    <w:rsid w:val="00157773"/>
    <w:rsid w:val="0018251A"/>
    <w:rsid w:val="00190272"/>
    <w:rsid w:val="00193244"/>
    <w:rsid w:val="00195C6C"/>
    <w:rsid w:val="00195FED"/>
    <w:rsid w:val="001A4BD6"/>
    <w:rsid w:val="001B5E6F"/>
    <w:rsid w:val="001B6E2B"/>
    <w:rsid w:val="001D5A18"/>
    <w:rsid w:val="001E7D4D"/>
    <w:rsid w:val="00215132"/>
    <w:rsid w:val="00224449"/>
    <w:rsid w:val="002519E9"/>
    <w:rsid w:val="00280EB8"/>
    <w:rsid w:val="002A6670"/>
    <w:rsid w:val="002C3F32"/>
    <w:rsid w:val="0030226E"/>
    <w:rsid w:val="00303502"/>
    <w:rsid w:val="00325C25"/>
    <w:rsid w:val="00326DEF"/>
    <w:rsid w:val="00345871"/>
    <w:rsid w:val="00372C8F"/>
    <w:rsid w:val="00380ECE"/>
    <w:rsid w:val="00393DDF"/>
    <w:rsid w:val="00397F55"/>
    <w:rsid w:val="003B4454"/>
    <w:rsid w:val="003C2E37"/>
    <w:rsid w:val="003C7411"/>
    <w:rsid w:val="003F086E"/>
    <w:rsid w:val="003F1415"/>
    <w:rsid w:val="0040144C"/>
    <w:rsid w:val="00403EB7"/>
    <w:rsid w:val="004178E6"/>
    <w:rsid w:val="00430BF0"/>
    <w:rsid w:val="00457BC3"/>
    <w:rsid w:val="00467157"/>
    <w:rsid w:val="004672E6"/>
    <w:rsid w:val="004679E2"/>
    <w:rsid w:val="00474ED1"/>
    <w:rsid w:val="00477D57"/>
    <w:rsid w:val="004843CD"/>
    <w:rsid w:val="00491BA9"/>
    <w:rsid w:val="00493085"/>
    <w:rsid w:val="004A36EC"/>
    <w:rsid w:val="004D163F"/>
    <w:rsid w:val="004E4BFF"/>
    <w:rsid w:val="004F2598"/>
    <w:rsid w:val="00525093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07EDA"/>
    <w:rsid w:val="00630DD5"/>
    <w:rsid w:val="00637584"/>
    <w:rsid w:val="00644B53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3506"/>
    <w:rsid w:val="00726073"/>
    <w:rsid w:val="00734FE8"/>
    <w:rsid w:val="007360CE"/>
    <w:rsid w:val="0077110E"/>
    <w:rsid w:val="00772315"/>
    <w:rsid w:val="00775157"/>
    <w:rsid w:val="007813AE"/>
    <w:rsid w:val="007A37DB"/>
    <w:rsid w:val="007A77B3"/>
    <w:rsid w:val="007E189D"/>
    <w:rsid w:val="007E6C06"/>
    <w:rsid w:val="007F0210"/>
    <w:rsid w:val="007F2469"/>
    <w:rsid w:val="00804D55"/>
    <w:rsid w:val="00806E3F"/>
    <w:rsid w:val="00811259"/>
    <w:rsid w:val="00813AA2"/>
    <w:rsid w:val="008173A3"/>
    <w:rsid w:val="008418F5"/>
    <w:rsid w:val="0086059C"/>
    <w:rsid w:val="00864589"/>
    <w:rsid w:val="00874C82"/>
    <w:rsid w:val="008852EB"/>
    <w:rsid w:val="00890AFB"/>
    <w:rsid w:val="00890FC4"/>
    <w:rsid w:val="00895905"/>
    <w:rsid w:val="008C4BDD"/>
    <w:rsid w:val="008D5C76"/>
    <w:rsid w:val="008F64AD"/>
    <w:rsid w:val="00911230"/>
    <w:rsid w:val="00911867"/>
    <w:rsid w:val="009164A9"/>
    <w:rsid w:val="00922336"/>
    <w:rsid w:val="009258CB"/>
    <w:rsid w:val="0093362E"/>
    <w:rsid w:val="00944563"/>
    <w:rsid w:val="00953160"/>
    <w:rsid w:val="00956144"/>
    <w:rsid w:val="009625D8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272FF"/>
    <w:rsid w:val="00A44DC7"/>
    <w:rsid w:val="00A5354B"/>
    <w:rsid w:val="00A57D61"/>
    <w:rsid w:val="00A71B57"/>
    <w:rsid w:val="00AB42C1"/>
    <w:rsid w:val="00AC516F"/>
    <w:rsid w:val="00AE195F"/>
    <w:rsid w:val="00AE2926"/>
    <w:rsid w:val="00B0184B"/>
    <w:rsid w:val="00B035CD"/>
    <w:rsid w:val="00B0769D"/>
    <w:rsid w:val="00B14C5D"/>
    <w:rsid w:val="00B173EA"/>
    <w:rsid w:val="00B217F8"/>
    <w:rsid w:val="00B218E9"/>
    <w:rsid w:val="00B332EA"/>
    <w:rsid w:val="00B33B87"/>
    <w:rsid w:val="00B349EE"/>
    <w:rsid w:val="00B37D51"/>
    <w:rsid w:val="00B40A53"/>
    <w:rsid w:val="00B45365"/>
    <w:rsid w:val="00B46A65"/>
    <w:rsid w:val="00B60184"/>
    <w:rsid w:val="00B62D20"/>
    <w:rsid w:val="00B65B6F"/>
    <w:rsid w:val="00B67610"/>
    <w:rsid w:val="00B80ACB"/>
    <w:rsid w:val="00B81E75"/>
    <w:rsid w:val="00B93453"/>
    <w:rsid w:val="00B9445B"/>
    <w:rsid w:val="00BD0954"/>
    <w:rsid w:val="00BD1A5A"/>
    <w:rsid w:val="00BD7A9B"/>
    <w:rsid w:val="00BD7BE1"/>
    <w:rsid w:val="00BF416B"/>
    <w:rsid w:val="00C45EB2"/>
    <w:rsid w:val="00C505A5"/>
    <w:rsid w:val="00C64E4E"/>
    <w:rsid w:val="00C66E64"/>
    <w:rsid w:val="00C761A0"/>
    <w:rsid w:val="00C85F7E"/>
    <w:rsid w:val="00C90D53"/>
    <w:rsid w:val="00C9427F"/>
    <w:rsid w:val="00CA0B2E"/>
    <w:rsid w:val="00CA6EF7"/>
    <w:rsid w:val="00CD47F0"/>
    <w:rsid w:val="00CD5566"/>
    <w:rsid w:val="00CD64D7"/>
    <w:rsid w:val="00CE299D"/>
    <w:rsid w:val="00CE6F22"/>
    <w:rsid w:val="00CF0B15"/>
    <w:rsid w:val="00CF41F6"/>
    <w:rsid w:val="00CF7D3E"/>
    <w:rsid w:val="00D0258F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5355"/>
    <w:rsid w:val="00E265BF"/>
    <w:rsid w:val="00E323D0"/>
    <w:rsid w:val="00E34C96"/>
    <w:rsid w:val="00E378D8"/>
    <w:rsid w:val="00E40965"/>
    <w:rsid w:val="00E43A12"/>
    <w:rsid w:val="00E67C67"/>
    <w:rsid w:val="00E77136"/>
    <w:rsid w:val="00E77476"/>
    <w:rsid w:val="00E8228B"/>
    <w:rsid w:val="00E97582"/>
    <w:rsid w:val="00EE1F0C"/>
    <w:rsid w:val="00EE5706"/>
    <w:rsid w:val="00EF373D"/>
    <w:rsid w:val="00F11595"/>
    <w:rsid w:val="00F13BC9"/>
    <w:rsid w:val="00F357B2"/>
    <w:rsid w:val="00F36556"/>
    <w:rsid w:val="00F37649"/>
    <w:rsid w:val="00F569BF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14C5D"/>
    <w:pPr>
      <w:spacing w:after="240"/>
      <w:jc w:val="center"/>
    </w:pPr>
    <w:rPr>
      <w:noProof/>
    </w:r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EE1F0C"/>
    <w:pPr>
      <w:keepNext/>
      <w:spacing w:before="480" w:after="120"/>
      <w:jc w:val="center"/>
    </w:pPr>
    <w:rPr>
      <w:caps/>
      <w:lang w:eastAsia="zh-CN"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1F0C"/>
    <w:pPr>
      <w:keepNext/>
      <w:keepLines/>
      <w:spacing w:before="480" w:after="120"/>
      <w:jc w:val="center"/>
    </w:pPr>
    <w:rPr>
      <w:caps/>
      <w:lang w:eastAsia="zh-CN"/>
    </w:rPr>
  </w:style>
  <w:style w:type="paragraph" w:customStyle="1" w:styleId="Figurewithouttitle">
    <w:name w:val="Figure_without_title"/>
    <w:basedOn w:val="Figure"/>
    <w:next w:val="Normalaftertitle"/>
    <w:rsid w:val="006C36CD"/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5/en" TargetMode="Externa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DEC-005-C.pdf" TargetMode="Externa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1251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of the implementation of the budget 2025</dc:title>
  <dc:subject>ITU Council 2025</dc:subject>
  <cp:keywords>C2025, C25, Council-25</cp:keywords>
  <dc:description/>
  <cp:lastPrinted>2015-02-24T13:23:00Z</cp:lastPrinted>
  <dcterms:created xsi:type="dcterms:W3CDTF">2025-05-29T07:38:00Z</dcterms:created>
  <dcterms:modified xsi:type="dcterms:W3CDTF">2025-05-29T07:38:00Z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