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691EFE" w:rsidRPr="00BB6FD8" w14:paraId="3F6CB3BB" w14:textId="77777777" w:rsidTr="00C538FC">
        <w:trPr>
          <w:cantSplit/>
          <w:trHeight w:val="23"/>
        </w:trPr>
        <w:tc>
          <w:tcPr>
            <w:tcW w:w="3969" w:type="dxa"/>
            <w:vMerge w:val="restart"/>
            <w:tcMar>
              <w:left w:w="0" w:type="dxa"/>
            </w:tcMar>
          </w:tcPr>
          <w:p w14:paraId="26CEF4E4" w14:textId="4C6D4259" w:rsidR="00691EFE" w:rsidRPr="00BB6FD8" w:rsidRDefault="00691EFE" w:rsidP="00691EFE">
            <w:pPr>
              <w:tabs>
                <w:tab w:val="left" w:pos="851"/>
              </w:tabs>
              <w:spacing w:before="0" w:line="240" w:lineRule="atLeast"/>
              <w:rPr>
                <w:b/>
              </w:rPr>
            </w:pPr>
            <w:bookmarkStart w:id="0" w:name="_Hlk133421839"/>
            <w:r w:rsidRPr="00F05921">
              <w:rPr>
                <w:b/>
                <w:lang w:val="es-ES"/>
              </w:rPr>
              <w:t>Punto del orden del día: PL 2</w:t>
            </w:r>
          </w:p>
        </w:tc>
        <w:tc>
          <w:tcPr>
            <w:tcW w:w="5245" w:type="dxa"/>
          </w:tcPr>
          <w:p w14:paraId="6C958719" w14:textId="03B8445D" w:rsidR="00691EFE" w:rsidRPr="00BB6FD8" w:rsidRDefault="00691EFE" w:rsidP="00691EFE">
            <w:pPr>
              <w:tabs>
                <w:tab w:val="left" w:pos="851"/>
              </w:tabs>
              <w:spacing w:before="0" w:line="240" w:lineRule="atLeast"/>
              <w:jc w:val="right"/>
              <w:rPr>
                <w:b/>
              </w:rPr>
            </w:pPr>
            <w:r w:rsidRPr="00C0458D">
              <w:rPr>
                <w:b/>
              </w:rPr>
              <w:t>Document</w:t>
            </w:r>
            <w:r>
              <w:rPr>
                <w:b/>
              </w:rPr>
              <w:t>o</w:t>
            </w:r>
            <w:r w:rsidRPr="00C0458D">
              <w:rPr>
                <w:b/>
              </w:rPr>
              <w:t xml:space="preserve"> C25/</w:t>
            </w:r>
            <w:r>
              <w:rPr>
                <w:b/>
              </w:rPr>
              <w:t>6</w:t>
            </w:r>
            <w:r w:rsidRPr="00C0458D">
              <w:rPr>
                <w:b/>
              </w:rPr>
              <w:t>-</w:t>
            </w:r>
            <w:r>
              <w:rPr>
                <w:b/>
              </w:rPr>
              <w:t>S</w:t>
            </w:r>
          </w:p>
        </w:tc>
      </w:tr>
      <w:tr w:rsidR="00691EFE" w:rsidRPr="00666D09" w14:paraId="3353BDC7" w14:textId="77777777" w:rsidTr="00C538FC">
        <w:trPr>
          <w:cantSplit/>
        </w:trPr>
        <w:tc>
          <w:tcPr>
            <w:tcW w:w="3969" w:type="dxa"/>
            <w:vMerge/>
          </w:tcPr>
          <w:p w14:paraId="4837EB45" w14:textId="77777777" w:rsidR="00691EFE" w:rsidRPr="00BB6FD8" w:rsidRDefault="00691EFE" w:rsidP="00691EFE">
            <w:pPr>
              <w:tabs>
                <w:tab w:val="left" w:pos="851"/>
              </w:tabs>
              <w:spacing w:line="240" w:lineRule="atLeast"/>
              <w:rPr>
                <w:b/>
              </w:rPr>
            </w:pPr>
          </w:p>
        </w:tc>
        <w:tc>
          <w:tcPr>
            <w:tcW w:w="5245" w:type="dxa"/>
          </w:tcPr>
          <w:p w14:paraId="244983D8" w14:textId="5AA67EAC" w:rsidR="00691EFE" w:rsidRPr="004F3AC1" w:rsidRDefault="00C9508B" w:rsidP="00691EFE">
            <w:pPr>
              <w:tabs>
                <w:tab w:val="left" w:pos="851"/>
              </w:tabs>
              <w:spacing w:before="0"/>
              <w:jc w:val="right"/>
              <w:rPr>
                <w:b/>
                <w:lang w:val="es-ES"/>
              </w:rPr>
            </w:pPr>
            <w:r>
              <w:rPr>
                <w:b/>
              </w:rPr>
              <w:t>16 de mayo</w:t>
            </w:r>
            <w:r w:rsidR="00691EFE">
              <w:rPr>
                <w:b/>
              </w:rPr>
              <w:t xml:space="preserve"> de 2025</w:t>
            </w:r>
          </w:p>
        </w:tc>
      </w:tr>
      <w:tr w:rsidR="00691EFE" w:rsidRPr="00BB6FD8" w14:paraId="5F21B0B2" w14:textId="77777777" w:rsidTr="00C538FC">
        <w:trPr>
          <w:cantSplit/>
          <w:trHeight w:val="23"/>
        </w:trPr>
        <w:tc>
          <w:tcPr>
            <w:tcW w:w="3969" w:type="dxa"/>
            <w:vMerge/>
          </w:tcPr>
          <w:p w14:paraId="2EA439A2" w14:textId="77777777" w:rsidR="00691EFE" w:rsidRPr="004F3AC1" w:rsidRDefault="00691EFE" w:rsidP="00691EFE">
            <w:pPr>
              <w:tabs>
                <w:tab w:val="left" w:pos="851"/>
              </w:tabs>
              <w:spacing w:line="240" w:lineRule="atLeast"/>
              <w:rPr>
                <w:b/>
                <w:lang w:val="es-ES"/>
              </w:rPr>
            </w:pPr>
          </w:p>
        </w:tc>
        <w:tc>
          <w:tcPr>
            <w:tcW w:w="5245" w:type="dxa"/>
          </w:tcPr>
          <w:p w14:paraId="6D43DA7C" w14:textId="31EA823C" w:rsidR="00691EFE" w:rsidRPr="00BB6FD8" w:rsidRDefault="00691EFE" w:rsidP="00691EFE">
            <w:pPr>
              <w:tabs>
                <w:tab w:val="left" w:pos="851"/>
              </w:tabs>
              <w:spacing w:before="0" w:line="240" w:lineRule="atLeast"/>
              <w:jc w:val="right"/>
              <w:rPr>
                <w:b/>
                <w:bCs/>
              </w:rPr>
            </w:pPr>
            <w:r w:rsidRPr="00C0458D">
              <w:rPr>
                <w:b/>
              </w:rPr>
              <w:t xml:space="preserve">Original: </w:t>
            </w:r>
            <w:r>
              <w:rPr>
                <w:b/>
              </w:rPr>
              <w:t>inglés</w:t>
            </w:r>
          </w:p>
        </w:tc>
      </w:tr>
      <w:tr w:rsidR="00FE57F6" w:rsidRPr="00BB6FD8" w14:paraId="4B12A699" w14:textId="77777777" w:rsidTr="00C538FC">
        <w:trPr>
          <w:cantSplit/>
          <w:trHeight w:val="23"/>
        </w:trPr>
        <w:tc>
          <w:tcPr>
            <w:tcW w:w="3969" w:type="dxa"/>
          </w:tcPr>
          <w:p w14:paraId="2A847B00" w14:textId="77777777" w:rsidR="00FE57F6" w:rsidRPr="00BB6FD8" w:rsidRDefault="00FE57F6" w:rsidP="00C538FC">
            <w:pPr>
              <w:tabs>
                <w:tab w:val="left" w:pos="851"/>
              </w:tabs>
              <w:spacing w:line="240" w:lineRule="atLeast"/>
              <w:rPr>
                <w:b/>
              </w:rPr>
            </w:pPr>
          </w:p>
        </w:tc>
        <w:tc>
          <w:tcPr>
            <w:tcW w:w="5245" w:type="dxa"/>
          </w:tcPr>
          <w:p w14:paraId="376F7CC7" w14:textId="77777777" w:rsidR="00FE57F6" w:rsidRPr="00BB6FD8" w:rsidRDefault="00FE57F6" w:rsidP="00C538FC">
            <w:pPr>
              <w:tabs>
                <w:tab w:val="left" w:pos="851"/>
              </w:tabs>
              <w:spacing w:before="0" w:line="240" w:lineRule="atLeast"/>
              <w:jc w:val="right"/>
              <w:rPr>
                <w:b/>
              </w:rPr>
            </w:pPr>
          </w:p>
        </w:tc>
      </w:tr>
      <w:tr w:rsidR="00FE57F6" w:rsidRPr="00BB6FD8" w14:paraId="58796F27" w14:textId="77777777" w:rsidTr="00C538FC">
        <w:trPr>
          <w:cantSplit/>
        </w:trPr>
        <w:tc>
          <w:tcPr>
            <w:tcW w:w="9214" w:type="dxa"/>
            <w:gridSpan w:val="2"/>
            <w:tcMar>
              <w:left w:w="0" w:type="dxa"/>
            </w:tcMar>
          </w:tcPr>
          <w:p w14:paraId="258E204A"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28ED741D" w14:textId="77777777" w:rsidTr="00C538FC">
        <w:trPr>
          <w:cantSplit/>
        </w:trPr>
        <w:tc>
          <w:tcPr>
            <w:tcW w:w="9214" w:type="dxa"/>
            <w:gridSpan w:val="2"/>
            <w:tcMar>
              <w:left w:w="0" w:type="dxa"/>
            </w:tcMar>
          </w:tcPr>
          <w:p w14:paraId="45AA14D1" w14:textId="3B575280" w:rsidR="00FE57F6" w:rsidRPr="00F92BED" w:rsidRDefault="002D1C57" w:rsidP="00F92BED">
            <w:pPr>
              <w:pStyle w:val="Subtitle"/>
              <w:framePr w:hSpace="0" w:wrap="auto" w:vAnchor="margin" w:hAnchor="text" w:xAlign="left" w:yAlign="inline"/>
            </w:pPr>
            <w:r w:rsidRPr="00F05921">
              <w:rPr>
                <w:lang w:val="es-ES"/>
              </w:rPr>
              <w:t xml:space="preserve">INFORME SOBRE </w:t>
            </w:r>
            <w:r>
              <w:rPr>
                <w:lang w:val="es-ES"/>
              </w:rPr>
              <w:t xml:space="preserve">LA RESOLUCIÓN 70 </w:t>
            </w:r>
            <w:r w:rsidRPr="00F05921">
              <w:rPr>
                <w:lang w:val="es-ES"/>
              </w:rPr>
              <w:t xml:space="preserve">(REV. BUCAREST, 2022) </w:t>
            </w:r>
            <w:r>
              <w:rPr>
                <w:lang w:val="es-ES"/>
              </w:rPr>
              <w:t>DE LA CONFERENCIA DE PLENIPOTENCIARIOS</w:t>
            </w:r>
          </w:p>
        </w:tc>
      </w:tr>
      <w:tr w:rsidR="00FE57F6" w:rsidRPr="00C9508B" w14:paraId="6FEC41BA" w14:textId="77777777" w:rsidTr="00C538FC">
        <w:trPr>
          <w:cantSplit/>
        </w:trPr>
        <w:tc>
          <w:tcPr>
            <w:tcW w:w="9214" w:type="dxa"/>
            <w:gridSpan w:val="2"/>
            <w:tcBorders>
              <w:top w:val="single" w:sz="4" w:space="0" w:color="auto"/>
              <w:bottom w:val="single" w:sz="4" w:space="0" w:color="auto"/>
            </w:tcBorders>
            <w:tcMar>
              <w:left w:w="0" w:type="dxa"/>
            </w:tcMar>
          </w:tcPr>
          <w:p w14:paraId="388C3C60" w14:textId="77777777" w:rsidR="00FE57F6" w:rsidRPr="00BB6FD8" w:rsidRDefault="00F24B71" w:rsidP="00C538FC">
            <w:pPr>
              <w:spacing w:before="160"/>
              <w:rPr>
                <w:b/>
                <w:bCs/>
                <w:sz w:val="26"/>
                <w:szCs w:val="26"/>
              </w:rPr>
            </w:pPr>
            <w:r w:rsidRPr="00BB6FD8">
              <w:rPr>
                <w:b/>
                <w:bCs/>
                <w:sz w:val="26"/>
                <w:szCs w:val="26"/>
              </w:rPr>
              <w:t>Finalidad</w:t>
            </w:r>
          </w:p>
          <w:p w14:paraId="743491E9" w14:textId="56C3D33D" w:rsidR="00691EFE" w:rsidRPr="00F05921" w:rsidRDefault="00691EFE" w:rsidP="00691EFE">
            <w:pPr>
              <w:jc w:val="both"/>
              <w:rPr>
                <w:lang w:val="es-ES"/>
              </w:rPr>
            </w:pPr>
            <w:r w:rsidRPr="00F05921">
              <w:rPr>
                <w:lang w:val="es-ES"/>
              </w:rPr>
              <w:t>En este documento se recoge el Informe anual sobre la labor de</w:t>
            </w:r>
            <w:r>
              <w:rPr>
                <w:lang w:val="es-ES"/>
              </w:rPr>
              <w:t xml:space="preserve"> </w:t>
            </w:r>
            <w:r w:rsidRPr="00F05921">
              <w:rPr>
                <w:lang w:val="es-ES"/>
              </w:rPr>
              <w:t xml:space="preserve">la UIT en materia de igualdad e integración de género, de conformidad con la Resolución 70 (Rev. Bucarest, 2022) </w:t>
            </w:r>
            <w:r>
              <w:rPr>
                <w:lang w:val="es-ES"/>
              </w:rPr>
              <w:t>de la Conferencia de Plenipotenciarios.</w:t>
            </w:r>
          </w:p>
          <w:p w14:paraId="2FF7B631"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BBE06F9" w14:textId="77777777" w:rsidR="00691EFE" w:rsidRDefault="00691EFE" w:rsidP="00F92BED">
            <w:pPr>
              <w:spacing w:before="160"/>
              <w:rPr>
                <w:lang w:val="es-ES"/>
              </w:rPr>
            </w:pPr>
            <w:r w:rsidRPr="00F05921">
              <w:rPr>
                <w:lang w:val="es-ES"/>
              </w:rPr>
              <w:t xml:space="preserve">Se invita al Consejo a </w:t>
            </w:r>
            <w:r w:rsidRPr="00F05921">
              <w:rPr>
                <w:b/>
                <w:bCs/>
                <w:lang w:val="es-ES"/>
              </w:rPr>
              <w:t xml:space="preserve">tomar nota </w:t>
            </w:r>
            <w:r w:rsidRPr="00F05921">
              <w:rPr>
                <w:lang w:val="es-ES"/>
              </w:rPr>
              <w:t xml:space="preserve">de este </w:t>
            </w:r>
            <w:r>
              <w:rPr>
                <w:lang w:val="es-ES"/>
              </w:rPr>
              <w:t>Informe</w:t>
            </w:r>
            <w:r w:rsidRPr="00F05921">
              <w:rPr>
                <w:lang w:val="es-ES"/>
              </w:rPr>
              <w:t>.</w:t>
            </w:r>
          </w:p>
          <w:p w14:paraId="41A945C6" w14:textId="0AC9D35B"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90DA26E" w14:textId="6FECC28D" w:rsidR="00F92BED" w:rsidRDefault="00C9508B" w:rsidP="00F92BED">
            <w:pPr>
              <w:spacing w:before="160"/>
              <w:rPr>
                <w:lang w:val="es-ES"/>
              </w:rPr>
            </w:pPr>
            <w:r>
              <w:rPr>
                <w:lang w:val="es-ES"/>
              </w:rPr>
              <w:t>Entorno habilitador, capacitación.</w:t>
            </w:r>
          </w:p>
          <w:p w14:paraId="54A7DAB0" w14:textId="7D906FC3" w:rsidR="00C9508B" w:rsidRDefault="00C9508B" w:rsidP="00F92BED">
            <w:pPr>
              <w:spacing w:before="160"/>
              <w:rPr>
                <w:lang w:val="es-ES"/>
              </w:rPr>
            </w:pPr>
            <w:r w:rsidRPr="004F3AC1">
              <w:rPr>
                <w:b/>
                <w:bCs/>
                <w:sz w:val="26"/>
                <w:szCs w:val="26"/>
                <w:lang w:val="es-ES"/>
              </w:rPr>
              <w:t>Consecuencias financieras</w:t>
            </w:r>
          </w:p>
          <w:p w14:paraId="291C8CA5" w14:textId="17995C2B" w:rsidR="00C9508B" w:rsidRPr="004F3AC1" w:rsidRDefault="00C9508B" w:rsidP="00F92BED">
            <w:pPr>
              <w:spacing w:before="160"/>
              <w:rPr>
                <w:sz w:val="26"/>
                <w:szCs w:val="26"/>
                <w:lang w:val="es-ES"/>
              </w:rPr>
            </w:pPr>
            <w:r>
              <w:rPr>
                <w:lang w:val="es-ES"/>
              </w:rPr>
              <w:t>Con cargo al presupuesto asignado para 2024-2025. Se anima a los Estados Miembros a aportar contribuciones voluntarias en apoyo de los programas e iniciativas de la UIT para las mujeres y las niñas.</w:t>
            </w:r>
          </w:p>
          <w:p w14:paraId="196F20C5" w14:textId="77777777" w:rsidR="00FE57F6" w:rsidRPr="00BB6FD8" w:rsidRDefault="00FE57F6" w:rsidP="00C538FC">
            <w:pPr>
              <w:spacing w:before="160"/>
              <w:rPr>
                <w:caps/>
                <w:sz w:val="22"/>
              </w:rPr>
            </w:pPr>
            <w:r w:rsidRPr="00BB6FD8">
              <w:rPr>
                <w:sz w:val="22"/>
              </w:rPr>
              <w:t>__________________</w:t>
            </w:r>
          </w:p>
          <w:p w14:paraId="5748D8E4"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20B58CEE" w14:textId="39063F27" w:rsidR="00FE57F6" w:rsidRPr="00C9508B" w:rsidRDefault="00C9508B" w:rsidP="00C538FC">
            <w:pPr>
              <w:spacing w:after="160"/>
              <w:rPr>
                <w:i/>
                <w:iCs/>
                <w:sz w:val="22"/>
                <w:szCs w:val="22"/>
              </w:rPr>
            </w:pPr>
            <w:hyperlink r:id="rId6">
              <w:r w:rsidRPr="004F3AC1">
                <w:rPr>
                  <w:rStyle w:val="Hyperlink"/>
                  <w:i/>
                  <w:iCs/>
                  <w:sz w:val="22"/>
                  <w:szCs w:val="22"/>
                </w:rPr>
                <w:t>Plan Estratégico de la UIT para 2024-2027 - Meta 2,</w:t>
              </w:r>
            </w:hyperlink>
            <w:r w:rsidRPr="00C9508B">
              <w:rPr>
                <w:i/>
                <w:iCs/>
                <w:sz w:val="22"/>
                <w:szCs w:val="22"/>
              </w:rPr>
              <w:t xml:space="preserve"> </w:t>
            </w:r>
            <w:hyperlink r:id="rId7">
              <w:r w:rsidRPr="00C9508B">
                <w:rPr>
                  <w:rStyle w:val="Hyperlink"/>
                  <w:i/>
                  <w:iCs/>
                  <w:sz w:val="22"/>
                  <w:szCs w:val="22"/>
                </w:rPr>
                <w:t>Resolu</w:t>
              </w:r>
              <w:r w:rsidRPr="004F3AC1">
                <w:rPr>
                  <w:rStyle w:val="Hyperlink"/>
                  <w:i/>
                  <w:iCs/>
                  <w:sz w:val="22"/>
                  <w:szCs w:val="22"/>
                </w:rPr>
                <w:t>ción</w:t>
              </w:r>
              <w:r w:rsidRPr="00C9508B">
                <w:rPr>
                  <w:rStyle w:val="Hyperlink"/>
                  <w:i/>
                  <w:iCs/>
                  <w:sz w:val="22"/>
                  <w:szCs w:val="22"/>
                </w:rPr>
                <w:t xml:space="preserve"> 70 (Rev. Bucarest, 2022) </w:t>
              </w:r>
              <w:r w:rsidRPr="004F3AC1">
                <w:rPr>
                  <w:rStyle w:val="Hyperlink"/>
                  <w:i/>
                  <w:iCs/>
                  <w:sz w:val="22"/>
                  <w:szCs w:val="22"/>
                </w:rPr>
                <w:t>de la Conferencia de Pl</w:t>
              </w:r>
              <w:r>
                <w:rPr>
                  <w:rStyle w:val="Hyperlink"/>
                  <w:i/>
                  <w:iCs/>
                  <w:sz w:val="22"/>
                  <w:szCs w:val="22"/>
                </w:rPr>
                <w:t>enipotenciarios</w:t>
              </w:r>
              <w:r w:rsidRPr="00C9508B">
                <w:rPr>
                  <w:rStyle w:val="Hyperlink"/>
                  <w:i/>
                  <w:iCs/>
                  <w:sz w:val="22"/>
                  <w:szCs w:val="22"/>
                </w:rPr>
                <w:t>;</w:t>
              </w:r>
            </w:hyperlink>
            <w:r w:rsidRPr="00C9508B">
              <w:rPr>
                <w:i/>
                <w:iCs/>
                <w:sz w:val="22"/>
                <w:szCs w:val="22"/>
              </w:rPr>
              <w:t xml:space="preserve"> </w:t>
            </w:r>
            <w:hyperlink r:id="rId8" w:anchor="page=358">
              <w:r>
                <w:rPr>
                  <w:rStyle w:val="Hyperlink"/>
                  <w:i/>
                  <w:iCs/>
                  <w:sz w:val="22"/>
                  <w:szCs w:val="22"/>
                </w:rPr>
                <w:t>Resolución 55 (Rev. Kigali, 2022) de la CMDT</w:t>
              </w:r>
            </w:hyperlink>
            <w:r w:rsidRPr="00C9508B">
              <w:rPr>
                <w:i/>
                <w:iCs/>
                <w:sz w:val="22"/>
                <w:szCs w:val="22"/>
              </w:rPr>
              <w:t xml:space="preserve">; </w:t>
            </w:r>
            <w:hyperlink r:id="rId9">
              <w:r>
                <w:rPr>
                  <w:rStyle w:val="Hyperlink"/>
                  <w:i/>
                  <w:iCs/>
                  <w:sz w:val="22"/>
                  <w:szCs w:val="22"/>
                </w:rPr>
                <w:t>Resolución 72 (Dubái, 2023) de la CMR</w:t>
              </w:r>
            </w:hyperlink>
            <w:r w:rsidRPr="00C9508B">
              <w:rPr>
                <w:i/>
                <w:iCs/>
                <w:sz w:val="22"/>
                <w:szCs w:val="22"/>
              </w:rPr>
              <w:t xml:space="preserve">; </w:t>
            </w:r>
            <w:hyperlink r:id="rId10">
              <w:r>
                <w:rPr>
                  <w:rStyle w:val="Hyperlink"/>
                  <w:i/>
                  <w:iCs/>
                  <w:sz w:val="22"/>
                  <w:szCs w:val="22"/>
                </w:rPr>
                <w:t>Resolución 55 (Rev. Nueva Delhi, 2024) de la AMNT;</w:t>
              </w:r>
            </w:hyperlink>
            <w:r w:rsidRPr="00C9508B">
              <w:rPr>
                <w:i/>
                <w:iCs/>
                <w:sz w:val="22"/>
                <w:szCs w:val="22"/>
              </w:rPr>
              <w:t xml:space="preserve"> </w:t>
            </w:r>
            <w:hyperlink r:id="rId11">
              <w:r>
                <w:rPr>
                  <w:rStyle w:val="Hyperlink"/>
                  <w:i/>
                  <w:iCs/>
                  <w:sz w:val="22"/>
                  <w:szCs w:val="22"/>
                </w:rPr>
                <w:t>Acuerdo 631 (C23) del Consejo</w:t>
              </w:r>
            </w:hyperlink>
            <w:r w:rsidRPr="00C9508B">
              <w:rPr>
                <w:sz w:val="22"/>
                <w:szCs w:val="22"/>
              </w:rPr>
              <w:t>;</w:t>
            </w:r>
            <w:r w:rsidRPr="00C9508B">
              <w:rPr>
                <w:i/>
                <w:iCs/>
                <w:sz w:val="22"/>
                <w:szCs w:val="22"/>
              </w:rPr>
              <w:t xml:space="preserve"> </w:t>
            </w:r>
            <w:hyperlink r:id="rId12">
              <w:r>
                <w:rPr>
                  <w:rStyle w:val="Hyperlink"/>
                  <w:i/>
                  <w:iCs/>
                  <w:sz w:val="22"/>
                  <w:szCs w:val="22"/>
                </w:rPr>
                <w:t>Plan de aplicación 2024-2025 de la Igualdad de género e integración de aspectos del mismo (GEM) en la UIT</w:t>
              </w:r>
            </w:hyperlink>
            <w:r w:rsidRPr="00C9508B">
              <w:rPr>
                <w:i/>
                <w:iCs/>
                <w:sz w:val="22"/>
                <w:szCs w:val="22"/>
              </w:rPr>
              <w:t xml:space="preserve">; </w:t>
            </w:r>
            <w:hyperlink r:id="rId13">
              <w:r>
                <w:rPr>
                  <w:rStyle w:val="Hyperlink"/>
                  <w:i/>
                  <w:iCs/>
                  <w:sz w:val="22"/>
                  <w:szCs w:val="22"/>
                </w:rPr>
                <w:t>Informe de cumplimiento ONU-SWAP 2023 de la UIT</w:t>
              </w:r>
            </w:hyperlink>
          </w:p>
        </w:tc>
      </w:tr>
      <w:bookmarkEnd w:id="0"/>
    </w:tbl>
    <w:p w14:paraId="55A27069" w14:textId="77777777" w:rsidR="00093EEB" w:rsidRPr="00C9508B" w:rsidRDefault="00093EEB"/>
    <w:p w14:paraId="6AE4321D" w14:textId="5A3A3A28" w:rsidR="00927F93" w:rsidRPr="00C9508B" w:rsidRDefault="001559F5" w:rsidP="00DF1D9E">
      <w:pPr>
        <w:tabs>
          <w:tab w:val="clear" w:pos="567"/>
          <w:tab w:val="clear" w:pos="1134"/>
          <w:tab w:val="clear" w:pos="1701"/>
          <w:tab w:val="clear" w:pos="2268"/>
          <w:tab w:val="clear" w:pos="2835"/>
        </w:tabs>
        <w:overflowPunct/>
        <w:autoSpaceDE/>
        <w:autoSpaceDN/>
        <w:adjustRightInd/>
        <w:spacing w:before="0"/>
        <w:textAlignment w:val="auto"/>
      </w:pPr>
      <w:r w:rsidRPr="00C9508B">
        <w:br w:type="page"/>
      </w:r>
    </w:p>
    <w:p w14:paraId="096F4FB7" w14:textId="77777777" w:rsidR="00691EFE" w:rsidRPr="003706D5" w:rsidRDefault="00691EFE" w:rsidP="00691EFE">
      <w:pPr>
        <w:pStyle w:val="Heading1"/>
        <w:rPr>
          <w:sz w:val="24"/>
          <w:szCs w:val="24"/>
          <w:lang w:val="es-ES"/>
        </w:rPr>
      </w:pPr>
      <w:r w:rsidRPr="003706D5">
        <w:rPr>
          <w:sz w:val="24"/>
          <w:szCs w:val="24"/>
          <w:lang w:val="es-ES"/>
        </w:rPr>
        <w:lastRenderedPageBreak/>
        <w:t>1</w:t>
      </w:r>
      <w:r w:rsidRPr="003706D5">
        <w:rPr>
          <w:sz w:val="24"/>
          <w:szCs w:val="24"/>
          <w:lang w:val="es-ES"/>
        </w:rPr>
        <w:tab/>
        <w:t>Introducción</w:t>
      </w:r>
    </w:p>
    <w:p w14:paraId="41CD1853" w14:textId="4889FA19" w:rsidR="00691EFE" w:rsidRPr="000E546D" w:rsidRDefault="00691EFE" w:rsidP="004F3AC1">
      <w:pPr>
        <w:jc w:val="both"/>
        <w:rPr>
          <w:lang w:val="es-ES"/>
        </w:rPr>
      </w:pPr>
      <w:r w:rsidRPr="000E546D">
        <w:rPr>
          <w:lang w:val="es-ES"/>
        </w:rPr>
        <w:t xml:space="preserve">Como parte de su misión para llevar los beneficios de las tecnologías digitales e incipientes a todos </w:t>
      </w:r>
      <w:r>
        <w:rPr>
          <w:lang w:val="es-ES"/>
        </w:rPr>
        <w:t>los habitantes del planeta</w:t>
      </w:r>
      <w:r>
        <w:rPr>
          <w:rStyle w:val="FootnoteReference"/>
          <w:rFonts w:cstheme="minorHAnsi"/>
        </w:rPr>
        <w:footnoteReference w:id="1"/>
      </w:r>
      <w:r>
        <w:rPr>
          <w:lang w:val="es-ES"/>
        </w:rPr>
        <w:t>,</w:t>
      </w:r>
      <w:r w:rsidRPr="000E546D">
        <w:rPr>
          <w:lang w:val="es-ES"/>
        </w:rPr>
        <w:t xml:space="preserve"> </w:t>
      </w:r>
      <w:r>
        <w:rPr>
          <w:lang w:val="es-ES"/>
        </w:rPr>
        <w:t>la UIT integra una perspectiva de género en su trabajo. En este documento, que abarca el periodo de un año comprendido entre el</w:t>
      </w:r>
      <w:r w:rsidRPr="000E546D">
        <w:rPr>
          <w:lang w:val="es-ES"/>
        </w:rPr>
        <w:t xml:space="preserve"> </w:t>
      </w:r>
      <w:hyperlink r:id="rId14" w:history="1">
        <w:r w:rsidRPr="000E546D">
          <w:rPr>
            <w:rStyle w:val="Hyperlink"/>
            <w:rFonts w:asciiTheme="minorHAnsi" w:hAnsiTheme="minorHAnsi" w:cstheme="minorHAnsi"/>
            <w:lang w:val="es-ES"/>
          </w:rPr>
          <w:t>C24/6</w:t>
        </w:r>
      </w:hyperlink>
      <w:r w:rsidRPr="000E546D">
        <w:rPr>
          <w:lang w:val="es-ES"/>
        </w:rPr>
        <w:t xml:space="preserve"> y</w:t>
      </w:r>
      <w:r>
        <w:rPr>
          <w:lang w:val="es-ES"/>
        </w:rPr>
        <w:t xml:space="preserve"> marzo de</w:t>
      </w:r>
      <w:r w:rsidRPr="000E546D">
        <w:rPr>
          <w:lang w:val="es-ES"/>
        </w:rPr>
        <w:t xml:space="preserve"> 2025, </w:t>
      </w:r>
      <w:r>
        <w:rPr>
          <w:lang w:val="es-ES"/>
        </w:rPr>
        <w:t xml:space="preserve">se da cuenta de los avances realizados por la UIT en la promoción de la igualdad de género, conforme a lo dispuesto en la </w:t>
      </w:r>
      <w:hyperlink r:id="rId15" w:history="1">
        <w:r w:rsidRPr="000E546D">
          <w:rPr>
            <w:rStyle w:val="Hyperlink"/>
            <w:rFonts w:asciiTheme="minorHAnsi" w:hAnsiTheme="minorHAnsi" w:cstheme="minorHAnsi"/>
            <w:lang w:val="es-ES"/>
          </w:rPr>
          <w:t>Resolu</w:t>
        </w:r>
        <w:r>
          <w:rPr>
            <w:rStyle w:val="Hyperlink"/>
            <w:rFonts w:asciiTheme="minorHAnsi" w:hAnsiTheme="minorHAnsi" w:cstheme="minorHAnsi"/>
            <w:lang w:val="es-ES"/>
          </w:rPr>
          <w:t>ción</w:t>
        </w:r>
        <w:r w:rsidRPr="000E546D">
          <w:rPr>
            <w:rStyle w:val="Hyperlink"/>
            <w:rFonts w:asciiTheme="minorHAnsi" w:hAnsiTheme="minorHAnsi" w:cstheme="minorHAnsi"/>
            <w:lang w:val="es-ES"/>
          </w:rPr>
          <w:t xml:space="preserve"> 70</w:t>
        </w:r>
      </w:hyperlink>
      <w:r w:rsidRPr="000E546D">
        <w:rPr>
          <w:lang w:val="es-ES"/>
        </w:rPr>
        <w:t xml:space="preserve"> (Rev. Bucarest, 2022) </w:t>
      </w:r>
      <w:r>
        <w:rPr>
          <w:lang w:val="es-ES"/>
        </w:rPr>
        <w:t>de la Conferencia de Plenipotenciarios</w:t>
      </w:r>
      <w:r w:rsidRPr="000E546D">
        <w:rPr>
          <w:lang w:val="es-ES"/>
        </w:rPr>
        <w:t>.</w:t>
      </w:r>
    </w:p>
    <w:p w14:paraId="742B0297" w14:textId="73F007BF" w:rsidR="00691EFE" w:rsidRPr="000E546D" w:rsidRDefault="00691EFE" w:rsidP="00691EFE">
      <w:pPr>
        <w:jc w:val="both"/>
        <w:rPr>
          <w:rFonts w:asciiTheme="minorHAnsi" w:hAnsiTheme="minorHAnsi" w:cstheme="minorHAnsi"/>
          <w:lang w:val="es-ES"/>
        </w:rPr>
      </w:pPr>
      <w:r w:rsidRPr="000E546D">
        <w:rPr>
          <w:rFonts w:asciiTheme="minorHAnsi" w:hAnsiTheme="minorHAnsi" w:cstheme="minorHAnsi"/>
          <w:lang w:val="es-ES"/>
        </w:rPr>
        <w:t xml:space="preserve">En octubre de 2024 el UIT-T actualizó su </w:t>
      </w:r>
      <w:hyperlink r:id="rId16" w:history="1">
        <w:r w:rsidRPr="000E546D">
          <w:rPr>
            <w:rStyle w:val="Hyperlink"/>
            <w:rFonts w:asciiTheme="minorHAnsi" w:hAnsiTheme="minorHAnsi" w:cstheme="minorHAnsi"/>
            <w:lang w:val="es-ES"/>
          </w:rPr>
          <w:t>Resolución 55</w:t>
        </w:r>
      </w:hyperlink>
      <w:r w:rsidRPr="000E546D">
        <w:rPr>
          <w:rStyle w:val="Hyperlink"/>
          <w:rFonts w:asciiTheme="minorHAnsi" w:hAnsiTheme="minorHAnsi" w:cstheme="minorHAnsi"/>
          <w:lang w:val="es-ES"/>
        </w:rPr>
        <w:t>,</w:t>
      </w:r>
      <w:r w:rsidRPr="000E546D">
        <w:rPr>
          <w:rFonts w:asciiTheme="minorHAnsi" w:hAnsiTheme="minorHAnsi" w:cstheme="minorHAnsi"/>
          <w:lang w:val="es-ES"/>
        </w:rPr>
        <w:t xml:space="preserve"> reafirmando así su compromiso para con la integración de la igua</w:t>
      </w:r>
      <w:r>
        <w:rPr>
          <w:rFonts w:asciiTheme="minorHAnsi" w:hAnsiTheme="minorHAnsi" w:cstheme="minorHAnsi"/>
          <w:lang w:val="es-ES"/>
        </w:rPr>
        <w:t>ldad de género en las actividades de normalización, armonizándolo con los compromisos en materia de género sectoriales ya definidos en el</w:t>
      </w:r>
      <w:r w:rsidRPr="000E546D">
        <w:rPr>
          <w:rFonts w:asciiTheme="minorHAnsi" w:hAnsiTheme="minorHAnsi" w:cstheme="minorHAnsi"/>
          <w:lang w:val="es-ES"/>
        </w:rPr>
        <w:t xml:space="preserve"> </w:t>
      </w:r>
      <w:hyperlink r:id="rId17" w:history="1">
        <w:r w:rsidRPr="000E546D">
          <w:rPr>
            <w:rStyle w:val="Hyperlink"/>
            <w:rFonts w:asciiTheme="minorHAnsi" w:hAnsiTheme="minorHAnsi" w:cstheme="minorHAnsi"/>
            <w:lang w:val="es-ES"/>
          </w:rPr>
          <w:t>U</w:t>
        </w:r>
        <w:r>
          <w:rPr>
            <w:rStyle w:val="Hyperlink"/>
            <w:rFonts w:asciiTheme="minorHAnsi" w:hAnsiTheme="minorHAnsi" w:cstheme="minorHAnsi"/>
            <w:lang w:val="es-ES"/>
          </w:rPr>
          <w:t>IT</w:t>
        </w:r>
        <w:r w:rsidR="003706D5">
          <w:rPr>
            <w:rStyle w:val="Hyperlink"/>
            <w:rFonts w:asciiTheme="minorHAnsi" w:hAnsiTheme="minorHAnsi" w:cstheme="minorHAnsi"/>
            <w:lang w:val="es-ES"/>
          </w:rPr>
          <w:noBreakHyphen/>
        </w:r>
        <w:r w:rsidRPr="000E546D">
          <w:rPr>
            <w:rStyle w:val="Hyperlink"/>
            <w:rFonts w:asciiTheme="minorHAnsi" w:hAnsiTheme="minorHAnsi" w:cstheme="minorHAnsi"/>
            <w:lang w:val="es-ES"/>
          </w:rPr>
          <w:t>R</w:t>
        </w:r>
      </w:hyperlink>
      <w:r w:rsidRPr="000E546D">
        <w:rPr>
          <w:rFonts w:asciiTheme="minorHAnsi" w:hAnsiTheme="minorHAnsi" w:cstheme="minorHAnsi"/>
          <w:lang w:val="es-ES"/>
        </w:rPr>
        <w:t xml:space="preserve"> </w:t>
      </w:r>
      <w:r>
        <w:rPr>
          <w:rFonts w:asciiTheme="minorHAnsi" w:hAnsiTheme="minorHAnsi" w:cstheme="minorHAnsi"/>
          <w:lang w:val="es-ES"/>
        </w:rPr>
        <w:t>y el</w:t>
      </w:r>
      <w:r w:rsidRPr="000E546D">
        <w:rPr>
          <w:rFonts w:asciiTheme="minorHAnsi" w:hAnsiTheme="minorHAnsi" w:cstheme="minorHAnsi"/>
          <w:lang w:val="es-ES"/>
        </w:rPr>
        <w:t xml:space="preserve"> </w:t>
      </w:r>
      <w:hyperlink r:id="rId18" w:anchor="page=243" w:history="1">
        <w:r w:rsidRPr="000E546D">
          <w:rPr>
            <w:rStyle w:val="Hyperlink"/>
            <w:rFonts w:asciiTheme="minorHAnsi" w:hAnsiTheme="minorHAnsi" w:cstheme="minorHAnsi"/>
            <w:lang w:val="es-ES"/>
          </w:rPr>
          <w:t>U</w:t>
        </w:r>
        <w:r>
          <w:rPr>
            <w:rStyle w:val="Hyperlink"/>
            <w:rFonts w:asciiTheme="minorHAnsi" w:hAnsiTheme="minorHAnsi" w:cstheme="minorHAnsi"/>
            <w:lang w:val="es-ES"/>
          </w:rPr>
          <w:t>IT</w:t>
        </w:r>
        <w:r w:rsidRPr="000E546D">
          <w:rPr>
            <w:rStyle w:val="Hyperlink"/>
            <w:rFonts w:asciiTheme="minorHAnsi" w:hAnsiTheme="minorHAnsi" w:cstheme="minorHAnsi"/>
            <w:lang w:val="es-ES"/>
          </w:rPr>
          <w:t>-D</w:t>
        </w:r>
      </w:hyperlink>
      <w:r w:rsidRPr="000E546D">
        <w:rPr>
          <w:rFonts w:asciiTheme="minorHAnsi" w:hAnsiTheme="minorHAnsi" w:cstheme="minorHAnsi"/>
          <w:lang w:val="es-ES"/>
        </w:rPr>
        <w:t>.</w:t>
      </w:r>
    </w:p>
    <w:p w14:paraId="310F3DE9" w14:textId="77777777" w:rsidR="00691EFE" w:rsidRPr="003706D5" w:rsidRDefault="00691EFE" w:rsidP="00691EFE">
      <w:pPr>
        <w:pStyle w:val="Heading1"/>
        <w:rPr>
          <w:sz w:val="24"/>
          <w:szCs w:val="24"/>
          <w:lang w:val="es-ES"/>
        </w:rPr>
      </w:pPr>
      <w:r w:rsidRPr="003706D5">
        <w:rPr>
          <w:sz w:val="24"/>
          <w:szCs w:val="24"/>
          <w:lang w:val="es-ES"/>
        </w:rPr>
        <w:t>2</w:t>
      </w:r>
      <w:r w:rsidRPr="003706D5">
        <w:rPr>
          <w:sz w:val="24"/>
          <w:szCs w:val="24"/>
          <w:lang w:val="es-ES"/>
        </w:rPr>
        <w:tab/>
        <w:t>Intervenciones específicas para abordar la brecha digital de género</w:t>
      </w:r>
    </w:p>
    <w:p w14:paraId="30C6F294" w14:textId="50F8DC92" w:rsidR="00691EFE" w:rsidRPr="007C7D32" w:rsidRDefault="00691EFE" w:rsidP="00691EFE">
      <w:pPr>
        <w:jc w:val="both"/>
        <w:rPr>
          <w:rFonts w:asciiTheme="minorHAnsi" w:hAnsiTheme="minorHAnsi" w:cstheme="minorHAnsi"/>
          <w:lang w:val="es-ES"/>
        </w:rPr>
      </w:pPr>
      <w:r w:rsidRPr="007C7D32">
        <w:rPr>
          <w:rFonts w:asciiTheme="minorHAnsi" w:hAnsiTheme="minorHAnsi" w:cstheme="minorHAnsi"/>
          <w:b/>
          <w:bCs/>
          <w:lang w:val="es-ES"/>
        </w:rPr>
        <w:t>2.1</w:t>
      </w:r>
      <w:r w:rsidRPr="007C7D32">
        <w:rPr>
          <w:rFonts w:asciiTheme="minorHAnsi" w:hAnsiTheme="minorHAnsi" w:cstheme="minorHAnsi"/>
          <w:lang w:val="es-ES"/>
        </w:rPr>
        <w:tab/>
      </w:r>
      <w:r w:rsidRPr="007C7D32">
        <w:rPr>
          <w:rFonts w:asciiTheme="minorHAnsi" w:hAnsiTheme="minorHAnsi" w:cstheme="minorHAnsi"/>
          <w:b/>
          <w:bCs/>
          <w:lang w:val="es-ES"/>
        </w:rPr>
        <w:t xml:space="preserve">Datos sobre la brecha digital de género: </w:t>
      </w:r>
      <w:r w:rsidRPr="007C7D32">
        <w:rPr>
          <w:rFonts w:asciiTheme="minorHAnsi" w:hAnsiTheme="minorHAnsi" w:cstheme="minorHAnsi"/>
          <w:lang w:val="es-ES"/>
        </w:rPr>
        <w:t xml:space="preserve">la brecha digital de género se </w:t>
      </w:r>
      <w:r>
        <w:rPr>
          <w:rFonts w:asciiTheme="minorHAnsi" w:hAnsiTheme="minorHAnsi" w:cstheme="minorHAnsi"/>
          <w:lang w:val="es-ES"/>
        </w:rPr>
        <w:t xml:space="preserve">refiere a la disparidad de acceso, competencias y utilización entre hombres y mujeres en materia de tecnologías digitales. </w:t>
      </w:r>
      <w:r w:rsidRPr="007C7D32">
        <w:rPr>
          <w:rFonts w:asciiTheme="minorHAnsi" w:hAnsiTheme="minorHAnsi" w:cstheme="minorHAnsi"/>
          <w:lang w:val="es-ES"/>
        </w:rPr>
        <w:t xml:space="preserve">En </w:t>
      </w:r>
      <w:hyperlink r:id="rId19" w:history="1">
        <w:r w:rsidRPr="007C7D32">
          <w:rPr>
            <w:rStyle w:val="Hyperlink"/>
            <w:rFonts w:asciiTheme="minorHAnsi" w:hAnsiTheme="minorHAnsi" w:cstheme="minorHAnsi"/>
            <w:lang w:val="es-ES"/>
          </w:rPr>
          <w:t>2024</w:t>
        </w:r>
      </w:hyperlink>
      <w:r w:rsidRPr="007C7D32">
        <w:rPr>
          <w:rFonts w:asciiTheme="minorHAnsi" w:hAnsiTheme="minorHAnsi" w:cstheme="minorHAnsi"/>
          <w:lang w:val="es-ES"/>
        </w:rPr>
        <w:t>, el 70</w:t>
      </w:r>
      <w:r w:rsidR="003706D5">
        <w:rPr>
          <w:rFonts w:asciiTheme="minorHAnsi" w:hAnsiTheme="minorHAnsi" w:cstheme="minorHAnsi"/>
          <w:lang w:val="es-ES"/>
        </w:rPr>
        <w:t> </w:t>
      </w:r>
      <w:r w:rsidRPr="007C7D32">
        <w:rPr>
          <w:rFonts w:asciiTheme="minorHAnsi" w:hAnsiTheme="minorHAnsi" w:cstheme="minorHAnsi"/>
          <w:lang w:val="es-ES"/>
        </w:rPr>
        <w:t>% de los hombres y el 65</w:t>
      </w:r>
      <w:r w:rsidR="003706D5">
        <w:rPr>
          <w:rFonts w:asciiTheme="minorHAnsi" w:hAnsiTheme="minorHAnsi" w:cstheme="minorHAnsi"/>
          <w:lang w:val="es-ES"/>
        </w:rPr>
        <w:t> </w:t>
      </w:r>
      <w:r w:rsidRPr="007C7D32">
        <w:rPr>
          <w:rFonts w:asciiTheme="minorHAnsi" w:hAnsiTheme="minorHAnsi" w:cstheme="minorHAnsi"/>
          <w:lang w:val="es-ES"/>
        </w:rPr>
        <w:t>% de las mujeres utilizaban internet, lo que su</w:t>
      </w:r>
      <w:r>
        <w:rPr>
          <w:rFonts w:asciiTheme="minorHAnsi" w:hAnsiTheme="minorHAnsi" w:cstheme="minorHAnsi"/>
          <w:lang w:val="es-ES"/>
        </w:rPr>
        <w:t>pone una reducción de la diferencia existente en 2021, cuando había 277</w:t>
      </w:r>
      <w:r w:rsidR="006B76D0">
        <w:rPr>
          <w:rFonts w:asciiTheme="minorHAnsi" w:hAnsiTheme="minorHAnsi" w:cstheme="minorHAnsi"/>
          <w:lang w:val="es-ES"/>
        </w:rPr>
        <w:t> </w:t>
      </w:r>
      <w:r>
        <w:rPr>
          <w:rFonts w:asciiTheme="minorHAnsi" w:hAnsiTheme="minorHAnsi" w:cstheme="minorHAnsi"/>
          <w:lang w:val="es-ES"/>
        </w:rPr>
        <w:t>millones más de usuarios que de usuarias, a 189</w:t>
      </w:r>
      <w:r w:rsidR="006B76D0">
        <w:rPr>
          <w:rFonts w:asciiTheme="minorHAnsi" w:hAnsiTheme="minorHAnsi" w:cstheme="minorHAnsi"/>
          <w:lang w:val="es-ES"/>
        </w:rPr>
        <w:t> </w:t>
      </w:r>
      <w:r>
        <w:rPr>
          <w:rFonts w:asciiTheme="minorHAnsi" w:hAnsiTheme="minorHAnsi" w:cstheme="minorHAnsi"/>
          <w:lang w:val="es-ES"/>
        </w:rPr>
        <w:t xml:space="preserve">millones en </w:t>
      </w:r>
      <w:r w:rsidRPr="007C7D32">
        <w:rPr>
          <w:rFonts w:asciiTheme="minorHAnsi" w:hAnsiTheme="minorHAnsi" w:cstheme="minorHAnsi"/>
          <w:lang w:val="es-ES"/>
        </w:rPr>
        <w:t xml:space="preserve">2024. Si bien hay regiones como las Américas, Europa y </w:t>
      </w:r>
      <w:r>
        <w:rPr>
          <w:rFonts w:asciiTheme="minorHAnsi" w:hAnsiTheme="minorHAnsi" w:cstheme="minorHAnsi"/>
          <w:lang w:val="es-ES"/>
        </w:rPr>
        <w:t xml:space="preserve">la CEI donde se ha alcanzado la paridad, los progresos son dispares a nivel mundial. </w:t>
      </w:r>
      <w:r w:rsidRPr="007C7D32">
        <w:rPr>
          <w:rFonts w:asciiTheme="minorHAnsi" w:hAnsiTheme="minorHAnsi" w:cstheme="minorHAnsi"/>
          <w:lang w:val="es-ES"/>
        </w:rPr>
        <w:t>La región Asia-Pacífico ha experimentado una m</w:t>
      </w:r>
      <w:r>
        <w:rPr>
          <w:rFonts w:asciiTheme="minorHAnsi" w:hAnsiTheme="minorHAnsi" w:cstheme="minorHAnsi"/>
          <w:lang w:val="es-ES"/>
        </w:rPr>
        <w:t xml:space="preserve">ejora notable, pero los Estados Árabes y África están muy atrás. </w:t>
      </w:r>
      <w:r w:rsidRPr="007C7D32">
        <w:rPr>
          <w:rFonts w:asciiTheme="minorHAnsi" w:hAnsiTheme="minorHAnsi" w:cstheme="minorHAnsi"/>
          <w:lang w:val="es-ES"/>
        </w:rPr>
        <w:t>Cabe destacar que los pequeños Estado</w:t>
      </w:r>
      <w:r>
        <w:rPr>
          <w:rFonts w:asciiTheme="minorHAnsi" w:hAnsiTheme="minorHAnsi" w:cstheme="minorHAnsi"/>
          <w:lang w:val="es-ES"/>
        </w:rPr>
        <w:t xml:space="preserve">s insulares en desarrollo han alcanzado la paridad a pesar del bajo nivel global de utilización de Internet. </w:t>
      </w:r>
      <w:r w:rsidRPr="007C7D32">
        <w:rPr>
          <w:rFonts w:asciiTheme="minorHAnsi" w:hAnsiTheme="minorHAnsi" w:cstheme="minorHAnsi"/>
          <w:lang w:val="es-ES"/>
        </w:rPr>
        <w:t>Las mujeres siguen teniendo un 7</w:t>
      </w:r>
      <w:r w:rsidR="006B76D0">
        <w:rPr>
          <w:rFonts w:asciiTheme="minorHAnsi" w:hAnsiTheme="minorHAnsi" w:cstheme="minorHAnsi"/>
          <w:lang w:val="es-ES"/>
        </w:rPr>
        <w:t> </w:t>
      </w:r>
      <w:r w:rsidRPr="007C7D32">
        <w:rPr>
          <w:rFonts w:asciiTheme="minorHAnsi" w:hAnsiTheme="minorHAnsi" w:cstheme="minorHAnsi"/>
          <w:lang w:val="es-ES"/>
        </w:rPr>
        <w:t>% menos de pr</w:t>
      </w:r>
      <w:r>
        <w:rPr>
          <w:rFonts w:asciiTheme="minorHAnsi" w:hAnsiTheme="minorHAnsi" w:cstheme="minorHAnsi"/>
          <w:lang w:val="es-ES"/>
        </w:rPr>
        <w:t>obabilidades de poseer un teléfono móvil que los hombres, superando a los hombres que no poseen un teléfono móvil en un 31</w:t>
      </w:r>
      <w:r w:rsidR="006B76D0">
        <w:rPr>
          <w:rFonts w:asciiTheme="minorHAnsi" w:hAnsiTheme="minorHAnsi" w:cstheme="minorHAnsi"/>
          <w:lang w:val="es-ES"/>
        </w:rPr>
        <w:t> </w:t>
      </w:r>
      <w:r>
        <w:rPr>
          <w:rFonts w:asciiTheme="minorHAnsi" w:hAnsiTheme="minorHAnsi" w:cstheme="minorHAnsi"/>
          <w:lang w:val="es-ES"/>
        </w:rPr>
        <w:t xml:space="preserve">%. </w:t>
      </w:r>
      <w:r w:rsidRPr="007C7D32">
        <w:rPr>
          <w:rFonts w:asciiTheme="minorHAnsi" w:hAnsiTheme="minorHAnsi" w:cstheme="minorHAnsi"/>
          <w:lang w:val="es-ES"/>
        </w:rPr>
        <w:t>Es necesario seguir trabajando para vencer lo</w:t>
      </w:r>
      <w:r>
        <w:rPr>
          <w:rFonts w:asciiTheme="minorHAnsi" w:hAnsiTheme="minorHAnsi" w:cstheme="minorHAnsi"/>
          <w:lang w:val="es-ES"/>
        </w:rPr>
        <w:t>s obstáculos culturales y socioeconómicos que dificultan el acceso de las mujeres a las tecnologías digitales</w:t>
      </w:r>
      <w:r w:rsidRPr="007C7D32">
        <w:rPr>
          <w:rFonts w:asciiTheme="minorHAnsi" w:hAnsiTheme="minorHAnsi" w:cstheme="minorHAnsi"/>
          <w:lang w:val="es-ES"/>
        </w:rPr>
        <w:t xml:space="preserve">. </w:t>
      </w:r>
    </w:p>
    <w:p w14:paraId="5B54F6EC" w14:textId="29A95FE0" w:rsidR="00691EFE" w:rsidRPr="00864058" w:rsidRDefault="00691EFE" w:rsidP="00691EFE">
      <w:pPr>
        <w:jc w:val="both"/>
        <w:rPr>
          <w:rFonts w:asciiTheme="minorHAnsi" w:hAnsiTheme="minorHAnsi" w:cstheme="minorHAnsi"/>
          <w:lang w:val="es-ES"/>
        </w:rPr>
      </w:pPr>
      <w:r w:rsidRPr="007C7D32">
        <w:rPr>
          <w:rFonts w:asciiTheme="minorHAnsi" w:hAnsiTheme="minorHAnsi" w:cstheme="minorHAnsi"/>
          <w:b/>
          <w:bCs/>
          <w:lang w:val="es-ES"/>
        </w:rPr>
        <w:t>2.2</w:t>
      </w:r>
      <w:r w:rsidRPr="007C7D32">
        <w:rPr>
          <w:rFonts w:asciiTheme="minorHAnsi" w:hAnsiTheme="minorHAnsi" w:cstheme="minorHAnsi"/>
          <w:b/>
          <w:bCs/>
          <w:lang w:val="es-ES"/>
        </w:rPr>
        <w:tab/>
        <w:t>Día de las Niñas en las TIC 2025</w:t>
      </w:r>
      <w:r w:rsidRPr="007C7D32">
        <w:rPr>
          <w:rFonts w:asciiTheme="minorHAnsi" w:hAnsiTheme="minorHAnsi" w:cstheme="minorHAnsi"/>
          <w:lang w:val="es-ES"/>
        </w:rPr>
        <w:t xml:space="preserve">: La </w:t>
      </w:r>
      <w:hyperlink r:id="rId20" w:history="1">
        <w:r w:rsidRPr="007C7D32">
          <w:rPr>
            <w:rStyle w:val="Hyperlink"/>
            <w:rFonts w:asciiTheme="minorHAnsi" w:hAnsiTheme="minorHAnsi" w:cstheme="minorHAnsi"/>
            <w:lang w:val="es-ES"/>
          </w:rPr>
          <w:t xml:space="preserve">celebración mundial de la UIT correspondiente a la edición de 2025 </w:t>
        </w:r>
      </w:hyperlink>
      <w:r w:rsidRPr="007C7D32">
        <w:rPr>
          <w:rFonts w:asciiTheme="minorHAnsi" w:hAnsiTheme="minorHAnsi" w:cstheme="minorHAnsi"/>
          <w:lang w:val="es-ES"/>
        </w:rPr>
        <w:t xml:space="preserve">tuvo lugar el 24 de abril </w:t>
      </w:r>
      <w:r>
        <w:rPr>
          <w:rFonts w:asciiTheme="minorHAnsi" w:hAnsiTheme="minorHAnsi" w:cstheme="minorHAnsi"/>
          <w:lang w:val="es-ES"/>
        </w:rPr>
        <w:t>en</w:t>
      </w:r>
      <w:r w:rsidRPr="007C7D32">
        <w:rPr>
          <w:rFonts w:asciiTheme="minorHAnsi" w:hAnsiTheme="minorHAnsi" w:cstheme="minorHAnsi"/>
          <w:lang w:val="es-ES"/>
        </w:rPr>
        <w:t xml:space="preserve"> Bishkek, K</w:t>
      </w:r>
      <w:r>
        <w:rPr>
          <w:rFonts w:asciiTheme="minorHAnsi" w:hAnsiTheme="minorHAnsi" w:cstheme="minorHAnsi"/>
          <w:lang w:val="es-ES"/>
        </w:rPr>
        <w:t>irguistán, organizada por la Comunidad de Estados Independientes (CEI) y la región de los Estados Árabes como evento híbrido</w:t>
      </w:r>
      <w:r w:rsidR="00C9508B">
        <w:rPr>
          <w:rFonts w:asciiTheme="minorHAnsi" w:hAnsiTheme="minorHAnsi" w:cstheme="minorHAnsi"/>
          <w:lang w:val="es-ES"/>
        </w:rPr>
        <w:t>, con un enlace en directo entre Bishkek (Kirguistán) y Nouakchott (Mauritania),</w:t>
      </w:r>
      <w:r>
        <w:rPr>
          <w:rFonts w:asciiTheme="minorHAnsi" w:hAnsiTheme="minorHAnsi" w:cstheme="minorHAnsi"/>
          <w:lang w:val="es-ES"/>
        </w:rPr>
        <w:t xml:space="preserve"> cuyo tema fue </w:t>
      </w:r>
      <w:r w:rsidR="006B76D0">
        <w:rPr>
          <w:rFonts w:asciiTheme="minorHAnsi" w:hAnsiTheme="minorHAnsi" w:cstheme="minorHAnsi"/>
          <w:lang w:val="es-ES"/>
        </w:rPr>
        <w:t>"</w:t>
      </w:r>
      <w:r>
        <w:rPr>
          <w:rFonts w:asciiTheme="minorHAnsi" w:hAnsiTheme="minorHAnsi" w:cstheme="minorHAnsi"/>
          <w:lang w:val="es-ES"/>
        </w:rPr>
        <w:t>Las Niñas en las TIC para una transformación digital inclusiva</w:t>
      </w:r>
      <w:r w:rsidR="006B76D0">
        <w:rPr>
          <w:rFonts w:asciiTheme="minorHAnsi" w:hAnsiTheme="minorHAnsi" w:cstheme="minorHAnsi"/>
          <w:lang w:val="es-ES"/>
        </w:rPr>
        <w:t>"</w:t>
      </w:r>
      <w:r w:rsidRPr="007C7D32">
        <w:rPr>
          <w:rFonts w:asciiTheme="minorHAnsi" w:hAnsiTheme="minorHAnsi" w:cstheme="minorHAnsi"/>
          <w:lang w:val="es-ES"/>
        </w:rPr>
        <w:t xml:space="preserve">. </w:t>
      </w:r>
      <w:r w:rsidRPr="00864058">
        <w:rPr>
          <w:rFonts w:asciiTheme="minorHAnsi" w:hAnsiTheme="minorHAnsi" w:cstheme="minorHAnsi"/>
          <w:lang w:val="es-ES"/>
        </w:rPr>
        <w:t>El programa se centró en diálogos intergeneracionales interactivos en los que niñas, jóvenes, líderes y expertos en TIC exploraron soluciones para cerrar la brecha digital de género, ofreciendo al mismo tiempo a fu</w:t>
      </w:r>
      <w:r>
        <w:rPr>
          <w:rFonts w:asciiTheme="minorHAnsi" w:hAnsiTheme="minorHAnsi" w:cstheme="minorHAnsi"/>
          <w:lang w:val="es-ES"/>
        </w:rPr>
        <w:t>ncionarios estatales, líderes de TIC y representantes de la Red de Mujeres del UIT-D una plataforma donde reafirmar su compromiso para con un futuro digital más inclusivo y sin obstáculos</w:t>
      </w:r>
      <w:r w:rsidRPr="00864058">
        <w:rPr>
          <w:rFonts w:asciiTheme="minorHAnsi" w:hAnsiTheme="minorHAnsi" w:cstheme="minorHAnsi"/>
          <w:lang w:val="es-ES"/>
        </w:rPr>
        <w:t>. Esta celebración se vio complementada por un evento celebrado en Ginebra</w:t>
      </w:r>
      <w:r w:rsidR="00C9508B">
        <w:rPr>
          <w:rFonts w:asciiTheme="minorHAnsi" w:hAnsiTheme="minorHAnsi" w:cstheme="minorHAnsi"/>
          <w:lang w:val="es-ES"/>
        </w:rPr>
        <w:t>, vinculado al 160º aniversario de la UIT y el tema del DMTSI,</w:t>
      </w:r>
      <w:r w:rsidRPr="00864058">
        <w:rPr>
          <w:rFonts w:asciiTheme="minorHAnsi" w:hAnsiTheme="minorHAnsi" w:cstheme="minorHAnsi"/>
          <w:lang w:val="es-ES"/>
        </w:rPr>
        <w:t xml:space="preserve"> donde las niñas pudieron ent</w:t>
      </w:r>
      <w:r>
        <w:rPr>
          <w:rFonts w:asciiTheme="minorHAnsi" w:hAnsiTheme="minorHAnsi" w:cstheme="minorHAnsi"/>
          <w:lang w:val="es-ES"/>
        </w:rPr>
        <w:t>rar directamente en contacto con profesionales de las TIC y obtener mentorías</w:t>
      </w:r>
      <w:r w:rsidRPr="00864058">
        <w:rPr>
          <w:rFonts w:asciiTheme="minorHAnsi" w:hAnsiTheme="minorHAnsi" w:cstheme="minorHAnsi"/>
          <w:lang w:val="es-ES"/>
        </w:rPr>
        <w:t>.</w:t>
      </w:r>
    </w:p>
    <w:p w14:paraId="6591AFCC" w14:textId="099E097C" w:rsidR="00691EFE" w:rsidRPr="00864058" w:rsidRDefault="00691EFE" w:rsidP="00691EFE">
      <w:pPr>
        <w:jc w:val="both"/>
        <w:rPr>
          <w:rFonts w:asciiTheme="minorHAnsi" w:hAnsiTheme="minorHAnsi" w:cstheme="minorHAnsi"/>
          <w:lang w:val="es-ES"/>
        </w:rPr>
      </w:pPr>
      <w:r w:rsidRPr="00864058">
        <w:rPr>
          <w:rFonts w:asciiTheme="minorHAnsi" w:hAnsiTheme="minorHAnsi" w:cstheme="minorHAnsi"/>
          <w:b/>
          <w:bCs/>
          <w:lang w:val="es-ES"/>
        </w:rPr>
        <w:t>2.3</w:t>
      </w:r>
      <w:r w:rsidRPr="00864058">
        <w:rPr>
          <w:rFonts w:asciiTheme="minorHAnsi" w:hAnsiTheme="minorHAnsi" w:cstheme="minorHAnsi"/>
          <w:b/>
          <w:bCs/>
          <w:lang w:val="es-ES"/>
        </w:rPr>
        <w:tab/>
        <w:t>EQUALS 2.0</w:t>
      </w:r>
      <w:r w:rsidRPr="00864058">
        <w:rPr>
          <w:rFonts w:asciiTheme="minorHAnsi" w:hAnsiTheme="minorHAnsi" w:cstheme="minorHAnsi"/>
          <w:lang w:val="es-ES"/>
        </w:rPr>
        <w:t xml:space="preserve">: La Alianza Mundial </w:t>
      </w:r>
      <w:hyperlink r:id="rId21" w:history="1">
        <w:r w:rsidRPr="00864058">
          <w:rPr>
            <w:rStyle w:val="Hyperlink"/>
            <w:rFonts w:asciiTheme="minorHAnsi" w:hAnsiTheme="minorHAnsi" w:cstheme="minorHAnsi"/>
            <w:lang w:val="es-ES"/>
          </w:rPr>
          <w:t>EQUALS</w:t>
        </w:r>
      </w:hyperlink>
      <w:r w:rsidRPr="00864058">
        <w:rPr>
          <w:rFonts w:asciiTheme="minorHAnsi" w:hAnsiTheme="minorHAnsi" w:cstheme="minorHAnsi"/>
          <w:lang w:val="es-ES"/>
        </w:rPr>
        <w:t xml:space="preserve"> reafirmó su compromiso con la igualdad digital de género </w:t>
      </w:r>
      <w:r>
        <w:rPr>
          <w:rFonts w:asciiTheme="minorHAnsi" w:hAnsiTheme="minorHAnsi" w:cstheme="minorHAnsi"/>
          <w:lang w:val="es-ES"/>
        </w:rPr>
        <w:t>fijando un nuevo objetivo para</w:t>
      </w:r>
      <w:r w:rsidRPr="00864058">
        <w:rPr>
          <w:rFonts w:asciiTheme="minorHAnsi" w:hAnsiTheme="minorHAnsi" w:cstheme="minorHAnsi"/>
          <w:lang w:val="es-ES"/>
        </w:rPr>
        <w:t xml:space="preserve"> 2035. Liderada por la UIT, el ITC, ONU-Mujeres, la UNU y la </w:t>
      </w:r>
      <w:r w:rsidRPr="00864058">
        <w:rPr>
          <w:lang w:val="es-ES"/>
        </w:rPr>
        <w:t>GSMA</w:t>
      </w:r>
      <w:r w:rsidRPr="00864058">
        <w:rPr>
          <w:rFonts w:asciiTheme="minorHAnsi" w:hAnsiTheme="minorHAnsi" w:cstheme="minorHAnsi"/>
          <w:lang w:val="es-ES"/>
        </w:rPr>
        <w:t xml:space="preserve">, EQUALS tiene por objetivo situar a las mujeres y las </w:t>
      </w:r>
      <w:r>
        <w:rPr>
          <w:rFonts w:asciiTheme="minorHAnsi" w:hAnsiTheme="minorHAnsi" w:cstheme="minorHAnsi"/>
          <w:lang w:val="es-ES"/>
        </w:rPr>
        <w:t xml:space="preserve">niñas en el centro de la transformación digital, ofreciéndoles competencias, recursos y oportunidades. </w:t>
      </w:r>
      <w:r w:rsidRPr="00864058">
        <w:rPr>
          <w:rFonts w:asciiTheme="minorHAnsi" w:hAnsiTheme="minorHAnsi" w:cstheme="minorHAnsi"/>
          <w:lang w:val="es-ES"/>
        </w:rPr>
        <w:t xml:space="preserve">La </w:t>
      </w:r>
      <w:r w:rsidRPr="00864058">
        <w:rPr>
          <w:rFonts w:asciiTheme="minorHAnsi" w:hAnsiTheme="minorHAnsi" w:cstheme="minorHAnsi"/>
          <w:lang w:val="es-ES"/>
        </w:rPr>
        <w:lastRenderedPageBreak/>
        <w:t xml:space="preserve">presentación se efectuó en el marco del </w:t>
      </w:r>
      <w:r w:rsidRPr="00D25A40">
        <w:rPr>
          <w:rFonts w:asciiTheme="minorHAnsi" w:hAnsiTheme="minorHAnsi" w:cstheme="minorHAnsi"/>
          <w:i/>
          <w:iCs/>
          <w:lang w:val="es-ES"/>
        </w:rPr>
        <w:t>Mobile World Congress</w:t>
      </w:r>
      <w:r w:rsidRPr="00864058">
        <w:rPr>
          <w:rFonts w:asciiTheme="minorHAnsi" w:hAnsiTheme="minorHAnsi" w:cstheme="minorHAnsi"/>
          <w:lang w:val="es-ES"/>
        </w:rPr>
        <w:t xml:space="preserve"> (MWC) en Barcelona </w:t>
      </w:r>
      <w:r>
        <w:rPr>
          <w:rFonts w:asciiTheme="minorHAnsi" w:hAnsiTheme="minorHAnsi" w:cstheme="minorHAnsi"/>
          <w:lang w:val="es-ES"/>
        </w:rPr>
        <w:t>e</w:t>
      </w:r>
      <w:r w:rsidRPr="00864058">
        <w:rPr>
          <w:rFonts w:asciiTheme="minorHAnsi" w:hAnsiTheme="minorHAnsi" w:cstheme="minorHAnsi"/>
          <w:lang w:val="es-ES"/>
        </w:rPr>
        <w:t xml:space="preserve">n </w:t>
      </w:r>
      <w:r>
        <w:rPr>
          <w:rFonts w:asciiTheme="minorHAnsi" w:hAnsiTheme="minorHAnsi" w:cstheme="minorHAnsi"/>
          <w:lang w:val="es-ES"/>
        </w:rPr>
        <w:t>marzo de</w:t>
      </w:r>
      <w:r w:rsidRPr="00864058">
        <w:rPr>
          <w:rFonts w:asciiTheme="minorHAnsi" w:hAnsiTheme="minorHAnsi" w:cstheme="minorHAnsi"/>
          <w:lang w:val="es-ES"/>
        </w:rPr>
        <w:t xml:space="preserve"> 2025. A lo largo de la próxima década EQUALS pretende empoderar a 100</w:t>
      </w:r>
      <w:r w:rsidR="006B76D0">
        <w:rPr>
          <w:rFonts w:asciiTheme="minorHAnsi" w:hAnsiTheme="minorHAnsi" w:cstheme="minorHAnsi"/>
          <w:lang w:val="es-ES"/>
        </w:rPr>
        <w:t> </w:t>
      </w:r>
      <w:r w:rsidRPr="00864058">
        <w:rPr>
          <w:rFonts w:asciiTheme="minorHAnsi" w:hAnsiTheme="minorHAnsi" w:cstheme="minorHAnsi"/>
          <w:lang w:val="es-ES"/>
        </w:rPr>
        <w:t>millon</w:t>
      </w:r>
      <w:r>
        <w:rPr>
          <w:rFonts w:asciiTheme="minorHAnsi" w:hAnsiTheme="minorHAnsi" w:cstheme="minorHAnsi"/>
          <w:lang w:val="es-ES"/>
        </w:rPr>
        <w:t xml:space="preserve">es de niñas y mujeres a fin de que puedan participar activamente en la economía digital, liderarla y facilitar su innovación. </w:t>
      </w:r>
      <w:r w:rsidRPr="00864058">
        <w:rPr>
          <w:rFonts w:asciiTheme="minorHAnsi" w:hAnsiTheme="minorHAnsi" w:cstheme="minorHAnsi"/>
          <w:lang w:val="es-ES"/>
        </w:rPr>
        <w:t xml:space="preserve">Los </w:t>
      </w:r>
      <w:hyperlink r:id="rId22" w:history="1">
        <w:r w:rsidRPr="00864058">
          <w:rPr>
            <w:rStyle w:val="Hyperlink"/>
            <w:rFonts w:asciiTheme="minorHAnsi" w:hAnsiTheme="minorHAnsi" w:cstheme="minorHAnsi"/>
            <w:lang w:val="es-ES"/>
          </w:rPr>
          <w:t>premios anuales EQUALS in tech</w:t>
        </w:r>
      </w:hyperlink>
      <w:r w:rsidRPr="00864058">
        <w:rPr>
          <w:lang w:val="es-ES"/>
        </w:rPr>
        <w:t xml:space="preserve"> reconocen a personas y organizaciones que promueven la igualdad de acceso a Internet, las competencias digitales y </w:t>
      </w:r>
      <w:r>
        <w:rPr>
          <w:lang w:val="es-ES"/>
        </w:rPr>
        <w:t>las oportunidades para las niñas y las mujeres en el plano tecnológico</w:t>
      </w:r>
      <w:r w:rsidRPr="00864058">
        <w:rPr>
          <w:rFonts w:asciiTheme="minorHAnsi" w:hAnsiTheme="minorHAnsi" w:cstheme="minorHAnsi"/>
          <w:lang w:val="es-ES"/>
        </w:rPr>
        <w:t>.</w:t>
      </w:r>
    </w:p>
    <w:p w14:paraId="21120CD0" w14:textId="77777777" w:rsidR="00691EFE" w:rsidRPr="00EB2D54" w:rsidRDefault="00691EFE" w:rsidP="00691EFE">
      <w:pPr>
        <w:jc w:val="both"/>
        <w:rPr>
          <w:rFonts w:asciiTheme="minorHAnsi" w:hAnsiTheme="minorHAnsi" w:cstheme="minorHAnsi"/>
          <w:lang w:val="es-ES"/>
        </w:rPr>
      </w:pPr>
      <w:r w:rsidRPr="00EB2D54">
        <w:rPr>
          <w:rFonts w:asciiTheme="minorHAnsi" w:hAnsiTheme="minorHAnsi" w:cstheme="minorHAnsi"/>
          <w:b/>
          <w:bCs/>
          <w:lang w:val="es-ES"/>
        </w:rPr>
        <w:t>2.4</w:t>
      </w:r>
      <w:r w:rsidRPr="00EB2D54">
        <w:rPr>
          <w:rFonts w:asciiTheme="minorHAnsi" w:hAnsiTheme="minorHAnsi" w:cstheme="minorHAnsi"/>
          <w:b/>
          <w:bCs/>
          <w:lang w:val="es-ES"/>
        </w:rPr>
        <w:tab/>
        <w:t>AI Skills Accelerator</w:t>
      </w:r>
      <w:r w:rsidRPr="00EB2D54">
        <w:rPr>
          <w:rFonts w:asciiTheme="minorHAnsi" w:hAnsiTheme="minorHAnsi" w:cstheme="minorHAnsi"/>
          <w:lang w:val="es-ES"/>
        </w:rPr>
        <w:t xml:space="preserve">: Junto con EQUALS, el UIT-D y Ernst &amp; Young (EY) lanzaron el programa de dos años </w:t>
      </w:r>
      <w:hyperlink r:id="rId23" w:history="1">
        <w:r w:rsidRPr="00EB2D54">
          <w:rPr>
            <w:rStyle w:val="Hyperlink"/>
            <w:rFonts w:asciiTheme="minorHAnsi" w:hAnsiTheme="minorHAnsi" w:cstheme="minorHAnsi"/>
            <w:lang w:val="es-ES"/>
          </w:rPr>
          <w:t>AI skills accelerator for girls</w:t>
        </w:r>
      </w:hyperlink>
      <w:r w:rsidRPr="00EB2D54">
        <w:rPr>
          <w:rFonts w:asciiTheme="minorHAnsi" w:hAnsiTheme="minorHAnsi" w:cstheme="minorHAnsi"/>
          <w:i/>
          <w:iCs/>
          <w:lang w:val="es-ES"/>
        </w:rPr>
        <w:t xml:space="preserve"> </w:t>
      </w:r>
      <w:r w:rsidRPr="00EB2D54">
        <w:rPr>
          <w:rFonts w:asciiTheme="minorHAnsi" w:hAnsiTheme="minorHAnsi" w:cstheme="minorHAnsi"/>
          <w:lang w:val="es-ES"/>
        </w:rPr>
        <w:t xml:space="preserve">para formar a 1 000 niñas y jóvenes de comunidades marginadas de </w:t>
      </w:r>
      <w:r>
        <w:rPr>
          <w:rFonts w:asciiTheme="minorHAnsi" w:hAnsiTheme="minorHAnsi" w:cstheme="minorHAnsi"/>
          <w:lang w:val="es-ES"/>
        </w:rPr>
        <w:t xml:space="preserve">12 países, 2 de cada región de la UIT. </w:t>
      </w:r>
      <w:r w:rsidRPr="00EB2D54">
        <w:rPr>
          <w:rFonts w:asciiTheme="minorHAnsi" w:hAnsiTheme="minorHAnsi" w:cstheme="minorHAnsi"/>
          <w:lang w:val="es-ES"/>
        </w:rPr>
        <w:t>Con el objetivo de dotar a las participantes con las competencias digitales, éticas y administrativas</w:t>
      </w:r>
      <w:r>
        <w:rPr>
          <w:rFonts w:asciiTheme="minorHAnsi" w:hAnsiTheme="minorHAnsi" w:cstheme="minorHAnsi"/>
          <w:lang w:val="es-ES"/>
        </w:rPr>
        <w:t xml:space="preserve"> esenciales para convertirse en innovadoras de IA y creadoras de contenido, el programa abarca temas como los fundamentos de la IA, los macrodatos, el aprendizaje automático, la codificación, el tratamiento de datos y las implicaciones éticas de la IA. </w:t>
      </w:r>
      <w:r w:rsidRPr="00EB2D54">
        <w:rPr>
          <w:rFonts w:asciiTheme="minorHAnsi" w:hAnsiTheme="minorHAnsi" w:cstheme="minorHAnsi"/>
          <w:lang w:val="es-ES"/>
        </w:rPr>
        <w:t xml:space="preserve">La primera ronda de talleres contó con más de 470 participantes </w:t>
      </w:r>
      <w:r>
        <w:rPr>
          <w:rFonts w:asciiTheme="minorHAnsi" w:hAnsiTheme="minorHAnsi" w:cstheme="minorHAnsi"/>
          <w:lang w:val="es-ES"/>
        </w:rPr>
        <w:t>de seis países</w:t>
      </w:r>
      <w:r w:rsidRPr="00EB2D54">
        <w:rPr>
          <w:rFonts w:asciiTheme="minorHAnsi" w:hAnsiTheme="minorHAnsi" w:cstheme="minorHAnsi"/>
          <w:lang w:val="es-ES"/>
        </w:rPr>
        <w:t>: India, Jordan</w:t>
      </w:r>
      <w:r>
        <w:rPr>
          <w:rFonts w:asciiTheme="minorHAnsi" w:hAnsiTheme="minorHAnsi" w:cstheme="minorHAnsi"/>
          <w:lang w:val="es-ES"/>
        </w:rPr>
        <w:t>ia</w:t>
      </w:r>
      <w:r w:rsidRPr="00EB2D54">
        <w:rPr>
          <w:rFonts w:asciiTheme="minorHAnsi" w:hAnsiTheme="minorHAnsi" w:cstheme="minorHAnsi"/>
          <w:lang w:val="es-ES"/>
        </w:rPr>
        <w:t>, Kaza</w:t>
      </w:r>
      <w:r>
        <w:rPr>
          <w:rFonts w:asciiTheme="minorHAnsi" w:hAnsiTheme="minorHAnsi" w:cstheme="minorHAnsi"/>
          <w:lang w:val="es-ES"/>
        </w:rPr>
        <w:t>j</w:t>
      </w:r>
      <w:r w:rsidRPr="00EB2D54">
        <w:rPr>
          <w:rFonts w:asciiTheme="minorHAnsi" w:hAnsiTheme="minorHAnsi" w:cstheme="minorHAnsi"/>
          <w:lang w:val="es-ES"/>
        </w:rPr>
        <w:t>st</w:t>
      </w:r>
      <w:r>
        <w:rPr>
          <w:rFonts w:asciiTheme="minorHAnsi" w:hAnsiTheme="minorHAnsi" w:cstheme="minorHAnsi"/>
          <w:lang w:val="es-ES"/>
        </w:rPr>
        <w:t>á</w:t>
      </w:r>
      <w:r w:rsidRPr="00EB2D54">
        <w:rPr>
          <w:rFonts w:asciiTheme="minorHAnsi" w:hAnsiTheme="minorHAnsi" w:cstheme="minorHAnsi"/>
          <w:lang w:val="es-ES"/>
        </w:rPr>
        <w:t>n, Kenya, Malta</w:t>
      </w:r>
      <w:r>
        <w:rPr>
          <w:rFonts w:asciiTheme="minorHAnsi" w:hAnsiTheme="minorHAnsi" w:cstheme="minorHAnsi"/>
          <w:lang w:val="es-ES"/>
        </w:rPr>
        <w:t xml:space="preserve"> y</w:t>
      </w:r>
      <w:r w:rsidRPr="00EB2D54">
        <w:rPr>
          <w:rFonts w:asciiTheme="minorHAnsi" w:hAnsiTheme="minorHAnsi" w:cstheme="minorHAnsi"/>
          <w:lang w:val="es-ES"/>
        </w:rPr>
        <w:t xml:space="preserve"> Paraguay.</w:t>
      </w:r>
    </w:p>
    <w:p w14:paraId="3D5EA671" w14:textId="5AF345DC" w:rsidR="00691EFE" w:rsidRPr="000D0E9E" w:rsidRDefault="00691EFE" w:rsidP="00691EFE">
      <w:pPr>
        <w:jc w:val="both"/>
        <w:rPr>
          <w:rFonts w:asciiTheme="minorHAnsi" w:eastAsia="Calibri" w:hAnsiTheme="minorHAnsi" w:cstheme="minorBidi"/>
          <w:lang w:val="es-ES"/>
        </w:rPr>
      </w:pPr>
      <w:r w:rsidRPr="00EB2D54">
        <w:rPr>
          <w:rFonts w:asciiTheme="minorHAnsi" w:eastAsia="Calibri" w:hAnsiTheme="minorHAnsi" w:cstheme="minorBidi"/>
          <w:b/>
          <w:lang w:val="es-ES"/>
        </w:rPr>
        <w:t>2.</w:t>
      </w:r>
      <w:r w:rsidR="00C9508B">
        <w:rPr>
          <w:rFonts w:asciiTheme="minorHAnsi" w:eastAsia="Calibri" w:hAnsiTheme="minorHAnsi" w:cstheme="minorBidi"/>
          <w:b/>
          <w:lang w:val="es-ES"/>
        </w:rPr>
        <w:t>5</w:t>
      </w:r>
      <w:r w:rsidRPr="00EB2D54">
        <w:rPr>
          <w:lang w:val="es-ES"/>
        </w:rPr>
        <w:tab/>
      </w:r>
      <w:r w:rsidRPr="00EB2D54">
        <w:rPr>
          <w:rFonts w:asciiTheme="minorHAnsi" w:eastAsia="Calibri" w:hAnsiTheme="minorHAnsi" w:cstheme="minorBidi"/>
          <w:b/>
          <w:lang w:val="es-ES"/>
        </w:rPr>
        <w:t>Her Digital Skills</w:t>
      </w:r>
      <w:r w:rsidRPr="00EB2D54">
        <w:rPr>
          <w:rFonts w:asciiTheme="minorHAnsi" w:eastAsia="Calibri" w:hAnsiTheme="minorHAnsi" w:cstheme="minorBidi"/>
          <w:bCs/>
          <w:lang w:val="es-ES"/>
        </w:rPr>
        <w:t>:</w:t>
      </w:r>
      <w:r w:rsidRPr="00EB2D54">
        <w:rPr>
          <w:rFonts w:asciiTheme="minorHAnsi" w:eastAsia="Calibri" w:hAnsiTheme="minorHAnsi" w:cstheme="minorBidi"/>
          <w:lang w:val="es-ES"/>
        </w:rPr>
        <w:t xml:space="preserve"> el UIT-D, junto con GSMA, EY, W4 y el apoyo de Qualcomm y Verizon, impartió 21 talleres durante 2024 en el marco de la iniciativa </w:t>
      </w:r>
      <w:hyperlink r:id="rId24">
        <w:r w:rsidRPr="00EB2D54">
          <w:rPr>
            <w:rStyle w:val="Hyperlink"/>
            <w:rFonts w:asciiTheme="minorHAnsi" w:hAnsiTheme="minorHAnsi" w:cstheme="minorBidi"/>
            <w:lang w:val="es-ES"/>
          </w:rPr>
          <w:t>Her Digital Skills</w:t>
        </w:r>
      </w:hyperlink>
      <w:r w:rsidRPr="00EB2D54">
        <w:rPr>
          <w:rStyle w:val="Hyperlink"/>
          <w:rFonts w:asciiTheme="minorHAnsi" w:hAnsiTheme="minorHAnsi" w:cstheme="minorBidi"/>
          <w:lang w:val="es-ES"/>
        </w:rPr>
        <w:t>,</w:t>
      </w:r>
      <w:r w:rsidRPr="00EB2D54">
        <w:rPr>
          <w:rFonts w:asciiTheme="minorHAnsi" w:eastAsia="Calibri" w:hAnsiTheme="minorHAnsi" w:cstheme="minorBidi"/>
          <w:lang w:val="es-ES"/>
        </w:rPr>
        <w:t xml:space="preserve"> cuyo objetivo</w:t>
      </w:r>
      <w:r>
        <w:rPr>
          <w:rFonts w:asciiTheme="minorHAnsi" w:eastAsia="Calibri" w:hAnsiTheme="minorHAnsi" w:cstheme="minorBidi"/>
          <w:lang w:val="es-ES"/>
        </w:rPr>
        <w:t xml:space="preserve"> es dar acceso a formaciones en competencias digitales básicas, gratuitas y transformadoras, diplomas en competencias-e y mentorías-e a un millón de mujeres y niñas de aquí a</w:t>
      </w:r>
      <w:r w:rsidRPr="00EB2D54">
        <w:rPr>
          <w:rFonts w:asciiTheme="minorHAnsi" w:eastAsia="Calibri" w:hAnsiTheme="minorHAnsi" w:cstheme="minorBidi"/>
          <w:lang w:val="es-ES"/>
        </w:rPr>
        <w:t xml:space="preserve"> 2030. </w:t>
      </w:r>
      <w:r w:rsidRPr="000D0E9E">
        <w:rPr>
          <w:rFonts w:asciiTheme="minorHAnsi" w:eastAsia="Calibri" w:hAnsiTheme="minorHAnsi" w:cstheme="minorBidi"/>
          <w:lang w:val="es-ES"/>
        </w:rPr>
        <w:t>Las 1</w:t>
      </w:r>
      <w:r w:rsidR="00433CCC">
        <w:rPr>
          <w:rFonts w:asciiTheme="minorHAnsi" w:eastAsia="Calibri" w:hAnsiTheme="minorHAnsi" w:cstheme="minorBidi"/>
          <w:lang w:val="es-ES"/>
        </w:rPr>
        <w:t> </w:t>
      </w:r>
      <w:r w:rsidRPr="000D0E9E">
        <w:rPr>
          <w:rFonts w:asciiTheme="minorHAnsi" w:eastAsia="Calibri" w:hAnsiTheme="minorHAnsi" w:cstheme="minorBidi"/>
          <w:lang w:val="es-ES"/>
        </w:rPr>
        <w:t>758 participantes benefi</w:t>
      </w:r>
      <w:r>
        <w:rPr>
          <w:rFonts w:asciiTheme="minorHAnsi" w:eastAsia="Calibri" w:hAnsiTheme="minorHAnsi" w:cstheme="minorBidi"/>
          <w:lang w:val="es-ES"/>
        </w:rPr>
        <w:t>ciarias procedieron de</w:t>
      </w:r>
      <w:r w:rsidRPr="000D0E9E">
        <w:rPr>
          <w:rFonts w:asciiTheme="minorHAnsi" w:eastAsia="Calibri" w:hAnsiTheme="minorHAnsi" w:cstheme="minorBidi"/>
          <w:lang w:val="es-ES"/>
        </w:rPr>
        <w:t xml:space="preserve"> Kenya, Nepal, Uganda, Somalia, Trinidad </w:t>
      </w:r>
      <w:r>
        <w:rPr>
          <w:rFonts w:asciiTheme="minorHAnsi" w:eastAsia="Calibri" w:hAnsiTheme="minorHAnsi" w:cstheme="minorBidi"/>
          <w:lang w:val="es-ES"/>
        </w:rPr>
        <w:t>y</w:t>
      </w:r>
      <w:r w:rsidRPr="000D0E9E">
        <w:rPr>
          <w:rFonts w:asciiTheme="minorHAnsi" w:eastAsia="Calibri" w:hAnsiTheme="minorHAnsi" w:cstheme="minorBidi"/>
          <w:lang w:val="es-ES"/>
        </w:rPr>
        <w:t xml:space="preserve"> T</w:t>
      </w:r>
      <w:r>
        <w:rPr>
          <w:rFonts w:asciiTheme="minorHAnsi" w:eastAsia="Calibri" w:hAnsiTheme="minorHAnsi" w:cstheme="minorBidi"/>
          <w:lang w:val="es-ES"/>
        </w:rPr>
        <w:t>a</w:t>
      </w:r>
      <w:r w:rsidRPr="000D0E9E">
        <w:rPr>
          <w:rFonts w:asciiTheme="minorHAnsi" w:eastAsia="Calibri" w:hAnsiTheme="minorHAnsi" w:cstheme="minorBidi"/>
          <w:lang w:val="es-ES"/>
        </w:rPr>
        <w:t>bago, Bahamas, Camer</w:t>
      </w:r>
      <w:r>
        <w:rPr>
          <w:rFonts w:asciiTheme="minorHAnsi" w:eastAsia="Calibri" w:hAnsiTheme="minorHAnsi" w:cstheme="minorBidi"/>
          <w:lang w:val="es-ES"/>
        </w:rPr>
        <w:t>ú</w:t>
      </w:r>
      <w:r w:rsidRPr="000D0E9E">
        <w:rPr>
          <w:rFonts w:asciiTheme="minorHAnsi" w:eastAsia="Calibri" w:hAnsiTheme="minorHAnsi" w:cstheme="minorBidi"/>
          <w:lang w:val="es-ES"/>
        </w:rPr>
        <w:t xml:space="preserve">n, </w:t>
      </w:r>
      <w:r>
        <w:rPr>
          <w:rFonts w:asciiTheme="minorHAnsi" w:eastAsia="Calibri" w:hAnsiTheme="minorHAnsi" w:cstheme="minorBidi"/>
          <w:lang w:val="es-ES"/>
        </w:rPr>
        <w:t>E</w:t>
      </w:r>
      <w:r w:rsidR="00C9508B">
        <w:rPr>
          <w:rFonts w:asciiTheme="minorHAnsi" w:eastAsia="Calibri" w:hAnsiTheme="minorHAnsi" w:cstheme="minorBidi"/>
          <w:lang w:val="es-ES"/>
        </w:rPr>
        <w:t>stados Unidos</w:t>
      </w:r>
      <w:r w:rsidRPr="000D0E9E">
        <w:rPr>
          <w:rFonts w:asciiTheme="minorHAnsi" w:eastAsia="Calibri" w:hAnsiTheme="minorHAnsi" w:cstheme="minorBidi"/>
          <w:lang w:val="es-ES"/>
        </w:rPr>
        <w:t>, Sa</w:t>
      </w:r>
      <w:r>
        <w:rPr>
          <w:rFonts w:asciiTheme="minorHAnsi" w:eastAsia="Calibri" w:hAnsiTheme="minorHAnsi" w:cstheme="minorBidi"/>
          <w:lang w:val="es-ES"/>
        </w:rPr>
        <w:t>nta</w:t>
      </w:r>
      <w:r w:rsidRPr="000D0E9E">
        <w:rPr>
          <w:rFonts w:asciiTheme="minorHAnsi" w:eastAsia="Calibri" w:hAnsiTheme="minorHAnsi" w:cstheme="minorBidi"/>
          <w:lang w:val="es-ES"/>
        </w:rPr>
        <w:t xml:space="preserve"> Luc</w:t>
      </w:r>
      <w:r>
        <w:rPr>
          <w:rFonts w:asciiTheme="minorHAnsi" w:eastAsia="Calibri" w:hAnsiTheme="minorHAnsi" w:cstheme="minorBidi"/>
          <w:lang w:val="es-ES"/>
        </w:rPr>
        <w:t>í</w:t>
      </w:r>
      <w:r w:rsidRPr="000D0E9E">
        <w:rPr>
          <w:rFonts w:asciiTheme="minorHAnsi" w:eastAsia="Calibri" w:hAnsiTheme="minorHAnsi" w:cstheme="minorBidi"/>
          <w:lang w:val="es-ES"/>
        </w:rPr>
        <w:t>a, S</w:t>
      </w:r>
      <w:r>
        <w:rPr>
          <w:rFonts w:asciiTheme="minorHAnsi" w:eastAsia="Calibri" w:hAnsiTheme="minorHAnsi" w:cstheme="minorBidi"/>
          <w:lang w:val="es-ES"/>
        </w:rPr>
        <w:t>udáfrica</w:t>
      </w:r>
      <w:r w:rsidRPr="000D0E9E">
        <w:rPr>
          <w:rFonts w:asciiTheme="minorHAnsi" w:eastAsia="Calibri" w:hAnsiTheme="minorHAnsi" w:cstheme="minorBidi"/>
          <w:lang w:val="es-ES"/>
        </w:rPr>
        <w:t>, Pakist</w:t>
      </w:r>
      <w:r>
        <w:rPr>
          <w:rFonts w:asciiTheme="minorHAnsi" w:eastAsia="Calibri" w:hAnsiTheme="minorHAnsi" w:cstheme="minorBidi"/>
          <w:lang w:val="es-ES"/>
        </w:rPr>
        <w:t>á</w:t>
      </w:r>
      <w:r w:rsidRPr="000D0E9E">
        <w:rPr>
          <w:rFonts w:asciiTheme="minorHAnsi" w:eastAsia="Calibri" w:hAnsiTheme="minorHAnsi" w:cstheme="minorBidi"/>
          <w:lang w:val="es-ES"/>
        </w:rPr>
        <w:t xml:space="preserve">n, Nigeria, Ghana </w:t>
      </w:r>
      <w:r>
        <w:rPr>
          <w:rFonts w:asciiTheme="minorHAnsi" w:eastAsia="Calibri" w:hAnsiTheme="minorHAnsi" w:cstheme="minorBidi"/>
          <w:lang w:val="es-ES"/>
        </w:rPr>
        <w:t>y Micronesia</w:t>
      </w:r>
      <w:r w:rsidRPr="000D0E9E">
        <w:rPr>
          <w:rFonts w:asciiTheme="minorHAnsi" w:eastAsia="Calibri" w:hAnsiTheme="minorHAnsi" w:cstheme="minorBidi"/>
          <w:lang w:val="es-ES"/>
        </w:rPr>
        <w:t>.</w:t>
      </w:r>
    </w:p>
    <w:p w14:paraId="732403DB" w14:textId="41CBE35C" w:rsidR="00691EFE" w:rsidRPr="000D0E9E" w:rsidRDefault="00691EFE" w:rsidP="00691EFE">
      <w:pPr>
        <w:jc w:val="both"/>
        <w:rPr>
          <w:rFonts w:asciiTheme="minorHAnsi" w:hAnsiTheme="minorHAnsi" w:cstheme="minorHAnsi"/>
          <w:lang w:val="es-ES"/>
        </w:rPr>
      </w:pPr>
      <w:r w:rsidRPr="000D0E9E">
        <w:rPr>
          <w:rFonts w:asciiTheme="minorHAnsi" w:hAnsiTheme="minorHAnsi" w:cstheme="minorHAnsi"/>
          <w:b/>
          <w:lang w:val="es-ES"/>
        </w:rPr>
        <w:t>2.</w:t>
      </w:r>
      <w:r w:rsidR="00C9508B">
        <w:rPr>
          <w:rFonts w:asciiTheme="minorHAnsi" w:hAnsiTheme="minorHAnsi" w:cstheme="minorHAnsi"/>
          <w:b/>
          <w:lang w:val="es-ES"/>
        </w:rPr>
        <w:t>6</w:t>
      </w:r>
      <w:r w:rsidRPr="000D0E9E">
        <w:rPr>
          <w:rFonts w:asciiTheme="minorHAnsi" w:hAnsiTheme="minorHAnsi" w:cstheme="minorHAnsi"/>
          <w:b/>
          <w:lang w:val="es-ES"/>
        </w:rPr>
        <w:tab/>
        <w:t>Her CyberTracks</w:t>
      </w:r>
      <w:r w:rsidRPr="000D0E9E">
        <w:rPr>
          <w:rFonts w:asciiTheme="minorHAnsi" w:hAnsiTheme="minorHAnsi" w:cstheme="minorHAnsi"/>
          <w:bCs/>
          <w:lang w:val="es-ES"/>
        </w:rPr>
        <w:t>:</w:t>
      </w:r>
      <w:r w:rsidRPr="000D0E9E">
        <w:rPr>
          <w:rFonts w:asciiTheme="minorHAnsi" w:hAnsiTheme="minorHAnsi" w:cstheme="minorHAnsi"/>
          <w:b/>
          <w:lang w:val="es-ES"/>
        </w:rPr>
        <w:t xml:space="preserve"> </w:t>
      </w:r>
      <w:r w:rsidRPr="000D0E9E">
        <w:rPr>
          <w:rFonts w:asciiTheme="minorHAnsi" w:hAnsiTheme="minorHAnsi" w:cstheme="minorHAnsi"/>
          <w:lang w:val="es-ES"/>
        </w:rPr>
        <w:t xml:space="preserve">Coejecutada con GIZ, ONUDD y CyberNet/LAC4 de la UE, esta </w:t>
      </w:r>
      <w:hyperlink r:id="rId25" w:history="1">
        <w:r w:rsidRPr="000D0E9E">
          <w:rPr>
            <w:rStyle w:val="Hyperlink"/>
            <w:rFonts w:asciiTheme="minorHAnsi" w:hAnsiTheme="minorHAnsi" w:cstheme="minorHAnsi"/>
            <w:lang w:val="es-ES"/>
          </w:rPr>
          <w:t>iniciativa</w:t>
        </w:r>
      </w:hyperlink>
      <w:r w:rsidRPr="000D0E9E">
        <w:rPr>
          <w:rFonts w:asciiTheme="minorHAnsi" w:hAnsiTheme="minorHAnsi" w:cstheme="minorHAnsi"/>
          <w:lang w:val="es-ES"/>
        </w:rPr>
        <w:t xml:space="preserve"> d</w:t>
      </w:r>
      <w:r>
        <w:rPr>
          <w:rFonts w:asciiTheme="minorHAnsi" w:hAnsiTheme="minorHAnsi" w:cstheme="minorHAnsi"/>
          <w:lang w:val="es-ES"/>
        </w:rPr>
        <w:t xml:space="preserve">estinada a terminar con la infrarrepresentación de las mujeres en la ciberseguridad. </w:t>
      </w:r>
      <w:r w:rsidRPr="000D0E9E">
        <w:rPr>
          <w:rFonts w:asciiTheme="minorHAnsi" w:hAnsiTheme="minorHAnsi" w:cstheme="minorHAnsi"/>
          <w:lang w:val="es-ES"/>
        </w:rPr>
        <w:t>Lanzada en 2023, en 2024 amplió su alcance a países con ba</w:t>
      </w:r>
      <w:r>
        <w:rPr>
          <w:rFonts w:asciiTheme="minorHAnsi" w:hAnsiTheme="minorHAnsi" w:cstheme="minorHAnsi"/>
          <w:lang w:val="es-ES"/>
        </w:rPr>
        <w:t xml:space="preserve">jos ingresos e introdujo vías especializadas. </w:t>
      </w:r>
      <w:r w:rsidRPr="000D0E9E">
        <w:rPr>
          <w:rFonts w:asciiTheme="minorHAnsi" w:hAnsiTheme="minorHAnsi" w:cstheme="minorHAnsi"/>
          <w:lang w:val="es-ES"/>
        </w:rPr>
        <w:t xml:space="preserve">El programa integra el Programa de Mentorías </w:t>
      </w:r>
      <w:r w:rsidRPr="00D25A40">
        <w:rPr>
          <w:rFonts w:asciiTheme="minorHAnsi" w:hAnsiTheme="minorHAnsi" w:cstheme="minorHAnsi"/>
          <w:i/>
          <w:iCs/>
          <w:lang w:val="es-ES"/>
        </w:rPr>
        <w:t>Women in Cyber</w:t>
      </w:r>
      <w:r w:rsidRPr="000D0E9E">
        <w:rPr>
          <w:rFonts w:asciiTheme="minorHAnsi" w:hAnsiTheme="minorHAnsi" w:cstheme="minorHAnsi"/>
          <w:lang w:val="es-ES"/>
        </w:rPr>
        <w:t xml:space="preserve"> de la UIT y </w:t>
      </w:r>
      <w:r>
        <w:rPr>
          <w:rFonts w:asciiTheme="minorHAnsi" w:hAnsiTheme="minorHAnsi" w:cstheme="minorHAnsi"/>
          <w:lang w:val="es-ES"/>
        </w:rPr>
        <w:t xml:space="preserve">se imparte a través de la Academia de la UIT. </w:t>
      </w:r>
      <w:r w:rsidRPr="000D0E9E">
        <w:rPr>
          <w:rFonts w:asciiTheme="minorHAnsi" w:hAnsiTheme="minorHAnsi" w:cstheme="minorHAnsi"/>
          <w:lang w:val="es-ES"/>
        </w:rPr>
        <w:t xml:space="preserve">Ya implantado en Europa y África, previéndose una fase piloto en </w:t>
      </w:r>
      <w:r>
        <w:rPr>
          <w:rFonts w:asciiTheme="minorHAnsi" w:hAnsiTheme="minorHAnsi" w:cstheme="minorHAnsi"/>
          <w:lang w:val="es-ES"/>
        </w:rPr>
        <w:t>las Américas en 2025, cuenta con unos 300 participantes y promueve así la existencia de un panorama de ciberseguridad más inclusivo y resiliente a escala mundial</w:t>
      </w:r>
      <w:r w:rsidRPr="000D0E9E">
        <w:rPr>
          <w:rFonts w:asciiTheme="minorHAnsi" w:hAnsiTheme="minorHAnsi" w:cstheme="minorHAnsi"/>
          <w:lang w:val="es-ES"/>
        </w:rPr>
        <w:t>.</w:t>
      </w:r>
    </w:p>
    <w:p w14:paraId="47B4DB59" w14:textId="45DE237A" w:rsidR="00691EFE" w:rsidRPr="00EA17B7" w:rsidRDefault="00691EFE" w:rsidP="00691EFE">
      <w:pPr>
        <w:jc w:val="both"/>
        <w:rPr>
          <w:rFonts w:asciiTheme="minorHAnsi" w:eastAsia="Segoe UI" w:hAnsiTheme="minorHAnsi" w:cstheme="minorHAnsi"/>
          <w:szCs w:val="24"/>
          <w:lang w:val="es-ES"/>
        </w:rPr>
      </w:pPr>
      <w:bookmarkStart w:id="1" w:name="_Hlk162941496"/>
      <w:bookmarkStart w:id="2" w:name="_Hlk162449056"/>
      <w:r w:rsidRPr="000D0E9E">
        <w:rPr>
          <w:rFonts w:asciiTheme="minorHAnsi" w:hAnsiTheme="minorHAnsi" w:cstheme="minorHAnsi"/>
          <w:b/>
          <w:bCs/>
          <w:lang w:val="es-ES"/>
        </w:rPr>
        <w:t>2.</w:t>
      </w:r>
      <w:r w:rsidR="00C9508B">
        <w:rPr>
          <w:rFonts w:asciiTheme="minorHAnsi" w:hAnsiTheme="minorHAnsi" w:cstheme="minorHAnsi"/>
          <w:b/>
          <w:bCs/>
          <w:lang w:val="es-ES"/>
        </w:rPr>
        <w:t>7</w:t>
      </w:r>
      <w:r w:rsidRPr="000D0E9E">
        <w:rPr>
          <w:rFonts w:asciiTheme="minorHAnsi" w:hAnsiTheme="minorHAnsi" w:cstheme="minorHAnsi"/>
          <w:lang w:val="es-ES"/>
        </w:rPr>
        <w:tab/>
      </w:r>
      <w:r w:rsidRPr="000D0E9E">
        <w:rPr>
          <w:rFonts w:asciiTheme="minorHAnsi" w:hAnsiTheme="minorHAnsi" w:cstheme="minorHAnsi"/>
          <w:b/>
          <w:bCs/>
          <w:lang w:val="es-ES"/>
        </w:rPr>
        <w:t>Cumbre Mundial sobre la Sociedad de la Información (CMSI)</w:t>
      </w:r>
      <w:r w:rsidRPr="000D0E9E">
        <w:rPr>
          <w:rFonts w:asciiTheme="minorHAnsi" w:hAnsiTheme="minorHAnsi" w:cstheme="minorHAnsi"/>
          <w:lang w:val="es-ES"/>
        </w:rPr>
        <w:t>: El</w:t>
      </w:r>
      <w:r w:rsidRPr="000D0E9E">
        <w:rPr>
          <w:rFonts w:asciiTheme="minorHAnsi" w:hAnsiTheme="minorHAnsi" w:cstheme="minorHAnsi"/>
          <w:szCs w:val="24"/>
          <w:lang w:val="es-ES"/>
        </w:rPr>
        <w:t xml:space="preserve"> </w:t>
      </w:r>
      <w:hyperlink r:id="rId26" w:history="1">
        <w:r w:rsidRPr="000D0E9E">
          <w:rPr>
            <w:rStyle w:val="Hyperlink"/>
            <w:rFonts w:asciiTheme="minorHAnsi" w:hAnsiTheme="minorHAnsi" w:cstheme="minorHAnsi"/>
            <w:szCs w:val="24"/>
            <w:lang w:val="es-ES"/>
          </w:rPr>
          <w:t>Evento de Alto Nivel del Foro de la CMSI+20 de 2024</w:t>
        </w:r>
      </w:hyperlink>
      <w:r w:rsidRPr="000D0E9E">
        <w:rPr>
          <w:rFonts w:asciiTheme="minorHAnsi" w:hAnsiTheme="minorHAnsi" w:cstheme="minorHAnsi"/>
          <w:szCs w:val="24"/>
          <w:lang w:val="es-ES"/>
        </w:rPr>
        <w:t xml:space="preserve"> contó con una vía especial dedicada a las TIC y la in</w:t>
      </w:r>
      <w:r>
        <w:rPr>
          <w:rFonts w:asciiTheme="minorHAnsi" w:hAnsiTheme="minorHAnsi" w:cstheme="minorHAnsi"/>
          <w:szCs w:val="24"/>
          <w:lang w:val="es-ES"/>
        </w:rPr>
        <w:t>tegración de género, en la que se consideraron, entre otras cosas, la seguridad de las mujeres en línea, la definición de políticas de TIC inclusivas y el apoyo brindado a las nuevas empresas tecnológicas dirigidas por mujeres</w:t>
      </w:r>
      <w:r w:rsidRPr="000D0E9E">
        <w:rPr>
          <w:rFonts w:asciiTheme="minorHAnsi" w:hAnsiTheme="minorHAnsi" w:cstheme="minorHAnsi"/>
          <w:szCs w:val="24"/>
          <w:lang w:val="es-ES"/>
        </w:rPr>
        <w:t xml:space="preserve">. </w:t>
      </w:r>
      <w:r w:rsidRPr="00EA17B7">
        <w:rPr>
          <w:rFonts w:asciiTheme="minorHAnsi" w:hAnsiTheme="minorHAnsi" w:cstheme="minorHAnsi"/>
          <w:szCs w:val="24"/>
          <w:lang w:val="es-ES"/>
        </w:rPr>
        <w:t>Hay iniciativas especiales, como Creadores de tendencias en materia de género de la CMSI y el Repositorio de la CMSI sobre la</w:t>
      </w:r>
      <w:r>
        <w:rPr>
          <w:rFonts w:asciiTheme="minorHAnsi" w:hAnsiTheme="minorHAnsi" w:cstheme="minorHAnsi"/>
          <w:szCs w:val="24"/>
          <w:lang w:val="es-ES"/>
        </w:rPr>
        <w:t xml:space="preserve">s mujeres en la tecnología, que son plataformas únicas de defensa de las consideraciones de género y fomentan el establecimiento de contactos y la mentoría. </w:t>
      </w:r>
      <w:r w:rsidRPr="00EA17B7">
        <w:rPr>
          <w:rFonts w:asciiTheme="minorHAnsi" w:hAnsiTheme="minorHAnsi" w:cstheme="minorHAnsi"/>
          <w:szCs w:val="24"/>
          <w:lang w:val="es-ES"/>
        </w:rPr>
        <w:t>La</w:t>
      </w:r>
      <w:r w:rsidRPr="00EA17B7">
        <w:rPr>
          <w:rFonts w:asciiTheme="minorHAnsi" w:eastAsia="Segoe UI" w:hAnsiTheme="minorHAnsi" w:cstheme="minorHAnsi"/>
          <w:szCs w:val="24"/>
          <w:lang w:val="es-ES"/>
        </w:rPr>
        <w:t xml:space="preserve"> </w:t>
      </w:r>
      <w:hyperlink r:id="rId27" w:history="1">
        <w:r w:rsidRPr="00EA17B7">
          <w:rPr>
            <w:rStyle w:val="Hyperlink"/>
            <w:rFonts w:asciiTheme="minorHAnsi" w:eastAsia="Segoe UI" w:hAnsiTheme="minorHAnsi" w:cstheme="minorHAnsi"/>
            <w:szCs w:val="24"/>
            <w:lang w:val="es-ES"/>
          </w:rPr>
          <w:t>CMSI</w:t>
        </w:r>
      </w:hyperlink>
      <w:r w:rsidRPr="00EA17B7">
        <w:rPr>
          <w:rFonts w:asciiTheme="minorHAnsi" w:eastAsia="Segoe UI" w:hAnsiTheme="minorHAnsi" w:cstheme="minorHAnsi"/>
          <w:szCs w:val="24"/>
          <w:lang w:val="es-ES"/>
        </w:rPr>
        <w:t xml:space="preserve"> celebró un</w:t>
      </w:r>
      <w:r w:rsidRPr="00EA17B7">
        <w:rPr>
          <w:rFonts w:asciiTheme="minorHAnsi" w:hAnsiTheme="minorHAnsi" w:cstheme="minorHAnsi"/>
          <w:szCs w:val="24"/>
          <w:lang w:val="es-ES"/>
        </w:rPr>
        <w:t xml:space="preserve"> </w:t>
      </w:r>
      <w:hyperlink r:id="rId28" w:history="1">
        <w:r w:rsidRPr="004F3AC1">
          <w:rPr>
            <w:rStyle w:val="Hyperlink"/>
          </w:rPr>
          <w:t>evento paralelo</w:t>
        </w:r>
      </w:hyperlink>
      <w:r w:rsidRPr="00EA17B7">
        <w:rPr>
          <w:rFonts w:asciiTheme="minorHAnsi" w:hAnsiTheme="minorHAnsi" w:cstheme="minorHAnsi"/>
          <w:szCs w:val="24"/>
          <w:lang w:val="es-ES"/>
        </w:rPr>
        <w:t xml:space="preserve"> el 19 de marzo de 2025 con ocasión de la 69ª Sesión de la Comisión de la Condición J</w:t>
      </w:r>
      <w:r>
        <w:rPr>
          <w:rFonts w:asciiTheme="minorHAnsi" w:hAnsiTheme="minorHAnsi" w:cstheme="minorHAnsi"/>
          <w:szCs w:val="24"/>
          <w:lang w:val="es-ES"/>
        </w:rPr>
        <w:t>u</w:t>
      </w:r>
      <w:r w:rsidRPr="00EA17B7">
        <w:rPr>
          <w:rFonts w:asciiTheme="minorHAnsi" w:hAnsiTheme="minorHAnsi" w:cstheme="minorHAnsi"/>
          <w:szCs w:val="24"/>
          <w:lang w:val="es-ES"/>
        </w:rPr>
        <w:t xml:space="preserve">rídica y Social de la </w:t>
      </w:r>
      <w:r>
        <w:rPr>
          <w:rFonts w:asciiTheme="minorHAnsi" w:hAnsiTheme="minorHAnsi" w:cstheme="minorHAnsi"/>
          <w:szCs w:val="24"/>
          <w:lang w:val="es-ES"/>
        </w:rPr>
        <w:t>Mujer</w:t>
      </w:r>
      <w:r w:rsidRPr="00EA17B7">
        <w:rPr>
          <w:rFonts w:asciiTheme="minorHAnsi" w:eastAsia="Segoe UI" w:hAnsiTheme="minorHAnsi" w:cstheme="minorHAnsi"/>
          <w:szCs w:val="24"/>
          <w:lang w:val="es-ES"/>
        </w:rPr>
        <w:t xml:space="preserve"> (CSW69), </w:t>
      </w:r>
      <w:r>
        <w:rPr>
          <w:rFonts w:asciiTheme="minorHAnsi" w:eastAsia="Segoe UI" w:hAnsiTheme="minorHAnsi" w:cstheme="minorHAnsi"/>
          <w:szCs w:val="24"/>
          <w:lang w:val="es-ES"/>
        </w:rPr>
        <w:t>en el que se destacó la necesidad de una igualdad de género en las políticas digitales de cara al Examen CMSI</w:t>
      </w:r>
      <w:r w:rsidRPr="00EA17B7">
        <w:rPr>
          <w:rFonts w:asciiTheme="minorHAnsi" w:eastAsia="Segoe UI" w:hAnsiTheme="minorHAnsi" w:cstheme="minorHAnsi"/>
          <w:szCs w:val="24"/>
          <w:lang w:val="es-ES"/>
        </w:rPr>
        <w:t>+20</w:t>
      </w:r>
      <w:r>
        <w:rPr>
          <w:rFonts w:asciiTheme="minorHAnsi" w:eastAsia="Segoe UI" w:hAnsiTheme="minorHAnsi" w:cstheme="minorHAnsi"/>
          <w:szCs w:val="24"/>
          <w:lang w:val="es-ES"/>
        </w:rPr>
        <w:t>. Los debates se centraron en el fomento de un ecosistema digital inclusivo y en la integración de las consideraciones digitales en el proceso de examen</w:t>
      </w:r>
      <w:r w:rsidRPr="00EA17B7">
        <w:rPr>
          <w:rFonts w:asciiTheme="minorHAnsi" w:eastAsia="Segoe UI" w:hAnsiTheme="minorHAnsi" w:cstheme="minorHAnsi"/>
          <w:szCs w:val="24"/>
          <w:lang w:val="es-ES"/>
        </w:rPr>
        <w:t xml:space="preserve"> Beijing+30.</w:t>
      </w:r>
    </w:p>
    <w:bookmarkEnd w:id="1"/>
    <w:bookmarkEnd w:id="2"/>
    <w:p w14:paraId="004FC9AA" w14:textId="1FA327E9" w:rsidR="00691EFE" w:rsidRPr="00684A1A" w:rsidRDefault="00691EFE" w:rsidP="00691EFE">
      <w:pPr>
        <w:jc w:val="both"/>
        <w:rPr>
          <w:rFonts w:asciiTheme="minorHAnsi" w:hAnsiTheme="minorHAnsi" w:cstheme="minorHAnsi"/>
          <w:lang w:val="es-ES"/>
        </w:rPr>
      </w:pPr>
      <w:r w:rsidRPr="00684A1A">
        <w:rPr>
          <w:rFonts w:asciiTheme="minorHAnsi" w:hAnsiTheme="minorHAnsi" w:cstheme="minorHAnsi"/>
          <w:b/>
          <w:bCs/>
          <w:lang w:val="es-ES"/>
        </w:rPr>
        <w:t>2.</w:t>
      </w:r>
      <w:r w:rsidR="00C9508B">
        <w:rPr>
          <w:rFonts w:asciiTheme="minorHAnsi" w:hAnsiTheme="minorHAnsi" w:cstheme="minorHAnsi"/>
          <w:b/>
          <w:bCs/>
          <w:lang w:val="es-ES"/>
        </w:rPr>
        <w:t>8</w:t>
      </w:r>
      <w:r w:rsidRPr="00684A1A">
        <w:rPr>
          <w:rFonts w:asciiTheme="minorHAnsi" w:hAnsiTheme="minorHAnsi" w:cstheme="minorHAnsi"/>
          <w:lang w:val="es-ES"/>
        </w:rPr>
        <w:tab/>
      </w:r>
      <w:r w:rsidRPr="00684A1A">
        <w:rPr>
          <w:rFonts w:asciiTheme="minorHAnsi" w:hAnsiTheme="minorHAnsi" w:cstheme="minorHAnsi"/>
          <w:b/>
          <w:bCs/>
          <w:lang w:val="es-ES"/>
        </w:rPr>
        <w:t>Red de Ministras y Mujeres Líderes Digitales</w:t>
      </w:r>
      <w:r w:rsidRPr="00684A1A">
        <w:rPr>
          <w:rFonts w:asciiTheme="minorHAnsi" w:hAnsiTheme="minorHAnsi" w:cstheme="minorHAnsi"/>
          <w:lang w:val="es-ES"/>
        </w:rPr>
        <w:t xml:space="preserve">: La UIT </w:t>
      </w:r>
      <w:r>
        <w:rPr>
          <w:rFonts w:asciiTheme="minorHAnsi" w:hAnsiTheme="minorHAnsi" w:cstheme="minorHAnsi"/>
          <w:lang w:val="es-ES"/>
        </w:rPr>
        <w:t>celebró el</w:t>
      </w:r>
      <w:r w:rsidRPr="00684A1A">
        <w:rPr>
          <w:rFonts w:asciiTheme="minorHAnsi" w:hAnsiTheme="minorHAnsi" w:cstheme="minorHAnsi"/>
          <w:lang w:val="es-ES"/>
        </w:rPr>
        <w:t xml:space="preserve"> </w:t>
      </w:r>
      <w:hyperlink r:id="rId29" w:history="1">
        <w:r w:rsidRPr="00684A1A">
          <w:rPr>
            <w:rStyle w:val="Hyperlink"/>
            <w:rFonts w:asciiTheme="minorHAnsi" w:hAnsiTheme="minorHAnsi" w:cstheme="minorHAnsi"/>
            <w:lang w:val="es-ES"/>
          </w:rPr>
          <w:t>primer</w:t>
        </w:r>
        <w:r>
          <w:rPr>
            <w:rStyle w:val="Hyperlink"/>
            <w:rFonts w:asciiTheme="minorHAnsi" w:hAnsiTheme="minorHAnsi" w:cstheme="minorHAnsi"/>
            <w:lang w:val="es-ES"/>
          </w:rPr>
          <w:t xml:space="preserve"> evento de l</w:t>
        </w:r>
        <w:r w:rsidRPr="00684A1A">
          <w:rPr>
            <w:rStyle w:val="Hyperlink"/>
            <w:rFonts w:asciiTheme="minorHAnsi" w:hAnsiTheme="minorHAnsi" w:cstheme="minorHAnsi"/>
            <w:lang w:val="es-ES"/>
          </w:rPr>
          <w:t>a Red de Ministras y Mujeres Líderes Digitales</w:t>
        </w:r>
      </w:hyperlink>
      <w:r w:rsidRPr="00684A1A">
        <w:rPr>
          <w:rFonts w:asciiTheme="minorHAnsi" w:hAnsiTheme="minorHAnsi" w:cstheme="minorHAnsi"/>
          <w:lang w:val="es-ES"/>
        </w:rPr>
        <w:t xml:space="preserve"> </w:t>
      </w:r>
      <w:r>
        <w:rPr>
          <w:rFonts w:asciiTheme="minorHAnsi" w:hAnsiTheme="minorHAnsi" w:cstheme="minorHAnsi"/>
          <w:lang w:val="es-ES"/>
        </w:rPr>
        <w:t>con ocasión de la CMSI</w:t>
      </w:r>
      <w:r w:rsidRPr="00684A1A">
        <w:rPr>
          <w:rFonts w:asciiTheme="minorHAnsi" w:hAnsiTheme="minorHAnsi" w:cstheme="minorHAnsi"/>
          <w:lang w:val="es-ES"/>
        </w:rPr>
        <w:t xml:space="preserve">+20 </w:t>
      </w:r>
      <w:r>
        <w:rPr>
          <w:rFonts w:asciiTheme="minorHAnsi" w:hAnsiTheme="minorHAnsi" w:cstheme="minorHAnsi"/>
          <w:lang w:val="es-ES"/>
        </w:rPr>
        <w:t>en julio pasado. En julio</w:t>
      </w:r>
      <w:r w:rsidR="00B50B98">
        <w:rPr>
          <w:rFonts w:asciiTheme="minorHAnsi" w:hAnsiTheme="minorHAnsi" w:cstheme="minorHAnsi"/>
          <w:lang w:val="es-ES"/>
        </w:rPr>
        <w:t> </w:t>
      </w:r>
      <w:r>
        <w:rPr>
          <w:rFonts w:asciiTheme="minorHAnsi" w:hAnsiTheme="minorHAnsi" w:cstheme="minorHAnsi"/>
          <w:lang w:val="es-ES"/>
        </w:rPr>
        <w:t xml:space="preserve">de </w:t>
      </w:r>
      <w:r>
        <w:rPr>
          <w:rFonts w:asciiTheme="minorHAnsi" w:hAnsiTheme="minorHAnsi" w:cstheme="minorHAnsi"/>
          <w:lang w:val="es-ES"/>
        </w:rPr>
        <w:lastRenderedPageBreak/>
        <w:t>2025 la Secretaria General celebrará el segundo evento en el marco del Evento de Alto Nivel del Foro de la CMSI+20 de 2025, de conformidad con la Resolución</w:t>
      </w:r>
      <w:r w:rsidRPr="00684A1A">
        <w:rPr>
          <w:rFonts w:asciiTheme="minorHAnsi" w:hAnsiTheme="minorHAnsi" w:cstheme="minorHAnsi"/>
          <w:lang w:val="es-ES"/>
        </w:rPr>
        <w:t xml:space="preserve"> 70. </w:t>
      </w:r>
    </w:p>
    <w:p w14:paraId="0FF83A8E" w14:textId="513ECFDD" w:rsidR="00691EFE" w:rsidRPr="00CC615F" w:rsidRDefault="00691EFE" w:rsidP="00691EFE">
      <w:pPr>
        <w:jc w:val="both"/>
        <w:rPr>
          <w:rFonts w:asciiTheme="minorHAnsi" w:hAnsiTheme="minorHAnsi" w:cstheme="minorHAnsi"/>
          <w:lang w:val="es-ES"/>
        </w:rPr>
      </w:pPr>
      <w:r w:rsidRPr="00684A1A">
        <w:rPr>
          <w:rFonts w:asciiTheme="minorHAnsi" w:hAnsiTheme="minorHAnsi" w:cstheme="minorHAnsi"/>
          <w:b/>
          <w:bCs/>
          <w:lang w:val="es-ES"/>
        </w:rPr>
        <w:t>2.</w:t>
      </w:r>
      <w:r w:rsidR="00C9508B">
        <w:rPr>
          <w:rFonts w:asciiTheme="minorHAnsi" w:hAnsiTheme="minorHAnsi" w:cstheme="minorHAnsi"/>
          <w:b/>
          <w:bCs/>
          <w:lang w:val="es-ES"/>
        </w:rPr>
        <w:t>9</w:t>
      </w:r>
      <w:r w:rsidRPr="00684A1A">
        <w:rPr>
          <w:rFonts w:asciiTheme="minorHAnsi" w:hAnsiTheme="minorHAnsi" w:cstheme="minorHAnsi"/>
          <w:lang w:val="es-ES"/>
        </w:rPr>
        <w:tab/>
      </w:r>
      <w:r w:rsidRPr="00684A1A">
        <w:rPr>
          <w:rFonts w:asciiTheme="minorHAnsi" w:hAnsiTheme="minorHAnsi" w:cstheme="minorHAnsi"/>
          <w:b/>
          <w:bCs/>
          <w:lang w:val="es-ES"/>
        </w:rPr>
        <w:t>Red de Mujeres (NoW)</w:t>
      </w:r>
      <w:r w:rsidRPr="00684A1A">
        <w:rPr>
          <w:rFonts w:asciiTheme="minorHAnsi" w:hAnsiTheme="minorHAnsi" w:cstheme="minorHAnsi"/>
          <w:lang w:val="es-ES"/>
        </w:rPr>
        <w:t xml:space="preserve">: La UIT promueve la participación activa de las mujeres en los eventos de la UIT y ha lanzado la </w:t>
      </w:r>
      <w:r>
        <w:rPr>
          <w:rFonts w:asciiTheme="minorHAnsi" w:hAnsiTheme="minorHAnsi" w:cstheme="minorHAnsi"/>
          <w:lang w:val="es-ES"/>
        </w:rPr>
        <w:t>iniciativa Red de Mujeres</w:t>
      </w:r>
      <w:r w:rsidRPr="00684A1A">
        <w:rPr>
          <w:rFonts w:asciiTheme="minorHAnsi" w:hAnsiTheme="minorHAnsi" w:cstheme="minorHAnsi"/>
          <w:lang w:val="es-ES"/>
        </w:rPr>
        <w:t xml:space="preserve"> (NoW) </w:t>
      </w:r>
      <w:r>
        <w:rPr>
          <w:rFonts w:asciiTheme="minorHAnsi" w:hAnsiTheme="minorHAnsi" w:cstheme="minorHAnsi"/>
          <w:lang w:val="es-ES"/>
        </w:rPr>
        <w:t>en los tres Sectores</w:t>
      </w:r>
      <w:r w:rsidRPr="00684A1A">
        <w:rPr>
          <w:rFonts w:asciiTheme="minorHAnsi" w:hAnsiTheme="minorHAnsi" w:cstheme="minorHAnsi"/>
          <w:lang w:val="es-ES"/>
        </w:rPr>
        <w:t xml:space="preserve">: </w:t>
      </w:r>
      <w:hyperlink r:id="rId30">
        <w:r w:rsidRPr="00684A1A">
          <w:rPr>
            <w:rStyle w:val="Hyperlink"/>
            <w:rFonts w:asciiTheme="minorHAnsi" w:hAnsiTheme="minorHAnsi" w:cstheme="minorHAnsi"/>
            <w:lang w:val="es-ES"/>
          </w:rPr>
          <w:t>U</w:t>
        </w:r>
        <w:r>
          <w:rPr>
            <w:rStyle w:val="Hyperlink"/>
            <w:rFonts w:asciiTheme="minorHAnsi" w:hAnsiTheme="minorHAnsi" w:cstheme="minorHAnsi"/>
            <w:lang w:val="es-ES"/>
          </w:rPr>
          <w:t>IT</w:t>
        </w:r>
        <w:r w:rsidRPr="00684A1A">
          <w:rPr>
            <w:rStyle w:val="Hyperlink"/>
            <w:rFonts w:asciiTheme="minorHAnsi" w:hAnsiTheme="minorHAnsi" w:cstheme="minorHAnsi"/>
            <w:lang w:val="es-ES"/>
          </w:rPr>
          <w:t>-R</w:t>
        </w:r>
      </w:hyperlink>
      <w:r w:rsidRPr="00684A1A">
        <w:rPr>
          <w:rFonts w:asciiTheme="minorHAnsi" w:hAnsiTheme="minorHAnsi" w:cstheme="minorHAnsi"/>
          <w:lang w:val="es-ES"/>
        </w:rPr>
        <w:t xml:space="preserve">, </w:t>
      </w:r>
      <w:hyperlink r:id="rId31">
        <w:r w:rsidRPr="00684A1A">
          <w:rPr>
            <w:rStyle w:val="Hyperlink"/>
            <w:rFonts w:asciiTheme="minorHAnsi" w:hAnsiTheme="minorHAnsi" w:cstheme="minorHAnsi"/>
            <w:lang w:val="es-ES"/>
          </w:rPr>
          <w:t>U</w:t>
        </w:r>
        <w:r>
          <w:rPr>
            <w:rStyle w:val="Hyperlink"/>
            <w:rFonts w:asciiTheme="minorHAnsi" w:hAnsiTheme="minorHAnsi" w:cstheme="minorHAnsi"/>
            <w:lang w:val="es-ES"/>
          </w:rPr>
          <w:t>IT</w:t>
        </w:r>
        <w:r w:rsidRPr="00684A1A">
          <w:rPr>
            <w:rStyle w:val="Hyperlink"/>
            <w:rFonts w:asciiTheme="minorHAnsi" w:hAnsiTheme="minorHAnsi" w:cstheme="minorHAnsi"/>
            <w:lang w:val="es-ES"/>
          </w:rPr>
          <w:t>-D</w:t>
        </w:r>
      </w:hyperlink>
      <w:r w:rsidRPr="00684A1A">
        <w:rPr>
          <w:rFonts w:asciiTheme="minorHAnsi" w:hAnsiTheme="minorHAnsi" w:cstheme="minorHAnsi"/>
          <w:lang w:val="es-ES"/>
        </w:rPr>
        <w:t xml:space="preserve"> </w:t>
      </w:r>
      <w:r>
        <w:rPr>
          <w:rFonts w:asciiTheme="minorHAnsi" w:hAnsiTheme="minorHAnsi" w:cstheme="minorHAnsi"/>
          <w:lang w:val="es-ES"/>
        </w:rPr>
        <w:t>y</w:t>
      </w:r>
      <w:r w:rsidRPr="00684A1A">
        <w:rPr>
          <w:rFonts w:asciiTheme="minorHAnsi" w:hAnsiTheme="minorHAnsi" w:cstheme="minorHAnsi"/>
          <w:lang w:val="es-ES"/>
        </w:rPr>
        <w:t xml:space="preserve"> </w:t>
      </w:r>
      <w:hyperlink r:id="rId32" w:anchor="/es">
        <w:r w:rsidRPr="00684A1A">
          <w:rPr>
            <w:rStyle w:val="Hyperlink"/>
            <w:rFonts w:asciiTheme="minorHAnsi" w:hAnsiTheme="minorHAnsi" w:cstheme="minorHAnsi"/>
            <w:lang w:val="es-ES"/>
          </w:rPr>
          <w:t>U</w:t>
        </w:r>
        <w:r>
          <w:rPr>
            <w:rStyle w:val="Hyperlink"/>
            <w:rFonts w:asciiTheme="minorHAnsi" w:hAnsiTheme="minorHAnsi" w:cstheme="minorHAnsi"/>
            <w:lang w:val="es-ES"/>
          </w:rPr>
          <w:t>IT</w:t>
        </w:r>
        <w:r w:rsidRPr="00684A1A">
          <w:rPr>
            <w:rStyle w:val="Hyperlink"/>
            <w:rFonts w:asciiTheme="minorHAnsi" w:hAnsiTheme="minorHAnsi" w:cstheme="minorHAnsi"/>
            <w:lang w:val="es-ES"/>
          </w:rPr>
          <w:t>-T</w:t>
        </w:r>
      </w:hyperlink>
      <w:r w:rsidRPr="00684A1A">
        <w:rPr>
          <w:rFonts w:asciiTheme="minorHAnsi" w:hAnsiTheme="minorHAnsi" w:cstheme="minorHAnsi"/>
          <w:lang w:val="es-ES"/>
        </w:rPr>
        <w:t xml:space="preserve">. El </w:t>
      </w:r>
      <w:hyperlink r:id="rId33" w:anchor="/es" w:history="1">
        <w:r w:rsidRPr="00684A1A">
          <w:rPr>
            <w:rStyle w:val="Hyperlink"/>
            <w:rFonts w:asciiTheme="minorHAnsi" w:hAnsiTheme="minorHAnsi" w:cstheme="minorHAnsi"/>
            <w:lang w:val="es-ES"/>
          </w:rPr>
          <w:t>programa de mentoría NOW4WRC27</w:t>
        </w:r>
      </w:hyperlink>
      <w:r w:rsidRPr="00684A1A">
        <w:rPr>
          <w:rFonts w:asciiTheme="minorHAnsi" w:hAnsiTheme="minorHAnsi" w:cstheme="minorHAnsi"/>
          <w:lang w:val="es-ES"/>
        </w:rPr>
        <w:t>, lanzado a principios de este año, estará activo hasta la CMR-27 y empoderará</w:t>
      </w:r>
      <w:r>
        <w:rPr>
          <w:rFonts w:asciiTheme="minorHAnsi" w:hAnsiTheme="minorHAnsi" w:cstheme="minorHAnsi"/>
          <w:lang w:val="es-ES"/>
        </w:rPr>
        <w:t xml:space="preserve"> a las delegadas facilitando su comprensión de los métodos de trabajo del UIT-R, el Reglamento de Radiocomunicaciones y el proceso de la CMR</w:t>
      </w:r>
      <w:r w:rsidR="00B50B98">
        <w:rPr>
          <w:rFonts w:asciiTheme="minorHAnsi" w:hAnsiTheme="minorHAnsi" w:cstheme="minorHAnsi"/>
          <w:lang w:val="es-ES"/>
        </w:rPr>
        <w:noBreakHyphen/>
      </w:r>
      <w:r>
        <w:rPr>
          <w:rFonts w:asciiTheme="minorHAnsi" w:hAnsiTheme="minorHAnsi" w:cstheme="minorHAnsi"/>
          <w:lang w:val="es-ES"/>
        </w:rPr>
        <w:t xml:space="preserve">27. </w:t>
      </w:r>
      <w:r w:rsidRPr="00684A1A">
        <w:rPr>
          <w:rFonts w:asciiTheme="minorHAnsi" w:hAnsiTheme="minorHAnsi" w:cstheme="minorHAnsi"/>
          <w:lang w:val="es-ES"/>
        </w:rPr>
        <w:t xml:space="preserve">El </w:t>
      </w:r>
      <w:hyperlink r:id="rId34" w:history="1">
        <w:r w:rsidRPr="00684A1A">
          <w:rPr>
            <w:rStyle w:val="Hyperlink"/>
            <w:rFonts w:asciiTheme="minorHAnsi" w:hAnsiTheme="minorHAnsi" w:cstheme="minorHAnsi"/>
            <w:lang w:val="es-ES"/>
          </w:rPr>
          <w:t>programa de mentoría Empoderar a las mujeres dirigentes</w:t>
        </w:r>
      </w:hyperlink>
      <w:r w:rsidRPr="00684A1A">
        <w:rPr>
          <w:rFonts w:asciiTheme="minorHAnsi" w:hAnsiTheme="minorHAnsi" w:cstheme="minorHAnsi"/>
          <w:lang w:val="es-ES"/>
        </w:rPr>
        <w:t>, lanzado por NoW e</w:t>
      </w:r>
      <w:r>
        <w:rPr>
          <w:rFonts w:asciiTheme="minorHAnsi" w:hAnsiTheme="minorHAnsi" w:cstheme="minorHAnsi"/>
          <w:lang w:val="es-ES"/>
        </w:rPr>
        <w:t>n el UIT</w:t>
      </w:r>
      <w:r w:rsidRPr="00684A1A">
        <w:rPr>
          <w:rFonts w:asciiTheme="minorHAnsi" w:hAnsiTheme="minorHAnsi" w:cstheme="minorHAnsi"/>
          <w:lang w:val="es-ES"/>
        </w:rPr>
        <w:t xml:space="preserve">-D </w:t>
      </w:r>
      <w:r>
        <w:rPr>
          <w:rFonts w:asciiTheme="minorHAnsi" w:hAnsiTheme="minorHAnsi" w:cstheme="minorHAnsi"/>
          <w:lang w:val="es-ES"/>
        </w:rPr>
        <w:t>de cara a la CMDT</w:t>
      </w:r>
      <w:r w:rsidRPr="00684A1A">
        <w:rPr>
          <w:rFonts w:asciiTheme="minorHAnsi" w:hAnsiTheme="minorHAnsi" w:cstheme="minorHAnsi"/>
          <w:lang w:val="es-ES"/>
        </w:rPr>
        <w:t xml:space="preserve">-25, </w:t>
      </w:r>
      <w:r>
        <w:rPr>
          <w:rFonts w:asciiTheme="minorHAnsi" w:hAnsiTheme="minorHAnsi" w:cstheme="minorHAnsi"/>
          <w:lang w:val="es-ES"/>
        </w:rPr>
        <w:t xml:space="preserve">fomenta una mayor representación de las mujeres en la toma de decisiones sobre TIC. </w:t>
      </w:r>
      <w:r w:rsidRPr="00CC615F">
        <w:rPr>
          <w:rFonts w:asciiTheme="minorHAnsi" w:hAnsiTheme="minorHAnsi" w:cstheme="minorHAnsi"/>
          <w:lang w:val="es-ES"/>
        </w:rPr>
        <w:t>La campaña NoW para la AMNT-24 (</w:t>
      </w:r>
      <w:hyperlink r:id="rId35" w:anchor="/es">
        <w:r w:rsidRPr="00CC615F">
          <w:rPr>
            <w:rStyle w:val="Hyperlink"/>
            <w:rFonts w:asciiTheme="minorHAnsi" w:hAnsiTheme="minorHAnsi" w:cstheme="minorHAnsi"/>
            <w:lang w:val="es-ES"/>
          </w:rPr>
          <w:t>NOW4WTSA24</w:t>
        </w:r>
      </w:hyperlink>
      <w:r w:rsidRPr="00CC615F">
        <w:rPr>
          <w:rFonts w:asciiTheme="minorHAnsi" w:hAnsiTheme="minorHAnsi" w:cstheme="minorHAnsi"/>
          <w:lang w:val="es-ES"/>
        </w:rPr>
        <w:t>) generó un aumento del número de mujeres elegidas a puestos dirigentes del 24</w:t>
      </w:r>
      <w:r w:rsidR="00B50B98">
        <w:rPr>
          <w:rFonts w:asciiTheme="minorHAnsi" w:hAnsiTheme="minorHAnsi" w:cstheme="minorHAnsi"/>
          <w:lang w:val="es-ES"/>
        </w:rPr>
        <w:t> </w:t>
      </w:r>
      <w:r w:rsidRPr="00CC615F">
        <w:rPr>
          <w:rFonts w:asciiTheme="minorHAnsi" w:hAnsiTheme="minorHAnsi" w:cstheme="minorHAnsi"/>
          <w:lang w:val="es-ES"/>
        </w:rPr>
        <w:t>%,</w:t>
      </w:r>
      <w:r>
        <w:rPr>
          <w:rFonts w:asciiTheme="minorHAnsi" w:hAnsiTheme="minorHAnsi" w:cstheme="minorHAnsi"/>
          <w:lang w:val="es-ES"/>
        </w:rPr>
        <w:t xml:space="preserve"> llegando la representación femenina en la Asamblea al</w:t>
      </w:r>
      <w:r w:rsidRPr="00CC615F">
        <w:rPr>
          <w:rFonts w:asciiTheme="minorHAnsi" w:hAnsiTheme="minorHAnsi" w:cstheme="minorHAnsi"/>
          <w:lang w:val="es-ES"/>
        </w:rPr>
        <w:t xml:space="preserve"> 26</w:t>
      </w:r>
      <w:r w:rsidR="00B50B98">
        <w:rPr>
          <w:rFonts w:asciiTheme="minorHAnsi" w:hAnsiTheme="minorHAnsi" w:cstheme="minorHAnsi"/>
          <w:lang w:val="es-ES"/>
        </w:rPr>
        <w:t> </w:t>
      </w:r>
      <w:r w:rsidRPr="00CC615F">
        <w:rPr>
          <w:rFonts w:asciiTheme="minorHAnsi" w:hAnsiTheme="minorHAnsi" w:cstheme="minorHAnsi"/>
          <w:lang w:val="es-ES"/>
        </w:rPr>
        <w:t>%.</w:t>
      </w:r>
      <w:r w:rsidRPr="00CC615F">
        <w:rPr>
          <w:lang w:val="es-ES"/>
        </w:rPr>
        <w:t xml:space="preserve"> </w:t>
      </w:r>
      <w:r w:rsidRPr="00CC615F">
        <w:rPr>
          <w:rFonts w:asciiTheme="minorHAnsi" w:hAnsiTheme="minorHAnsi" w:cstheme="minorHAnsi"/>
          <w:lang w:val="es-ES"/>
        </w:rPr>
        <w:t>A pesar de estar aún lejos del objetivo del 35</w:t>
      </w:r>
      <w:r w:rsidR="00B50B98">
        <w:rPr>
          <w:rFonts w:asciiTheme="minorHAnsi" w:hAnsiTheme="minorHAnsi" w:cstheme="minorHAnsi"/>
          <w:lang w:val="es-ES"/>
        </w:rPr>
        <w:t> </w:t>
      </w:r>
      <w:r w:rsidRPr="00CC615F">
        <w:rPr>
          <w:rFonts w:asciiTheme="minorHAnsi" w:hAnsiTheme="minorHAnsi" w:cstheme="minorHAnsi"/>
          <w:lang w:val="es-ES"/>
        </w:rPr>
        <w:t>%, se trata de</w:t>
      </w:r>
      <w:r>
        <w:rPr>
          <w:rFonts w:asciiTheme="minorHAnsi" w:hAnsiTheme="minorHAnsi" w:cstheme="minorHAnsi"/>
          <w:lang w:val="es-ES"/>
        </w:rPr>
        <w:t>l mayor porcentaje de representación femenina en una AMNT celebrada fuera de Ginebra</w:t>
      </w:r>
      <w:r w:rsidRPr="00CC615F">
        <w:rPr>
          <w:rFonts w:asciiTheme="minorHAnsi" w:hAnsiTheme="minorHAnsi" w:cstheme="minorHAnsi"/>
          <w:lang w:val="es-ES"/>
        </w:rPr>
        <w:t>.</w:t>
      </w:r>
    </w:p>
    <w:p w14:paraId="14164238" w14:textId="54CAE065" w:rsidR="00691EFE" w:rsidRPr="00CC615F" w:rsidRDefault="006C24AC" w:rsidP="00691EFE">
      <w:pPr>
        <w:jc w:val="both"/>
        <w:rPr>
          <w:rFonts w:asciiTheme="minorHAnsi" w:hAnsiTheme="minorHAnsi" w:cstheme="minorHAnsi"/>
          <w:lang w:val="es-ES"/>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9975AD2" wp14:editId="1F6BBEA4">
                <wp:simplePos x="0" y="0"/>
                <wp:positionH relativeFrom="column">
                  <wp:posOffset>3540760</wp:posOffset>
                </wp:positionH>
                <wp:positionV relativeFrom="paragraph">
                  <wp:posOffset>1621406</wp:posOffset>
                </wp:positionV>
                <wp:extent cx="1080198" cy="175846"/>
                <wp:effectExtent l="0" t="0" r="5715" b="0"/>
                <wp:wrapNone/>
                <wp:docPr id="1524653277" name="Text Box 6"/>
                <wp:cNvGraphicFramePr/>
                <a:graphic xmlns:a="http://schemas.openxmlformats.org/drawingml/2006/main">
                  <a:graphicData uri="http://schemas.microsoft.com/office/word/2010/wordprocessingShape">
                    <wps:wsp>
                      <wps:cNvSpPr txBox="1"/>
                      <wps:spPr>
                        <a:xfrm>
                          <a:off x="0" y="0"/>
                          <a:ext cx="1080198" cy="175846"/>
                        </a:xfrm>
                        <a:prstGeom prst="rect">
                          <a:avLst/>
                        </a:prstGeom>
                        <a:solidFill>
                          <a:schemeClr val="lt1"/>
                        </a:solidFill>
                        <a:ln w="6350">
                          <a:noFill/>
                        </a:ln>
                      </wps:spPr>
                      <wps:txbx>
                        <w:txbxContent>
                          <w:p w14:paraId="7F9D0F69" w14:textId="6CF951D6" w:rsidR="006C24AC" w:rsidRPr="00EB54C4" w:rsidRDefault="006C24AC" w:rsidP="006C24AC">
                            <w:pPr>
                              <w:spacing w:before="0" w:line="120" w:lineRule="auto"/>
                              <w:rPr>
                                <w:sz w:val="8"/>
                                <w:szCs w:val="8"/>
                              </w:rPr>
                            </w:pPr>
                            <w:r>
                              <w:rPr>
                                <w:noProof/>
                              </w:rPr>
                              <w:drawing>
                                <wp:inline distT="0" distB="0" distL="0" distR="0" wp14:anchorId="33C5616C" wp14:editId="78984F84">
                                  <wp:extent cx="890905" cy="88900"/>
                                  <wp:effectExtent l="0" t="0" r="4445" b="6350"/>
                                  <wp:docPr id="37611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17105" name=""/>
                                          <pic:cNvPicPr/>
                                        </pic:nvPicPr>
                                        <pic:blipFill>
                                          <a:blip r:embed="rId36"/>
                                          <a:stretch>
                                            <a:fillRect/>
                                          </a:stretch>
                                        </pic:blipFill>
                                        <pic:spPr>
                                          <a:xfrm>
                                            <a:off x="0" y="0"/>
                                            <a:ext cx="890905" cy="88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975AD2" id="_x0000_t202" coordsize="21600,21600" o:spt="202" path="m,l,21600r21600,l21600,xe">
                <v:stroke joinstyle="miter"/>
                <v:path gradientshapeok="t" o:connecttype="rect"/>
              </v:shapetype>
              <v:shape id="Text Box 6" o:spid="_x0000_s1026" type="#_x0000_t202" style="position:absolute;left:0;text-align:left;margin-left:278.8pt;margin-top:127.65pt;width:85.05pt;height:13.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" fillcolor="white [3201]" stroked="f" strokeweight=".5pt">
                <v:textbox>
                  <w:txbxContent>
                    <w:p w14:paraId="7F9D0F69" w14:textId="6CF951D6" w:rsidR="006C24AC" w:rsidRPr="00EB54C4" w:rsidRDefault="006C24AC" w:rsidP="006C24AC">
                      <w:pPr>
                        <w:spacing w:before="0" w:line="120" w:lineRule="auto"/>
                        <w:rPr>
                          <w:sz w:val="8"/>
                          <w:szCs w:val="8"/>
                        </w:rPr>
                      </w:pPr>
                      <w:r>
                        <w:rPr>
                          <w:noProof/>
                        </w:rPr>
                        <w:drawing>
                          <wp:inline distT="0" distB="0" distL="0" distR="0" wp14:anchorId="33C5616C" wp14:editId="78984F84">
                            <wp:extent cx="890905" cy="88900"/>
                            <wp:effectExtent l="0" t="0" r="4445" b="6350"/>
                            <wp:docPr id="37611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17105" name=""/>
                                    <pic:cNvPicPr/>
                                  </pic:nvPicPr>
                                  <pic:blipFill>
                                    <a:blip r:embed="rId37"/>
                                    <a:stretch>
                                      <a:fillRect/>
                                    </a:stretch>
                                  </pic:blipFill>
                                  <pic:spPr>
                                    <a:xfrm>
                                      <a:off x="0" y="0"/>
                                      <a:ext cx="890905" cy="88900"/>
                                    </a:xfrm>
                                    <a:prstGeom prst="rect">
                                      <a:avLst/>
                                    </a:prstGeom>
                                  </pic:spPr>
                                </pic:pic>
                              </a:graphicData>
                            </a:graphic>
                          </wp:inline>
                        </w:drawing>
                      </w:r>
                    </w:p>
                  </w:txbxContent>
                </v:textbox>
              </v:shape>
            </w:pict>
          </mc:Fallback>
        </mc:AlternateContent>
      </w:r>
      <w:r w:rsidR="00B753C5">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026BDB76" wp14:editId="4765314B">
                <wp:simplePos x="0" y="0"/>
                <wp:positionH relativeFrom="column">
                  <wp:posOffset>3706139</wp:posOffset>
                </wp:positionH>
                <wp:positionV relativeFrom="paragraph">
                  <wp:posOffset>1626291</wp:posOffset>
                </wp:positionV>
                <wp:extent cx="301451" cy="155750"/>
                <wp:effectExtent l="0" t="0" r="3810" b="0"/>
                <wp:wrapNone/>
                <wp:docPr id="1640511039" name="Text Box 5"/>
                <wp:cNvGraphicFramePr/>
                <a:graphic xmlns:a="http://schemas.openxmlformats.org/drawingml/2006/main">
                  <a:graphicData uri="http://schemas.microsoft.com/office/word/2010/wordprocessingShape">
                    <wps:wsp>
                      <wps:cNvSpPr txBox="1"/>
                      <wps:spPr>
                        <a:xfrm>
                          <a:off x="0" y="0"/>
                          <a:ext cx="301451" cy="155750"/>
                        </a:xfrm>
                        <a:prstGeom prst="rect">
                          <a:avLst/>
                        </a:prstGeom>
                        <a:solidFill>
                          <a:schemeClr val="lt1"/>
                        </a:solidFill>
                        <a:ln w="6350">
                          <a:noFill/>
                        </a:ln>
                      </wps:spPr>
                      <wps:txbx>
                        <w:txbxContent>
                          <w:p w14:paraId="0CAD7836" w14:textId="4243B04C" w:rsidR="009A0A72" w:rsidRPr="00B753C5" w:rsidRDefault="00B753C5" w:rsidP="00B753C5">
                            <w:pPr>
                              <w:spacing w:before="0"/>
                              <w:ind w:hanging="142"/>
                              <w:rPr>
                                <w:sz w:val="9"/>
                                <w:szCs w:val="9"/>
                                <w:lang w:val="es-ES"/>
                              </w:rPr>
                            </w:pPr>
                            <w:r w:rsidRPr="00B753C5">
                              <w:rPr>
                                <w:sz w:val="9"/>
                                <w:szCs w:val="9"/>
                                <w:lang w:val="es-ES"/>
                              </w:rPr>
                              <w:t>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BDB76" id="Text Box 5" o:spid="_x0000_s1027" type="#_x0000_t202" style="position:absolute;left:0;text-align:left;margin-left:291.8pt;margin-top:128.05pt;width:23.75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" fillcolor="white [3201]" stroked="f" strokeweight=".5pt">
                <v:textbox>
                  <w:txbxContent>
                    <w:p w14:paraId="0CAD7836" w14:textId="4243B04C" w:rsidR="009A0A72" w:rsidRPr="00B753C5" w:rsidRDefault="00B753C5" w:rsidP="00B753C5">
                      <w:pPr>
                        <w:spacing w:before="0"/>
                        <w:ind w:hanging="142"/>
                        <w:rPr>
                          <w:sz w:val="9"/>
                          <w:szCs w:val="9"/>
                          <w:lang w:val="es-ES"/>
                        </w:rPr>
                      </w:pPr>
                      <w:r w:rsidRPr="00B753C5">
                        <w:rPr>
                          <w:sz w:val="9"/>
                          <w:szCs w:val="9"/>
                          <w:lang w:val="es-ES"/>
                        </w:rPr>
                        <w:t>Mujeres</w:t>
                      </w:r>
                    </w:p>
                  </w:txbxContent>
                </v:textbox>
              </v:shape>
            </w:pict>
          </mc:Fallback>
        </mc:AlternateContent>
      </w:r>
      <w:r w:rsidR="00B753C5" w:rsidRPr="00E70644">
        <w:rPr>
          <w:rFonts w:asciiTheme="minorHAnsi" w:hAnsiTheme="minorHAnsi" w:cstheme="minorHAnsi"/>
          <w:noProof/>
        </w:rPr>
        <w:drawing>
          <wp:anchor distT="0" distB="0" distL="114300" distR="114300" simplePos="0" relativeHeight="251660288" behindDoc="0" locked="0" layoutInCell="1" allowOverlap="1" wp14:anchorId="59C1FE93" wp14:editId="4C0412EC">
            <wp:simplePos x="0" y="0"/>
            <wp:positionH relativeFrom="column">
              <wp:posOffset>2383343</wp:posOffset>
            </wp:positionH>
            <wp:positionV relativeFrom="paragraph">
              <wp:posOffset>628706</wp:posOffset>
            </wp:positionV>
            <wp:extent cx="3427730" cy="1129665"/>
            <wp:effectExtent l="0" t="0" r="1270" b="0"/>
            <wp:wrapThrough wrapText="bothSides">
              <wp:wrapPolygon edited="0">
                <wp:start x="0" y="0"/>
                <wp:lineTo x="0" y="21126"/>
                <wp:lineTo x="21488" y="21126"/>
                <wp:lineTo x="21488" y="0"/>
                <wp:lineTo x="0" y="0"/>
              </wp:wrapPolygon>
            </wp:wrapThrough>
            <wp:docPr id="44293937" name="Picture 1" descr="A graph of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663" name="Picture 1" descr="A graph of numbers and percentages&#10;&#10;AI-generated content may be incorrect."/>
                    <pic:cNvPicPr/>
                  </pic:nvPicPr>
                  <pic:blipFill>
                    <a:blip r:embed="rId38">
                      <a:extLst>
                        <a:ext uri="{28A0092B-C50C-407E-A947-70E740481C1C}">
                          <a14:useLocalDpi xmlns:a14="http://schemas.microsoft.com/office/drawing/2010/main" val="0"/>
                        </a:ext>
                      </a:extLst>
                    </a:blip>
                    <a:stretch>
                      <a:fillRect/>
                    </a:stretch>
                  </pic:blipFill>
                  <pic:spPr>
                    <a:xfrm>
                      <a:off x="0" y="0"/>
                      <a:ext cx="3427730" cy="1129665"/>
                    </a:xfrm>
                    <a:prstGeom prst="rect">
                      <a:avLst/>
                    </a:prstGeom>
                  </pic:spPr>
                </pic:pic>
              </a:graphicData>
            </a:graphic>
            <wp14:sizeRelH relativeFrom="margin">
              <wp14:pctWidth>0</wp14:pctWidth>
            </wp14:sizeRelH>
            <wp14:sizeRelV relativeFrom="margin">
              <wp14:pctHeight>0</wp14:pctHeight>
            </wp14:sizeRelV>
          </wp:anchor>
        </w:drawing>
      </w:r>
      <w:r w:rsidR="00691EFE" w:rsidRPr="00CC615F">
        <w:rPr>
          <w:rFonts w:asciiTheme="minorHAnsi" w:hAnsiTheme="minorHAnsi" w:cstheme="minorHAnsi"/>
          <w:b/>
          <w:lang w:val="es-ES"/>
        </w:rPr>
        <w:t>2.1</w:t>
      </w:r>
      <w:r w:rsidR="00C9508B">
        <w:rPr>
          <w:rFonts w:asciiTheme="minorHAnsi" w:hAnsiTheme="minorHAnsi" w:cstheme="minorHAnsi"/>
          <w:b/>
          <w:lang w:val="es-ES"/>
        </w:rPr>
        <w:t>0</w:t>
      </w:r>
      <w:r w:rsidR="00691EFE" w:rsidRPr="00CC615F">
        <w:rPr>
          <w:rFonts w:asciiTheme="minorHAnsi" w:hAnsiTheme="minorHAnsi" w:cstheme="minorHAnsi"/>
          <w:b/>
          <w:bCs/>
          <w:lang w:val="es-ES"/>
        </w:rPr>
        <w:tab/>
        <w:t>Representación equitativa de delegadas</w:t>
      </w:r>
      <w:r w:rsidR="00691EFE" w:rsidRPr="00CC615F">
        <w:rPr>
          <w:rFonts w:asciiTheme="minorHAnsi" w:hAnsiTheme="minorHAnsi" w:cstheme="minorHAnsi"/>
          <w:lang w:val="es-ES"/>
        </w:rPr>
        <w:t>: La UIT hace un seguimiento de la participación de mujeres en</w:t>
      </w:r>
      <w:r w:rsidR="00691EFE">
        <w:rPr>
          <w:rFonts w:asciiTheme="minorHAnsi" w:hAnsiTheme="minorHAnsi" w:cstheme="minorHAnsi"/>
          <w:lang w:val="es-ES"/>
        </w:rPr>
        <w:t xml:space="preserve"> los eventos y actividades de la UIT a través del</w:t>
      </w:r>
      <w:r w:rsidR="00691EFE" w:rsidRPr="00CC615F">
        <w:rPr>
          <w:rFonts w:asciiTheme="minorHAnsi" w:hAnsiTheme="minorHAnsi" w:cstheme="minorHAnsi"/>
          <w:lang w:val="es-ES"/>
        </w:rPr>
        <w:t xml:space="preserve"> </w:t>
      </w:r>
      <w:hyperlink r:id="rId39" w:history="1">
        <w:r w:rsidR="00691EFE">
          <w:rPr>
            <w:rStyle w:val="Hyperlink"/>
            <w:rFonts w:asciiTheme="minorHAnsi" w:hAnsiTheme="minorHAnsi" w:cstheme="minorHAnsi"/>
            <w:lang w:val="es-ES"/>
          </w:rPr>
          <w:t>Panel de control sobre cuestiones de género</w:t>
        </w:r>
      </w:hyperlink>
      <w:r w:rsidR="00C9508B">
        <w:rPr>
          <w:rStyle w:val="Hyperlink"/>
          <w:rFonts w:asciiTheme="minorHAnsi" w:hAnsiTheme="minorHAnsi" w:cstheme="minorHAnsi"/>
          <w:lang w:val="es-ES"/>
        </w:rPr>
        <w:t xml:space="preserve"> de la UIT</w:t>
      </w:r>
      <w:r w:rsidR="00691EFE">
        <w:rPr>
          <w:rFonts w:asciiTheme="minorHAnsi" w:hAnsiTheme="minorHAnsi" w:cstheme="minorHAnsi"/>
          <w:lang w:val="es-ES"/>
        </w:rPr>
        <w:t xml:space="preserve">. </w:t>
      </w:r>
      <w:r w:rsidR="00691EFE" w:rsidRPr="00CC615F">
        <w:rPr>
          <w:rFonts w:asciiTheme="minorHAnsi" w:hAnsiTheme="minorHAnsi" w:cstheme="minorHAnsi"/>
          <w:lang w:val="es-ES"/>
        </w:rPr>
        <w:t xml:space="preserve">El progreso es lento y se ha estancado </w:t>
      </w:r>
      <w:r w:rsidR="00691EFE">
        <w:rPr>
          <w:rFonts w:asciiTheme="minorHAnsi" w:hAnsiTheme="minorHAnsi" w:cstheme="minorHAnsi"/>
          <w:lang w:val="es-ES"/>
        </w:rPr>
        <w:t xml:space="preserve">en los últimos años. </w:t>
      </w:r>
      <w:r w:rsidR="00691EFE" w:rsidRPr="00CC615F">
        <w:rPr>
          <w:rFonts w:asciiTheme="minorHAnsi" w:hAnsiTheme="minorHAnsi" w:cstheme="minorHAnsi"/>
          <w:lang w:val="es-ES"/>
        </w:rPr>
        <w:t>El número total de mujeres es ligera</w:t>
      </w:r>
      <w:r w:rsidR="00691EFE">
        <w:rPr>
          <w:rFonts w:asciiTheme="minorHAnsi" w:hAnsiTheme="minorHAnsi" w:cstheme="minorHAnsi"/>
          <w:lang w:val="es-ES"/>
        </w:rPr>
        <w:t>mente superior a una tercera parte, valor promedio con respecto a una menor representación en el UIT-R y el UIT-T, sectores de carácter más técnico, al tiempo que el UIT-D y los eventos de la Secretaría General poseen una mayor representación de mujeres</w:t>
      </w:r>
      <w:r w:rsidR="00691EFE" w:rsidRPr="00CC615F">
        <w:rPr>
          <w:rFonts w:asciiTheme="minorHAnsi" w:hAnsiTheme="minorHAnsi" w:cstheme="minorHAnsi"/>
          <w:lang w:val="es-ES"/>
        </w:rPr>
        <w:t xml:space="preserve">. </w:t>
      </w:r>
    </w:p>
    <w:p w14:paraId="34F70C80" w14:textId="060F75A3" w:rsidR="00691EFE" w:rsidRPr="00EA2390" w:rsidRDefault="00691EFE" w:rsidP="00691EFE">
      <w:pPr>
        <w:jc w:val="both"/>
        <w:rPr>
          <w:rFonts w:asciiTheme="minorHAnsi" w:hAnsiTheme="minorHAnsi" w:cstheme="minorHAnsi"/>
          <w:lang w:val="es-ES"/>
        </w:rPr>
      </w:pPr>
      <w:r w:rsidRPr="00EA2390">
        <w:rPr>
          <w:rFonts w:asciiTheme="minorHAnsi" w:hAnsiTheme="minorHAnsi" w:cstheme="minorHAnsi"/>
          <w:b/>
          <w:bCs/>
          <w:lang w:val="es-ES"/>
        </w:rPr>
        <w:t>2.1</w:t>
      </w:r>
      <w:r w:rsidR="00FC5659">
        <w:rPr>
          <w:rFonts w:asciiTheme="minorHAnsi" w:hAnsiTheme="minorHAnsi" w:cstheme="minorHAnsi"/>
          <w:b/>
          <w:bCs/>
          <w:lang w:val="es-ES"/>
        </w:rPr>
        <w:t>1</w:t>
      </w:r>
      <w:r w:rsidRPr="00EA2390">
        <w:rPr>
          <w:rFonts w:asciiTheme="minorHAnsi" w:hAnsiTheme="minorHAnsi" w:cstheme="minorHAnsi"/>
          <w:lang w:val="es-ES"/>
        </w:rPr>
        <w:tab/>
      </w:r>
      <w:r w:rsidRPr="00EA2390">
        <w:rPr>
          <w:rFonts w:asciiTheme="minorHAnsi" w:hAnsiTheme="minorHAnsi" w:cstheme="minorHAnsi"/>
          <w:b/>
          <w:bCs/>
          <w:lang w:val="es-ES"/>
        </w:rPr>
        <w:t xml:space="preserve">DMTSI y la iniciativa ITU160 Gender Champion: </w:t>
      </w:r>
      <w:r w:rsidRPr="00EA2390">
        <w:rPr>
          <w:rFonts w:asciiTheme="minorHAnsi" w:hAnsiTheme="minorHAnsi" w:cstheme="minorHAnsi"/>
          <w:lang w:val="es-ES"/>
        </w:rPr>
        <w:t xml:space="preserve">con el amable apoyo de Canadá, la </w:t>
      </w:r>
      <w:hyperlink r:id="rId40" w:anchor="/es" w:history="1">
        <w:r w:rsidRPr="00EA2390">
          <w:rPr>
            <w:rStyle w:val="Hyperlink"/>
            <w:rFonts w:asciiTheme="minorHAnsi" w:hAnsiTheme="minorHAnsi" w:cstheme="minorHAnsi"/>
            <w:lang w:val="es-ES"/>
          </w:rPr>
          <w:t>iniciativa ITU160 Gender Champion</w:t>
        </w:r>
      </w:hyperlink>
      <w:r w:rsidRPr="00EA2390">
        <w:rPr>
          <w:rFonts w:asciiTheme="minorHAnsi" w:hAnsiTheme="minorHAnsi" w:cstheme="minorHAnsi"/>
          <w:lang w:val="es-ES"/>
        </w:rPr>
        <w:t xml:space="preserve"> tr</w:t>
      </w:r>
      <w:r>
        <w:rPr>
          <w:rFonts w:asciiTheme="minorHAnsi" w:hAnsiTheme="minorHAnsi" w:cstheme="minorHAnsi"/>
          <w:lang w:val="es-ES"/>
        </w:rPr>
        <w:t xml:space="preserve">aerá a nueve jóvenes mujeres (de entre 18 y 25 años) que trabajan en el desarrollo digital a Ginebra. </w:t>
      </w:r>
      <w:r w:rsidRPr="00EA2390">
        <w:rPr>
          <w:rFonts w:asciiTheme="minorHAnsi" w:hAnsiTheme="minorHAnsi" w:cstheme="minorHAnsi"/>
          <w:lang w:val="es-ES"/>
        </w:rPr>
        <w:t xml:space="preserve">Su participación plenamente financiada les ofrecerá una participación </w:t>
      </w:r>
      <w:r>
        <w:rPr>
          <w:rFonts w:asciiTheme="minorHAnsi" w:hAnsiTheme="minorHAnsi" w:cstheme="minorHAnsi"/>
          <w:lang w:val="es-ES"/>
        </w:rPr>
        <w:t>única de participar en el Evento de Alto Nivel CMSI</w:t>
      </w:r>
      <w:r w:rsidRPr="00EA2390">
        <w:rPr>
          <w:rFonts w:asciiTheme="minorHAnsi" w:hAnsiTheme="minorHAnsi" w:cstheme="minorHAnsi"/>
          <w:lang w:val="es-ES"/>
        </w:rPr>
        <w:t>+20</w:t>
      </w:r>
      <w:r>
        <w:rPr>
          <w:rFonts w:asciiTheme="minorHAnsi" w:hAnsiTheme="minorHAnsi" w:cstheme="minorHAnsi"/>
          <w:lang w:val="es-ES"/>
        </w:rPr>
        <w:t>, la Cumbre Mundial</w:t>
      </w:r>
      <w:r w:rsidRPr="00EA2390">
        <w:rPr>
          <w:rFonts w:asciiTheme="minorHAnsi" w:hAnsiTheme="minorHAnsi" w:cstheme="minorHAnsi"/>
          <w:lang w:val="es-ES"/>
        </w:rPr>
        <w:t xml:space="preserve"> </w:t>
      </w:r>
      <w:r w:rsidRPr="00D25A40">
        <w:rPr>
          <w:rFonts w:asciiTheme="minorHAnsi" w:hAnsiTheme="minorHAnsi" w:cstheme="minorHAnsi"/>
          <w:i/>
          <w:iCs/>
          <w:lang w:val="es-ES"/>
        </w:rPr>
        <w:t>AI for Good</w:t>
      </w:r>
      <w:r w:rsidRPr="00EA2390">
        <w:rPr>
          <w:rFonts w:asciiTheme="minorHAnsi" w:hAnsiTheme="minorHAnsi" w:cstheme="minorHAnsi"/>
          <w:lang w:val="es-ES"/>
        </w:rPr>
        <w:t xml:space="preserve"> Global</w:t>
      </w:r>
      <w:r>
        <w:rPr>
          <w:rFonts w:asciiTheme="minorHAnsi" w:hAnsiTheme="minorHAnsi" w:cstheme="minorHAnsi"/>
          <w:lang w:val="es-ES"/>
        </w:rPr>
        <w:t xml:space="preserve"> y la conmemoración del 160º aniversario</w:t>
      </w:r>
      <w:r w:rsidRPr="00EA2390">
        <w:rPr>
          <w:rFonts w:asciiTheme="minorHAnsi" w:hAnsiTheme="minorHAnsi" w:cstheme="minorHAnsi"/>
          <w:lang w:val="es-ES"/>
        </w:rPr>
        <w:t xml:space="preserve"> </w:t>
      </w:r>
      <w:r>
        <w:rPr>
          <w:rFonts w:asciiTheme="minorHAnsi" w:hAnsiTheme="minorHAnsi" w:cstheme="minorHAnsi"/>
          <w:lang w:val="es-ES"/>
        </w:rPr>
        <w:t xml:space="preserve">de la UIT del 7 al 11 de julio de 2025. </w:t>
      </w:r>
      <w:r w:rsidRPr="00EA2390">
        <w:rPr>
          <w:rFonts w:asciiTheme="minorHAnsi" w:hAnsiTheme="minorHAnsi" w:cstheme="minorHAnsi"/>
          <w:lang w:val="es-ES"/>
        </w:rPr>
        <w:t xml:space="preserve">El objetivo de esta iniciativa es empoderar a las jóvenes ofreciéndoles </w:t>
      </w:r>
      <w:r>
        <w:rPr>
          <w:rFonts w:asciiTheme="minorHAnsi" w:hAnsiTheme="minorHAnsi" w:cstheme="minorHAnsi"/>
          <w:lang w:val="es-ES"/>
        </w:rPr>
        <w:t xml:space="preserve">una plataforma en la que mostrar su trabajo, establecer contactos con líderes de la industria y conocer de primera mano el panorama de la transformación digital. </w:t>
      </w:r>
      <w:r w:rsidRPr="00EA2390">
        <w:rPr>
          <w:rFonts w:asciiTheme="minorHAnsi" w:hAnsiTheme="minorHAnsi" w:cstheme="minorHAnsi"/>
          <w:lang w:val="es-ES"/>
        </w:rPr>
        <w:t xml:space="preserve">El Día Mundial de las Telecomunicaciones y la Sociedad de </w:t>
      </w:r>
      <w:r>
        <w:rPr>
          <w:rFonts w:asciiTheme="minorHAnsi" w:hAnsiTheme="minorHAnsi" w:cstheme="minorHAnsi"/>
          <w:lang w:val="es-ES"/>
        </w:rPr>
        <w:t>la Información</w:t>
      </w:r>
      <w:r w:rsidRPr="00EA2390">
        <w:rPr>
          <w:rFonts w:asciiTheme="minorHAnsi" w:hAnsiTheme="minorHAnsi" w:cstheme="minorHAnsi"/>
          <w:lang w:val="es-ES"/>
        </w:rPr>
        <w:t xml:space="preserve"> (</w:t>
      </w:r>
      <w:hyperlink r:id="rId41" w:anchor="/es" w:history="1">
        <w:r w:rsidRPr="00EA2390">
          <w:rPr>
            <w:rStyle w:val="Hyperlink"/>
            <w:rFonts w:asciiTheme="minorHAnsi" w:hAnsiTheme="minorHAnsi" w:cstheme="minorHAnsi"/>
            <w:lang w:val="es-ES"/>
          </w:rPr>
          <w:t>DMTSI</w:t>
        </w:r>
      </w:hyperlink>
      <w:r w:rsidRPr="00EA2390">
        <w:rPr>
          <w:rFonts w:asciiTheme="minorHAnsi" w:hAnsiTheme="minorHAnsi" w:cstheme="minorHAnsi"/>
          <w:lang w:val="es-ES"/>
        </w:rPr>
        <w:t>) e</w:t>
      </w:r>
      <w:r>
        <w:rPr>
          <w:rFonts w:asciiTheme="minorHAnsi" w:hAnsiTheme="minorHAnsi" w:cstheme="minorHAnsi"/>
          <w:lang w:val="es-ES"/>
        </w:rPr>
        <w:t>l</w:t>
      </w:r>
      <w:r w:rsidRPr="00EA2390">
        <w:rPr>
          <w:rFonts w:asciiTheme="minorHAnsi" w:hAnsiTheme="minorHAnsi" w:cstheme="minorHAnsi"/>
          <w:lang w:val="es-ES"/>
        </w:rPr>
        <w:t xml:space="preserve"> 17 </w:t>
      </w:r>
      <w:r>
        <w:rPr>
          <w:rFonts w:asciiTheme="minorHAnsi" w:hAnsiTheme="minorHAnsi" w:cstheme="minorHAnsi"/>
          <w:lang w:val="es-ES"/>
        </w:rPr>
        <w:t>de mayo de</w:t>
      </w:r>
      <w:r w:rsidRPr="00EA2390">
        <w:rPr>
          <w:rFonts w:asciiTheme="minorHAnsi" w:hAnsiTheme="minorHAnsi" w:cstheme="minorHAnsi"/>
          <w:lang w:val="es-ES"/>
        </w:rPr>
        <w:t xml:space="preserve"> 2025 </w:t>
      </w:r>
      <w:r>
        <w:rPr>
          <w:rFonts w:asciiTheme="minorHAnsi" w:hAnsiTheme="minorHAnsi" w:cstheme="minorHAnsi"/>
          <w:lang w:val="es-ES"/>
        </w:rPr>
        <w:t>también pone de manifiesto la igualdad de género en la transformación digital</w:t>
      </w:r>
      <w:r w:rsidRPr="00EA2390">
        <w:rPr>
          <w:rFonts w:asciiTheme="minorHAnsi" w:hAnsiTheme="minorHAnsi" w:cstheme="minorHAnsi"/>
          <w:lang w:val="es-ES"/>
        </w:rPr>
        <w:t xml:space="preserve">. </w:t>
      </w:r>
    </w:p>
    <w:p w14:paraId="02D8664F" w14:textId="78FE5A34" w:rsidR="00691EFE" w:rsidRPr="00A3784A" w:rsidRDefault="00691EFE" w:rsidP="00A3784A">
      <w:pPr>
        <w:pStyle w:val="Heading1"/>
        <w:rPr>
          <w:sz w:val="24"/>
          <w:szCs w:val="24"/>
          <w:lang w:val="es-ES"/>
        </w:rPr>
      </w:pPr>
      <w:r w:rsidRPr="00A3784A">
        <w:rPr>
          <w:sz w:val="24"/>
          <w:szCs w:val="24"/>
          <w:lang w:val="es-ES"/>
        </w:rPr>
        <w:t>3</w:t>
      </w:r>
      <w:r w:rsidRPr="00A3784A">
        <w:rPr>
          <w:sz w:val="24"/>
          <w:szCs w:val="24"/>
          <w:lang w:val="es-ES"/>
        </w:rPr>
        <w:tab/>
      </w:r>
      <w:r w:rsidR="00FC5659">
        <w:rPr>
          <w:sz w:val="24"/>
          <w:szCs w:val="24"/>
          <w:lang w:val="es-ES"/>
        </w:rPr>
        <w:t>Actividades a favor de la igualdad de género en la UIT</w:t>
      </w:r>
    </w:p>
    <w:p w14:paraId="42D99DF2" w14:textId="731A2717" w:rsidR="00691EFE" w:rsidRPr="00B800B6" w:rsidRDefault="00691EFE" w:rsidP="00691EFE">
      <w:pPr>
        <w:jc w:val="both"/>
        <w:rPr>
          <w:rFonts w:asciiTheme="minorHAnsi" w:hAnsiTheme="minorHAnsi" w:cstheme="minorBidi"/>
          <w:lang w:val="es-ES"/>
        </w:rPr>
      </w:pPr>
      <w:r w:rsidRPr="00A740DF">
        <w:rPr>
          <w:rFonts w:asciiTheme="minorHAnsi" w:hAnsiTheme="minorHAnsi" w:cstheme="minorBidi"/>
          <w:b/>
          <w:bCs/>
          <w:lang w:val="es-ES"/>
        </w:rPr>
        <w:t>3.1</w:t>
      </w:r>
      <w:r w:rsidRPr="00A740DF">
        <w:rPr>
          <w:rFonts w:asciiTheme="minorHAnsi" w:hAnsiTheme="minorHAnsi" w:cstheme="minorBidi"/>
          <w:b/>
          <w:bCs/>
          <w:lang w:val="es-ES"/>
        </w:rPr>
        <w:tab/>
        <w:t>ONU-SWAP 3.0 y GEAP</w:t>
      </w:r>
      <w:r w:rsidRPr="00A740DF">
        <w:rPr>
          <w:rFonts w:asciiTheme="minorHAnsi" w:hAnsiTheme="minorHAnsi" w:cstheme="minorBidi"/>
          <w:lang w:val="es-ES"/>
        </w:rPr>
        <w:t>: El Plan de Acción para todo el sistema de las Naciones Unidas</w:t>
      </w:r>
      <w:r>
        <w:rPr>
          <w:rFonts w:asciiTheme="minorHAnsi" w:hAnsiTheme="minorHAnsi" w:cstheme="minorBidi"/>
          <w:lang w:val="es-ES"/>
        </w:rPr>
        <w:t xml:space="preserve"> (ONU</w:t>
      </w:r>
      <w:r w:rsidRPr="00A740DF">
        <w:rPr>
          <w:rFonts w:asciiTheme="minorHAnsi" w:hAnsiTheme="minorHAnsi" w:cstheme="minorBidi"/>
          <w:lang w:val="es-ES"/>
        </w:rPr>
        <w:t xml:space="preserve">-SWAP) </w:t>
      </w:r>
      <w:r>
        <w:rPr>
          <w:rFonts w:asciiTheme="minorHAnsi" w:hAnsiTheme="minorHAnsi" w:cstheme="minorBidi"/>
          <w:lang w:val="es-ES"/>
        </w:rPr>
        <w:t xml:space="preserve">sobre igualdad de género y empoderamiento de la mujer proporciona un marco para que las entidades de las Naciones Unidas incorporen las consideraciones de género. </w:t>
      </w:r>
      <w:r w:rsidRPr="00A740DF">
        <w:rPr>
          <w:rFonts w:asciiTheme="minorHAnsi" w:hAnsiTheme="minorHAnsi" w:cstheme="minorBidi"/>
          <w:lang w:val="es-ES"/>
        </w:rPr>
        <w:t>La UIT cerró el ONU-SWAP 2.0 con un nivel de cumplimiento del 53</w:t>
      </w:r>
      <w:r w:rsidR="00A3784A">
        <w:rPr>
          <w:rFonts w:asciiTheme="minorHAnsi" w:hAnsiTheme="minorHAnsi" w:cstheme="minorBidi"/>
          <w:lang w:val="es-ES"/>
        </w:rPr>
        <w:t> </w:t>
      </w:r>
      <w:r w:rsidRPr="00A740DF">
        <w:rPr>
          <w:rFonts w:asciiTheme="minorHAnsi" w:hAnsiTheme="minorHAnsi" w:cstheme="minorBidi"/>
          <w:lang w:val="es-ES"/>
        </w:rPr>
        <w:t>% (</w:t>
      </w:r>
      <w:r>
        <w:rPr>
          <w:rFonts w:asciiTheme="minorHAnsi" w:hAnsiTheme="minorHAnsi" w:cstheme="minorBidi"/>
          <w:lang w:val="es-ES"/>
        </w:rPr>
        <w:t>el Informe final de 2024 está pendiente), cuando en</w:t>
      </w:r>
      <w:r w:rsidRPr="00A740DF">
        <w:rPr>
          <w:rFonts w:asciiTheme="minorHAnsi" w:hAnsiTheme="minorHAnsi" w:cstheme="minorBidi"/>
          <w:lang w:val="es-ES"/>
        </w:rPr>
        <w:t xml:space="preserve"> </w:t>
      </w:r>
      <w:hyperlink r:id="rId42" w:history="1">
        <w:r>
          <w:rPr>
            <w:rStyle w:val="Hyperlink"/>
            <w:rFonts w:asciiTheme="minorHAnsi" w:hAnsiTheme="minorHAnsi" w:cstheme="minorBidi"/>
            <w:lang w:val="es-ES"/>
          </w:rPr>
          <w:t>2023 había sido del 47</w:t>
        </w:r>
        <w:r w:rsidR="00A3784A">
          <w:rPr>
            <w:rStyle w:val="Hyperlink"/>
            <w:rFonts w:asciiTheme="minorHAnsi" w:hAnsiTheme="minorHAnsi" w:cstheme="minorBidi"/>
            <w:lang w:val="es-ES"/>
          </w:rPr>
          <w:t> </w:t>
        </w:r>
        <w:r>
          <w:rPr>
            <w:rStyle w:val="Hyperlink"/>
            <w:rFonts w:asciiTheme="minorHAnsi" w:hAnsiTheme="minorHAnsi" w:cstheme="minorBidi"/>
            <w:lang w:val="es-ES"/>
          </w:rPr>
          <w:t>%</w:t>
        </w:r>
      </w:hyperlink>
      <w:r w:rsidRPr="00A740DF">
        <w:rPr>
          <w:rFonts w:asciiTheme="minorHAnsi" w:hAnsiTheme="minorHAnsi" w:cstheme="minorBidi"/>
          <w:lang w:val="es-ES"/>
        </w:rPr>
        <w:t xml:space="preserve">. Este progreso es reflejo de la finalización de una evaluación de las </w:t>
      </w:r>
      <w:r>
        <w:rPr>
          <w:rFonts w:asciiTheme="minorHAnsi" w:hAnsiTheme="minorHAnsi" w:cstheme="minorBidi"/>
          <w:lang w:val="es-ES"/>
        </w:rPr>
        <w:t>capacidades, de los mecanismos de supervisión del personal y del lanzamiento de una nueva formación en dirección inclusiva</w:t>
      </w:r>
      <w:r w:rsidRPr="00A740DF">
        <w:rPr>
          <w:rFonts w:asciiTheme="minorHAnsi" w:hAnsiTheme="minorHAnsi" w:cstheme="minorBidi"/>
          <w:lang w:val="es-ES"/>
        </w:rPr>
        <w:t xml:space="preserve">. </w:t>
      </w:r>
      <w:hyperlink r:id="rId43" w:history="1">
        <w:r w:rsidRPr="00A740DF">
          <w:rPr>
            <w:rStyle w:val="Hyperlink"/>
            <w:rFonts w:asciiTheme="minorHAnsi" w:hAnsiTheme="minorHAnsi" w:cstheme="minorBidi"/>
            <w:lang w:val="es-ES"/>
          </w:rPr>
          <w:t>ONU-SWAP 3.0</w:t>
        </w:r>
      </w:hyperlink>
      <w:r w:rsidRPr="00A740DF">
        <w:rPr>
          <w:rFonts w:asciiTheme="minorHAnsi" w:hAnsiTheme="minorHAnsi" w:cstheme="minorBidi"/>
          <w:lang w:val="es-ES"/>
        </w:rPr>
        <w:t xml:space="preserve"> introduce mejores </w:t>
      </w:r>
      <w:r w:rsidRPr="00A740DF">
        <w:rPr>
          <w:rFonts w:asciiTheme="minorHAnsi" w:hAnsiTheme="minorHAnsi" w:cstheme="minorBidi"/>
          <w:lang w:val="es-ES"/>
        </w:rPr>
        <w:lastRenderedPageBreak/>
        <w:t xml:space="preserve">prácticas idóneas normalizadas y está armonizado con el </w:t>
      </w:r>
      <w:hyperlink r:id="rId44" w:history="1">
        <w:r w:rsidRPr="00A740DF">
          <w:rPr>
            <w:rStyle w:val="Hyperlink"/>
            <w:rFonts w:asciiTheme="minorHAnsi" w:hAnsiTheme="minorHAnsi" w:cstheme="minorBidi"/>
            <w:lang w:val="es-ES"/>
          </w:rPr>
          <w:t>Plan de Aceleración de la Igualdad de Genéro del Sistema de las Naciones Unidas</w:t>
        </w:r>
      </w:hyperlink>
      <w:r w:rsidRPr="00A740DF">
        <w:rPr>
          <w:lang w:val="es-ES"/>
        </w:rPr>
        <w:t xml:space="preserve"> </w:t>
      </w:r>
      <w:r w:rsidRPr="00A740DF">
        <w:rPr>
          <w:rFonts w:asciiTheme="minorHAnsi" w:hAnsiTheme="minorHAnsi" w:cstheme="minorBidi"/>
          <w:lang w:val="es-ES"/>
        </w:rPr>
        <w:t>(GEAP).</w:t>
      </w:r>
    </w:p>
    <w:p w14:paraId="318D1E11" w14:textId="49A35EFB" w:rsidR="00691EFE" w:rsidRDefault="00C45013" w:rsidP="00691EFE">
      <w:pPr>
        <w:jc w:val="both"/>
        <w:rPr>
          <w:rFonts w:asciiTheme="minorHAnsi" w:hAnsiTheme="minorHAnsi" w:cstheme="minorBidi"/>
          <w:lang w:val="es-ES"/>
        </w:rPr>
      </w:pPr>
      <w:r>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56AC9D06" wp14:editId="7E537553">
                <wp:simplePos x="0" y="0"/>
                <wp:positionH relativeFrom="column">
                  <wp:posOffset>4738370</wp:posOffset>
                </wp:positionH>
                <wp:positionV relativeFrom="paragraph">
                  <wp:posOffset>52705</wp:posOffset>
                </wp:positionV>
                <wp:extent cx="271463" cy="177800"/>
                <wp:effectExtent l="0" t="0" r="0" b="0"/>
                <wp:wrapNone/>
                <wp:docPr id="352672204" name="Text Box 3"/>
                <wp:cNvGraphicFramePr/>
                <a:graphic xmlns:a="http://schemas.openxmlformats.org/drawingml/2006/main">
                  <a:graphicData uri="http://schemas.microsoft.com/office/word/2010/wordprocessingShape">
                    <wps:wsp>
                      <wps:cNvSpPr txBox="1"/>
                      <wps:spPr>
                        <a:xfrm>
                          <a:off x="0" y="0"/>
                          <a:ext cx="271463" cy="177800"/>
                        </a:xfrm>
                        <a:prstGeom prst="rect">
                          <a:avLst/>
                        </a:prstGeom>
                        <a:solidFill>
                          <a:schemeClr val="lt1"/>
                        </a:solidFill>
                        <a:ln w="6350">
                          <a:noFill/>
                        </a:ln>
                      </wps:spPr>
                      <wps:txbx>
                        <w:txbxContent>
                          <w:p w14:paraId="1C63BAD1" w14:textId="03B5C40C" w:rsidR="007C553D" w:rsidRPr="007C553D" w:rsidRDefault="007C553D" w:rsidP="007C553D">
                            <w:pPr>
                              <w:spacing w:before="0"/>
                              <w:ind w:left="425" w:hanging="567"/>
                              <w:jc w:val="both"/>
                              <w:rPr>
                                <w:sz w:val="10"/>
                                <w:szCs w:val="10"/>
                                <w:lang w:val="es-ES"/>
                              </w:rPr>
                            </w:pPr>
                            <w:r w:rsidRPr="007C553D">
                              <w:rPr>
                                <w:sz w:val="9"/>
                                <w:szCs w:val="9"/>
                                <w:lang w:val="es-ES"/>
                              </w:rPr>
                              <w:t>Muje</w:t>
                            </w:r>
                            <w:r w:rsidRPr="007C553D">
                              <w:rPr>
                                <w:sz w:val="10"/>
                                <w:szCs w:val="10"/>
                                <w:lang w:val="es-ES"/>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9D06" id="Text Box 3" o:spid="_x0000_s1028" type="#_x0000_t202" style="position:absolute;left:0;text-align:left;margin-left:373.1pt;margin-top:4.15pt;width:2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" fillcolor="white [3201]" stroked="f" strokeweight=".5pt">
                <v:textbox>
                  <w:txbxContent>
                    <w:p w14:paraId="1C63BAD1" w14:textId="03B5C40C" w:rsidR="007C553D" w:rsidRPr="007C553D" w:rsidRDefault="007C553D" w:rsidP="007C553D">
                      <w:pPr>
                        <w:spacing w:before="0"/>
                        <w:ind w:left="425" w:hanging="567"/>
                        <w:jc w:val="both"/>
                        <w:rPr>
                          <w:sz w:val="10"/>
                          <w:szCs w:val="10"/>
                          <w:lang w:val="es-ES"/>
                        </w:rPr>
                      </w:pPr>
                      <w:r w:rsidRPr="007C553D">
                        <w:rPr>
                          <w:sz w:val="9"/>
                          <w:szCs w:val="9"/>
                          <w:lang w:val="es-ES"/>
                        </w:rPr>
                        <w:t>Muje</w:t>
                      </w:r>
                      <w:r w:rsidRPr="007C553D">
                        <w:rPr>
                          <w:sz w:val="10"/>
                          <w:szCs w:val="10"/>
                          <w:lang w:val="es-ES"/>
                        </w:rPr>
                        <w:t>r</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63360" behindDoc="0" locked="0" layoutInCell="1" allowOverlap="1" wp14:anchorId="1B9F05AC" wp14:editId="65219520">
                <wp:simplePos x="0" y="0"/>
                <wp:positionH relativeFrom="column">
                  <wp:posOffset>5104130</wp:posOffset>
                </wp:positionH>
                <wp:positionV relativeFrom="paragraph">
                  <wp:posOffset>58420</wp:posOffset>
                </wp:positionV>
                <wp:extent cx="289629" cy="157227"/>
                <wp:effectExtent l="0" t="0" r="1270" b="0"/>
                <wp:wrapNone/>
                <wp:docPr id="573348055" name="Text Box 4"/>
                <wp:cNvGraphicFramePr/>
                <a:graphic xmlns:a="http://schemas.openxmlformats.org/drawingml/2006/main">
                  <a:graphicData uri="http://schemas.microsoft.com/office/word/2010/wordprocessingShape">
                    <wps:wsp>
                      <wps:cNvSpPr txBox="1"/>
                      <wps:spPr>
                        <a:xfrm>
                          <a:off x="0" y="0"/>
                          <a:ext cx="289629" cy="157227"/>
                        </a:xfrm>
                        <a:prstGeom prst="rect">
                          <a:avLst/>
                        </a:prstGeom>
                        <a:solidFill>
                          <a:schemeClr val="lt1"/>
                        </a:solidFill>
                        <a:ln w="6350">
                          <a:noFill/>
                        </a:ln>
                      </wps:spPr>
                      <wps:txbx>
                        <w:txbxContent>
                          <w:p w14:paraId="4A247A57" w14:textId="360EFC6E" w:rsidR="007C553D" w:rsidRPr="007C553D" w:rsidRDefault="007C553D" w:rsidP="007C553D">
                            <w:pPr>
                              <w:spacing w:before="0"/>
                              <w:ind w:hanging="142"/>
                              <w:rPr>
                                <w:sz w:val="9"/>
                                <w:szCs w:val="9"/>
                                <w:lang w:val="es-ES"/>
                              </w:rPr>
                            </w:pPr>
                            <w:r w:rsidRPr="007C553D">
                              <w:rPr>
                                <w:sz w:val="9"/>
                                <w:szCs w:val="9"/>
                                <w:lang w:val="es-ES"/>
                              </w:rPr>
                              <w:t>Hombre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05AC" id="Text Box 4" o:spid="_x0000_s1029" type="#_x0000_t202" style="position:absolute;left:0;text-align:left;margin-left:401.9pt;margin-top:4.6pt;width:22.8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" fillcolor="white [3201]" stroked="f" strokeweight=".5pt">
                <v:textbox>
                  <w:txbxContent>
                    <w:p w14:paraId="4A247A57" w14:textId="360EFC6E" w:rsidR="007C553D" w:rsidRPr="007C553D" w:rsidRDefault="007C553D" w:rsidP="007C553D">
                      <w:pPr>
                        <w:spacing w:before="0"/>
                        <w:ind w:hanging="142"/>
                        <w:rPr>
                          <w:sz w:val="9"/>
                          <w:szCs w:val="9"/>
                          <w:lang w:val="es-ES"/>
                        </w:rPr>
                      </w:pPr>
                      <w:r w:rsidRPr="007C553D">
                        <w:rPr>
                          <w:sz w:val="9"/>
                          <w:szCs w:val="9"/>
                          <w:lang w:val="es-ES"/>
                        </w:rPr>
                        <w:t>Hombre</w:t>
                      </w:r>
                    </w:p>
                  </w:txbxContent>
                </v:textbox>
              </v:shape>
            </w:pict>
          </mc:Fallback>
        </mc:AlternateContent>
      </w:r>
      <w:r w:rsidR="00303DE1">
        <w:rPr>
          <w:rFonts w:asciiTheme="minorHAnsi" w:hAnsiTheme="minorHAnsi" w:cstheme="minorHAnsi"/>
          <w:noProof/>
          <w:szCs w:val="24"/>
        </w:rPr>
        <mc:AlternateContent>
          <mc:Choice Requires="wps">
            <w:drawing>
              <wp:anchor distT="0" distB="0" distL="114300" distR="114300" simplePos="0" relativeHeight="251661312" behindDoc="0" locked="0" layoutInCell="1" allowOverlap="1" wp14:anchorId="5B075037" wp14:editId="106A048C">
                <wp:simplePos x="0" y="0"/>
                <wp:positionH relativeFrom="column">
                  <wp:posOffset>4219651</wp:posOffset>
                </wp:positionH>
                <wp:positionV relativeFrom="paragraph">
                  <wp:posOffset>57709</wp:posOffset>
                </wp:positionV>
                <wp:extent cx="431597" cy="168250"/>
                <wp:effectExtent l="0" t="0" r="6985" b="3810"/>
                <wp:wrapNone/>
                <wp:docPr id="272367236" name="Text Box 1"/>
                <wp:cNvGraphicFramePr/>
                <a:graphic xmlns:a="http://schemas.openxmlformats.org/drawingml/2006/main">
                  <a:graphicData uri="http://schemas.microsoft.com/office/word/2010/wordprocessingShape">
                    <wps:wsp>
                      <wps:cNvSpPr txBox="1"/>
                      <wps:spPr>
                        <a:xfrm>
                          <a:off x="0" y="0"/>
                          <a:ext cx="431597" cy="168250"/>
                        </a:xfrm>
                        <a:prstGeom prst="rect">
                          <a:avLst/>
                        </a:prstGeom>
                        <a:solidFill>
                          <a:schemeClr val="lt1"/>
                        </a:solidFill>
                        <a:ln w="6350">
                          <a:noFill/>
                        </a:ln>
                      </wps:spPr>
                      <wps:txbx>
                        <w:txbxContent>
                          <w:p w14:paraId="279ABC03" w14:textId="02BC9306" w:rsidR="00303DE1" w:rsidRPr="007C553D" w:rsidRDefault="00303DE1" w:rsidP="00303DE1">
                            <w:pPr>
                              <w:tabs>
                                <w:tab w:val="clear" w:pos="567"/>
                                <w:tab w:val="left" w:pos="380"/>
                              </w:tabs>
                              <w:spacing w:before="0"/>
                              <w:jc w:val="right"/>
                              <w:rPr>
                                <w:sz w:val="9"/>
                                <w:szCs w:val="9"/>
                                <w:lang w:val="es-ES"/>
                              </w:rPr>
                            </w:pPr>
                            <w:r w:rsidRPr="007C553D">
                              <w:rPr>
                                <w:sz w:val="9"/>
                                <w:szCs w:val="9"/>
                                <w:lang w:val="es-ES"/>
                              </w:rPr>
                              <w:t>Género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5037" id="Text Box 1" o:spid="_x0000_s1030" type="#_x0000_t202" style="position:absolute;left:0;text-align:left;margin-left:332.25pt;margin-top:4.55pt;width:34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" fillcolor="white [3201]" stroked="f" strokeweight=".5pt">
                <v:textbox>
                  <w:txbxContent>
                    <w:p w14:paraId="279ABC03" w14:textId="02BC9306" w:rsidR="00303DE1" w:rsidRPr="007C553D" w:rsidRDefault="00303DE1" w:rsidP="00303DE1">
                      <w:pPr>
                        <w:tabs>
                          <w:tab w:val="clear" w:pos="567"/>
                          <w:tab w:val="left" w:pos="380"/>
                        </w:tabs>
                        <w:spacing w:before="0"/>
                        <w:jc w:val="right"/>
                        <w:rPr>
                          <w:sz w:val="9"/>
                          <w:szCs w:val="9"/>
                          <w:lang w:val="es-ES"/>
                        </w:rPr>
                      </w:pPr>
                      <w:r w:rsidRPr="007C553D">
                        <w:rPr>
                          <w:sz w:val="9"/>
                          <w:szCs w:val="9"/>
                          <w:lang w:val="es-ES"/>
                        </w:rPr>
                        <w:t>Género</w:t>
                      </w:r>
                    </w:p>
                  </w:txbxContent>
                </v:textbox>
              </v:shape>
            </w:pict>
          </mc:Fallback>
        </mc:AlternateContent>
      </w:r>
      <w:r w:rsidR="00691EFE" w:rsidRPr="00F308FF">
        <w:rPr>
          <w:rFonts w:asciiTheme="minorHAnsi" w:hAnsiTheme="minorHAnsi" w:cstheme="minorHAnsi"/>
          <w:noProof/>
          <w:szCs w:val="24"/>
        </w:rPr>
        <w:drawing>
          <wp:anchor distT="0" distB="0" distL="114300" distR="114300" simplePos="0" relativeHeight="251659264" behindDoc="0" locked="0" layoutInCell="1" allowOverlap="1" wp14:anchorId="5AE6C5B3" wp14:editId="329DC908">
            <wp:simplePos x="0" y="0"/>
            <wp:positionH relativeFrom="column">
              <wp:posOffset>3661410</wp:posOffset>
            </wp:positionH>
            <wp:positionV relativeFrom="paragraph">
              <wp:posOffset>9525</wp:posOffset>
            </wp:positionV>
            <wp:extent cx="2309495" cy="2425065"/>
            <wp:effectExtent l="0" t="0" r="0" b="0"/>
            <wp:wrapSquare wrapText="bothSides"/>
            <wp:docPr id="612804447" name="Picture 1" descr="A graph with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04447" name="Picture 1" descr="A graph with numbers and percentages&#10;&#10;AI-generated content may be incorrect."/>
                    <pic:cNvPicPr/>
                  </pic:nvPicPr>
                  <pic:blipFill rotWithShape="1">
                    <a:blip r:embed="rId45">
                      <a:extLst>
                        <a:ext uri="{28A0092B-C50C-407E-A947-70E740481C1C}">
                          <a14:useLocalDpi xmlns:a14="http://schemas.microsoft.com/office/drawing/2010/main" val="0"/>
                        </a:ext>
                      </a:extLst>
                    </a:blip>
                    <a:srcRect l="-1644" t="-4023" r="-1644" b="2429"/>
                    <a:stretch/>
                  </pic:blipFill>
                  <pic:spPr bwMode="auto">
                    <a:xfrm>
                      <a:off x="0" y="0"/>
                      <a:ext cx="2309495" cy="242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EFE" w:rsidRPr="00B800B6">
        <w:rPr>
          <w:rFonts w:asciiTheme="minorHAnsi" w:hAnsiTheme="minorHAnsi" w:cstheme="minorBidi"/>
          <w:b/>
          <w:bCs/>
          <w:lang w:val="es-ES"/>
        </w:rPr>
        <w:t>3.2</w:t>
      </w:r>
      <w:r w:rsidR="00691EFE" w:rsidRPr="00B800B6">
        <w:rPr>
          <w:rFonts w:asciiTheme="minorHAnsi" w:hAnsiTheme="minorHAnsi" w:cstheme="minorBidi"/>
          <w:lang w:val="es-ES"/>
        </w:rPr>
        <w:tab/>
      </w:r>
      <w:r w:rsidR="00691EFE" w:rsidRPr="00B800B6">
        <w:rPr>
          <w:rFonts w:asciiTheme="minorHAnsi" w:hAnsiTheme="minorHAnsi" w:cstheme="minorBidi"/>
          <w:b/>
          <w:bCs/>
          <w:lang w:val="es-ES"/>
        </w:rPr>
        <w:t>Representación de las mujeres</w:t>
      </w:r>
      <w:r w:rsidR="00691EFE" w:rsidRPr="00B800B6">
        <w:rPr>
          <w:rFonts w:asciiTheme="minorHAnsi" w:hAnsiTheme="minorHAnsi" w:cstheme="minorBidi"/>
          <w:lang w:val="es-ES"/>
        </w:rPr>
        <w:t xml:space="preserve">: La UIT </w:t>
      </w:r>
      <w:hyperlink r:id="rId46">
        <w:r w:rsidR="00691EFE" w:rsidRPr="00B800B6">
          <w:rPr>
            <w:rStyle w:val="Hyperlink"/>
            <w:rFonts w:asciiTheme="minorHAnsi" w:hAnsiTheme="minorHAnsi" w:cstheme="minorBidi"/>
            <w:lang w:val="es-ES"/>
          </w:rPr>
          <w:t>hace un seguimiento</w:t>
        </w:r>
      </w:hyperlink>
      <w:r w:rsidR="00691EFE" w:rsidRPr="00B800B6">
        <w:rPr>
          <w:rFonts w:asciiTheme="minorHAnsi" w:hAnsiTheme="minorHAnsi" w:cstheme="minorBidi"/>
          <w:lang w:val="es-ES"/>
        </w:rPr>
        <w:t xml:space="preserve"> y rinde informe sobre la representación de las mujeres a la Estrategia de </w:t>
      </w:r>
      <w:r w:rsidR="00691EFE">
        <w:rPr>
          <w:rFonts w:asciiTheme="minorHAnsi" w:hAnsiTheme="minorHAnsi" w:cstheme="minorBidi"/>
          <w:lang w:val="es-ES"/>
        </w:rPr>
        <w:t>Paridad de Género del Sistema de las Naciones Unidas y ONU</w:t>
      </w:r>
      <w:r w:rsidR="00A3784A">
        <w:rPr>
          <w:rFonts w:asciiTheme="minorHAnsi" w:hAnsiTheme="minorHAnsi" w:cstheme="minorBidi"/>
          <w:lang w:val="es-ES"/>
        </w:rPr>
        <w:noBreakHyphen/>
      </w:r>
      <w:r w:rsidR="00691EFE" w:rsidRPr="00B800B6">
        <w:rPr>
          <w:rFonts w:asciiTheme="minorHAnsi" w:hAnsiTheme="minorHAnsi" w:cstheme="minorBidi"/>
          <w:lang w:val="es-ES"/>
        </w:rPr>
        <w:t>SWAP</w:t>
      </w:r>
      <w:r w:rsidR="00691EFE">
        <w:rPr>
          <w:rFonts w:asciiTheme="minorHAnsi" w:hAnsiTheme="minorHAnsi" w:cstheme="minorBidi"/>
          <w:lang w:val="es-ES"/>
        </w:rPr>
        <w:t xml:space="preserve">. </w:t>
      </w:r>
      <w:r w:rsidR="00691EFE" w:rsidRPr="00B800B6">
        <w:rPr>
          <w:rFonts w:asciiTheme="minorHAnsi" w:hAnsiTheme="minorHAnsi" w:cstheme="minorBidi"/>
          <w:lang w:val="es-ES"/>
        </w:rPr>
        <w:t xml:space="preserve">Las mujeres siguen estando subrepresentadas en los puestos </w:t>
      </w:r>
      <w:r w:rsidR="00691EFE">
        <w:rPr>
          <w:rFonts w:asciiTheme="minorHAnsi" w:hAnsiTheme="minorHAnsi" w:cstheme="minorBidi"/>
          <w:lang w:val="es-ES"/>
        </w:rPr>
        <w:t xml:space="preserve">directivos de la UIT y sobrerrepresentadas en la categoría de servicios generales. </w:t>
      </w:r>
      <w:r w:rsidR="00691EFE" w:rsidRPr="00B800B6">
        <w:rPr>
          <w:rFonts w:asciiTheme="minorHAnsi" w:hAnsiTheme="minorHAnsi" w:cstheme="minorBidi"/>
          <w:lang w:val="es-ES"/>
        </w:rPr>
        <w:t>El recie</w:t>
      </w:r>
      <w:r w:rsidR="00691EFE">
        <w:rPr>
          <w:rFonts w:asciiTheme="minorHAnsi" w:hAnsiTheme="minorHAnsi" w:cstheme="minorBidi"/>
          <w:lang w:val="es-ES"/>
        </w:rPr>
        <w:t>n</w:t>
      </w:r>
      <w:r w:rsidR="00691EFE" w:rsidRPr="00B800B6">
        <w:rPr>
          <w:rFonts w:asciiTheme="minorHAnsi" w:hAnsiTheme="minorHAnsi" w:cstheme="minorBidi"/>
          <w:lang w:val="es-ES"/>
        </w:rPr>
        <w:t xml:space="preserve">te nombramiento de las Directoras Adjuntas del UIT-R y el UIT-D ha </w:t>
      </w:r>
      <w:r w:rsidR="00691EFE">
        <w:rPr>
          <w:rFonts w:asciiTheme="minorHAnsi" w:hAnsiTheme="minorHAnsi" w:cstheme="minorBidi"/>
          <w:lang w:val="es-ES"/>
        </w:rPr>
        <w:t>aumentado la representación en puestos D2 al 60</w:t>
      </w:r>
      <w:r w:rsidR="00A3784A">
        <w:rPr>
          <w:rFonts w:asciiTheme="minorHAnsi" w:hAnsiTheme="minorHAnsi" w:cstheme="minorBidi"/>
          <w:lang w:val="es-ES"/>
        </w:rPr>
        <w:t> </w:t>
      </w:r>
      <w:r w:rsidR="00691EFE">
        <w:rPr>
          <w:rFonts w:asciiTheme="minorHAnsi" w:hAnsiTheme="minorHAnsi" w:cstheme="minorBidi"/>
          <w:lang w:val="es-ES"/>
        </w:rPr>
        <w:t xml:space="preserve">%, al estar tres de los cinco puestos ocupados por mujeres. </w:t>
      </w:r>
      <w:r w:rsidR="00691EFE" w:rsidRPr="00B800B6">
        <w:rPr>
          <w:rFonts w:asciiTheme="minorHAnsi" w:hAnsiTheme="minorHAnsi" w:cstheme="minorBidi"/>
          <w:lang w:val="es-ES"/>
        </w:rPr>
        <w:t>A pesar de estos avances, sigue habiendo grandes diferencias en otro</w:t>
      </w:r>
      <w:r w:rsidR="00691EFE">
        <w:rPr>
          <w:rFonts w:asciiTheme="minorHAnsi" w:hAnsiTheme="minorHAnsi" w:cstheme="minorBidi"/>
          <w:lang w:val="es-ES"/>
        </w:rPr>
        <w:t>s niveles, pues sólo el 37</w:t>
      </w:r>
      <w:r w:rsidR="00A3784A">
        <w:rPr>
          <w:rFonts w:asciiTheme="minorHAnsi" w:hAnsiTheme="minorHAnsi" w:cstheme="minorBidi"/>
          <w:lang w:val="es-ES"/>
        </w:rPr>
        <w:t> </w:t>
      </w:r>
      <w:r w:rsidR="00691EFE">
        <w:rPr>
          <w:rFonts w:asciiTheme="minorHAnsi" w:hAnsiTheme="minorHAnsi" w:cstheme="minorBidi"/>
          <w:lang w:val="es-ES"/>
        </w:rPr>
        <w:t>% de puestos D1 y el 30</w:t>
      </w:r>
      <w:r w:rsidR="00A3784A">
        <w:rPr>
          <w:rFonts w:asciiTheme="minorHAnsi" w:hAnsiTheme="minorHAnsi" w:cstheme="minorBidi"/>
          <w:lang w:val="es-ES"/>
        </w:rPr>
        <w:t> </w:t>
      </w:r>
      <w:r w:rsidR="00691EFE">
        <w:rPr>
          <w:rFonts w:asciiTheme="minorHAnsi" w:hAnsiTheme="minorHAnsi" w:cstheme="minorBidi"/>
          <w:lang w:val="es-ES"/>
        </w:rPr>
        <w:t>% de puestos P5 están ocupados por mujeres</w:t>
      </w:r>
      <w:r w:rsidR="00691EFE" w:rsidRPr="00B800B6">
        <w:rPr>
          <w:rFonts w:asciiTheme="minorHAnsi" w:hAnsiTheme="minorHAnsi" w:cstheme="minorBidi"/>
          <w:lang w:val="es-ES"/>
        </w:rPr>
        <w:t>.</w:t>
      </w:r>
    </w:p>
    <w:p w14:paraId="575B3FB2" w14:textId="1B7F99BA" w:rsidR="00FC5659" w:rsidRDefault="00691EFE" w:rsidP="00691EFE">
      <w:pPr>
        <w:jc w:val="both"/>
        <w:rPr>
          <w:rFonts w:asciiTheme="minorHAnsi" w:hAnsiTheme="minorHAnsi" w:cstheme="minorBidi"/>
          <w:bCs/>
          <w:lang w:val="es-ES"/>
        </w:rPr>
      </w:pPr>
      <w:r w:rsidRPr="00B800B6">
        <w:rPr>
          <w:rFonts w:asciiTheme="minorHAnsi" w:hAnsiTheme="minorHAnsi" w:cstheme="minorBidi"/>
          <w:b/>
          <w:lang w:val="es-ES"/>
        </w:rPr>
        <w:t>3.3</w:t>
      </w:r>
      <w:r w:rsidRPr="00B800B6">
        <w:rPr>
          <w:rFonts w:asciiTheme="minorHAnsi" w:hAnsiTheme="minorHAnsi" w:cstheme="minorBidi"/>
          <w:b/>
          <w:bCs/>
          <w:lang w:val="es-ES"/>
        </w:rPr>
        <w:tab/>
        <w:t>Desarrollo de las capacidades y la cultura institucional</w:t>
      </w:r>
      <w:r w:rsidRPr="00B800B6">
        <w:rPr>
          <w:rFonts w:asciiTheme="minorHAnsi" w:hAnsiTheme="minorHAnsi" w:cstheme="minorBidi"/>
          <w:bCs/>
          <w:lang w:val="es-ES"/>
        </w:rPr>
        <w:t>:</w:t>
      </w:r>
      <w:r w:rsidRPr="00B800B6">
        <w:rPr>
          <w:rFonts w:asciiTheme="minorHAnsi" w:hAnsiTheme="minorHAnsi" w:cstheme="minorBidi"/>
          <w:b/>
          <w:lang w:val="es-ES"/>
        </w:rPr>
        <w:t xml:space="preserve"> </w:t>
      </w:r>
      <w:r w:rsidRPr="00B800B6">
        <w:rPr>
          <w:rFonts w:asciiTheme="minorHAnsi" w:hAnsiTheme="minorHAnsi" w:cstheme="minorBidi"/>
          <w:bCs/>
          <w:lang w:val="es-ES"/>
        </w:rPr>
        <w:t>Un entorno propic</w:t>
      </w:r>
      <w:r>
        <w:rPr>
          <w:rFonts w:asciiTheme="minorHAnsi" w:hAnsiTheme="minorHAnsi" w:cstheme="minorBidi"/>
          <w:bCs/>
          <w:lang w:val="es-ES"/>
        </w:rPr>
        <w:t>i</w:t>
      </w:r>
      <w:r w:rsidRPr="00B800B6">
        <w:rPr>
          <w:rFonts w:asciiTheme="minorHAnsi" w:hAnsiTheme="minorHAnsi" w:cstheme="minorBidi"/>
          <w:bCs/>
          <w:lang w:val="es-ES"/>
        </w:rPr>
        <w:t>o es esencial par</w:t>
      </w:r>
      <w:r>
        <w:rPr>
          <w:rFonts w:asciiTheme="minorHAnsi" w:hAnsiTheme="minorHAnsi" w:cstheme="minorBidi"/>
          <w:bCs/>
          <w:lang w:val="es-ES"/>
        </w:rPr>
        <w:t xml:space="preserve">a el bienestar del personal y atraer el talento, especialmente el de las mujeres, en el ámbito de las TI y la ingeniería. </w:t>
      </w:r>
      <w:r w:rsidRPr="00B800B6">
        <w:rPr>
          <w:rFonts w:asciiTheme="minorHAnsi" w:hAnsiTheme="minorHAnsi" w:cstheme="minorBidi"/>
          <w:bCs/>
          <w:lang w:val="es-ES"/>
        </w:rPr>
        <w:t>Los resultados de la evaluación de las capacidades del personal, realizada en ener</w:t>
      </w:r>
      <w:r>
        <w:rPr>
          <w:rFonts w:asciiTheme="minorHAnsi" w:hAnsiTheme="minorHAnsi" w:cstheme="minorBidi"/>
          <w:bCs/>
          <w:lang w:val="es-ES"/>
        </w:rPr>
        <w:t xml:space="preserve">o de 2024, sirvieron para establecer los nuevos planes de desarrollo de capacidades y de paridad de género. </w:t>
      </w:r>
      <w:r w:rsidRPr="00207DA3">
        <w:rPr>
          <w:rFonts w:asciiTheme="minorHAnsi" w:hAnsiTheme="minorHAnsi" w:cstheme="minorBidi"/>
          <w:bCs/>
          <w:lang w:val="es-ES"/>
        </w:rPr>
        <w:t>Las nuevas formaciones contemplan las microagresiones y la prevención del acoso, así como también el</w:t>
      </w:r>
      <w:r>
        <w:rPr>
          <w:rFonts w:asciiTheme="minorHAnsi" w:hAnsiTheme="minorHAnsi" w:cstheme="minorBidi"/>
          <w:bCs/>
          <w:lang w:val="es-ES"/>
        </w:rPr>
        <w:t xml:space="preserve"> liderazgo inclusivo para los puestos directivos, de P5 en adelante. </w:t>
      </w:r>
      <w:r w:rsidRPr="00207DA3">
        <w:rPr>
          <w:rFonts w:asciiTheme="minorHAnsi" w:hAnsiTheme="minorHAnsi" w:cstheme="minorBidi"/>
          <w:bCs/>
          <w:lang w:val="es-ES"/>
        </w:rPr>
        <w:t>La primera encuesta de implicación del personal de la UIT, realizada en enero de 2025, ha</w:t>
      </w:r>
      <w:r>
        <w:rPr>
          <w:rFonts w:asciiTheme="minorHAnsi" w:hAnsiTheme="minorHAnsi" w:cstheme="minorBidi"/>
          <w:bCs/>
          <w:lang w:val="es-ES"/>
        </w:rPr>
        <w:t xml:space="preserve"> establecido una importante función supervisora, esencial para una mejora constante. </w:t>
      </w:r>
      <w:r w:rsidRPr="00207DA3">
        <w:rPr>
          <w:rFonts w:asciiTheme="minorHAnsi" w:hAnsiTheme="minorHAnsi" w:cstheme="minorBidi"/>
          <w:bCs/>
          <w:lang w:val="es-ES"/>
        </w:rPr>
        <w:t xml:space="preserve">Además de las presentaciones para los nuevos funcionarios, la formación </w:t>
      </w:r>
      <w:r w:rsidR="00A3784A">
        <w:rPr>
          <w:rFonts w:asciiTheme="minorHAnsi" w:hAnsiTheme="minorHAnsi" w:cstheme="minorBidi"/>
          <w:bCs/>
          <w:lang w:val="es-ES"/>
        </w:rPr>
        <w:t>"</w:t>
      </w:r>
      <w:r w:rsidRPr="00207DA3">
        <w:rPr>
          <w:rFonts w:asciiTheme="minorHAnsi" w:hAnsiTheme="minorHAnsi" w:cstheme="minorBidi"/>
          <w:bCs/>
          <w:lang w:val="es-ES"/>
        </w:rPr>
        <w:t>I</w:t>
      </w:r>
      <w:r w:rsidR="00EB54C4">
        <w:rPr>
          <w:rFonts w:asciiTheme="minorHAnsi" w:hAnsiTheme="minorHAnsi" w:cstheme="minorBidi"/>
          <w:bCs/>
          <w:lang w:val="es-ES"/>
        </w:rPr>
        <w:t> </w:t>
      </w:r>
      <w:r w:rsidRPr="00207DA3">
        <w:rPr>
          <w:rFonts w:asciiTheme="minorHAnsi" w:hAnsiTheme="minorHAnsi" w:cstheme="minorBidi"/>
          <w:bCs/>
          <w:lang w:val="es-ES"/>
        </w:rPr>
        <w:t>Know</w:t>
      </w:r>
      <w:r w:rsidR="00D25A40">
        <w:rPr>
          <w:rFonts w:asciiTheme="minorHAnsi" w:hAnsiTheme="minorHAnsi" w:cstheme="minorBidi"/>
          <w:bCs/>
          <w:lang w:val="es-ES"/>
        </w:rPr>
        <w:t> </w:t>
      </w:r>
      <w:r w:rsidRPr="00207DA3">
        <w:rPr>
          <w:rFonts w:asciiTheme="minorHAnsi" w:hAnsiTheme="minorHAnsi" w:cstheme="minorBidi"/>
          <w:bCs/>
          <w:lang w:val="es-ES"/>
        </w:rPr>
        <w:t>Gender</w:t>
      </w:r>
      <w:r w:rsidR="00A3784A">
        <w:rPr>
          <w:rFonts w:asciiTheme="minorHAnsi" w:hAnsiTheme="minorHAnsi" w:cstheme="minorBidi"/>
          <w:bCs/>
          <w:lang w:val="es-ES"/>
        </w:rPr>
        <w:t>"</w:t>
      </w:r>
      <w:r w:rsidRPr="00207DA3">
        <w:rPr>
          <w:rFonts w:asciiTheme="minorHAnsi" w:hAnsiTheme="minorHAnsi" w:cstheme="minorBidi"/>
          <w:bCs/>
          <w:lang w:val="es-ES"/>
        </w:rPr>
        <w:t xml:space="preserve"> </w:t>
      </w:r>
      <w:r>
        <w:rPr>
          <w:rFonts w:asciiTheme="minorHAnsi" w:hAnsiTheme="minorHAnsi" w:cstheme="minorBidi"/>
          <w:bCs/>
          <w:lang w:val="es-ES"/>
        </w:rPr>
        <w:t xml:space="preserve">es de carácter obligatorio. La dirección adopta un riguroso enfoque de tolerancia cero </w:t>
      </w:r>
      <w:r w:rsidR="00FC5659">
        <w:rPr>
          <w:rFonts w:asciiTheme="minorHAnsi" w:hAnsiTheme="minorHAnsi" w:cstheme="minorBidi"/>
          <w:bCs/>
          <w:lang w:val="es-ES"/>
        </w:rPr>
        <w:t>ante el acoso</w:t>
      </w:r>
      <w:r w:rsidRPr="00207DA3">
        <w:rPr>
          <w:rFonts w:asciiTheme="minorHAnsi" w:hAnsiTheme="minorHAnsi" w:cstheme="minorBidi"/>
          <w:bCs/>
          <w:lang w:val="es-ES"/>
        </w:rPr>
        <w:t>.</w:t>
      </w:r>
    </w:p>
    <w:p w14:paraId="2DCDF464" w14:textId="0EEC593E" w:rsidR="00691EFE" w:rsidRPr="00207DA3" w:rsidRDefault="00FC5659" w:rsidP="00691EFE">
      <w:pPr>
        <w:jc w:val="both"/>
        <w:rPr>
          <w:rFonts w:asciiTheme="minorHAnsi" w:hAnsiTheme="minorHAnsi" w:cstheme="minorBidi"/>
          <w:lang w:val="es-ES"/>
        </w:rPr>
      </w:pPr>
      <w:r>
        <w:rPr>
          <w:rFonts w:asciiTheme="minorHAnsi" w:hAnsiTheme="minorHAnsi" w:cstheme="minorBidi"/>
          <w:bCs/>
          <w:lang w:val="es-ES"/>
        </w:rPr>
        <w:t>El Grupo de Tareas Especiales sobre Género de la UIT es un mecanismo de supervisión y coordinación interna de toda la UIT creado en 2014 por el Secretario General de la UIT y que cuenta con coordinadores de género representantes de la Secretaría General y las tres Oficinas de la UIT. El Grupo de Tareas Especiales sobre Género trabaja en estrecha colaboración para garantizar la implementación del mandato de la UIT en materia de igualdad de género y ONU-SWAP 3.0 en toda la UIT.</w:t>
      </w:r>
      <w:r w:rsidR="00691EFE" w:rsidRPr="00207DA3">
        <w:rPr>
          <w:rFonts w:asciiTheme="minorHAnsi" w:hAnsiTheme="minorHAnsi" w:cstheme="minorBidi"/>
          <w:bCs/>
          <w:lang w:val="es-ES"/>
        </w:rPr>
        <w:t xml:space="preserve"> </w:t>
      </w:r>
    </w:p>
    <w:p w14:paraId="51256A48" w14:textId="0C8E3D48" w:rsidR="00691EFE" w:rsidRPr="002A4921" w:rsidRDefault="00691EFE" w:rsidP="00691EFE">
      <w:pPr>
        <w:jc w:val="both"/>
        <w:rPr>
          <w:rFonts w:asciiTheme="minorHAnsi" w:hAnsiTheme="minorHAnsi" w:cstheme="minorBidi"/>
          <w:lang w:val="es-ES"/>
        </w:rPr>
      </w:pPr>
      <w:bookmarkStart w:id="3" w:name="_Hlk193449195"/>
      <w:r w:rsidRPr="00207DA3">
        <w:rPr>
          <w:rFonts w:asciiTheme="minorHAnsi" w:hAnsiTheme="minorHAnsi" w:cstheme="minorBidi"/>
          <w:b/>
          <w:lang w:val="es-ES"/>
        </w:rPr>
        <w:t>3.4</w:t>
      </w:r>
      <w:r w:rsidRPr="00207DA3">
        <w:rPr>
          <w:rFonts w:asciiTheme="minorHAnsi" w:hAnsiTheme="minorHAnsi" w:cstheme="minorBidi"/>
          <w:b/>
          <w:bCs/>
          <w:lang w:val="es-ES"/>
        </w:rPr>
        <w:tab/>
      </w:r>
      <w:r w:rsidRPr="00207DA3">
        <w:rPr>
          <w:rFonts w:asciiTheme="minorHAnsi" w:hAnsiTheme="minorHAnsi" w:cstheme="minorBidi"/>
          <w:b/>
          <w:lang w:val="es-ES"/>
        </w:rPr>
        <w:t>ITU160 Talk</w:t>
      </w:r>
      <w:bookmarkEnd w:id="3"/>
      <w:r w:rsidRPr="00207DA3">
        <w:rPr>
          <w:rFonts w:asciiTheme="minorHAnsi" w:hAnsiTheme="minorHAnsi" w:cstheme="minorBidi"/>
          <w:b/>
          <w:lang w:val="es-ES"/>
        </w:rPr>
        <w:t>: Women in Tech – Driving Digital Inclusion</w:t>
      </w:r>
      <w:r w:rsidRPr="00207DA3">
        <w:rPr>
          <w:rFonts w:asciiTheme="minorHAnsi" w:hAnsiTheme="minorHAnsi" w:cstheme="minorBidi"/>
          <w:lang w:val="es-ES"/>
        </w:rPr>
        <w:t xml:space="preserve">: </w:t>
      </w:r>
      <w:r w:rsidR="00FC5659">
        <w:rPr>
          <w:rFonts w:asciiTheme="minorHAnsi" w:hAnsiTheme="minorHAnsi" w:cstheme="minorBidi"/>
          <w:lang w:val="es-ES"/>
        </w:rPr>
        <w:t xml:space="preserve">el 160º aniversario de la UIT y el Día Mundial de las Telecomunicaciones y la Sociedad de la Información (DMTSI de 2025 destacan la urgente necesidad de avanzar en lo que respecta a la igualdad digital de género a fin de que las mujeres y las niñas de todo el mundo puedan beneficiarse de la transformación digital y aportar su contribución a la misma bajo el lema: Igualdad de género en la transformación digital. </w:t>
      </w:r>
      <w:r w:rsidRPr="00207DA3">
        <w:rPr>
          <w:rFonts w:asciiTheme="minorHAnsi" w:hAnsiTheme="minorHAnsi" w:cstheme="minorBidi"/>
          <w:lang w:val="es-ES"/>
        </w:rPr>
        <w:t xml:space="preserve">La UIT celebró la primera charla ITU160 </w:t>
      </w:r>
      <w:r w:rsidRPr="00EB54C4">
        <w:rPr>
          <w:rFonts w:asciiTheme="minorHAnsi" w:hAnsiTheme="minorHAnsi" w:cstheme="minorBidi"/>
          <w:i/>
          <w:iCs/>
          <w:lang w:val="es-ES"/>
        </w:rPr>
        <w:t>Talk on Women in Tech</w:t>
      </w:r>
      <w:r w:rsidRPr="00207DA3">
        <w:rPr>
          <w:rFonts w:asciiTheme="minorHAnsi" w:hAnsiTheme="minorHAnsi" w:cstheme="minorBidi"/>
          <w:lang w:val="es-ES"/>
        </w:rPr>
        <w:t xml:space="preserve"> el </w:t>
      </w:r>
      <w:r w:rsidR="00FC5659">
        <w:rPr>
          <w:rFonts w:asciiTheme="minorHAnsi" w:hAnsiTheme="minorHAnsi" w:cstheme="minorBidi"/>
          <w:lang w:val="es-ES"/>
        </w:rPr>
        <w:t xml:space="preserve">8 de marzo de 2025, </w:t>
      </w:r>
      <w:r w:rsidRPr="00207DA3">
        <w:rPr>
          <w:rFonts w:asciiTheme="minorHAnsi" w:hAnsiTheme="minorHAnsi" w:cstheme="minorBidi"/>
          <w:lang w:val="es-ES"/>
        </w:rPr>
        <w:t xml:space="preserve">Día Internacional de la </w:t>
      </w:r>
      <w:r>
        <w:rPr>
          <w:rFonts w:asciiTheme="minorHAnsi" w:hAnsiTheme="minorHAnsi" w:cstheme="minorBidi"/>
          <w:lang w:val="es-ES"/>
        </w:rPr>
        <w:t xml:space="preserve">Mujer. </w:t>
      </w:r>
      <w:r w:rsidRPr="00207DA3">
        <w:rPr>
          <w:rFonts w:asciiTheme="minorHAnsi" w:hAnsiTheme="minorHAnsi" w:cstheme="minorBidi"/>
          <w:lang w:val="es-ES"/>
        </w:rPr>
        <w:t>La Secretaria General, Sra.</w:t>
      </w:r>
      <w:r w:rsidR="00A3784A">
        <w:rPr>
          <w:rFonts w:asciiTheme="minorHAnsi" w:hAnsiTheme="minorHAnsi" w:cstheme="minorBidi"/>
          <w:lang w:val="es-ES"/>
        </w:rPr>
        <w:t> </w:t>
      </w:r>
      <w:r w:rsidRPr="00207DA3">
        <w:rPr>
          <w:rFonts w:asciiTheme="minorHAnsi" w:hAnsiTheme="minorHAnsi" w:cstheme="minorBidi"/>
          <w:lang w:val="es-ES"/>
        </w:rPr>
        <w:t>Doreen</w:t>
      </w:r>
      <w:r w:rsidR="004F3AC1">
        <w:rPr>
          <w:rFonts w:asciiTheme="minorHAnsi" w:hAnsiTheme="minorHAnsi" w:cstheme="minorBidi"/>
          <w:lang w:val="es-ES"/>
        </w:rPr>
        <w:t> </w:t>
      </w:r>
      <w:r w:rsidRPr="00207DA3">
        <w:rPr>
          <w:rFonts w:asciiTheme="minorHAnsi" w:hAnsiTheme="minorHAnsi" w:cstheme="minorBidi"/>
          <w:lang w:val="es-ES"/>
        </w:rPr>
        <w:t>Bogdan</w:t>
      </w:r>
      <w:r w:rsidR="004F3AC1">
        <w:rPr>
          <w:rFonts w:asciiTheme="minorHAnsi" w:hAnsiTheme="minorHAnsi" w:cstheme="minorBidi"/>
          <w:lang w:val="es-ES"/>
        </w:rPr>
        <w:noBreakHyphen/>
      </w:r>
      <w:r w:rsidRPr="00207DA3">
        <w:rPr>
          <w:rFonts w:asciiTheme="minorHAnsi" w:hAnsiTheme="minorHAnsi" w:cstheme="minorBidi"/>
          <w:lang w:val="es-ES"/>
        </w:rPr>
        <w:t>Martin, dirigió un debate sobre los progre</w:t>
      </w:r>
      <w:r>
        <w:rPr>
          <w:rFonts w:asciiTheme="minorHAnsi" w:hAnsiTheme="minorHAnsi" w:cstheme="minorBidi"/>
          <w:lang w:val="es-ES"/>
        </w:rPr>
        <w:t xml:space="preserve">sos de la UIT en materia de igualdad de género en la transformación digital e inclusión en el trabajo. </w:t>
      </w:r>
      <w:r w:rsidRPr="00207DA3">
        <w:rPr>
          <w:rFonts w:asciiTheme="minorHAnsi" w:hAnsiTheme="minorHAnsi" w:cstheme="minorBidi"/>
          <w:lang w:val="es-ES"/>
        </w:rPr>
        <w:t>Este evento constó de una conversación informal, un cuestio</w:t>
      </w:r>
      <w:r>
        <w:rPr>
          <w:rFonts w:asciiTheme="minorHAnsi" w:hAnsiTheme="minorHAnsi" w:cstheme="minorBidi"/>
          <w:lang w:val="es-ES"/>
        </w:rPr>
        <w:t>nario interactivo y la exposición</w:t>
      </w:r>
      <w:r w:rsidRPr="00207DA3">
        <w:rPr>
          <w:rFonts w:asciiTheme="minorHAnsi" w:hAnsiTheme="minorHAnsi" w:cstheme="minorBidi"/>
          <w:lang w:val="es-ES"/>
        </w:rPr>
        <w:t xml:space="preserve"> "</w:t>
      </w:r>
      <w:r w:rsidR="0049330C">
        <w:rPr>
          <w:rFonts w:asciiTheme="minorHAnsi" w:hAnsiTheme="minorHAnsi" w:cstheme="minorBidi"/>
          <w:lang w:val="es-ES"/>
        </w:rPr>
        <w:t>¿</w:t>
      </w:r>
      <w:r w:rsidRPr="00EB54C4">
        <w:rPr>
          <w:rFonts w:asciiTheme="minorHAnsi" w:hAnsiTheme="minorHAnsi" w:cstheme="minorBidi"/>
          <w:i/>
          <w:iCs/>
          <w:lang w:val="es-ES"/>
        </w:rPr>
        <w:t>Not a Woman’s Job?</w:t>
      </w:r>
      <w:r w:rsidRPr="00207DA3">
        <w:rPr>
          <w:rFonts w:asciiTheme="minorHAnsi" w:hAnsiTheme="minorHAnsi" w:cstheme="minorBidi"/>
          <w:lang w:val="es-ES"/>
        </w:rPr>
        <w:t>"</w:t>
      </w:r>
      <w:r>
        <w:rPr>
          <w:rFonts w:asciiTheme="minorHAnsi" w:hAnsiTheme="minorHAnsi" w:cstheme="minorBidi"/>
          <w:lang w:val="es-ES"/>
        </w:rPr>
        <w:t xml:space="preserve">, donde se dio protagonismo a las mujeres pioneras en CTIM. </w:t>
      </w:r>
      <w:r w:rsidRPr="00207DA3">
        <w:rPr>
          <w:rFonts w:asciiTheme="minorHAnsi" w:hAnsiTheme="minorHAnsi" w:cstheme="minorBidi"/>
          <w:lang w:val="es-ES"/>
        </w:rPr>
        <w:t>En el evento se reafirmó el compromiso de la UIT para</w:t>
      </w:r>
      <w:r>
        <w:rPr>
          <w:rFonts w:asciiTheme="minorHAnsi" w:hAnsiTheme="minorHAnsi" w:cstheme="minorBidi"/>
          <w:lang w:val="es-ES"/>
        </w:rPr>
        <w:t xml:space="preserve"> cerrar la brecha digital de género</w:t>
      </w:r>
      <w:r w:rsidRPr="00207DA3">
        <w:rPr>
          <w:rFonts w:asciiTheme="minorHAnsi" w:hAnsiTheme="minorHAnsi" w:cstheme="minorBidi"/>
          <w:lang w:val="es-ES"/>
        </w:rPr>
        <w:t xml:space="preserve"> </w:t>
      </w:r>
      <w:r>
        <w:rPr>
          <w:rFonts w:asciiTheme="minorHAnsi" w:hAnsiTheme="minorHAnsi" w:cstheme="minorBidi"/>
          <w:lang w:val="es-ES"/>
        </w:rPr>
        <w:t>y fomentar un futuro digital inclusivo</w:t>
      </w:r>
      <w:r w:rsidRPr="002A4921">
        <w:rPr>
          <w:rFonts w:asciiTheme="minorHAnsi" w:hAnsiTheme="minorHAnsi" w:cstheme="minorBidi"/>
          <w:lang w:val="es-ES"/>
        </w:rPr>
        <w:t>.</w:t>
      </w:r>
    </w:p>
    <w:p w14:paraId="236B30B6" w14:textId="58513BAD" w:rsidR="00691EFE" w:rsidRPr="00417B9F" w:rsidRDefault="00691EFE" w:rsidP="00691EFE">
      <w:pPr>
        <w:jc w:val="both"/>
        <w:rPr>
          <w:rFonts w:asciiTheme="minorHAnsi" w:hAnsiTheme="minorHAnsi" w:cstheme="minorBidi"/>
          <w:lang w:val="es-ES"/>
        </w:rPr>
      </w:pPr>
      <w:r w:rsidRPr="002A4921">
        <w:rPr>
          <w:rFonts w:asciiTheme="minorHAnsi" w:hAnsiTheme="minorHAnsi" w:cstheme="minorBidi"/>
          <w:b/>
          <w:bCs/>
          <w:lang w:val="es-ES"/>
        </w:rPr>
        <w:lastRenderedPageBreak/>
        <w:t>3.5</w:t>
      </w:r>
      <w:r w:rsidRPr="002A4921">
        <w:rPr>
          <w:lang w:val="es-ES"/>
        </w:rPr>
        <w:tab/>
      </w:r>
      <w:r w:rsidRPr="002A4921">
        <w:rPr>
          <w:b/>
          <w:bCs/>
          <w:lang w:val="es-ES"/>
        </w:rPr>
        <w:t>Oficina de Género y Juventud</w:t>
      </w:r>
      <w:r w:rsidRPr="002A4921">
        <w:rPr>
          <w:rFonts w:asciiTheme="minorHAnsi" w:hAnsiTheme="minorHAnsi" w:cstheme="minorBidi"/>
          <w:b/>
          <w:bCs/>
          <w:lang w:val="es-ES"/>
        </w:rPr>
        <w:t xml:space="preserve"> (GYO):</w:t>
      </w:r>
      <w:r w:rsidRPr="002A4921">
        <w:rPr>
          <w:rFonts w:asciiTheme="minorHAnsi" w:hAnsiTheme="minorHAnsi" w:cstheme="minorBidi"/>
          <w:lang w:val="es-ES"/>
        </w:rPr>
        <w:t xml:space="preserve"> En virtud del Ac</w:t>
      </w:r>
      <w:r>
        <w:rPr>
          <w:rFonts w:asciiTheme="minorHAnsi" w:hAnsiTheme="minorHAnsi" w:cstheme="minorBidi"/>
          <w:lang w:val="es-ES"/>
        </w:rPr>
        <w:t>uerdo</w:t>
      </w:r>
      <w:r w:rsidRPr="002A4921">
        <w:rPr>
          <w:rFonts w:asciiTheme="minorHAnsi" w:hAnsiTheme="minorHAnsi" w:cstheme="minorBidi"/>
          <w:lang w:val="es-ES"/>
        </w:rPr>
        <w:t xml:space="preserve"> 631</w:t>
      </w:r>
      <w:r>
        <w:rPr>
          <w:rFonts w:asciiTheme="minorHAnsi" w:hAnsiTheme="minorHAnsi" w:cstheme="minorBidi"/>
          <w:lang w:val="es-ES"/>
        </w:rPr>
        <w:t xml:space="preserve"> del Consejo, la UIT creó la Oficina de Género y Juventud (GYO), que responde a la Secretaria General. </w:t>
      </w:r>
      <w:r w:rsidRPr="00417B9F">
        <w:rPr>
          <w:rFonts w:asciiTheme="minorHAnsi" w:hAnsiTheme="minorHAnsi" w:cstheme="minorBidi"/>
          <w:lang w:val="es-ES"/>
        </w:rPr>
        <w:t>Esta Oficina ya está operativa y dirigida po</w:t>
      </w:r>
      <w:r>
        <w:rPr>
          <w:rFonts w:asciiTheme="minorHAnsi" w:hAnsiTheme="minorHAnsi" w:cstheme="minorBidi"/>
          <w:lang w:val="es-ES"/>
        </w:rPr>
        <w:t xml:space="preserve">r un Asesor superior en género y juventud, de categoría P5, nombrado en febrero. </w:t>
      </w:r>
      <w:r w:rsidRPr="00417B9F">
        <w:rPr>
          <w:rFonts w:asciiTheme="minorHAnsi" w:hAnsiTheme="minorHAnsi" w:cstheme="minorBidi"/>
          <w:lang w:val="es-ES"/>
        </w:rPr>
        <w:t>También en febrero, financiado por Francia, se in</w:t>
      </w:r>
      <w:r>
        <w:rPr>
          <w:rFonts w:asciiTheme="minorHAnsi" w:hAnsiTheme="minorHAnsi" w:cstheme="minorBidi"/>
          <w:lang w:val="es-ES"/>
        </w:rPr>
        <w:t>tegró en la Oficina un Joven funcionario profesional P2.</w:t>
      </w:r>
      <w:r w:rsidRPr="00417B9F">
        <w:rPr>
          <w:rFonts w:asciiTheme="minorHAnsi" w:hAnsiTheme="minorHAnsi" w:cstheme="minorBidi"/>
          <w:lang w:val="es-ES"/>
        </w:rPr>
        <w:t xml:space="preserve"> </w:t>
      </w:r>
    </w:p>
    <w:p w14:paraId="43DC8D99" w14:textId="77777777" w:rsidR="00EB54C4" w:rsidRDefault="00EB54C4" w:rsidP="00411C49">
      <w:pPr>
        <w:pStyle w:val="Reasons"/>
      </w:pPr>
    </w:p>
    <w:p w14:paraId="7F310789" w14:textId="77777777" w:rsidR="00EB54C4" w:rsidRDefault="00EB54C4">
      <w:pPr>
        <w:jc w:val="center"/>
      </w:pPr>
      <w:r>
        <w:t>______________</w:t>
      </w:r>
    </w:p>
    <w:sectPr w:rsidR="00EB54C4" w:rsidSect="00C538FC">
      <w:footerReference w:type="default" r:id="rId47"/>
      <w:headerReference w:type="first" r:id="rId48"/>
      <w:footerReference w:type="first" r:id="rId4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FC03" w14:textId="77777777" w:rsidR="008F30F2" w:rsidRDefault="008F30F2">
      <w:r>
        <w:separator/>
      </w:r>
    </w:p>
  </w:endnote>
  <w:endnote w:type="continuationSeparator" w:id="0">
    <w:p w14:paraId="376A5486" w14:textId="77777777" w:rsidR="008F30F2" w:rsidRDefault="008F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CEADAF7" w14:textId="77777777" w:rsidTr="00E31DCE">
      <w:trPr>
        <w:jc w:val="center"/>
      </w:trPr>
      <w:tc>
        <w:tcPr>
          <w:tcW w:w="1803" w:type="dxa"/>
          <w:vAlign w:val="center"/>
        </w:tcPr>
        <w:p w14:paraId="47A44170" w14:textId="77777777" w:rsidR="003273A4" w:rsidRDefault="002946E2" w:rsidP="003273A4">
          <w:pPr>
            <w:pStyle w:val="Header"/>
            <w:jc w:val="left"/>
            <w:rPr>
              <w:noProof/>
            </w:rPr>
          </w:pPr>
          <w:r>
            <w:rPr>
              <w:noProof/>
            </w:rPr>
            <w:t>gDoc #</w:t>
          </w:r>
        </w:p>
      </w:tc>
      <w:tc>
        <w:tcPr>
          <w:tcW w:w="8261" w:type="dxa"/>
        </w:tcPr>
        <w:p w14:paraId="036F3903" w14:textId="2683A18D"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B76D0">
            <w:rPr>
              <w:bCs/>
            </w:rPr>
            <w:t>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8DF1C6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2DF3443" w14:textId="77777777" w:rsidTr="00E31DCE">
      <w:trPr>
        <w:jc w:val="center"/>
      </w:trPr>
      <w:tc>
        <w:tcPr>
          <w:tcW w:w="1803" w:type="dxa"/>
          <w:vAlign w:val="center"/>
        </w:tcPr>
        <w:p w14:paraId="2883043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5463EAC" w14:textId="1C11E92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B76D0">
            <w:rPr>
              <w:bCs/>
            </w:rPr>
            <w:t>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7E4B7C5"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3AA2B" w14:textId="77777777" w:rsidR="008F30F2" w:rsidRDefault="008F30F2">
      <w:r>
        <w:t>____________________</w:t>
      </w:r>
    </w:p>
  </w:footnote>
  <w:footnote w:type="continuationSeparator" w:id="0">
    <w:p w14:paraId="1332C9BF" w14:textId="77777777" w:rsidR="008F30F2" w:rsidRDefault="008F30F2">
      <w:r>
        <w:continuationSeparator/>
      </w:r>
    </w:p>
  </w:footnote>
  <w:footnote w:id="1">
    <w:p w14:paraId="16B5AB55" w14:textId="77777777" w:rsidR="00691EFE" w:rsidRPr="000E546D" w:rsidRDefault="00691EFE" w:rsidP="00691EFE">
      <w:pPr>
        <w:pStyle w:val="FootnoteText"/>
        <w:rPr>
          <w:lang w:val="es-ES"/>
        </w:rPr>
      </w:pPr>
      <w:r>
        <w:rPr>
          <w:rStyle w:val="FootnoteReference"/>
        </w:rPr>
        <w:footnoteRef/>
      </w:r>
      <w:r w:rsidRPr="000E546D">
        <w:rPr>
          <w:lang w:val="es-ES"/>
        </w:rPr>
        <w:tab/>
      </w:r>
      <w:hyperlink r:id="rId1" w:history="1">
        <w:r w:rsidRPr="000E546D">
          <w:rPr>
            <w:rStyle w:val="Hyperlink"/>
            <w:lang w:val="es-ES"/>
          </w:rPr>
          <w:t>Constitución de la UIT</w:t>
        </w:r>
      </w:hyperlink>
      <w:r w:rsidRPr="000E546D">
        <w:rPr>
          <w:lang w:val="es-ES"/>
        </w:rPr>
        <w:t>, Artíc</w:t>
      </w:r>
      <w:r>
        <w:rPr>
          <w:lang w:val="es-ES"/>
        </w:rPr>
        <w:t>ulo</w:t>
      </w:r>
      <w:r w:rsidRPr="000E546D">
        <w:rPr>
          <w:lang w:val="es-ES"/>
        </w:rPr>
        <w:t xml:space="preserve"> 1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26639EFE" w14:textId="77777777" w:rsidTr="00666D09">
      <w:trPr>
        <w:trHeight w:val="1104"/>
        <w:jc w:val="center"/>
      </w:trPr>
      <w:tc>
        <w:tcPr>
          <w:tcW w:w="5998" w:type="dxa"/>
          <w:vAlign w:val="center"/>
        </w:tcPr>
        <w:p w14:paraId="4C6D4BCF"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DAA7817" wp14:editId="0FCE007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8022C21" w14:textId="77777777" w:rsidR="00666D09" w:rsidRDefault="00666D09" w:rsidP="001559F5">
          <w:pPr>
            <w:pStyle w:val="Header"/>
            <w:jc w:val="right"/>
            <w:rPr>
              <w:rFonts w:ascii="Arial" w:hAnsi="Arial" w:cs="Arial"/>
              <w:b/>
              <w:bCs/>
              <w:color w:val="009CD6"/>
              <w:szCs w:val="18"/>
            </w:rPr>
          </w:pPr>
        </w:p>
      </w:tc>
    </w:tr>
  </w:tbl>
  <w:p w14:paraId="56D7482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F3D314" wp14:editId="60F592E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24E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FE"/>
    <w:rsid w:val="000007D1"/>
    <w:rsid w:val="0006007D"/>
    <w:rsid w:val="00093EEB"/>
    <w:rsid w:val="000B0D00"/>
    <w:rsid w:val="000B7C15"/>
    <w:rsid w:val="000D1D0F"/>
    <w:rsid w:val="000E3F07"/>
    <w:rsid w:val="000F5290"/>
    <w:rsid w:val="0010165C"/>
    <w:rsid w:val="00146BFB"/>
    <w:rsid w:val="001559F5"/>
    <w:rsid w:val="00157AC4"/>
    <w:rsid w:val="0016169C"/>
    <w:rsid w:val="001A287D"/>
    <w:rsid w:val="001B6E2B"/>
    <w:rsid w:val="001C59B2"/>
    <w:rsid w:val="001F14A2"/>
    <w:rsid w:val="00200FB0"/>
    <w:rsid w:val="002801AA"/>
    <w:rsid w:val="002946E2"/>
    <w:rsid w:val="002C3F32"/>
    <w:rsid w:val="002C4676"/>
    <w:rsid w:val="002C70B0"/>
    <w:rsid w:val="002D1C57"/>
    <w:rsid w:val="002F3CC4"/>
    <w:rsid w:val="003032E2"/>
    <w:rsid w:val="00303DE1"/>
    <w:rsid w:val="0031300A"/>
    <w:rsid w:val="003273A4"/>
    <w:rsid w:val="0034796E"/>
    <w:rsid w:val="003706D5"/>
    <w:rsid w:val="00414DAC"/>
    <w:rsid w:val="00433CCC"/>
    <w:rsid w:val="00440F5B"/>
    <w:rsid w:val="00473962"/>
    <w:rsid w:val="0049330C"/>
    <w:rsid w:val="004B5D49"/>
    <w:rsid w:val="004D3A3C"/>
    <w:rsid w:val="004E0F6E"/>
    <w:rsid w:val="004E58A9"/>
    <w:rsid w:val="004F3AC1"/>
    <w:rsid w:val="00513630"/>
    <w:rsid w:val="00560125"/>
    <w:rsid w:val="00585553"/>
    <w:rsid w:val="005B34D9"/>
    <w:rsid w:val="005D0CCF"/>
    <w:rsid w:val="005D5C13"/>
    <w:rsid w:val="005F3BCB"/>
    <w:rsid w:val="005F410F"/>
    <w:rsid w:val="0060149A"/>
    <w:rsid w:val="00601924"/>
    <w:rsid w:val="00604C58"/>
    <w:rsid w:val="00622BEA"/>
    <w:rsid w:val="00634D85"/>
    <w:rsid w:val="006447EA"/>
    <w:rsid w:val="0064481D"/>
    <w:rsid w:val="0064731F"/>
    <w:rsid w:val="00664572"/>
    <w:rsid w:val="00666D09"/>
    <w:rsid w:val="006710F6"/>
    <w:rsid w:val="00677A97"/>
    <w:rsid w:val="00691EFE"/>
    <w:rsid w:val="006B76D0"/>
    <w:rsid w:val="006C1B56"/>
    <w:rsid w:val="006C24AC"/>
    <w:rsid w:val="006D4761"/>
    <w:rsid w:val="00726872"/>
    <w:rsid w:val="00760F1C"/>
    <w:rsid w:val="00762407"/>
    <w:rsid w:val="007657F0"/>
    <w:rsid w:val="0077110E"/>
    <w:rsid w:val="0077252D"/>
    <w:rsid w:val="007955DA"/>
    <w:rsid w:val="007C553D"/>
    <w:rsid w:val="007E5DD3"/>
    <w:rsid w:val="007F350B"/>
    <w:rsid w:val="00802A29"/>
    <w:rsid w:val="00820BE4"/>
    <w:rsid w:val="008451E8"/>
    <w:rsid w:val="008F30F2"/>
    <w:rsid w:val="008F6ABC"/>
    <w:rsid w:val="00913B9C"/>
    <w:rsid w:val="00917C82"/>
    <w:rsid w:val="00927F93"/>
    <w:rsid w:val="00956E77"/>
    <w:rsid w:val="009A0A72"/>
    <w:rsid w:val="009A338E"/>
    <w:rsid w:val="009F4811"/>
    <w:rsid w:val="00A3784A"/>
    <w:rsid w:val="00A9052E"/>
    <w:rsid w:val="00A94438"/>
    <w:rsid w:val="00AA390C"/>
    <w:rsid w:val="00AB5349"/>
    <w:rsid w:val="00B0200A"/>
    <w:rsid w:val="00B060DF"/>
    <w:rsid w:val="00B50B98"/>
    <w:rsid w:val="00B574DB"/>
    <w:rsid w:val="00B753C5"/>
    <w:rsid w:val="00B826C2"/>
    <w:rsid w:val="00B8298E"/>
    <w:rsid w:val="00BB6FD8"/>
    <w:rsid w:val="00BD0723"/>
    <w:rsid w:val="00BD2518"/>
    <w:rsid w:val="00BF1D1C"/>
    <w:rsid w:val="00C20C59"/>
    <w:rsid w:val="00C256BB"/>
    <w:rsid w:val="00C2727F"/>
    <w:rsid w:val="00C45013"/>
    <w:rsid w:val="00C538FC"/>
    <w:rsid w:val="00C55B1F"/>
    <w:rsid w:val="00C9508B"/>
    <w:rsid w:val="00CB1C29"/>
    <w:rsid w:val="00CF1A67"/>
    <w:rsid w:val="00D25A40"/>
    <w:rsid w:val="00D2750E"/>
    <w:rsid w:val="00D375E0"/>
    <w:rsid w:val="00D50A36"/>
    <w:rsid w:val="00D62446"/>
    <w:rsid w:val="00DA4EA2"/>
    <w:rsid w:val="00DC3D3E"/>
    <w:rsid w:val="00DE2C90"/>
    <w:rsid w:val="00DE3B24"/>
    <w:rsid w:val="00DF1D9E"/>
    <w:rsid w:val="00E002F0"/>
    <w:rsid w:val="00E06947"/>
    <w:rsid w:val="00E11319"/>
    <w:rsid w:val="00E21444"/>
    <w:rsid w:val="00E34072"/>
    <w:rsid w:val="00E3592D"/>
    <w:rsid w:val="00E50D76"/>
    <w:rsid w:val="00E8018B"/>
    <w:rsid w:val="00E92DE8"/>
    <w:rsid w:val="00EB1212"/>
    <w:rsid w:val="00EB54C4"/>
    <w:rsid w:val="00ED65AB"/>
    <w:rsid w:val="00F12850"/>
    <w:rsid w:val="00F24B71"/>
    <w:rsid w:val="00F33BF4"/>
    <w:rsid w:val="00F7105E"/>
    <w:rsid w:val="00F75F57"/>
    <w:rsid w:val="00F82FEE"/>
    <w:rsid w:val="00F92BED"/>
    <w:rsid w:val="00FC5659"/>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EA35E"/>
  <w15:docId w15:val="{85AB5009-0EFF-4719-B4EE-303F9D40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iPriority w:val="99"/>
    <w:unhideWhenUsed/>
    <w:rsid w:val="00691EFE"/>
    <w:rPr>
      <w:sz w:val="20"/>
      <w:lang w:val="en-GB"/>
    </w:rPr>
  </w:style>
  <w:style w:type="character" w:customStyle="1" w:styleId="CommentTextChar">
    <w:name w:val="Comment Text Char"/>
    <w:basedOn w:val="DefaultParagraphFont"/>
    <w:link w:val="CommentText"/>
    <w:uiPriority w:val="99"/>
    <w:rsid w:val="00691EFE"/>
    <w:rPr>
      <w:rFonts w:ascii="Calibri" w:hAnsi="Calibri"/>
      <w:lang w:val="en-GB" w:eastAsia="en-US"/>
    </w:rPr>
  </w:style>
  <w:style w:type="character" w:customStyle="1" w:styleId="FootnoteTextChar">
    <w:name w:val="Footnote Text Char"/>
    <w:basedOn w:val="DefaultParagraphFont"/>
    <w:link w:val="FootnoteText"/>
    <w:rsid w:val="00691EFE"/>
    <w:rPr>
      <w:rFonts w:ascii="Calibri" w:hAnsi="Calibri"/>
      <w:sz w:val="24"/>
      <w:lang w:val="es-ES_tradnl" w:eastAsia="en-US"/>
    </w:rPr>
  </w:style>
  <w:style w:type="paragraph" w:styleId="Revision">
    <w:name w:val="Revision"/>
    <w:hidden/>
    <w:uiPriority w:val="99"/>
    <w:semiHidden/>
    <w:rsid w:val="00C9508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ction/gender-equality/Documents/Report_card_ITU_2023.pdf" TargetMode="External"/><Relationship Id="rId18" Type="http://schemas.openxmlformats.org/officeDocument/2006/relationships/hyperlink" Target="https://www.itu.int/dms_pub/itu-d/md/18/wtdc21/c/D18-WTDC21-C-0103!R1!PDF-E.pdf" TargetMode="External"/><Relationship Id="rId26" Type="http://schemas.openxmlformats.org/officeDocument/2006/relationships/hyperlink" Target="https://www.itu.int/net4/wsis/forum/2024/es" TargetMode="External"/><Relationship Id="rId39" Type="http://schemas.openxmlformats.org/officeDocument/2006/relationships/hyperlink" Target="http://www.itu.int/genderdashboard" TargetMode="External"/><Relationship Id="rId21" Type="http://schemas.openxmlformats.org/officeDocument/2006/relationships/hyperlink" Target="https://eur03.safelinks.protection.outlook.com/?url=http%3A%2F%2Fwww.equalsintech.org%2F&amp;data=05%7C02%7Cmaria.durangonzalez%40itu.int%7C40901c9350fb48d3a2b308dd65633c55%7C23e464d704e64b87913c24bd89219fd3%7C0%7C0%7C638778199085368291%7CUnknown%7CTWFpbGZsb3d8eyJFbXB0eU1hcGkiOnRydWUsIlYiOiIwLjAuMDAwMCIsIlAiOiJXaW4zMiIsIkFOIjoiTWFpbCIsIldUIjoyfQ%3D%3D%7C0%7C%7C%7C&amp;sdata=hN4qyVr5N8s9EV9aH0b7sngWPpu%2F4ER2H77iruLc5Os%3D&amp;reserved=0" TargetMode="External"/><Relationship Id="rId34" Type="http://schemas.openxmlformats.org/officeDocument/2006/relationships/hyperlink" Target="https://www.itu.int/en/ITU-D/Digital-Inclusion/Women-and-Girls/NoW/Pages/mentorship/2024/Empowering-Women-Leaders-Mentorship-Programme.aspx" TargetMode="External"/><Relationship Id="rId42" Type="http://schemas.openxmlformats.org/officeDocument/2006/relationships/hyperlink" Target="https://www.itu.int/en/action/gender-equality/Documents/Report_card_ITU_2023.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itu.int/en/council/Documents/basic-texts-2023/RES-070-E.pdf" TargetMode="External"/><Relationship Id="rId2" Type="http://schemas.openxmlformats.org/officeDocument/2006/relationships/settings" Target="settings.xml"/><Relationship Id="rId16" Type="http://schemas.openxmlformats.org/officeDocument/2006/relationships/hyperlink" Target="https://www.itu.int/pub/T-RES-T.55-2024/es" TargetMode="External"/><Relationship Id="rId29" Type="http://schemas.openxmlformats.org/officeDocument/2006/relationships/hyperlink" Target="https://www.itu.int/net4/wsis/forum/2024/es/Agenda/Session/416" TargetMode="External"/><Relationship Id="rId11" Type="http://schemas.openxmlformats.org/officeDocument/2006/relationships/hyperlink" Target="https://www.itu.int/en/council/Documents/Council-Res-Dec/Council-Res-Dec-2023-E.pdf" TargetMode="External"/><Relationship Id="rId24" Type="http://schemas.openxmlformats.org/officeDocument/2006/relationships/hyperlink" Target="https://www.equalsintech.org/her-digital-skills/" TargetMode="External"/><Relationship Id="rId32" Type="http://schemas.openxmlformats.org/officeDocument/2006/relationships/hyperlink" Target="https://www.itu.int/en/ITU-T/NoW/Pages/default.aspx" TargetMode="External"/><Relationship Id="rId37" Type="http://schemas.openxmlformats.org/officeDocument/2006/relationships/image" Target="media/image10.png"/><Relationship Id="rId40" Type="http://schemas.openxmlformats.org/officeDocument/2006/relationships/hyperlink" Target="https://www.itu.int/wtisd/itu160-gender-champions/" TargetMode="External"/><Relationship Id="rId45"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hyperlink" Target="https://www.itu.int/en/action/gender-equality/Documents/S22-PP-Res70-E.pdf" TargetMode="External"/><Relationship Id="rId23" Type="http://schemas.openxmlformats.org/officeDocument/2006/relationships/hyperlink" Target="https://www.itu.int/women-and-girls/women-in-ict/ai-skills-accelerator-for-girls" TargetMode="External"/><Relationship Id="rId28" Type="http://schemas.openxmlformats.org/officeDocument/2006/relationships/hyperlink" Target="https://www.itu.int/net4/wsis/forum/2025/es/Agenda/Session/119" TargetMode="External"/><Relationship Id="rId36" Type="http://schemas.openxmlformats.org/officeDocument/2006/relationships/image" Target="media/image1.png"/><Relationship Id="rId49" Type="http://schemas.openxmlformats.org/officeDocument/2006/relationships/footer" Target="footer2.xml"/><Relationship Id="rId10" Type="http://schemas.openxmlformats.org/officeDocument/2006/relationships/hyperlink" Target="https://www.itu.int/pub/T-RES-T.55-2024" TargetMode="External"/><Relationship Id="rId19" Type="http://schemas.openxmlformats.org/officeDocument/2006/relationships/hyperlink" Target="https://www.itu.int/itu-d/reports/statistics/facts-figures-2024/" TargetMode="External"/><Relationship Id="rId31" Type="http://schemas.openxmlformats.org/officeDocument/2006/relationships/hyperlink" Target="https://www.itu.int/en/ITU-D/Digital-Inclusion/Women-and-Girls/NoW/Pages/default.aspx" TargetMode="External"/><Relationship Id="rId44" Type="http://schemas.openxmlformats.org/officeDocument/2006/relationships/hyperlink" Target="https://www.un.org/sites/un2.un.org/files/2024/12/unw_geap_deck_detailed_plan_final.pdf" TargetMode="External"/><Relationship Id="rId4" Type="http://schemas.openxmlformats.org/officeDocument/2006/relationships/footnotes" Target="footnotes.xml"/><Relationship Id="rId9" Type="http://schemas.openxmlformats.org/officeDocument/2006/relationships/hyperlink" Target="https://www.itu.int/dms_pub/itu-r/opb/act/R-ACT-WRC.16-2024-PDF-E.pdf" TargetMode="External"/><Relationship Id="rId14" Type="http://schemas.openxmlformats.org/officeDocument/2006/relationships/hyperlink" Target="https://www.itu.int/md/S24-CL-C-0006/es" TargetMode="External"/><Relationship Id="rId22" Type="http://schemas.openxmlformats.org/officeDocument/2006/relationships/hyperlink" Target="https://eur03.safelinks.protection.outlook.com/?url=https%3A%2F%2Fwww.equalsintech.org%2Fawards&amp;data=05%7C02%7Cmaria.durangonzalez%40itu.int%7C40901c9350fb48d3a2b308dd65633c55%7C23e464d704e64b87913c24bd89219fd3%7C0%7C0%7C638778199085409219%7CUnknown%7CTWFpbGZsb3d8eyJFbXB0eU1hcGkiOnRydWUsIlYiOiIwLjAuMDAwMCIsIlAiOiJXaW4zMiIsIkFOIjoiTWFpbCIsIldUIjoyfQ%3D%3D%7C0%7C%7C%7C&amp;sdata=ysRI0iJ1G8iD16Nt%2FGbj0WshvTNmBpEJUdz17JaYbYM%3D&amp;reserved=0" TargetMode="External"/><Relationship Id="rId27" Type="http://schemas.openxmlformats.org/officeDocument/2006/relationships/hyperlink" Target="http://www.wsis.org/" TargetMode="External"/><Relationship Id="rId30" Type="http://schemas.openxmlformats.org/officeDocument/2006/relationships/hyperlink" Target="https://www.itu.int/now4wrc/" TargetMode="External"/><Relationship Id="rId35" Type="http://schemas.openxmlformats.org/officeDocument/2006/relationships/hyperlink" Target="https://www.itu.int/wtsa/2024/now/about/" TargetMode="External"/><Relationship Id="rId43" Type="http://schemas.openxmlformats.org/officeDocument/2006/relationships/hyperlink" Target="https://gendercoordinationandmainstreaming.unwomen.org/un-swap-30-framework-and-technical-guidance" TargetMode="External"/><Relationship Id="rId48" Type="http://schemas.openxmlformats.org/officeDocument/2006/relationships/header" Target="header1.xml"/><Relationship Id="rId8" Type="http://schemas.openxmlformats.org/officeDocument/2006/relationships/hyperlink" Target="https://www.itu.int/dms_pub/itu-d/opb/tdc/D-TDC-WTDC-2022-PDF-E.pdf"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tu.int/md/S24-CL-C-0006/en" TargetMode="External"/><Relationship Id="rId17" Type="http://schemas.openxmlformats.org/officeDocument/2006/relationships/hyperlink" Target="https://www.itu.int/dms_pub/itu-r/opb/res/R-RES-R.72-2023-PDF-E.pdf" TargetMode="External"/><Relationship Id="rId25" Type="http://schemas.openxmlformats.org/officeDocument/2006/relationships/hyperlink" Target="https://www.itu.int/en/ITU-D/Cybersecurity/Pages/Skills-Development/Her-CyberTracks.aspx" TargetMode="External"/><Relationship Id="rId33" Type="http://schemas.openxmlformats.org/officeDocument/2006/relationships/hyperlink" Target="https://www.itu.int/now4wrc27/mentoring-programme/" TargetMode="External"/><Relationship Id="rId38" Type="http://schemas.openxmlformats.org/officeDocument/2006/relationships/image" Target="media/image2.jpg"/><Relationship Id="rId46" Type="http://schemas.openxmlformats.org/officeDocument/2006/relationships/hyperlink" Target="https://app.powerbi.com/view?r=eyJrIjoiOWJmNjg1MTktOWM4NC00ZmRmLWFiZTYtYWY3NGNkOGI0MmY4IiwidCI6IjIzZTQ2NGQ3LTA0ZTYtNGI4Ny05MTNjLTI0YmQ4OTIxOWZkMyIsImMiOjl9&amp;pageName=ReportSectiond997698b760ca05d92dc" TargetMode="External"/><Relationship Id="rId20" Type="http://schemas.openxmlformats.org/officeDocument/2006/relationships/hyperlink" Target="https://www.itu.int/women-and-girls/girls-in-ict/international-girls-in-ict-day-2025/" TargetMode="External"/><Relationship Id="rId41" Type="http://schemas.openxmlformats.org/officeDocument/2006/relationships/hyperlink" Target="https://www.itu.int/wtisd/" TargetMode="External"/><Relationship Id="rId1" Type="http://schemas.openxmlformats.org/officeDocument/2006/relationships/styles" Target="styles.xml"/><Relationship Id="rId6" Type="http://schemas.openxmlformats.org/officeDocument/2006/relationships/hyperlink" Target="https://www.itu.int/en/council/planning/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Constitutio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6</Pages>
  <Words>2584</Words>
  <Characters>12905</Characters>
  <Application>Microsoft Office Word</Application>
  <DocSecurity>0</DocSecurity>
  <Lines>203</Lines>
  <Paragraphs>40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15456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Resolución 70 (Rev. Bucarest, 2022) de la Conferencia de Plenipotenciarios</dc:title>
  <dc:subject>Consejo 2025 de la UIT</dc:subject>
  <cp:keywords>C2025, C25, Council-25</cp:keywords>
  <dc:description/>
  <cp:lastPrinted>2006-03-24T09:51:00Z</cp:lastPrinted>
  <dcterms:created xsi:type="dcterms:W3CDTF">2025-05-28T12:43:00Z</dcterms:created>
  <dcterms:modified xsi:type="dcterms:W3CDTF">2025-05-28T12:43:00Z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