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A5668C" w14:paraId="75153C38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143914E" w14:textId="2C00751D" w:rsidR="00796BD3" w:rsidRPr="00A5668C" w:rsidRDefault="0033025A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A5668C">
              <w:rPr>
                <w:b/>
                <w:lang w:val="ru-RU"/>
              </w:rPr>
              <w:t>Пункт повестки дня:</w:t>
            </w:r>
            <w:r w:rsidR="00C8553B" w:rsidRPr="00A5668C">
              <w:rPr>
                <w:b/>
                <w:lang w:val="ru-RU"/>
              </w:rPr>
              <w:t xml:space="preserve"> PL 3</w:t>
            </w:r>
          </w:p>
        </w:tc>
        <w:tc>
          <w:tcPr>
            <w:tcW w:w="5245" w:type="dxa"/>
          </w:tcPr>
          <w:p w14:paraId="282A2D36" w14:textId="1D52BBBB" w:rsidR="00796BD3" w:rsidRPr="00A5668C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5668C">
              <w:rPr>
                <w:b/>
                <w:lang w:val="ru-RU"/>
              </w:rPr>
              <w:t xml:space="preserve">Документ </w:t>
            </w:r>
            <w:r w:rsidR="00796BD3" w:rsidRPr="00A5668C">
              <w:rPr>
                <w:b/>
                <w:lang w:val="ru-RU"/>
              </w:rPr>
              <w:t>C2</w:t>
            </w:r>
            <w:r w:rsidR="00D631AA" w:rsidRPr="00A5668C">
              <w:rPr>
                <w:b/>
                <w:lang w:val="ru-RU"/>
              </w:rPr>
              <w:t>5</w:t>
            </w:r>
            <w:r w:rsidR="00796BD3" w:rsidRPr="00A5668C">
              <w:rPr>
                <w:b/>
                <w:lang w:val="ru-RU"/>
              </w:rPr>
              <w:t>/</w:t>
            </w:r>
            <w:r w:rsidR="00C8553B" w:rsidRPr="00A5668C">
              <w:rPr>
                <w:b/>
                <w:lang w:val="ru-RU"/>
              </w:rPr>
              <w:t>5</w:t>
            </w:r>
            <w:r w:rsidR="00796BD3" w:rsidRPr="00A5668C">
              <w:rPr>
                <w:b/>
                <w:lang w:val="ru-RU"/>
              </w:rPr>
              <w:t>-R</w:t>
            </w:r>
          </w:p>
        </w:tc>
      </w:tr>
      <w:tr w:rsidR="00796BD3" w:rsidRPr="00A5668C" w14:paraId="298E915D" w14:textId="77777777" w:rsidTr="00DA770A">
        <w:trPr>
          <w:cantSplit/>
        </w:trPr>
        <w:tc>
          <w:tcPr>
            <w:tcW w:w="3969" w:type="dxa"/>
            <w:vMerge/>
          </w:tcPr>
          <w:p w14:paraId="4AB414BF" w14:textId="77777777" w:rsidR="00796BD3" w:rsidRPr="00A5668C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98CCC82" w14:textId="6830EAA2" w:rsidR="00796BD3" w:rsidRPr="00A5668C" w:rsidRDefault="007346B7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A5668C">
              <w:rPr>
                <w:b/>
                <w:lang w:val="ru-RU"/>
              </w:rPr>
              <w:t>16 мая 2025 года</w:t>
            </w:r>
          </w:p>
        </w:tc>
      </w:tr>
      <w:tr w:rsidR="00796BD3" w:rsidRPr="00A5668C" w14:paraId="78C8C052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5D6B531B" w14:textId="77777777" w:rsidR="00796BD3" w:rsidRPr="00A5668C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9602718" w14:textId="77777777" w:rsidR="00796BD3" w:rsidRPr="00A5668C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5668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A5668C" w14:paraId="66A7AF3C" w14:textId="77777777" w:rsidTr="00DA770A">
        <w:trPr>
          <w:cantSplit/>
          <w:trHeight w:val="23"/>
        </w:trPr>
        <w:tc>
          <w:tcPr>
            <w:tcW w:w="3969" w:type="dxa"/>
          </w:tcPr>
          <w:p w14:paraId="48870CB0" w14:textId="77777777" w:rsidR="00796BD3" w:rsidRPr="00A5668C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FFEA25C" w14:textId="77777777" w:rsidR="00796BD3" w:rsidRPr="00A5668C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A5668C" w14:paraId="2C43428E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FA8EC0" w14:textId="77777777" w:rsidR="00796BD3" w:rsidRPr="00A5668C" w:rsidRDefault="0033025A" w:rsidP="00DA770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A5668C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C62B68" w14:paraId="2968AA85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B5CFD28" w14:textId="5338A4A2" w:rsidR="00796BD3" w:rsidRPr="00A5668C" w:rsidRDefault="00A5668C" w:rsidP="00A5668C">
            <w:pPr>
              <w:pStyle w:val="Subtitle"/>
              <w:framePr w:hSpace="0" w:wrap="auto" w:hAnchor="text" w:xAlign="left" w:yAlign="inline"/>
              <w:rPr>
                <w:szCs w:val="32"/>
                <w:lang w:val="ru-RU"/>
              </w:rPr>
            </w:pPr>
            <w:bookmarkStart w:id="6" w:name="_Hlk160693145"/>
            <w:bookmarkStart w:id="7" w:name="dtitle1" w:colFirst="0" w:colLast="0"/>
            <w:bookmarkEnd w:id="5"/>
            <w:r w:rsidRPr="00A5668C">
              <w:rPr>
                <w:lang w:val="ru-RU"/>
              </w:rPr>
              <w:t xml:space="preserve">Подготовка к Всемирному форуму по политике в области электросвязи/ИКТ 2026 года </w:t>
            </w:r>
            <w:r w:rsidR="00C8553B" w:rsidRPr="00A5668C">
              <w:rPr>
                <w:lang w:val="ru-RU"/>
              </w:rPr>
              <w:t>(ВФПЭ-26)</w:t>
            </w:r>
            <w:bookmarkEnd w:id="6"/>
          </w:p>
        </w:tc>
      </w:tr>
      <w:tr w:rsidR="00796BD3" w:rsidRPr="00C62B68" w14:paraId="79262E36" w14:textId="77777777" w:rsidTr="00DA770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F6272A1" w14:textId="77777777" w:rsidR="00796BD3" w:rsidRPr="00A5668C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5668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C2FC810" w14:textId="0B3018B7" w:rsidR="00C8553B" w:rsidRPr="00A5668C" w:rsidRDefault="00C8553B" w:rsidP="00C62B68">
            <w:pPr>
              <w:jc w:val="both"/>
              <w:rPr>
                <w:lang w:val="ru-RU"/>
              </w:rPr>
            </w:pPr>
            <w:r w:rsidRPr="00A5668C">
              <w:rPr>
                <w:lang w:val="ru-RU"/>
              </w:rPr>
              <w:t>В Резолюции 2 (Пересм. Бухарест, 2022 г.) Полномочной конференции принято решение провести Всемирный форум по политике в области электросвязи/ИКТ (ВФПЭ). Совет-24 принял решение о созыве седьмого ВФПЭ продолжительностью в три дня в первой половине 2026</w:t>
            </w:r>
            <w:r w:rsidR="006563E2">
              <w:rPr>
                <w:lang w:val="ru-RU"/>
              </w:rPr>
              <w:t> </w:t>
            </w:r>
            <w:r w:rsidRPr="00A5668C">
              <w:rPr>
                <w:lang w:val="ru-RU"/>
              </w:rPr>
              <w:t>года (ВФПЭ-26), даты и место проведения которого должны быть определены следующей сессией Совета, и создал неофициальную группу экспертов (НГЭ) для оказания помощи в подготовке отчета Генерального секретаря для ВФПЭ-26. В настоящем документе представлена обновленная информация о состоянии процесса подготовки к ВФПЭ-26.</w:t>
            </w:r>
          </w:p>
          <w:p w14:paraId="501B0C71" w14:textId="77777777" w:rsidR="00C8553B" w:rsidRPr="00A5668C" w:rsidRDefault="00C8553B" w:rsidP="00C8553B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5668C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8B923D7" w14:textId="796931FE" w:rsidR="00C8553B" w:rsidRPr="00A5668C" w:rsidRDefault="00C8553B" w:rsidP="00C62B68">
            <w:pPr>
              <w:jc w:val="both"/>
              <w:rPr>
                <w:lang w:val="ru-RU"/>
              </w:rPr>
            </w:pPr>
            <w:r w:rsidRPr="00A5668C">
              <w:rPr>
                <w:lang w:val="ru-RU"/>
              </w:rPr>
              <w:t xml:space="preserve">Совету предлагается </w:t>
            </w:r>
            <w:r w:rsidRPr="00A5668C">
              <w:rPr>
                <w:b/>
                <w:bCs/>
                <w:lang w:val="ru-RU"/>
              </w:rPr>
              <w:t>принять к сведению</w:t>
            </w:r>
            <w:r w:rsidRPr="00A5668C">
              <w:rPr>
                <w:lang w:val="ru-RU"/>
              </w:rPr>
              <w:t xml:space="preserve"> </w:t>
            </w:r>
            <w:r w:rsidR="00B01C81" w:rsidRPr="00A5668C">
              <w:rPr>
                <w:lang w:val="ru-RU"/>
              </w:rPr>
              <w:t>информацию о</w:t>
            </w:r>
            <w:r w:rsidRPr="00A5668C">
              <w:rPr>
                <w:lang w:val="ru-RU"/>
              </w:rPr>
              <w:t xml:space="preserve"> подготовительно</w:t>
            </w:r>
            <w:r w:rsidR="00B01C81" w:rsidRPr="00A5668C">
              <w:rPr>
                <w:lang w:val="ru-RU"/>
              </w:rPr>
              <w:t>м</w:t>
            </w:r>
            <w:r w:rsidRPr="00A5668C">
              <w:rPr>
                <w:lang w:val="ru-RU"/>
              </w:rPr>
              <w:t xml:space="preserve"> процесс</w:t>
            </w:r>
            <w:r w:rsidR="00B01C81" w:rsidRPr="00A5668C">
              <w:rPr>
                <w:lang w:val="ru-RU"/>
              </w:rPr>
              <w:t>е</w:t>
            </w:r>
            <w:r w:rsidRPr="00A5668C">
              <w:rPr>
                <w:lang w:val="ru-RU"/>
              </w:rPr>
              <w:t>.</w:t>
            </w:r>
          </w:p>
          <w:p w14:paraId="31A0D250" w14:textId="77777777" w:rsidR="00C8553B" w:rsidRPr="00A5668C" w:rsidRDefault="00C8553B" w:rsidP="00C8553B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5668C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01B10D6D" w14:textId="77777777" w:rsidR="00C8553B" w:rsidRPr="00A5668C" w:rsidRDefault="00C8553B" w:rsidP="00A5668C">
            <w:pPr>
              <w:rPr>
                <w:lang w:val="ru-RU"/>
              </w:rPr>
            </w:pPr>
            <w:r w:rsidRPr="00A5668C">
              <w:rPr>
                <w:lang w:val="ru-RU"/>
              </w:rPr>
              <w:t>Платформы для созыва мероприятий.</w:t>
            </w:r>
          </w:p>
          <w:p w14:paraId="005CB138" w14:textId="77777777" w:rsidR="00C8553B" w:rsidRPr="00A5668C" w:rsidRDefault="00C8553B" w:rsidP="00C8553B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5668C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7F0761AC" w14:textId="26B0C926" w:rsidR="00C8553B" w:rsidRPr="00A5668C" w:rsidRDefault="00C8553B" w:rsidP="00C62B68">
            <w:pPr>
              <w:jc w:val="both"/>
              <w:rPr>
                <w:lang w:val="ru-RU"/>
              </w:rPr>
            </w:pPr>
            <w:r w:rsidRPr="00A5668C">
              <w:rPr>
                <w:lang w:val="ru-RU"/>
              </w:rPr>
              <w:t>180 тыс. шв</w:t>
            </w:r>
            <w:r w:rsidR="003513C3" w:rsidRPr="00A5668C">
              <w:rPr>
                <w:lang w:val="ru-RU"/>
              </w:rPr>
              <w:t>ейцарских</w:t>
            </w:r>
            <w:r w:rsidRPr="00A5668C">
              <w:rPr>
                <w:lang w:val="ru-RU"/>
              </w:rPr>
              <w:t xml:space="preserve"> фр</w:t>
            </w:r>
            <w:r w:rsidR="003513C3" w:rsidRPr="00A5668C">
              <w:rPr>
                <w:lang w:val="ru-RU"/>
              </w:rPr>
              <w:t>анков</w:t>
            </w:r>
            <w:r w:rsidRPr="00A5668C">
              <w:rPr>
                <w:lang w:val="ru-RU"/>
              </w:rPr>
              <w:t xml:space="preserve"> </w:t>
            </w:r>
            <w:r w:rsidR="00B01C81" w:rsidRPr="00A5668C">
              <w:rPr>
                <w:lang w:val="ru-RU"/>
              </w:rPr>
              <w:t>за счет</w:t>
            </w:r>
            <w:r w:rsidRPr="00A5668C">
              <w:rPr>
                <w:lang w:val="ru-RU"/>
              </w:rPr>
              <w:t xml:space="preserve"> экономии при исполнении бюджета 2024 года (см.</w:t>
            </w:r>
            <w:r w:rsidR="003513C3" w:rsidRPr="00A5668C">
              <w:rPr>
                <w:lang w:val="ru-RU"/>
              </w:rPr>
              <w:t> </w:t>
            </w:r>
            <w:r w:rsidRPr="00A5668C">
              <w:rPr>
                <w:lang w:val="ru-RU"/>
              </w:rPr>
              <w:t xml:space="preserve">Документ </w:t>
            </w:r>
            <w:hyperlink r:id="rId7">
              <w:r w:rsidR="008027A7" w:rsidRPr="00A5668C">
                <w:rPr>
                  <w:rStyle w:val="Hyperlink"/>
                  <w:lang w:val="ru-RU"/>
                </w:rPr>
                <w:t>C25/43</w:t>
              </w:r>
            </w:hyperlink>
            <w:r w:rsidRPr="00A5668C">
              <w:rPr>
                <w:lang w:val="ru-RU"/>
              </w:rPr>
              <w:t xml:space="preserve">) и 285 тыс. </w:t>
            </w:r>
            <w:r w:rsidR="003513C3" w:rsidRPr="00A5668C">
              <w:rPr>
                <w:lang w:val="ru-RU"/>
              </w:rPr>
              <w:t>швейцарских франков</w:t>
            </w:r>
            <w:r w:rsidRPr="00A5668C">
              <w:rPr>
                <w:lang w:val="ru-RU"/>
              </w:rPr>
              <w:t xml:space="preserve">, </w:t>
            </w:r>
            <w:r w:rsidR="00B01C81" w:rsidRPr="00A5668C">
              <w:rPr>
                <w:lang w:val="ru-RU"/>
              </w:rPr>
              <w:t>предусмотренны</w:t>
            </w:r>
            <w:r w:rsidR="003513C3" w:rsidRPr="00A5668C">
              <w:rPr>
                <w:lang w:val="ru-RU"/>
              </w:rPr>
              <w:t>х</w:t>
            </w:r>
            <w:r w:rsidRPr="00A5668C">
              <w:rPr>
                <w:lang w:val="ru-RU"/>
              </w:rPr>
              <w:t xml:space="preserve"> в бюджете на</w:t>
            </w:r>
            <w:r w:rsidR="006563E2">
              <w:rPr>
                <w:lang w:val="ru-RU"/>
              </w:rPr>
              <w:t> </w:t>
            </w:r>
            <w:r w:rsidRPr="00A5668C">
              <w:rPr>
                <w:lang w:val="ru-RU"/>
              </w:rPr>
              <w:t xml:space="preserve">2026−2027 годы (см. Документ </w:t>
            </w:r>
            <w:hyperlink r:id="rId8">
              <w:r w:rsidR="008027A7" w:rsidRPr="00A5668C">
                <w:rPr>
                  <w:rStyle w:val="Hyperlink"/>
                  <w:lang w:val="ru-RU"/>
                </w:rPr>
                <w:t>C25/47</w:t>
              </w:r>
            </w:hyperlink>
            <w:r w:rsidRPr="00A5668C">
              <w:rPr>
                <w:lang w:val="ru-RU"/>
              </w:rPr>
              <w:t>).</w:t>
            </w:r>
          </w:p>
          <w:p w14:paraId="143837DD" w14:textId="77777777" w:rsidR="00796BD3" w:rsidRPr="00A5668C" w:rsidRDefault="00796BD3" w:rsidP="00DA770A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A5668C">
              <w:rPr>
                <w:sz w:val="20"/>
                <w:szCs w:val="18"/>
                <w:lang w:val="ru-RU"/>
              </w:rPr>
              <w:t>__________________</w:t>
            </w:r>
          </w:p>
          <w:p w14:paraId="4BC3CD49" w14:textId="77777777" w:rsidR="00796BD3" w:rsidRPr="00A5668C" w:rsidRDefault="0033025A" w:rsidP="00DA770A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5668C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1A7459C" w14:textId="63001EE3" w:rsidR="00796BD3" w:rsidRPr="00A5668C" w:rsidRDefault="00C8553B" w:rsidP="00A5668C">
            <w:pPr>
              <w:spacing w:after="120"/>
              <w:rPr>
                <w:i/>
                <w:iCs/>
                <w:lang w:val="ru-RU"/>
              </w:rPr>
            </w:pPr>
            <w:hyperlink r:id="rId9" w:history="1">
              <w:r w:rsidRPr="00A5668C">
                <w:rPr>
                  <w:rStyle w:val="Hyperlink"/>
                  <w:i/>
                  <w:iCs/>
                  <w:lang w:val="ru-RU"/>
                </w:rPr>
                <w:t>Резолюция 2</w:t>
              </w:r>
            </w:hyperlink>
            <w:r w:rsidRPr="00A5668C">
              <w:rPr>
                <w:i/>
                <w:iCs/>
                <w:color w:val="000000"/>
                <w:lang w:val="ru-RU"/>
              </w:rPr>
              <w:t xml:space="preserve"> (Пересм. Бухарест, 2022 г.) Полномочной конференции;</w:t>
            </w:r>
            <w:r w:rsidRPr="00A5668C">
              <w:rPr>
                <w:color w:val="000000"/>
                <w:lang w:val="ru-RU"/>
              </w:rPr>
              <w:t xml:space="preserve"> </w:t>
            </w:r>
            <w:r w:rsidRPr="00A5668C">
              <w:rPr>
                <w:i/>
                <w:iCs/>
                <w:color w:val="000000"/>
                <w:lang w:val="ru-RU"/>
              </w:rPr>
              <w:t xml:space="preserve">Документ </w:t>
            </w:r>
            <w:hyperlink r:id="rId10" w:history="1">
              <w:r w:rsidRPr="00A5668C">
                <w:rPr>
                  <w:rStyle w:val="Hyperlink"/>
                  <w:i/>
                  <w:iCs/>
                  <w:lang w:val="ru-RU"/>
                </w:rPr>
                <w:t>207</w:t>
              </w:r>
            </w:hyperlink>
            <w:r w:rsidRPr="00A5668C">
              <w:rPr>
                <w:i/>
                <w:iCs/>
                <w:color w:val="000000"/>
                <w:lang w:val="ru-RU"/>
              </w:rPr>
              <w:t xml:space="preserve"> Полномочной конференции</w:t>
            </w:r>
            <w:r w:rsidR="008027A7" w:rsidRPr="00A5668C">
              <w:rPr>
                <w:i/>
                <w:iCs/>
                <w:color w:val="000000"/>
                <w:lang w:val="ru-RU"/>
              </w:rPr>
              <w:t xml:space="preserve"> 2022 г.</w:t>
            </w:r>
            <w:r w:rsidRPr="00A5668C">
              <w:rPr>
                <w:i/>
                <w:iCs/>
                <w:color w:val="000000"/>
                <w:lang w:val="ru-RU"/>
              </w:rPr>
              <w:t>;</w:t>
            </w:r>
            <w:r w:rsidRPr="00A5668C">
              <w:rPr>
                <w:color w:val="000000"/>
                <w:lang w:val="ru-RU"/>
              </w:rPr>
              <w:t xml:space="preserve"> </w:t>
            </w:r>
            <w:r w:rsidRPr="00A5668C">
              <w:rPr>
                <w:i/>
                <w:iCs/>
                <w:color w:val="000000"/>
                <w:lang w:val="ru-RU"/>
              </w:rPr>
              <w:t xml:space="preserve">Документ </w:t>
            </w:r>
            <w:hyperlink r:id="rId11" w:history="1">
              <w:r w:rsidR="008027A7" w:rsidRPr="00A5668C">
                <w:rPr>
                  <w:rStyle w:val="Hyperlink"/>
                  <w:i/>
                  <w:iCs/>
                  <w:szCs w:val="22"/>
                  <w:lang w:val="ru-RU"/>
                </w:rPr>
                <w:t>C24/5</w:t>
              </w:r>
            </w:hyperlink>
            <w:r w:rsidRPr="00A5668C">
              <w:rPr>
                <w:i/>
                <w:iCs/>
                <w:color w:val="000000"/>
                <w:lang w:val="ru-RU"/>
              </w:rPr>
              <w:t>;</w:t>
            </w:r>
            <w:r w:rsidRPr="00A5668C">
              <w:rPr>
                <w:color w:val="000000"/>
                <w:lang w:val="ru-RU"/>
              </w:rPr>
              <w:t xml:space="preserve"> </w:t>
            </w:r>
            <w:hyperlink r:id="rId12" w:history="1">
              <w:r w:rsidRPr="00A5668C">
                <w:rPr>
                  <w:rStyle w:val="Hyperlink"/>
                  <w:i/>
                  <w:iCs/>
                  <w:lang w:val="ru-RU"/>
                </w:rPr>
                <w:t>Решение 641</w:t>
              </w:r>
            </w:hyperlink>
          </w:p>
        </w:tc>
      </w:tr>
      <w:bookmarkEnd w:id="2"/>
      <w:bookmarkEnd w:id="7"/>
    </w:tbl>
    <w:p w14:paraId="48C7C4D4" w14:textId="77777777" w:rsidR="00796BD3" w:rsidRPr="00A5668C" w:rsidRDefault="00796BD3" w:rsidP="00796BD3">
      <w:pPr>
        <w:rPr>
          <w:lang w:val="ru-RU"/>
        </w:rPr>
      </w:pPr>
    </w:p>
    <w:p w14:paraId="32D6D28E" w14:textId="77777777" w:rsidR="00165D06" w:rsidRPr="00A5668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A5668C">
        <w:rPr>
          <w:lang w:val="ru-RU"/>
        </w:rPr>
        <w:br w:type="page"/>
      </w:r>
    </w:p>
    <w:p w14:paraId="3C8BE554" w14:textId="77777777" w:rsidR="00C8553B" w:rsidRPr="00A5668C" w:rsidRDefault="00C8553B" w:rsidP="00A5668C">
      <w:pPr>
        <w:pStyle w:val="Heading1"/>
        <w:rPr>
          <w:lang w:val="ru-RU"/>
        </w:rPr>
      </w:pPr>
      <w:r w:rsidRPr="00A5668C">
        <w:rPr>
          <w:lang w:val="ru-RU"/>
        </w:rPr>
        <w:lastRenderedPageBreak/>
        <w:t>1</w:t>
      </w:r>
      <w:r w:rsidRPr="00A5668C">
        <w:rPr>
          <w:lang w:val="ru-RU"/>
        </w:rPr>
        <w:tab/>
        <w:t>Базовая информация</w:t>
      </w:r>
    </w:p>
    <w:p w14:paraId="5DE9A3E7" w14:textId="1D8C56C2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1.1</w:t>
      </w:r>
      <w:r w:rsidRPr="00A5668C">
        <w:rPr>
          <w:lang w:val="ru-RU"/>
        </w:rPr>
        <w:tab/>
        <w:t>Всемирный форум по политике в области электросвязи/ИКТ МСЭ (ВФПЭ) был учрежден Полномочной конференцией 1994 года в Киото, и охватывается положениями Резолюции</w:t>
      </w:r>
      <w:r w:rsidR="006563E2">
        <w:rPr>
          <w:lang w:val="ru-RU"/>
        </w:rPr>
        <w:t> </w:t>
      </w:r>
      <w:r w:rsidRPr="00A5668C">
        <w:rPr>
          <w:lang w:val="ru-RU"/>
        </w:rPr>
        <w:t>2 (Пересм. Бухарест, 2022 г.).</w:t>
      </w:r>
    </w:p>
    <w:p w14:paraId="6741AD55" w14:textId="2774A5F6" w:rsidR="00C8553B" w:rsidRPr="00C62B68" w:rsidRDefault="00C8553B" w:rsidP="00C62B68">
      <w:pPr>
        <w:jc w:val="both"/>
        <w:rPr>
          <w:rFonts w:cstheme="minorHAnsi"/>
          <w:lang w:val="ru-RU"/>
        </w:rPr>
      </w:pPr>
      <w:r w:rsidRPr="00A5668C">
        <w:rPr>
          <w:lang w:val="ru-RU"/>
        </w:rPr>
        <w:t>1.2</w:t>
      </w:r>
      <w:r w:rsidRPr="00A5668C">
        <w:rPr>
          <w:lang w:val="ru-RU"/>
        </w:rPr>
        <w:tab/>
        <w:t>В соответствии с Резолюцией 2 (Пересм. Бухарест, 2022 г.) на сессии Совета 2024 года в</w:t>
      </w:r>
      <w:r w:rsidR="006563E2">
        <w:rPr>
          <w:lang w:val="ru-RU"/>
        </w:rPr>
        <w:t> </w:t>
      </w:r>
      <w:r w:rsidRPr="00A5668C">
        <w:rPr>
          <w:lang w:val="ru-RU"/>
        </w:rPr>
        <w:t xml:space="preserve">Решении 641 (Документ </w:t>
      </w:r>
      <w:hyperlink r:id="rId13" w:history="1">
        <w:r w:rsidR="008027A7" w:rsidRPr="00A5668C">
          <w:rPr>
            <w:rStyle w:val="Hyperlink"/>
            <w:lang w:val="ru-RU"/>
          </w:rPr>
          <w:t>C24/136</w:t>
        </w:r>
      </w:hyperlink>
      <w:r w:rsidRPr="00A5668C">
        <w:rPr>
          <w:lang w:val="ru-RU"/>
        </w:rPr>
        <w:t>) было принято решение созвать седьмой ВФПЭ (ВФПЭ-26) продолжительностью в три дня в первой половине 2026 года (ВФПЭ-26)</w:t>
      </w:r>
      <w:r w:rsidR="00B01C81" w:rsidRPr="00A5668C">
        <w:rPr>
          <w:lang w:val="ru-RU"/>
        </w:rPr>
        <w:t>;</w:t>
      </w:r>
      <w:r w:rsidRPr="00A5668C">
        <w:rPr>
          <w:lang w:val="ru-RU"/>
        </w:rPr>
        <w:t xml:space="preserve"> сроки и место проведения </w:t>
      </w:r>
      <w:r w:rsidR="00B01C81" w:rsidRPr="00A5668C">
        <w:rPr>
          <w:lang w:val="ru-RU"/>
        </w:rPr>
        <w:t>мероприятия</w:t>
      </w:r>
      <w:r w:rsidRPr="00A5668C">
        <w:rPr>
          <w:lang w:val="ru-RU"/>
        </w:rPr>
        <w:t xml:space="preserve"> будут определены на следующей сессии Совета.</w:t>
      </w:r>
    </w:p>
    <w:p w14:paraId="5DA37C9B" w14:textId="15DB5D17" w:rsidR="00C8553B" w:rsidRPr="00A5668C" w:rsidRDefault="00C8553B" w:rsidP="00C62B68">
      <w:pPr>
        <w:jc w:val="both"/>
        <w:rPr>
          <w:rFonts w:cstheme="minorHAnsi"/>
          <w:lang w:val="ru-RU"/>
        </w:rPr>
      </w:pPr>
      <w:r w:rsidRPr="00A5668C">
        <w:rPr>
          <w:lang w:val="ru-RU"/>
        </w:rPr>
        <w:t>1.3</w:t>
      </w:r>
      <w:r w:rsidRPr="00A5668C">
        <w:rPr>
          <w:lang w:val="ru-RU"/>
        </w:rPr>
        <w:tab/>
        <w:t xml:space="preserve">В своем </w:t>
      </w:r>
      <w:hyperlink r:id="rId14" w:history="1">
        <w:r w:rsidRPr="00A5668C">
          <w:rPr>
            <w:rStyle w:val="Hyperlink"/>
            <w:lang w:val="ru-RU"/>
          </w:rPr>
          <w:t>Решении 641</w:t>
        </w:r>
      </w:hyperlink>
      <w:r w:rsidRPr="00A5668C">
        <w:rPr>
          <w:lang w:val="ru-RU"/>
        </w:rPr>
        <w:t xml:space="preserve"> (Совет, 2024 г.) Совет принял следующую тему ВФПЭ-26:</w:t>
      </w:r>
    </w:p>
    <w:p w14:paraId="2958A0C5" w14:textId="77777777" w:rsidR="003513C3" w:rsidRPr="00A5668C" w:rsidRDefault="00C8553B" w:rsidP="00C62B68">
      <w:pPr>
        <w:pStyle w:val="enumlev1"/>
        <w:keepNext/>
        <w:keepLines/>
        <w:jc w:val="both"/>
        <w:rPr>
          <w:lang w:val="ru-RU"/>
        </w:rPr>
      </w:pPr>
      <w:r w:rsidRPr="00A5668C">
        <w:rPr>
          <w:lang w:val="ru-RU"/>
        </w:rPr>
        <w:tab/>
      </w:r>
      <w:r w:rsidR="003513C3" w:rsidRPr="00A5668C">
        <w:rPr>
          <w:lang w:val="ru-RU"/>
        </w:rPr>
        <w:t>"</w:t>
      </w:r>
      <w:r w:rsidR="003513C3" w:rsidRPr="00A5668C">
        <w:rPr>
          <w:b/>
          <w:bCs/>
          <w:i/>
          <w:iCs/>
          <w:lang w:val="ru-RU"/>
        </w:rPr>
        <w:t>Ускорение построения инклюзивного, устойчивого, жизнеспособного и инновационного цифрового будущего</w:t>
      </w:r>
      <w:r w:rsidR="003513C3" w:rsidRPr="00A5668C">
        <w:rPr>
          <w:lang w:val="ru-RU"/>
        </w:rPr>
        <w:t>; в этом контексте ВФПЭ-26 рассмотрит возможности, проблемы и политику в целях решения следующих задач:</w:t>
      </w:r>
    </w:p>
    <w:p w14:paraId="481C5CDD" w14:textId="77777777" w:rsidR="003513C3" w:rsidRPr="00A5668C" w:rsidRDefault="003513C3" w:rsidP="00C62B68">
      <w:pPr>
        <w:pStyle w:val="enumlev2"/>
        <w:jc w:val="both"/>
        <w:rPr>
          <w:lang w:val="ru-RU"/>
        </w:rPr>
      </w:pPr>
      <w:r w:rsidRPr="00A5668C">
        <w:rPr>
          <w:lang w:val="ru-RU"/>
        </w:rPr>
        <w:t>−</w:t>
      </w:r>
      <w:r w:rsidRPr="00A5668C">
        <w:rPr>
          <w:lang w:val="ru-RU"/>
        </w:rPr>
        <w:tab/>
        <w:t>преодоление цифровых разрывов, в особенности в том, что касается гендерных и возрастных аспектов, а также навыков и возможности установления соединений;</w:t>
      </w:r>
    </w:p>
    <w:p w14:paraId="03236614" w14:textId="77777777" w:rsidR="003513C3" w:rsidRPr="00A5668C" w:rsidRDefault="003513C3" w:rsidP="00C62B68">
      <w:pPr>
        <w:pStyle w:val="enumlev2"/>
        <w:jc w:val="both"/>
        <w:rPr>
          <w:lang w:val="ru-RU"/>
        </w:rPr>
      </w:pPr>
      <w:r w:rsidRPr="00A5668C">
        <w:rPr>
          <w:lang w:val="ru-RU"/>
        </w:rPr>
        <w:t>−</w:t>
      </w:r>
      <w:r w:rsidRPr="00A5668C">
        <w:rPr>
          <w:lang w:val="ru-RU"/>
        </w:rPr>
        <w:tab/>
        <w:t>зеленая цифровая трансформация: изменение климата и экологическая устойчивость;</w:t>
      </w:r>
    </w:p>
    <w:p w14:paraId="000FADF0" w14:textId="77777777" w:rsidR="003513C3" w:rsidRPr="00A5668C" w:rsidRDefault="003513C3" w:rsidP="00C62B68">
      <w:pPr>
        <w:pStyle w:val="enumlev2"/>
        <w:jc w:val="both"/>
        <w:rPr>
          <w:lang w:val="ru-RU"/>
        </w:rPr>
      </w:pPr>
      <w:r w:rsidRPr="00A5668C">
        <w:rPr>
          <w:lang w:val="ru-RU"/>
        </w:rPr>
        <w:t>−</w:t>
      </w:r>
      <w:r w:rsidRPr="00A5668C">
        <w:rPr>
          <w:lang w:val="ru-RU"/>
        </w:rPr>
        <w:tab/>
        <w:t>способность к восстановлению систем электросвязи/ИКТ;</w:t>
      </w:r>
    </w:p>
    <w:p w14:paraId="74908B28" w14:textId="69D556DF" w:rsidR="003513C3" w:rsidRPr="00A5668C" w:rsidRDefault="003513C3" w:rsidP="00C62B68">
      <w:pPr>
        <w:pStyle w:val="enumlev2"/>
        <w:jc w:val="both"/>
        <w:rPr>
          <w:lang w:val="ru-RU"/>
        </w:rPr>
      </w:pPr>
      <w:r w:rsidRPr="00A5668C">
        <w:rPr>
          <w:lang w:val="ru-RU"/>
        </w:rPr>
        <w:t>−</w:t>
      </w:r>
      <w:r w:rsidRPr="00A5668C">
        <w:rPr>
          <w:lang w:val="ru-RU"/>
        </w:rPr>
        <w:tab/>
        <w:t>космическая связь;</w:t>
      </w:r>
    </w:p>
    <w:p w14:paraId="78178BC7" w14:textId="5FEB73F5" w:rsidR="00C8553B" w:rsidRPr="00A5668C" w:rsidRDefault="003513C3" w:rsidP="00C62B68">
      <w:pPr>
        <w:pStyle w:val="enumlev2"/>
        <w:jc w:val="both"/>
        <w:rPr>
          <w:lang w:val="ru-RU"/>
        </w:rPr>
      </w:pPr>
      <w:r w:rsidRPr="00A5668C">
        <w:rPr>
          <w:lang w:val="ru-RU"/>
        </w:rPr>
        <w:t>−</w:t>
      </w:r>
      <w:r w:rsidRPr="00A5668C">
        <w:rPr>
          <w:lang w:val="ru-RU"/>
        </w:rPr>
        <w:tab/>
        <w:t>укрепление экосистем инноваций и предпринимательства, ориентированных на ИКТ"</w:t>
      </w:r>
      <w:r w:rsidR="00BB5F41" w:rsidRPr="00A5668C">
        <w:rPr>
          <w:lang w:val="ru-RU"/>
        </w:rPr>
        <w:t>.</w:t>
      </w:r>
    </w:p>
    <w:p w14:paraId="3A5A4E46" w14:textId="77777777" w:rsidR="00C8553B" w:rsidRPr="00A5668C" w:rsidRDefault="00C8553B" w:rsidP="00A5668C">
      <w:pPr>
        <w:pStyle w:val="Heading1"/>
        <w:rPr>
          <w:lang w:val="ru-RU"/>
        </w:rPr>
      </w:pPr>
      <w:r w:rsidRPr="00A5668C">
        <w:rPr>
          <w:lang w:val="ru-RU"/>
        </w:rPr>
        <w:t>2</w:t>
      </w:r>
      <w:r w:rsidRPr="00A5668C">
        <w:rPr>
          <w:lang w:val="ru-RU"/>
        </w:rPr>
        <w:tab/>
        <w:t>Процесс подготовки к ВФПЭ-26</w:t>
      </w:r>
    </w:p>
    <w:p w14:paraId="3579AC5F" w14:textId="3C0CFAD7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2.1</w:t>
      </w:r>
      <w:r w:rsidRPr="00A5668C">
        <w:rPr>
          <w:lang w:val="ru-RU"/>
        </w:rPr>
        <w:tab/>
        <w:t xml:space="preserve">В соответствии с </w:t>
      </w:r>
      <w:hyperlink r:id="rId15" w:history="1">
        <w:r w:rsidRPr="00A5668C">
          <w:rPr>
            <w:rStyle w:val="Hyperlink"/>
            <w:lang w:val="ru-RU"/>
          </w:rPr>
          <w:t>Решением 641</w:t>
        </w:r>
      </w:hyperlink>
      <w:r w:rsidRPr="00A5668C">
        <w:rPr>
          <w:lang w:val="ru-RU"/>
        </w:rPr>
        <w:t xml:space="preserve"> (C24) Генеральный секретарь МСЭ созвал</w:t>
      </w:r>
      <w:r w:rsidR="003513C3" w:rsidRPr="00A5668C">
        <w:rPr>
          <w:lang w:val="ru-RU"/>
        </w:rPr>
        <w:t>а</w:t>
      </w:r>
      <w:r w:rsidRPr="00A5668C">
        <w:rPr>
          <w:lang w:val="ru-RU"/>
        </w:rPr>
        <w:t xml:space="preserve"> Неофициальную группу экспертов (НГЭ ВФПЭ-26) для подготовки отчета Генерального секретаря для ВФПЭ-26 (</w:t>
      </w:r>
      <w:r w:rsidR="003513C3" w:rsidRPr="00A5668C">
        <w:rPr>
          <w:lang w:val="ru-RU"/>
        </w:rPr>
        <w:t xml:space="preserve">отчет </w:t>
      </w:r>
      <w:r w:rsidRPr="00A5668C">
        <w:rPr>
          <w:lang w:val="ru-RU"/>
        </w:rPr>
        <w:t>ГС), который ляжет в основу обсуждений на ВФПЭ-26. Совет 2024</w:t>
      </w:r>
      <w:r w:rsidR="006563E2">
        <w:rPr>
          <w:lang w:val="ru-RU"/>
        </w:rPr>
        <w:t> </w:t>
      </w:r>
      <w:r w:rsidRPr="00A5668C">
        <w:rPr>
          <w:lang w:val="ru-RU"/>
        </w:rPr>
        <w:t>года также назначил г-на Родн</w:t>
      </w:r>
      <w:r w:rsidR="00BB5F41" w:rsidRPr="00A5668C">
        <w:rPr>
          <w:lang w:val="ru-RU"/>
        </w:rPr>
        <w:t>и</w:t>
      </w:r>
      <w:r w:rsidRPr="00A5668C">
        <w:rPr>
          <w:lang w:val="ru-RU"/>
        </w:rPr>
        <w:t xml:space="preserve"> Тейлора (Барбадос) </w:t>
      </w:r>
      <w:r w:rsidR="00BB5F41" w:rsidRPr="00A5668C">
        <w:rPr>
          <w:lang w:val="ru-RU"/>
        </w:rPr>
        <w:t>П</w:t>
      </w:r>
      <w:r w:rsidRPr="00A5668C">
        <w:rPr>
          <w:lang w:val="ru-RU"/>
        </w:rPr>
        <w:t xml:space="preserve">редседателем НГЭ, а также шесть заместителей Председателя от каждого из регионов МСЭ. Государствам-Членам, Членам Секторов, Ассоциированным членам и Академическим организациям </w:t>
      </w:r>
      <w:r w:rsidR="003513C3" w:rsidRPr="00A5668C">
        <w:rPr>
          <w:lang w:val="ru-RU"/>
        </w:rPr>
        <w:t>−</w:t>
      </w:r>
      <w:r w:rsidRPr="00A5668C">
        <w:rPr>
          <w:lang w:val="ru-RU"/>
        </w:rPr>
        <w:t xml:space="preserve"> Членам МСЭ, а также Государству Палестина и организациям, имеющим право присутствовать на конференциях и собраниях МСЭ в качестве наблюдателей, было предложено выдвинуть своих экспертов для работы в НГЭ ВФПЭ-26 (Циркулярное письмо </w:t>
      </w:r>
      <w:hyperlink r:id="rId16" w:history="1">
        <w:r w:rsidR="008027A7" w:rsidRPr="00A5668C">
          <w:rPr>
            <w:rStyle w:val="Hyperlink"/>
            <w:rFonts w:cstheme="minorHAnsi"/>
            <w:lang w:val="ru-RU"/>
          </w:rPr>
          <w:t>CL-24/44</w:t>
        </w:r>
      </w:hyperlink>
      <w:r w:rsidRPr="00A5668C">
        <w:rPr>
          <w:lang w:val="ru-RU"/>
        </w:rPr>
        <w:t xml:space="preserve">). К настоящему времени НГЭ провела два собрания: 7−8 октября 2024 года и 13−14 февраля 2025 года. Список назначенных экспертов размещен </w:t>
      </w:r>
      <w:hyperlink r:id="rId17" w:history="1">
        <w:r w:rsidRPr="00A5668C">
          <w:rPr>
            <w:rStyle w:val="Hyperlink"/>
            <w:lang w:val="ru-RU"/>
          </w:rPr>
          <w:t>здесь</w:t>
        </w:r>
      </w:hyperlink>
      <w:r w:rsidRPr="00A5668C">
        <w:rPr>
          <w:lang w:val="ru-RU"/>
        </w:rPr>
        <w:t>.</w:t>
      </w:r>
    </w:p>
    <w:p w14:paraId="17D6834B" w14:textId="62F0AE25" w:rsidR="00C8553B" w:rsidRPr="00C62B68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2.2</w:t>
      </w:r>
      <w:r w:rsidRPr="00A5668C">
        <w:rPr>
          <w:lang w:val="ru-RU"/>
        </w:rPr>
        <w:tab/>
        <w:t xml:space="preserve">На своем первом собрании НГЭ обсудила первый проект </w:t>
      </w:r>
      <w:r w:rsidR="003513C3" w:rsidRPr="00A5668C">
        <w:rPr>
          <w:lang w:val="ru-RU"/>
        </w:rPr>
        <w:t>отчета ГС</w:t>
      </w:r>
      <w:r w:rsidRPr="00A5668C">
        <w:rPr>
          <w:lang w:val="ru-RU"/>
        </w:rPr>
        <w:t xml:space="preserve">, а также </w:t>
      </w:r>
      <w:r w:rsidR="00BB5F41" w:rsidRPr="00A5668C">
        <w:rPr>
          <w:lang w:val="ru-RU"/>
        </w:rPr>
        <w:t xml:space="preserve">следующие </w:t>
      </w:r>
      <w:r w:rsidRPr="00A5668C">
        <w:rPr>
          <w:lang w:val="ru-RU"/>
        </w:rPr>
        <w:t xml:space="preserve">потенциальные темы возможных проектов мнений на основе темы ВФПЭ-26, при согласованном содействии со стороны заместителей </w:t>
      </w:r>
      <w:r w:rsidR="003513C3" w:rsidRPr="00A5668C">
        <w:rPr>
          <w:lang w:val="ru-RU"/>
        </w:rPr>
        <w:t>Председателя</w:t>
      </w:r>
      <w:r w:rsidRPr="00A5668C">
        <w:rPr>
          <w:lang w:val="ru-RU"/>
        </w:rPr>
        <w:t>/тематических координаторов по каждой из обсуждаемых в настоящее время тем:</w:t>
      </w:r>
    </w:p>
    <w:p w14:paraId="1B77925D" w14:textId="4355CFA0" w:rsidR="00C8553B" w:rsidRPr="00A5668C" w:rsidRDefault="00C8553B" w:rsidP="00C62B68">
      <w:pPr>
        <w:pStyle w:val="enumlev1"/>
        <w:jc w:val="both"/>
        <w:rPr>
          <w:lang w:val="ru-RU"/>
        </w:rPr>
      </w:pPr>
      <w:r w:rsidRPr="00A5668C">
        <w:rPr>
          <w:lang w:val="ru-RU"/>
        </w:rPr>
        <w:t>–</w:t>
      </w:r>
      <w:r w:rsidRPr="00A5668C">
        <w:rPr>
          <w:lang w:val="ru-RU"/>
        </w:rPr>
        <w:tab/>
      </w:r>
      <w:r w:rsidR="00BB5F41" w:rsidRPr="00A5668C">
        <w:rPr>
          <w:lang w:val="ru-RU"/>
        </w:rPr>
        <w:t>"С</w:t>
      </w:r>
      <w:r w:rsidRPr="00A5668C">
        <w:rPr>
          <w:lang w:val="ru-RU"/>
        </w:rPr>
        <w:t>окращение цифровых разрывов</w:t>
      </w:r>
      <w:r w:rsidR="00BB5F41" w:rsidRPr="00A5668C">
        <w:rPr>
          <w:lang w:val="ru-RU"/>
        </w:rPr>
        <w:t>"</w:t>
      </w:r>
      <w:r w:rsidRPr="00A5668C">
        <w:rPr>
          <w:lang w:val="ru-RU"/>
        </w:rPr>
        <w:t>, под руководством заместителя Председателя г</w:t>
      </w:r>
      <w:r w:rsidR="00664B58" w:rsidRPr="00664B58">
        <w:rPr>
          <w:lang w:val="ru-RU"/>
        </w:rPr>
        <w:noBreakHyphen/>
      </w:r>
      <w:r w:rsidRPr="00A5668C">
        <w:rPr>
          <w:lang w:val="ru-RU"/>
        </w:rPr>
        <w:t>на</w:t>
      </w:r>
      <w:r w:rsidR="00664B58">
        <w:rPr>
          <w:lang w:val="en-US"/>
        </w:rPr>
        <w:t> </w:t>
      </w:r>
      <w:r w:rsidRPr="00A5668C">
        <w:rPr>
          <w:lang w:val="ru-RU"/>
        </w:rPr>
        <w:t>Ашока Кумара (Индия)</w:t>
      </w:r>
      <w:r w:rsidR="00BB5F41" w:rsidRPr="00A5668C">
        <w:rPr>
          <w:lang w:val="ru-RU"/>
        </w:rPr>
        <w:t>;</w:t>
      </w:r>
    </w:p>
    <w:p w14:paraId="5536C383" w14:textId="73295185" w:rsidR="00C8553B" w:rsidRPr="00A5668C" w:rsidRDefault="00C8553B" w:rsidP="00C62B68">
      <w:pPr>
        <w:pStyle w:val="enumlev1"/>
        <w:jc w:val="both"/>
        <w:rPr>
          <w:lang w:val="ru-RU"/>
        </w:rPr>
      </w:pPr>
      <w:r w:rsidRPr="00A5668C">
        <w:rPr>
          <w:lang w:val="ru-RU"/>
        </w:rPr>
        <w:t>–</w:t>
      </w:r>
      <w:r w:rsidRPr="00A5668C">
        <w:rPr>
          <w:lang w:val="ru-RU"/>
        </w:rPr>
        <w:tab/>
        <w:t>"</w:t>
      </w:r>
      <w:r w:rsidR="00664B58">
        <w:rPr>
          <w:rFonts w:cs="Calibri"/>
          <w:lang w:val="ru-RU"/>
        </w:rPr>
        <w:t>«</w:t>
      </w:r>
      <w:r w:rsidR="00BB5F41" w:rsidRPr="00A5668C">
        <w:rPr>
          <w:lang w:val="ru-RU"/>
        </w:rPr>
        <w:t>З</w:t>
      </w:r>
      <w:r w:rsidRPr="00A5668C">
        <w:rPr>
          <w:lang w:val="ru-RU"/>
        </w:rPr>
        <w:t>еленая</w:t>
      </w:r>
      <w:r w:rsidR="00664B58">
        <w:rPr>
          <w:rFonts w:cs="Calibri"/>
          <w:lang w:val="ru-RU"/>
        </w:rPr>
        <w:t>»</w:t>
      </w:r>
      <w:r w:rsidRPr="00A5668C">
        <w:rPr>
          <w:lang w:val="ru-RU"/>
        </w:rPr>
        <w:t xml:space="preserve"> цифровая трансформация", под руководством заместителя Председателя г</w:t>
      </w:r>
      <w:r w:rsidR="00664B58" w:rsidRPr="00664B58">
        <w:rPr>
          <w:lang w:val="ru-RU"/>
        </w:rPr>
        <w:noBreakHyphen/>
      </w:r>
      <w:r w:rsidRPr="00A5668C">
        <w:rPr>
          <w:lang w:val="ru-RU"/>
        </w:rPr>
        <w:t>на Муата Альрумай</w:t>
      </w:r>
      <w:r w:rsidR="00BB5F41" w:rsidRPr="00A5668C">
        <w:rPr>
          <w:lang w:val="ru-RU"/>
        </w:rPr>
        <w:t>ха</w:t>
      </w:r>
      <w:r w:rsidRPr="00A5668C">
        <w:rPr>
          <w:lang w:val="ru-RU"/>
        </w:rPr>
        <w:t xml:space="preserve"> (Саудовская Аравия)</w:t>
      </w:r>
      <w:r w:rsidR="00BB5F41" w:rsidRPr="00A5668C">
        <w:rPr>
          <w:lang w:val="ru-RU"/>
        </w:rPr>
        <w:t>;</w:t>
      </w:r>
    </w:p>
    <w:p w14:paraId="30F76E9A" w14:textId="7164F19F" w:rsidR="00C8553B" w:rsidRPr="00A5668C" w:rsidRDefault="00C8553B" w:rsidP="00C62B68">
      <w:pPr>
        <w:pStyle w:val="enumlev1"/>
        <w:jc w:val="both"/>
        <w:rPr>
          <w:lang w:val="ru-RU"/>
        </w:rPr>
      </w:pPr>
      <w:r w:rsidRPr="00A5668C">
        <w:rPr>
          <w:lang w:val="ru-RU"/>
        </w:rPr>
        <w:t>–</w:t>
      </w:r>
      <w:r w:rsidRPr="00A5668C">
        <w:rPr>
          <w:lang w:val="ru-RU"/>
        </w:rPr>
        <w:tab/>
      </w:r>
      <w:r w:rsidR="00BB5F41" w:rsidRPr="00A5668C">
        <w:rPr>
          <w:lang w:val="ru-RU"/>
        </w:rPr>
        <w:t>"С</w:t>
      </w:r>
      <w:r w:rsidRPr="00A5668C">
        <w:rPr>
          <w:lang w:val="ru-RU"/>
        </w:rPr>
        <w:t>оздание устойчивой инфраструктуры электросвязи/ИКТ</w:t>
      </w:r>
      <w:r w:rsidR="00BB5F41" w:rsidRPr="00A5668C">
        <w:rPr>
          <w:lang w:val="ru-RU"/>
        </w:rPr>
        <w:t>"</w:t>
      </w:r>
      <w:r w:rsidRPr="00A5668C">
        <w:rPr>
          <w:lang w:val="ru-RU"/>
        </w:rPr>
        <w:t>, под руководством заместителя Председателя г-на Доминика О</w:t>
      </w:r>
      <w:r w:rsidR="00BB5F41" w:rsidRPr="00A5668C">
        <w:rPr>
          <w:lang w:val="ru-RU"/>
        </w:rPr>
        <w:t>о</w:t>
      </w:r>
      <w:r w:rsidRPr="00A5668C">
        <w:rPr>
          <w:lang w:val="ru-RU"/>
        </w:rPr>
        <w:t>ко (Кения);</w:t>
      </w:r>
    </w:p>
    <w:p w14:paraId="1F5AE702" w14:textId="5387696F" w:rsidR="00C8553B" w:rsidRPr="00A5668C" w:rsidRDefault="00C8553B" w:rsidP="00C62B68">
      <w:pPr>
        <w:pStyle w:val="enumlev1"/>
        <w:jc w:val="both"/>
        <w:rPr>
          <w:lang w:val="ru-RU"/>
        </w:rPr>
      </w:pPr>
      <w:r w:rsidRPr="00A5668C">
        <w:rPr>
          <w:lang w:val="ru-RU"/>
        </w:rPr>
        <w:t>–</w:t>
      </w:r>
      <w:r w:rsidRPr="00A5668C">
        <w:rPr>
          <w:lang w:val="ru-RU"/>
        </w:rPr>
        <w:tab/>
      </w:r>
      <w:r w:rsidR="00BB5F41" w:rsidRPr="00A5668C">
        <w:rPr>
          <w:lang w:val="ru-RU"/>
        </w:rPr>
        <w:t>"</w:t>
      </w:r>
      <w:r w:rsidRPr="00A5668C">
        <w:rPr>
          <w:lang w:val="ru-RU"/>
        </w:rPr>
        <w:t>Космическ</w:t>
      </w:r>
      <w:r w:rsidR="00BB5F41" w:rsidRPr="00A5668C">
        <w:rPr>
          <w:lang w:val="ru-RU"/>
        </w:rPr>
        <w:t>ая связь"</w:t>
      </w:r>
      <w:r w:rsidRPr="00A5668C">
        <w:rPr>
          <w:lang w:val="ru-RU"/>
        </w:rPr>
        <w:t>, под руководством тематического координатора г-на Роналдо Невеша д</w:t>
      </w:r>
      <w:r w:rsidR="005966CC" w:rsidRPr="00A5668C">
        <w:rPr>
          <w:lang w:val="ru-RU"/>
        </w:rPr>
        <w:t>и</w:t>
      </w:r>
      <w:r w:rsidRPr="00A5668C">
        <w:rPr>
          <w:lang w:val="ru-RU"/>
        </w:rPr>
        <w:t xml:space="preserve"> Мора Филью (Бразилия)</w:t>
      </w:r>
      <w:r w:rsidR="005966CC" w:rsidRPr="00A5668C">
        <w:rPr>
          <w:lang w:val="ru-RU"/>
        </w:rPr>
        <w:t>;</w:t>
      </w:r>
    </w:p>
    <w:p w14:paraId="7D5D0220" w14:textId="083393A8" w:rsidR="00C8553B" w:rsidRPr="00A5668C" w:rsidRDefault="00C8553B" w:rsidP="00C62B68">
      <w:pPr>
        <w:pStyle w:val="enumlev1"/>
        <w:jc w:val="both"/>
        <w:rPr>
          <w:lang w:val="ru-RU"/>
        </w:rPr>
      </w:pPr>
      <w:r w:rsidRPr="00A5668C">
        <w:rPr>
          <w:lang w:val="ru-RU"/>
        </w:rPr>
        <w:lastRenderedPageBreak/>
        <w:t>–</w:t>
      </w:r>
      <w:r w:rsidRPr="00A5668C">
        <w:rPr>
          <w:lang w:val="ru-RU"/>
        </w:rPr>
        <w:tab/>
      </w:r>
      <w:r w:rsidR="005966CC" w:rsidRPr="00A5668C">
        <w:rPr>
          <w:lang w:val="ru-RU"/>
        </w:rPr>
        <w:t>"У</w:t>
      </w:r>
      <w:r w:rsidRPr="00A5668C">
        <w:rPr>
          <w:lang w:val="ru-RU"/>
        </w:rPr>
        <w:t>крепление ориентированных на ИКТ экосистем инноваций</w:t>
      </w:r>
      <w:r w:rsidR="005966CC" w:rsidRPr="00A5668C">
        <w:rPr>
          <w:lang w:val="ru-RU"/>
        </w:rPr>
        <w:t>"</w:t>
      </w:r>
      <w:r w:rsidRPr="00A5668C">
        <w:rPr>
          <w:lang w:val="ru-RU"/>
        </w:rPr>
        <w:t>, под руководством заместителя Председателя г-на Тобиаса Кауфмана (Германия)</w:t>
      </w:r>
      <w:r w:rsidR="005966CC" w:rsidRPr="00A5668C">
        <w:rPr>
          <w:lang w:val="ru-RU"/>
        </w:rPr>
        <w:t>.</w:t>
      </w:r>
    </w:p>
    <w:p w14:paraId="742793FC" w14:textId="31E9287A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НГЭ также пересмотрела график подготовки отчета ГС, который представлен в Приложении 2 к</w:t>
      </w:r>
      <w:r w:rsidR="006563E2">
        <w:rPr>
          <w:lang w:val="ru-RU"/>
        </w:rPr>
        <w:t> </w:t>
      </w:r>
      <w:hyperlink r:id="rId18" w:history="1">
        <w:r w:rsidRPr="006563E2">
          <w:rPr>
            <w:rStyle w:val="Hyperlink"/>
            <w:lang w:val="ru-RU"/>
          </w:rPr>
          <w:t>Решению</w:t>
        </w:r>
        <w:r w:rsidR="006563E2" w:rsidRPr="006563E2">
          <w:rPr>
            <w:rStyle w:val="Hyperlink"/>
            <w:lang w:val="ru-RU"/>
          </w:rPr>
          <w:t> </w:t>
        </w:r>
        <w:r w:rsidRPr="006563E2">
          <w:rPr>
            <w:rStyle w:val="Hyperlink"/>
            <w:lang w:val="ru-RU"/>
          </w:rPr>
          <w:t>641</w:t>
        </w:r>
        <w:r w:rsidRPr="00664B58">
          <w:rPr>
            <w:rStyle w:val="Hyperlink"/>
            <w:u w:val="none"/>
            <w:lang w:val="ru-RU"/>
          </w:rPr>
          <w:t xml:space="preserve"> </w:t>
        </w:r>
        <w:r w:rsidRPr="00C62B68">
          <w:rPr>
            <w:lang w:val="ru-RU"/>
          </w:rPr>
          <w:t>(С24)</w:t>
        </w:r>
      </w:hyperlink>
      <w:r w:rsidRPr="00A5668C">
        <w:rPr>
          <w:lang w:val="ru-RU"/>
        </w:rPr>
        <w:t xml:space="preserve">. </w:t>
      </w:r>
      <w:r w:rsidR="005966CC" w:rsidRPr="00A5668C">
        <w:rPr>
          <w:lang w:val="ru-RU"/>
        </w:rPr>
        <w:t xml:space="preserve">Пересмотренный график представлен в таблице </w:t>
      </w:r>
      <w:r w:rsidRPr="00A5668C">
        <w:rPr>
          <w:lang w:val="ru-RU"/>
        </w:rPr>
        <w:t xml:space="preserve">в Приложении к настоящему документу. В соответствии с пересмотренным графиком </w:t>
      </w:r>
      <w:r w:rsidR="005966CC" w:rsidRPr="00A5668C">
        <w:rPr>
          <w:lang w:val="ru-RU"/>
        </w:rPr>
        <w:t>С</w:t>
      </w:r>
      <w:r w:rsidRPr="00A5668C">
        <w:rPr>
          <w:lang w:val="ru-RU"/>
        </w:rPr>
        <w:t>екретариатом был подготовлен второй проект отчета ГС с учетом замечаний, полученных от НГЭ, и опубликован в ноябре 2024 года для представления вкладов членами НГЭ, а также путем проведения открытых публичных консультаций до второго собрания Группы.</w:t>
      </w:r>
    </w:p>
    <w:p w14:paraId="2D652F3F" w14:textId="76787825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2.3</w:t>
      </w:r>
      <w:r w:rsidRPr="00A5668C">
        <w:rPr>
          <w:lang w:val="ru-RU"/>
        </w:rPr>
        <w:tab/>
        <w:t xml:space="preserve">На своем втором собрании НГЭ обсудила второй проект отчета </w:t>
      </w:r>
      <w:r w:rsidR="005966CC" w:rsidRPr="00A5668C">
        <w:rPr>
          <w:lang w:val="ru-RU"/>
        </w:rPr>
        <w:t>ГС</w:t>
      </w:r>
      <w:r w:rsidRPr="00A5668C">
        <w:rPr>
          <w:lang w:val="ru-RU"/>
        </w:rPr>
        <w:t>, в том числе замечания, полученные в ходе открытых публичных консультаций, а также планы возможных проектов мнений. НГЭ решила также продолжить обсуждение возможных проектов мнений</w:t>
      </w:r>
      <w:r w:rsidR="005966CC" w:rsidRPr="00A5668C">
        <w:rPr>
          <w:lang w:val="ru-RU"/>
        </w:rPr>
        <w:t xml:space="preserve"> в рамках</w:t>
      </w:r>
      <w:r w:rsidRPr="00A5668C">
        <w:rPr>
          <w:lang w:val="ru-RU"/>
        </w:rPr>
        <w:t xml:space="preserve"> сери</w:t>
      </w:r>
      <w:r w:rsidR="005966CC" w:rsidRPr="00A5668C">
        <w:rPr>
          <w:lang w:val="ru-RU"/>
        </w:rPr>
        <w:t>и</w:t>
      </w:r>
      <w:r w:rsidRPr="00A5668C">
        <w:rPr>
          <w:lang w:val="ru-RU"/>
        </w:rPr>
        <w:t xml:space="preserve"> неофициальных онлайновых консультаций между заинтересованными членами в период между вторым и третьим собраниями НГЭ при содействии соответствующих заместителей </w:t>
      </w:r>
      <w:r w:rsidR="005966CC" w:rsidRPr="00A5668C">
        <w:rPr>
          <w:lang w:val="ru-RU"/>
        </w:rPr>
        <w:t>П</w:t>
      </w:r>
      <w:r w:rsidRPr="00A5668C">
        <w:rPr>
          <w:lang w:val="ru-RU"/>
        </w:rPr>
        <w:t xml:space="preserve">редседателя/тематических координаторов, упомянутых выше (неофициальные рабочие группы). В соответствии с пересмотренным графиком </w:t>
      </w:r>
      <w:r w:rsidR="005966CC" w:rsidRPr="00A5668C">
        <w:rPr>
          <w:lang w:val="ru-RU"/>
        </w:rPr>
        <w:t>С</w:t>
      </w:r>
      <w:r w:rsidRPr="00A5668C">
        <w:rPr>
          <w:lang w:val="ru-RU"/>
        </w:rPr>
        <w:t>екретариатом был подготовлен третий проект отчета ГС с учетом замечаний, полученных от НГЭ, и опубликован в марте 202</w:t>
      </w:r>
      <w:r w:rsidR="005966CC" w:rsidRPr="00A5668C">
        <w:rPr>
          <w:lang w:val="ru-RU"/>
        </w:rPr>
        <w:t>5</w:t>
      </w:r>
      <w:r w:rsidR="003513C3" w:rsidRPr="00A5668C">
        <w:rPr>
          <w:lang w:val="ru-RU"/>
        </w:rPr>
        <w:t> </w:t>
      </w:r>
      <w:r w:rsidRPr="00A5668C">
        <w:rPr>
          <w:lang w:val="ru-RU"/>
        </w:rPr>
        <w:t xml:space="preserve">года для представления вкладов членами НГЭ, а также путем проведения открытых публичных консультаций до </w:t>
      </w:r>
      <w:r w:rsidR="005966CC" w:rsidRPr="00A5668C">
        <w:rPr>
          <w:lang w:val="ru-RU"/>
        </w:rPr>
        <w:t>третьего</w:t>
      </w:r>
      <w:r w:rsidRPr="00A5668C">
        <w:rPr>
          <w:lang w:val="ru-RU"/>
        </w:rPr>
        <w:t xml:space="preserve"> собрания Группы.</w:t>
      </w:r>
    </w:p>
    <w:p w14:paraId="1DD251BD" w14:textId="3F66C37A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2.4</w:t>
      </w:r>
      <w:r w:rsidRPr="00A5668C">
        <w:rPr>
          <w:lang w:val="ru-RU"/>
        </w:rPr>
        <w:tab/>
        <w:t xml:space="preserve">На момент подготовки настоящего отчета, по состоянию на 10 мая 2025 года, каждая из пяти неофициальных рабочих групп провела по крайней мере одно собрание под руководством соответствующего заместителя </w:t>
      </w:r>
      <w:r w:rsidR="004C3C6A" w:rsidRPr="00A5668C">
        <w:rPr>
          <w:lang w:val="ru-RU"/>
        </w:rPr>
        <w:t>П</w:t>
      </w:r>
      <w:r w:rsidRPr="00A5668C">
        <w:rPr>
          <w:lang w:val="ru-RU"/>
        </w:rPr>
        <w:t xml:space="preserve">редседателя или тематического координатора. Методы работы этих групп отличаются гибкостью, при этом Секретариат оказывает поддержку по мере необходимости, в том числе с помощью электронных собраний и инструментов сотрудничества. Всем членам НГЭ предложено по желанию присоединиться к каждой из неофициальных рабочих групп. Дополнительные </w:t>
      </w:r>
      <w:r w:rsidR="004C3C6A" w:rsidRPr="00A5668C">
        <w:rPr>
          <w:lang w:val="ru-RU"/>
        </w:rPr>
        <w:t>заседания</w:t>
      </w:r>
      <w:r w:rsidRPr="00A5668C">
        <w:rPr>
          <w:lang w:val="ru-RU"/>
        </w:rPr>
        <w:t xml:space="preserve"> неофициальных рабочих групп будут </w:t>
      </w:r>
      <w:r w:rsidR="004C3C6A" w:rsidRPr="00A5668C">
        <w:rPr>
          <w:lang w:val="ru-RU"/>
        </w:rPr>
        <w:t>созываться</w:t>
      </w:r>
      <w:r w:rsidRPr="00A5668C">
        <w:rPr>
          <w:lang w:val="ru-RU"/>
        </w:rPr>
        <w:t xml:space="preserve"> по мере необходимости заместител</w:t>
      </w:r>
      <w:r w:rsidR="004C3C6A" w:rsidRPr="00A5668C">
        <w:rPr>
          <w:lang w:val="ru-RU"/>
        </w:rPr>
        <w:t>ями</w:t>
      </w:r>
      <w:r w:rsidRPr="00A5668C">
        <w:rPr>
          <w:lang w:val="ru-RU"/>
        </w:rPr>
        <w:t xml:space="preserve"> </w:t>
      </w:r>
      <w:r w:rsidR="004C3C6A" w:rsidRPr="00A5668C">
        <w:rPr>
          <w:lang w:val="ru-RU"/>
        </w:rPr>
        <w:t>П</w:t>
      </w:r>
      <w:r w:rsidRPr="00A5668C">
        <w:rPr>
          <w:lang w:val="ru-RU"/>
        </w:rPr>
        <w:t>редседателя/</w:t>
      </w:r>
      <w:r w:rsidR="004C3C6A" w:rsidRPr="00A5668C">
        <w:rPr>
          <w:lang w:val="ru-RU"/>
        </w:rPr>
        <w:t>тематическим координатором</w:t>
      </w:r>
      <w:r w:rsidRPr="00A5668C">
        <w:rPr>
          <w:lang w:val="ru-RU"/>
        </w:rPr>
        <w:t xml:space="preserve">. Цель этих собраний состоит в том, чтобы оказать поддержку работе НГЭ путем содействия дальнейшему общему пониманию и потенциальному сближению по различным возможным проектам мнений. </w:t>
      </w:r>
    </w:p>
    <w:p w14:paraId="28968EF0" w14:textId="697022CE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2.5</w:t>
      </w:r>
      <w:r w:rsidRPr="00A5668C">
        <w:rPr>
          <w:lang w:val="ru-RU"/>
        </w:rPr>
        <w:tab/>
        <w:t xml:space="preserve">Все документы, касающиеся подготовительного процесса, доступны на </w:t>
      </w:r>
      <w:hyperlink r:id="rId19" w:history="1">
        <w:r w:rsidRPr="00A5668C">
          <w:rPr>
            <w:rStyle w:val="Hyperlink"/>
            <w:lang w:val="ru-RU"/>
          </w:rPr>
          <w:t>веб-сайте НГЭ</w:t>
        </w:r>
      </w:hyperlink>
      <w:r w:rsidRPr="00A5668C">
        <w:rPr>
          <w:lang w:val="ru-RU"/>
        </w:rPr>
        <w:t xml:space="preserve">. К ним относятся различные проекты </w:t>
      </w:r>
      <w:r w:rsidR="003513C3" w:rsidRPr="00A5668C">
        <w:rPr>
          <w:lang w:val="ru-RU"/>
        </w:rPr>
        <w:t>отчета ГС</w:t>
      </w:r>
      <w:r w:rsidRPr="00A5668C">
        <w:rPr>
          <w:lang w:val="ru-RU"/>
        </w:rPr>
        <w:t xml:space="preserve">, вклады, полученные от членов НГЭ (в том числе по возможным проектам мнений), а также </w:t>
      </w:r>
      <w:r w:rsidR="00FA2BFC" w:rsidRPr="00A5668C">
        <w:rPr>
          <w:lang w:val="ru-RU"/>
        </w:rPr>
        <w:t>отзывы</w:t>
      </w:r>
      <w:r w:rsidRPr="00A5668C">
        <w:rPr>
          <w:lang w:val="ru-RU"/>
        </w:rPr>
        <w:t xml:space="preserve">, полученные в ходе онлайновых открытых </w:t>
      </w:r>
      <w:r w:rsidR="00474029" w:rsidRPr="00A5668C">
        <w:rPr>
          <w:lang w:val="ru-RU"/>
        </w:rPr>
        <w:t>публичных</w:t>
      </w:r>
      <w:r w:rsidRPr="00A5668C">
        <w:rPr>
          <w:lang w:val="ru-RU"/>
        </w:rPr>
        <w:t xml:space="preserve"> консультаций. </w:t>
      </w:r>
      <w:r w:rsidR="008027A7" w:rsidRPr="00A5668C">
        <w:rPr>
          <w:lang w:val="ru-RU"/>
        </w:rPr>
        <w:t>Д</w:t>
      </w:r>
      <w:r w:rsidRPr="00A5668C">
        <w:rPr>
          <w:lang w:val="ru-RU"/>
        </w:rPr>
        <w:t>ля упрощения связи членов группы в период между собраниями был создан почтовый отражатель (</w:t>
      </w:r>
      <w:hyperlink r:id="rId20" w:history="1">
        <w:r w:rsidR="008027A7" w:rsidRPr="00A5668C">
          <w:rPr>
            <w:rStyle w:val="Hyperlink"/>
            <w:lang w:val="ru-RU"/>
          </w:rPr>
          <w:t>iegwtpf21@lists.itu.int</w:t>
        </w:r>
      </w:hyperlink>
      <w:r w:rsidRPr="00A5668C">
        <w:rPr>
          <w:lang w:val="ru-RU"/>
        </w:rPr>
        <w:t>).</w:t>
      </w:r>
    </w:p>
    <w:p w14:paraId="32F64768" w14:textId="77777777" w:rsidR="00C8553B" w:rsidRPr="00A5668C" w:rsidRDefault="00C8553B" w:rsidP="00C8553B">
      <w:pPr>
        <w:pStyle w:val="Heading1"/>
        <w:rPr>
          <w:lang w:val="ru-RU"/>
        </w:rPr>
      </w:pPr>
      <w:r w:rsidRPr="00A5668C">
        <w:rPr>
          <w:bCs/>
          <w:lang w:val="ru-RU"/>
        </w:rPr>
        <w:t>3</w:t>
      </w:r>
      <w:r w:rsidRPr="00A5668C">
        <w:rPr>
          <w:lang w:val="ru-RU"/>
        </w:rPr>
        <w:tab/>
      </w:r>
      <w:r w:rsidRPr="00A5668C">
        <w:rPr>
          <w:bCs/>
          <w:lang w:val="ru-RU"/>
        </w:rPr>
        <w:t>Организация и подготовка логистики</w:t>
      </w:r>
    </w:p>
    <w:p w14:paraId="2D1E3FCB" w14:textId="647918DD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3.1</w:t>
      </w:r>
      <w:r w:rsidRPr="00A5668C">
        <w:rPr>
          <w:lang w:val="ru-RU"/>
        </w:rPr>
        <w:tab/>
        <w:t xml:space="preserve">Внутренняя межсекторальная группа оказывает помощь </w:t>
      </w:r>
      <w:r w:rsidR="00FA2BFC" w:rsidRPr="00A5668C">
        <w:rPr>
          <w:lang w:val="ru-RU"/>
        </w:rPr>
        <w:t>Секретариату</w:t>
      </w:r>
      <w:r w:rsidRPr="00A5668C">
        <w:rPr>
          <w:lang w:val="ru-RU"/>
        </w:rPr>
        <w:t xml:space="preserve"> в координации деятельности по подготовке к ВФПЭ-26. </w:t>
      </w:r>
    </w:p>
    <w:p w14:paraId="7C820E82" w14:textId="063E5E25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3.2</w:t>
      </w:r>
      <w:r w:rsidRPr="00A5668C">
        <w:rPr>
          <w:lang w:val="ru-RU"/>
        </w:rPr>
        <w:tab/>
        <w:t xml:space="preserve">Вся соответствующая информация будет в надлежащие сроки опубликована на веб-сайте ВФПЭ и доступна </w:t>
      </w:r>
      <w:r w:rsidR="00FA2BFC" w:rsidRPr="00A5668C">
        <w:rPr>
          <w:lang w:val="ru-RU"/>
        </w:rPr>
        <w:t>по ссылке</w:t>
      </w:r>
      <w:r w:rsidRPr="00A5668C">
        <w:rPr>
          <w:lang w:val="ru-RU"/>
        </w:rPr>
        <w:t xml:space="preserve">: </w:t>
      </w:r>
      <w:hyperlink r:id="rId21" w:history="1">
        <w:r w:rsidR="008027A7" w:rsidRPr="00A5668C">
          <w:rPr>
            <w:rStyle w:val="Hyperlink"/>
            <w:lang w:val="ru-RU"/>
          </w:rPr>
          <w:t>https://wtpf.itu.int/2026/</w:t>
        </w:r>
      </w:hyperlink>
      <w:r w:rsidRPr="00A5668C">
        <w:rPr>
          <w:lang w:val="ru-RU"/>
        </w:rPr>
        <w:t xml:space="preserve">. </w:t>
      </w:r>
      <w:r w:rsidR="00FA2BFC" w:rsidRPr="00A5668C">
        <w:rPr>
          <w:lang w:val="ru-RU"/>
        </w:rPr>
        <w:t>Там же опубликована информация о</w:t>
      </w:r>
      <w:r w:rsidRPr="00A5668C">
        <w:rPr>
          <w:lang w:val="ru-RU"/>
        </w:rPr>
        <w:t xml:space="preserve"> текущ</w:t>
      </w:r>
      <w:r w:rsidR="00FA2BFC" w:rsidRPr="00A5668C">
        <w:rPr>
          <w:lang w:val="ru-RU"/>
        </w:rPr>
        <w:t>ей</w:t>
      </w:r>
      <w:r w:rsidRPr="00A5668C">
        <w:rPr>
          <w:lang w:val="ru-RU"/>
        </w:rPr>
        <w:t xml:space="preserve"> втор</w:t>
      </w:r>
      <w:r w:rsidR="00FA2BFC" w:rsidRPr="00A5668C">
        <w:rPr>
          <w:lang w:val="ru-RU"/>
        </w:rPr>
        <w:t>ой</w:t>
      </w:r>
      <w:r w:rsidRPr="00A5668C">
        <w:rPr>
          <w:lang w:val="ru-RU"/>
        </w:rPr>
        <w:t xml:space="preserve"> </w:t>
      </w:r>
      <w:r w:rsidR="00474029" w:rsidRPr="00A5668C">
        <w:rPr>
          <w:lang w:val="ru-RU"/>
        </w:rPr>
        <w:t xml:space="preserve">онлайновой </w:t>
      </w:r>
      <w:r w:rsidRPr="00A5668C">
        <w:rPr>
          <w:lang w:val="ru-RU"/>
        </w:rPr>
        <w:t>открыт</w:t>
      </w:r>
      <w:r w:rsidR="00FA2BFC" w:rsidRPr="00A5668C">
        <w:rPr>
          <w:lang w:val="ru-RU"/>
        </w:rPr>
        <w:t>ой</w:t>
      </w:r>
      <w:r w:rsidRPr="00A5668C">
        <w:rPr>
          <w:lang w:val="ru-RU"/>
        </w:rPr>
        <w:t xml:space="preserve"> </w:t>
      </w:r>
      <w:r w:rsidR="00474029" w:rsidRPr="00A5668C">
        <w:rPr>
          <w:lang w:val="ru-RU"/>
        </w:rPr>
        <w:t>публичной</w:t>
      </w:r>
      <w:r w:rsidRPr="00A5668C">
        <w:rPr>
          <w:lang w:val="ru-RU"/>
        </w:rPr>
        <w:t xml:space="preserve"> консультаци</w:t>
      </w:r>
      <w:r w:rsidR="00FA2BFC" w:rsidRPr="00A5668C">
        <w:rPr>
          <w:lang w:val="ru-RU"/>
        </w:rPr>
        <w:t>и</w:t>
      </w:r>
      <w:r w:rsidRPr="00A5668C">
        <w:rPr>
          <w:lang w:val="ru-RU"/>
        </w:rPr>
        <w:t xml:space="preserve">, которая проводится в период с марта по июнь 2025 года. На веб-сайте </w:t>
      </w:r>
      <w:r w:rsidR="00894610" w:rsidRPr="00A5668C">
        <w:rPr>
          <w:lang w:val="ru-RU"/>
        </w:rPr>
        <w:t xml:space="preserve">также </w:t>
      </w:r>
      <w:r w:rsidRPr="00A5668C">
        <w:rPr>
          <w:lang w:val="ru-RU"/>
        </w:rPr>
        <w:t xml:space="preserve">появились новые функциональные возможности, в том числе отдельные страницы, </w:t>
      </w:r>
      <w:r w:rsidR="00894610" w:rsidRPr="00A5668C">
        <w:rPr>
          <w:lang w:val="ru-RU"/>
        </w:rPr>
        <w:t>на которых представлены</w:t>
      </w:r>
      <w:r w:rsidRPr="00A5668C">
        <w:rPr>
          <w:lang w:val="ru-RU"/>
        </w:rPr>
        <w:t xml:space="preserve"> инициатив</w:t>
      </w:r>
      <w:r w:rsidR="00894610" w:rsidRPr="00A5668C">
        <w:rPr>
          <w:lang w:val="ru-RU"/>
        </w:rPr>
        <w:t>ы</w:t>
      </w:r>
      <w:r w:rsidRPr="00A5668C">
        <w:rPr>
          <w:lang w:val="ru-RU"/>
        </w:rPr>
        <w:t xml:space="preserve"> МСЭ, связанны</w:t>
      </w:r>
      <w:r w:rsidR="00894610" w:rsidRPr="00A5668C">
        <w:rPr>
          <w:lang w:val="ru-RU"/>
        </w:rPr>
        <w:t>е</w:t>
      </w:r>
      <w:r w:rsidRPr="00A5668C">
        <w:rPr>
          <w:lang w:val="ru-RU"/>
        </w:rPr>
        <w:t xml:space="preserve"> с вопросами, определенными в </w:t>
      </w:r>
      <w:r w:rsidR="00894610" w:rsidRPr="00A5668C">
        <w:rPr>
          <w:lang w:val="ru-RU"/>
        </w:rPr>
        <w:t xml:space="preserve">рамках </w:t>
      </w:r>
      <w:r w:rsidRPr="00A5668C">
        <w:rPr>
          <w:lang w:val="ru-RU"/>
        </w:rPr>
        <w:t>тем</w:t>
      </w:r>
      <w:r w:rsidR="00894610" w:rsidRPr="00A5668C">
        <w:rPr>
          <w:lang w:val="ru-RU"/>
        </w:rPr>
        <w:t>ы</w:t>
      </w:r>
      <w:r w:rsidRPr="00A5668C">
        <w:rPr>
          <w:lang w:val="ru-RU"/>
        </w:rPr>
        <w:t xml:space="preserve"> ВФПЭ-26.</w:t>
      </w:r>
    </w:p>
    <w:p w14:paraId="2473812C" w14:textId="2DD451EA" w:rsidR="00C8553B" w:rsidRPr="00A5668C" w:rsidRDefault="00C8553B" w:rsidP="00C8553B">
      <w:pPr>
        <w:pStyle w:val="Heading1"/>
        <w:rPr>
          <w:lang w:val="ru-RU"/>
        </w:rPr>
      </w:pPr>
      <w:r w:rsidRPr="00A5668C">
        <w:rPr>
          <w:bCs/>
          <w:lang w:val="ru-RU"/>
        </w:rPr>
        <w:lastRenderedPageBreak/>
        <w:t>4</w:t>
      </w:r>
      <w:r w:rsidRPr="00A5668C">
        <w:rPr>
          <w:lang w:val="ru-RU"/>
        </w:rPr>
        <w:tab/>
      </w:r>
      <w:r w:rsidRPr="00A5668C">
        <w:rPr>
          <w:bCs/>
          <w:lang w:val="ru-RU"/>
        </w:rPr>
        <w:t xml:space="preserve">Место </w:t>
      </w:r>
      <w:r w:rsidR="003513C3" w:rsidRPr="00A5668C">
        <w:rPr>
          <w:bCs/>
          <w:lang w:val="ru-RU"/>
        </w:rPr>
        <w:t xml:space="preserve">проведения </w:t>
      </w:r>
      <w:r w:rsidRPr="00A5668C">
        <w:rPr>
          <w:bCs/>
          <w:lang w:val="ru-RU"/>
        </w:rPr>
        <w:t xml:space="preserve">и даты </w:t>
      </w:r>
    </w:p>
    <w:p w14:paraId="7E2F36B1" w14:textId="32F6D58B" w:rsidR="00C8553B" w:rsidRPr="00A5668C" w:rsidRDefault="00C8553B" w:rsidP="00C62B68">
      <w:pPr>
        <w:jc w:val="both"/>
        <w:rPr>
          <w:lang w:val="ru-RU"/>
        </w:rPr>
      </w:pPr>
      <w:r w:rsidRPr="00A5668C">
        <w:rPr>
          <w:lang w:val="ru-RU"/>
        </w:rPr>
        <w:t>4.1</w:t>
      </w:r>
      <w:r w:rsidRPr="00A5668C">
        <w:rPr>
          <w:lang w:val="ru-RU"/>
        </w:rPr>
        <w:tab/>
        <w:t>В отсутствие свободных залов в Международном центре конференций в Женеве в 2026</w:t>
      </w:r>
      <w:r w:rsidR="003513C3" w:rsidRPr="00A5668C">
        <w:rPr>
          <w:lang w:val="ru-RU"/>
        </w:rPr>
        <w:t> </w:t>
      </w:r>
      <w:r w:rsidRPr="00A5668C">
        <w:rPr>
          <w:lang w:val="ru-RU"/>
        </w:rPr>
        <w:t xml:space="preserve">году Генеральный секретарь посредством Циркулярного письма </w:t>
      </w:r>
      <w:hyperlink r:id="rId22" w:history="1">
        <w:r w:rsidR="008027A7" w:rsidRPr="00A5668C">
          <w:rPr>
            <w:rStyle w:val="Hyperlink"/>
            <w:rFonts w:cstheme="minorBidi"/>
            <w:lang w:val="ru-RU"/>
          </w:rPr>
          <w:t>CL-24/69</w:t>
        </w:r>
      </w:hyperlink>
      <w:r w:rsidR="00894610" w:rsidRPr="00A5668C">
        <w:rPr>
          <w:rStyle w:val="Hyperlink"/>
          <w:rFonts w:cstheme="minorBidi"/>
          <w:lang w:val="ru-RU"/>
        </w:rPr>
        <w:t xml:space="preserve"> </w:t>
      </w:r>
      <w:r w:rsidRPr="00A5668C">
        <w:rPr>
          <w:lang w:val="ru-RU"/>
        </w:rPr>
        <w:t>в ноябре 2024</w:t>
      </w:r>
      <w:r w:rsidR="003513C3" w:rsidRPr="00A5668C">
        <w:rPr>
          <w:lang w:val="ru-RU"/>
        </w:rPr>
        <w:t> </w:t>
      </w:r>
      <w:r w:rsidRPr="00A5668C">
        <w:rPr>
          <w:lang w:val="ru-RU"/>
        </w:rPr>
        <w:t>года обратил</w:t>
      </w:r>
      <w:r w:rsidR="003513C3" w:rsidRPr="00A5668C">
        <w:rPr>
          <w:lang w:val="ru-RU"/>
        </w:rPr>
        <w:t>ась</w:t>
      </w:r>
      <w:r w:rsidRPr="00A5668C">
        <w:rPr>
          <w:lang w:val="ru-RU"/>
        </w:rPr>
        <w:t xml:space="preserve"> к Государствам-Членам с </w:t>
      </w:r>
      <w:r w:rsidR="00894610" w:rsidRPr="00A5668C">
        <w:rPr>
          <w:lang w:val="ru-RU"/>
        </w:rPr>
        <w:t>приглашением</w:t>
      </w:r>
      <w:r w:rsidRPr="00A5668C">
        <w:rPr>
          <w:lang w:val="ru-RU"/>
        </w:rPr>
        <w:t xml:space="preserve"> выражать заинтересованность в проведении у себя ВФПЭ-26, попросив все заинтересованные Государства-Члены связаться с Секретариатом для получения дополнительной информации до 20 декабря 2024 года. В</w:t>
      </w:r>
      <w:r w:rsidR="003513C3" w:rsidRPr="00A5668C">
        <w:rPr>
          <w:lang w:val="ru-RU"/>
        </w:rPr>
        <w:t> </w:t>
      </w:r>
      <w:r w:rsidRPr="00A5668C">
        <w:rPr>
          <w:lang w:val="ru-RU"/>
        </w:rPr>
        <w:t>соответствии с этим письмом Секретариат ответил на запросы восьми Государств-Членов, предоставив дополнительную информацию (общая презентация по ВФПЭ; проект соглашения с принимающей страной (HCA); смета расходов). В середине февраля 2025 года Секретариат направил электронные письма с просьбой подтвердить до 28 февраля 2025 года постоянную заинтересованность Государств-Членов в проведении у себя этого мероприятия. В настоящее время Секретариат ведет переговоры с одним из Государств-Членов о возможном проведении ВФПЭ-26 в первой половине 2026 года с целью принятия решения на Совет</w:t>
      </w:r>
      <w:r w:rsidR="00894610" w:rsidRPr="00A5668C">
        <w:rPr>
          <w:lang w:val="ru-RU"/>
        </w:rPr>
        <w:t>е</w:t>
      </w:r>
      <w:r w:rsidRPr="00A5668C">
        <w:rPr>
          <w:lang w:val="ru-RU"/>
        </w:rPr>
        <w:t>.</w:t>
      </w:r>
    </w:p>
    <w:p w14:paraId="74522FF7" w14:textId="77777777" w:rsidR="00C8553B" w:rsidRPr="00A5668C" w:rsidRDefault="00C8553B" w:rsidP="00A5668C">
      <w:pPr>
        <w:spacing w:before="1440"/>
        <w:rPr>
          <w:lang w:val="ru-RU"/>
        </w:rPr>
      </w:pPr>
      <w:r w:rsidRPr="00A5668C">
        <w:rPr>
          <w:b/>
          <w:bCs/>
          <w:lang w:val="ru-RU"/>
        </w:rPr>
        <w:t>Приложение</w:t>
      </w:r>
      <w:r w:rsidRPr="00A5668C">
        <w:rPr>
          <w:lang w:val="ru-RU"/>
        </w:rPr>
        <w:t>: 1</w:t>
      </w:r>
    </w:p>
    <w:p w14:paraId="100706C0" w14:textId="77777777" w:rsidR="00C8553B" w:rsidRPr="00A5668C" w:rsidRDefault="00C8553B" w:rsidP="00A5668C">
      <w:pPr>
        <w:rPr>
          <w:lang w:val="ru-RU"/>
        </w:rPr>
      </w:pPr>
      <w:r w:rsidRPr="00A5668C">
        <w:rPr>
          <w:lang w:val="ru-RU"/>
        </w:rPr>
        <w:br w:type="page"/>
      </w:r>
    </w:p>
    <w:p w14:paraId="789ABC81" w14:textId="77777777" w:rsidR="00C8553B" w:rsidRPr="00A5668C" w:rsidRDefault="00C8553B" w:rsidP="00C8553B">
      <w:pPr>
        <w:pStyle w:val="AnnexNo"/>
        <w:rPr>
          <w:lang w:val="ru-RU"/>
        </w:rPr>
      </w:pPr>
      <w:r w:rsidRPr="00A5668C">
        <w:rPr>
          <w:lang w:val="ru-RU"/>
        </w:rPr>
        <w:lastRenderedPageBreak/>
        <w:t>Приложение</w:t>
      </w:r>
    </w:p>
    <w:p w14:paraId="633E8903" w14:textId="77777777" w:rsidR="00C8553B" w:rsidRPr="00A5668C" w:rsidRDefault="00C8553B" w:rsidP="00C8553B">
      <w:pPr>
        <w:pStyle w:val="Annextitle"/>
        <w:rPr>
          <w:lang w:val="ru-RU"/>
        </w:rPr>
      </w:pPr>
      <w:r w:rsidRPr="00A5668C">
        <w:rPr>
          <w:lang w:val="ru-RU"/>
        </w:rPr>
        <w:t>Пересмотренный график подготовки отчета Генерального секретаря МСЭ</w:t>
      </w:r>
    </w:p>
    <w:tbl>
      <w:tblPr>
        <w:tblStyle w:val="TableGrid"/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7092"/>
      </w:tblGrid>
      <w:tr w:rsidR="00C8553B" w:rsidRPr="00C62B68" w14:paraId="1E8E17D9" w14:textId="77777777" w:rsidTr="00A5668C">
        <w:trPr>
          <w:cantSplit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711B245C" w14:textId="46FA0F3B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5 августа 2024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  <w:shd w:val="clear" w:color="auto" w:fill="D9D9D9" w:themeFill="background1" w:themeFillShade="D9"/>
          </w:tcPr>
          <w:p w14:paraId="394EC952" w14:textId="5868ABCA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Первый проект плана отчета Генерального секретаря должен быть размещен в</w:t>
            </w:r>
            <w:r w:rsidR="00246D2E">
              <w:rPr>
                <w:lang w:val="ru-RU"/>
              </w:rPr>
              <w:t> </w:t>
            </w:r>
            <w:r w:rsidRPr="00A5668C">
              <w:rPr>
                <w:lang w:val="ru-RU"/>
              </w:rPr>
              <w:t>онлайновой форме для получения замечаний</w:t>
            </w:r>
          </w:p>
        </w:tc>
      </w:tr>
      <w:tr w:rsidR="00C8553B" w:rsidRPr="00C62B68" w14:paraId="749FCE7B" w14:textId="77777777" w:rsidTr="00A5668C">
        <w:trPr>
          <w:cantSplit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4C359721" w14:textId="321A8971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26 августа 2024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  <w:shd w:val="clear" w:color="auto" w:fill="D9D9D9" w:themeFill="background1" w:themeFillShade="D9"/>
          </w:tcPr>
          <w:p w14:paraId="3EF3A8C7" w14:textId="6EDFE6D0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 xml:space="preserve">Предельный срок для получения замечаний по первому проекту, а также вкладов по </w:t>
            </w:r>
            <w:r w:rsidR="00D30A0F" w:rsidRPr="00A5668C">
              <w:rPr>
                <w:lang w:val="ru-RU"/>
              </w:rPr>
              <w:t>планам</w:t>
            </w:r>
            <w:r w:rsidRPr="00A5668C">
              <w:rPr>
                <w:lang w:val="ru-RU"/>
              </w:rPr>
              <w:t xml:space="preserve"> возможных проектов мнений.</w:t>
            </w:r>
          </w:p>
          <w:p w14:paraId="249EA154" w14:textId="2570A643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Предельный срок для назначения сбалансированной группы экспертов для</w:t>
            </w:r>
            <w:r w:rsidR="00246D2E">
              <w:rPr>
                <w:lang w:val="ru-RU"/>
              </w:rPr>
              <w:t> </w:t>
            </w:r>
            <w:r w:rsidRPr="00A5668C">
              <w:rPr>
                <w:lang w:val="ru-RU"/>
              </w:rPr>
              <w:t xml:space="preserve">предоставления </w:t>
            </w:r>
            <w:r w:rsidR="00D30A0F" w:rsidRPr="00A5668C">
              <w:rPr>
                <w:lang w:val="ru-RU"/>
              </w:rPr>
              <w:t>рекомендаций</w:t>
            </w:r>
            <w:r w:rsidRPr="00A5668C">
              <w:rPr>
                <w:lang w:val="ru-RU"/>
              </w:rPr>
              <w:t xml:space="preserve"> Генеральному секретарю в отношении дальнейшей разработки отчета и связанных с ним проектов мнений</w:t>
            </w:r>
          </w:p>
        </w:tc>
      </w:tr>
      <w:tr w:rsidR="00C8553B" w:rsidRPr="00C62B68" w14:paraId="25EBE2D7" w14:textId="77777777" w:rsidTr="00A5668C">
        <w:trPr>
          <w:cantSplit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31C14304" w14:textId="77777777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Первое собрание НГЭ (октябрь 2024 г. в ходе блока собраний РГС)</w:t>
            </w:r>
          </w:p>
        </w:tc>
        <w:tc>
          <w:tcPr>
            <w:tcW w:w="7092" w:type="dxa"/>
            <w:shd w:val="clear" w:color="auto" w:fill="D9D9D9" w:themeFill="background1" w:themeFillShade="D9"/>
          </w:tcPr>
          <w:p w14:paraId="5E34AD5E" w14:textId="6ADE733F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Первое собрание группы экспертов для обсуждения первого проекта отчета Генерального секретаря и полученных замечаний</w:t>
            </w:r>
          </w:p>
        </w:tc>
      </w:tr>
      <w:tr w:rsidR="00C8553B" w:rsidRPr="00C62B68" w14:paraId="38936E8E" w14:textId="77777777" w:rsidTr="00A5668C">
        <w:trPr>
          <w:cantSplit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656A16F6" w14:textId="015E5E0A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4 ноября 2024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  <w:shd w:val="clear" w:color="auto" w:fill="D9D9D9" w:themeFill="background1" w:themeFillShade="D9"/>
          </w:tcPr>
          <w:p w14:paraId="31FFD8CC" w14:textId="75391B18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 xml:space="preserve">Второй проект отчета Генерального секретаря, составленный с учетом итогов обсуждения в рамках первого собрания НГЭ и включающий </w:t>
            </w:r>
            <w:r w:rsidR="00D30A0F" w:rsidRPr="00A5668C">
              <w:rPr>
                <w:lang w:val="ru-RU"/>
              </w:rPr>
              <w:t>планы</w:t>
            </w:r>
            <w:r w:rsidRPr="00A5668C">
              <w:rPr>
                <w:lang w:val="ru-RU"/>
              </w:rPr>
              <w:t xml:space="preserve"> проектов мнений, будет размещен в онлайновой форме.</w:t>
            </w:r>
          </w:p>
          <w:p w14:paraId="3F2CE67F" w14:textId="3EB9967F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Проект будет также представлен в онлайновой форме для проведения открытых публичных консультаций</w:t>
            </w:r>
          </w:p>
        </w:tc>
      </w:tr>
      <w:tr w:rsidR="00C8553B" w:rsidRPr="00C62B68" w14:paraId="111053CB" w14:textId="77777777" w:rsidTr="00A5668C">
        <w:trPr>
          <w:cantSplit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0B04FDF4" w14:textId="6AAE1FD4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20 декабря 2024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  <w:shd w:val="clear" w:color="auto" w:fill="D9D9D9" w:themeFill="background1" w:themeFillShade="D9"/>
          </w:tcPr>
          <w:p w14:paraId="598F2E3D" w14:textId="77777777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Предельный срок для получения замечаний по второму проекту, а также вкладов по возможным проектам мнений.</w:t>
            </w:r>
          </w:p>
          <w:p w14:paraId="64EDC7A1" w14:textId="72F8158B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Предельный срок для представления вкладов в рамках открытых публичных консультаций</w:t>
            </w:r>
          </w:p>
        </w:tc>
      </w:tr>
      <w:tr w:rsidR="00C8553B" w:rsidRPr="00C62B68" w14:paraId="726CAD5F" w14:textId="77777777" w:rsidTr="00A5668C">
        <w:trPr>
          <w:cantSplit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3A6B403A" w14:textId="77777777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Второе собрание НГЭ (февраль 2025 г. в ходе блока собраний РГС)</w:t>
            </w:r>
          </w:p>
        </w:tc>
        <w:tc>
          <w:tcPr>
            <w:tcW w:w="7092" w:type="dxa"/>
            <w:shd w:val="clear" w:color="auto" w:fill="D9D9D9" w:themeFill="background1" w:themeFillShade="D9"/>
          </w:tcPr>
          <w:p w14:paraId="3F8BD4BA" w14:textId="325F77A6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Второе собрание группы экспертов для обсуждения второго проекта отчета Генерального секретаря, а также возможных проектов мнений и полученных замечаний, включая замечания, представленные в рамках открытых публичных консультаций</w:t>
            </w:r>
          </w:p>
        </w:tc>
      </w:tr>
      <w:tr w:rsidR="00C8553B" w:rsidRPr="00C62B68" w14:paraId="7A7C2774" w14:textId="77777777" w:rsidTr="00A5668C">
        <w:trPr>
          <w:cantSplit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4E44127E" w14:textId="0AF32A63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31 марта 2025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  <w:shd w:val="clear" w:color="auto" w:fill="D9D9D9" w:themeFill="background1" w:themeFillShade="D9"/>
          </w:tcPr>
          <w:p w14:paraId="248644B7" w14:textId="69265452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Третий проект отчета Генерального секретаря, составленный с учетом итогов</w:t>
            </w:r>
            <w:r w:rsidR="00246D2E">
              <w:rPr>
                <w:lang w:val="ru-RU"/>
              </w:rPr>
              <w:t> </w:t>
            </w:r>
            <w:r w:rsidRPr="00A5668C">
              <w:rPr>
                <w:lang w:val="ru-RU"/>
              </w:rPr>
              <w:t xml:space="preserve">обсуждения в рамках второго собрания НГЭ </w:t>
            </w:r>
            <w:r w:rsidR="00700DCB" w:rsidRPr="00A5668C">
              <w:rPr>
                <w:lang w:val="ru-RU"/>
              </w:rPr>
              <w:t>и включающий тексты возможных проектов мнений в виде приложения, б</w:t>
            </w:r>
            <w:r w:rsidRPr="00A5668C">
              <w:rPr>
                <w:lang w:val="ru-RU"/>
              </w:rPr>
              <w:t>удет опубликован в</w:t>
            </w:r>
            <w:r w:rsidR="00246D2E">
              <w:rPr>
                <w:lang w:val="ru-RU"/>
              </w:rPr>
              <w:t> </w:t>
            </w:r>
            <w:r w:rsidRPr="00A5668C">
              <w:rPr>
                <w:lang w:val="ru-RU"/>
              </w:rPr>
              <w:t>онлайновой форме</w:t>
            </w:r>
            <w:r w:rsidR="00700DCB" w:rsidRPr="00A5668C">
              <w:rPr>
                <w:lang w:val="ru-RU"/>
              </w:rPr>
              <w:t>.</w:t>
            </w:r>
          </w:p>
          <w:p w14:paraId="4E06EB42" w14:textId="4FF3D8C5" w:rsidR="00C8553B" w:rsidRPr="00A5668C" w:rsidRDefault="001B7A1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Данный п</w:t>
            </w:r>
            <w:r w:rsidR="00C8553B" w:rsidRPr="00A5668C">
              <w:rPr>
                <w:lang w:val="ru-RU"/>
              </w:rPr>
              <w:t>роект будет также представлен в онлайновой форме для проведения открытых публичных консультаций</w:t>
            </w:r>
          </w:p>
        </w:tc>
      </w:tr>
      <w:tr w:rsidR="00C8553B" w:rsidRPr="00C62B68" w14:paraId="571762B9" w14:textId="77777777" w:rsidTr="00A5668C">
        <w:trPr>
          <w:cantSplit/>
          <w:jc w:val="center"/>
        </w:trPr>
        <w:tc>
          <w:tcPr>
            <w:tcW w:w="2547" w:type="dxa"/>
          </w:tcPr>
          <w:p w14:paraId="08027D3D" w14:textId="007C330E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16 июня 2025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</w:tcPr>
          <w:p w14:paraId="628B3672" w14:textId="43BB3AF1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 xml:space="preserve">Предельный срок для получения замечаний по третьему проекту, </w:t>
            </w:r>
            <w:r w:rsidR="001B7A1B" w:rsidRPr="00A5668C">
              <w:rPr>
                <w:lang w:val="ru-RU"/>
              </w:rPr>
              <w:t>включая</w:t>
            </w:r>
            <w:r w:rsidR="00337E14">
              <w:rPr>
                <w:lang w:val="ru-RU"/>
              </w:rPr>
              <w:t> </w:t>
            </w:r>
            <w:r w:rsidR="001B7A1B" w:rsidRPr="00A5668C">
              <w:rPr>
                <w:lang w:val="ru-RU"/>
              </w:rPr>
              <w:t>возможные проекты мнений</w:t>
            </w:r>
            <w:r w:rsidRPr="00A5668C">
              <w:rPr>
                <w:lang w:val="ru-RU"/>
              </w:rPr>
              <w:t>.</w:t>
            </w:r>
          </w:p>
          <w:p w14:paraId="11B4907A" w14:textId="28C2B081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 xml:space="preserve">Предельный срок для </w:t>
            </w:r>
            <w:r w:rsidR="001B7A1B" w:rsidRPr="00A5668C">
              <w:rPr>
                <w:lang w:val="ru-RU"/>
              </w:rPr>
              <w:t>получения замечаний</w:t>
            </w:r>
            <w:r w:rsidRPr="00A5668C">
              <w:rPr>
                <w:lang w:val="ru-RU"/>
              </w:rPr>
              <w:t xml:space="preserve"> в рамках открытых публичных консультаций</w:t>
            </w:r>
          </w:p>
        </w:tc>
      </w:tr>
      <w:tr w:rsidR="00C8553B" w:rsidRPr="00C62B68" w14:paraId="3734F4A2" w14:textId="77777777" w:rsidTr="00A5668C">
        <w:trPr>
          <w:cantSplit/>
          <w:jc w:val="center"/>
        </w:trPr>
        <w:tc>
          <w:tcPr>
            <w:tcW w:w="2547" w:type="dxa"/>
          </w:tcPr>
          <w:p w14:paraId="37333B35" w14:textId="77777777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Третье собрание НГЭ (сентябрь 2025 г. в ходе блока собраний РГС)</w:t>
            </w:r>
          </w:p>
        </w:tc>
        <w:tc>
          <w:tcPr>
            <w:tcW w:w="7092" w:type="dxa"/>
          </w:tcPr>
          <w:p w14:paraId="43733E97" w14:textId="4FFA1530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Третье собрание группы экспертов для обсуждения третьего проекта отчета Генерального секретаря, а также возможных проектов мнений и полученных замечаний, включая замечания, представленные в рамках открытых публичных консультаций</w:t>
            </w:r>
          </w:p>
        </w:tc>
      </w:tr>
      <w:tr w:rsidR="00C8553B" w:rsidRPr="00C62B68" w14:paraId="2A78DE6F" w14:textId="77777777" w:rsidTr="00A5668C">
        <w:trPr>
          <w:cantSplit/>
          <w:jc w:val="center"/>
        </w:trPr>
        <w:tc>
          <w:tcPr>
            <w:tcW w:w="2547" w:type="dxa"/>
          </w:tcPr>
          <w:p w14:paraId="0599B329" w14:textId="3EDC30AE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3 ноября 2025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</w:tcPr>
          <w:p w14:paraId="747AEA3B" w14:textId="4D36A6D2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Четвертый проект отчета Генерального секретаря, составленный с учетом итогов обсуждени</w:t>
            </w:r>
            <w:r w:rsidR="00700DCB" w:rsidRPr="00A5668C">
              <w:rPr>
                <w:lang w:val="ru-RU"/>
              </w:rPr>
              <w:t>й</w:t>
            </w:r>
            <w:r w:rsidRPr="00A5668C">
              <w:rPr>
                <w:lang w:val="ru-RU"/>
              </w:rPr>
              <w:t xml:space="preserve"> в рамках третьего собрания НГЭ</w:t>
            </w:r>
            <w:r w:rsidR="00700DCB" w:rsidRPr="00A5668C">
              <w:rPr>
                <w:lang w:val="ru-RU"/>
              </w:rPr>
              <w:t xml:space="preserve"> и включающий</w:t>
            </w:r>
            <w:r w:rsidRPr="00A5668C">
              <w:rPr>
                <w:lang w:val="ru-RU"/>
              </w:rPr>
              <w:t xml:space="preserve"> проекты мнений</w:t>
            </w:r>
            <w:r w:rsidR="001B7A1B" w:rsidRPr="00A5668C">
              <w:rPr>
                <w:lang w:val="ru-RU"/>
              </w:rPr>
              <w:t xml:space="preserve"> в виде приложения</w:t>
            </w:r>
            <w:r w:rsidR="00700DCB" w:rsidRPr="00A5668C">
              <w:rPr>
                <w:lang w:val="ru-RU"/>
              </w:rPr>
              <w:t>, будет опубликован в онлайновой форме</w:t>
            </w:r>
          </w:p>
        </w:tc>
      </w:tr>
      <w:tr w:rsidR="00C8553B" w:rsidRPr="00C62B68" w14:paraId="5B444AA6" w14:textId="77777777" w:rsidTr="00A5668C">
        <w:trPr>
          <w:cantSplit/>
          <w:jc w:val="center"/>
        </w:trPr>
        <w:tc>
          <w:tcPr>
            <w:tcW w:w="2547" w:type="dxa"/>
          </w:tcPr>
          <w:p w14:paraId="79FA0BAE" w14:textId="7953B1A9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19 декабря 2025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</w:tcPr>
          <w:p w14:paraId="089F1DBB" w14:textId="6E005765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 xml:space="preserve">Предельный срок для получения замечаний по четвертому проекту, </w:t>
            </w:r>
            <w:r w:rsidR="001B7A1B" w:rsidRPr="00A5668C">
              <w:rPr>
                <w:lang w:val="ru-RU"/>
              </w:rPr>
              <w:t>включая</w:t>
            </w:r>
            <w:r w:rsidR="00337E14">
              <w:rPr>
                <w:lang w:val="ru-RU"/>
              </w:rPr>
              <w:t> </w:t>
            </w:r>
            <w:r w:rsidRPr="00A5668C">
              <w:rPr>
                <w:lang w:val="ru-RU"/>
              </w:rPr>
              <w:t>тексты проектов мнений</w:t>
            </w:r>
          </w:p>
        </w:tc>
      </w:tr>
      <w:tr w:rsidR="00C8553B" w:rsidRPr="00C62B68" w14:paraId="05BA05F6" w14:textId="77777777" w:rsidTr="00A5668C">
        <w:trPr>
          <w:cantSplit/>
          <w:jc w:val="center"/>
        </w:trPr>
        <w:tc>
          <w:tcPr>
            <w:tcW w:w="2547" w:type="dxa"/>
          </w:tcPr>
          <w:p w14:paraId="65F0B997" w14:textId="739C9901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lastRenderedPageBreak/>
              <w:t>Четвертое собрание НГЭ (январь 2026 г. в</w:t>
            </w:r>
            <w:r w:rsidR="00A5668C">
              <w:rPr>
                <w:b/>
                <w:bCs/>
                <w:lang w:val="ru-RU"/>
              </w:rPr>
              <w:t xml:space="preserve"> </w:t>
            </w:r>
            <w:r w:rsidRPr="00A5668C">
              <w:rPr>
                <w:b/>
                <w:bCs/>
                <w:lang w:val="ru-RU"/>
              </w:rPr>
              <w:t>ходе блока собраний РГС)</w:t>
            </w:r>
          </w:p>
        </w:tc>
        <w:tc>
          <w:tcPr>
            <w:tcW w:w="7092" w:type="dxa"/>
          </w:tcPr>
          <w:p w14:paraId="5F0CB649" w14:textId="2807B521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 xml:space="preserve">Четвертое собрание группы экспертов для доработки проекта отчета Генерального секретаря, включая </w:t>
            </w:r>
            <w:r w:rsidR="001B7A1B" w:rsidRPr="00A5668C">
              <w:rPr>
                <w:lang w:val="ru-RU"/>
              </w:rPr>
              <w:t>заключительные</w:t>
            </w:r>
            <w:r w:rsidRPr="00A5668C">
              <w:rPr>
                <w:lang w:val="ru-RU"/>
              </w:rPr>
              <w:t xml:space="preserve"> тексты проектов мнений, для представления седьмому ВФПЭ</w:t>
            </w:r>
          </w:p>
        </w:tc>
      </w:tr>
      <w:tr w:rsidR="00C8553B" w:rsidRPr="00C62B68" w14:paraId="1AEA657E" w14:textId="77777777" w:rsidTr="00A5668C">
        <w:trPr>
          <w:cantSplit/>
          <w:jc w:val="center"/>
        </w:trPr>
        <w:tc>
          <w:tcPr>
            <w:tcW w:w="2547" w:type="dxa"/>
          </w:tcPr>
          <w:p w14:paraId="4C835002" w14:textId="4115DE2A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13 апреля 2026 г</w:t>
            </w:r>
            <w:r w:rsidR="00A5668C" w:rsidRPr="00246D2E">
              <w:rPr>
                <w:lang w:val="ru-RU"/>
              </w:rPr>
              <w:t>.</w:t>
            </w:r>
          </w:p>
        </w:tc>
        <w:tc>
          <w:tcPr>
            <w:tcW w:w="7092" w:type="dxa"/>
          </w:tcPr>
          <w:p w14:paraId="64A14BEB" w14:textId="4ABC78F9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Заключительный отчет Генерального секретаря для ВФПЭ, включая проекты мнений, будет размещен в онлайновой форме</w:t>
            </w:r>
          </w:p>
        </w:tc>
      </w:tr>
      <w:tr w:rsidR="00C8553B" w:rsidRPr="00C62B68" w14:paraId="3895F63E" w14:textId="77777777" w:rsidTr="00A5668C">
        <w:trPr>
          <w:cantSplit/>
          <w:jc w:val="center"/>
        </w:trPr>
        <w:tc>
          <w:tcPr>
            <w:tcW w:w="2547" w:type="dxa"/>
          </w:tcPr>
          <w:p w14:paraId="2D445490" w14:textId="3AA42E6C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b/>
                <w:bCs/>
                <w:lang w:val="ru-RU"/>
              </w:rPr>
            </w:pPr>
            <w:r w:rsidRPr="00A5668C">
              <w:rPr>
                <w:b/>
                <w:bCs/>
                <w:lang w:val="ru-RU"/>
              </w:rPr>
              <w:t>Первая половина 2026</w:t>
            </w:r>
            <w:r w:rsidR="00A5668C">
              <w:rPr>
                <w:b/>
                <w:bCs/>
                <w:lang w:val="ru-RU"/>
              </w:rPr>
              <w:t> </w:t>
            </w:r>
            <w:r w:rsidRPr="00A5668C">
              <w:rPr>
                <w:b/>
                <w:bCs/>
                <w:lang w:val="ru-RU"/>
              </w:rPr>
              <w:t>г</w:t>
            </w:r>
            <w:r w:rsidRPr="00246D2E">
              <w:rPr>
                <w:lang w:val="ru-RU"/>
              </w:rPr>
              <w:t>.</w:t>
            </w:r>
          </w:p>
        </w:tc>
        <w:tc>
          <w:tcPr>
            <w:tcW w:w="7092" w:type="dxa"/>
          </w:tcPr>
          <w:p w14:paraId="316CDE39" w14:textId="0647CEEC" w:rsidR="00C8553B" w:rsidRPr="00A5668C" w:rsidRDefault="00C8553B" w:rsidP="00246D2E">
            <w:pPr>
              <w:pStyle w:val="Tabletext"/>
              <w:spacing w:before="60" w:after="60"/>
              <w:ind w:left="113"/>
              <w:rPr>
                <w:lang w:val="ru-RU"/>
              </w:rPr>
            </w:pPr>
            <w:r w:rsidRPr="00A5668C">
              <w:rPr>
                <w:lang w:val="ru-RU"/>
              </w:rPr>
              <w:t>Седьмой Всемирный форум по политике в области электросвязи/</w:t>
            </w:r>
            <w:r w:rsidR="00337E14">
              <w:rPr>
                <w:lang w:val="ru-RU"/>
              </w:rPr>
              <w:br/>
            </w:r>
            <w:r w:rsidRPr="00A5668C">
              <w:rPr>
                <w:lang w:val="ru-RU"/>
              </w:rPr>
              <w:t>информационно-коммуникационных технологий</w:t>
            </w:r>
          </w:p>
        </w:tc>
      </w:tr>
    </w:tbl>
    <w:p w14:paraId="27A30621" w14:textId="77777777" w:rsidR="00A5668C" w:rsidRPr="00A5668C" w:rsidRDefault="00A5668C" w:rsidP="00246D2E">
      <w:pPr>
        <w:spacing w:before="720"/>
        <w:jc w:val="center"/>
        <w:rPr>
          <w:lang w:val="ru-RU"/>
        </w:rPr>
      </w:pPr>
      <w:r w:rsidRPr="00A5668C">
        <w:rPr>
          <w:lang w:val="ru-RU"/>
        </w:rPr>
        <w:t>______________</w:t>
      </w:r>
    </w:p>
    <w:sectPr w:rsidR="00A5668C" w:rsidRPr="00A5668C" w:rsidSect="00796BD3">
      <w:footerReference w:type="default" r:id="rId23"/>
      <w:headerReference w:type="first" r:id="rId24"/>
      <w:footerReference w:type="first" r:id="rId2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3B8C" w14:textId="77777777" w:rsidR="00B91FEA" w:rsidRDefault="00B91FEA">
      <w:r>
        <w:separator/>
      </w:r>
    </w:p>
  </w:endnote>
  <w:endnote w:type="continuationSeparator" w:id="0">
    <w:p w14:paraId="05484986" w14:textId="77777777" w:rsidR="00B91FEA" w:rsidRDefault="00B9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292753D" w14:textId="77777777" w:rsidTr="00E31DCE">
      <w:trPr>
        <w:jc w:val="center"/>
      </w:trPr>
      <w:tc>
        <w:tcPr>
          <w:tcW w:w="1803" w:type="dxa"/>
          <w:vAlign w:val="center"/>
        </w:tcPr>
        <w:p w14:paraId="1AF75445" w14:textId="664F261C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1D68A519" w14:textId="2B9FEC9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894610">
            <w:rPr>
              <w:bCs/>
              <w:lang w:val="ru-RU"/>
            </w:rPr>
            <w:t>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7A89819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86CEAF1" w14:textId="77777777" w:rsidTr="00E31DCE">
      <w:trPr>
        <w:jc w:val="center"/>
      </w:trPr>
      <w:tc>
        <w:tcPr>
          <w:tcW w:w="1803" w:type="dxa"/>
          <w:vAlign w:val="center"/>
        </w:tcPr>
        <w:p w14:paraId="4376E1A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42BB59B2" w14:textId="22A4257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B01C81">
            <w:rPr>
              <w:bCs/>
              <w:lang w:val="ru-RU"/>
            </w:rPr>
            <w:t>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57DDAE4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B33E" w14:textId="77777777" w:rsidR="00B91FEA" w:rsidRDefault="00B91FEA">
      <w:r>
        <w:t>____________________</w:t>
      </w:r>
    </w:p>
  </w:footnote>
  <w:footnote w:type="continuationSeparator" w:id="0">
    <w:p w14:paraId="0F4F9FA1" w14:textId="77777777" w:rsidR="00B91FEA" w:rsidRDefault="00B9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0876D251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1E07D540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0B9497FA" wp14:editId="5E9707EB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2D8CAA87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16F15A9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7A1C1" wp14:editId="1CA54BB9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D5D97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3B"/>
    <w:rsid w:val="00005BE0"/>
    <w:rsid w:val="0002183E"/>
    <w:rsid w:val="000569B4"/>
    <w:rsid w:val="0006007D"/>
    <w:rsid w:val="00080E82"/>
    <w:rsid w:val="000B2DE7"/>
    <w:rsid w:val="000E568E"/>
    <w:rsid w:val="0014229E"/>
    <w:rsid w:val="0014734F"/>
    <w:rsid w:val="00156890"/>
    <w:rsid w:val="0015710D"/>
    <w:rsid w:val="00163A32"/>
    <w:rsid w:val="00165D06"/>
    <w:rsid w:val="00192B41"/>
    <w:rsid w:val="001B7A1B"/>
    <w:rsid w:val="001B7B09"/>
    <w:rsid w:val="001E6719"/>
    <w:rsid w:val="001E7F50"/>
    <w:rsid w:val="00225368"/>
    <w:rsid w:val="00227FF0"/>
    <w:rsid w:val="00240B32"/>
    <w:rsid w:val="00246D2E"/>
    <w:rsid w:val="00291EB6"/>
    <w:rsid w:val="002C3F32"/>
    <w:rsid w:val="002D2F57"/>
    <w:rsid w:val="002D48C5"/>
    <w:rsid w:val="0032116B"/>
    <w:rsid w:val="0033025A"/>
    <w:rsid w:val="00337E14"/>
    <w:rsid w:val="00345D2A"/>
    <w:rsid w:val="003513C3"/>
    <w:rsid w:val="003F099E"/>
    <w:rsid w:val="003F235E"/>
    <w:rsid w:val="00401FD7"/>
    <w:rsid w:val="004023E0"/>
    <w:rsid w:val="00403DD8"/>
    <w:rsid w:val="00442515"/>
    <w:rsid w:val="0045686C"/>
    <w:rsid w:val="00474029"/>
    <w:rsid w:val="004918C4"/>
    <w:rsid w:val="00496A91"/>
    <w:rsid w:val="00497703"/>
    <w:rsid w:val="004A0374"/>
    <w:rsid w:val="004A45B5"/>
    <w:rsid w:val="004C3C6A"/>
    <w:rsid w:val="004D0129"/>
    <w:rsid w:val="00515795"/>
    <w:rsid w:val="00520379"/>
    <w:rsid w:val="00520487"/>
    <w:rsid w:val="005966CC"/>
    <w:rsid w:val="005A64D5"/>
    <w:rsid w:val="005B3DEC"/>
    <w:rsid w:val="00601994"/>
    <w:rsid w:val="006563E2"/>
    <w:rsid w:val="00660449"/>
    <w:rsid w:val="00664B58"/>
    <w:rsid w:val="00672F8A"/>
    <w:rsid w:val="0069640B"/>
    <w:rsid w:val="006E2D42"/>
    <w:rsid w:val="00700DCB"/>
    <w:rsid w:val="00703676"/>
    <w:rsid w:val="00707304"/>
    <w:rsid w:val="00732269"/>
    <w:rsid w:val="007346B7"/>
    <w:rsid w:val="00762555"/>
    <w:rsid w:val="0077110E"/>
    <w:rsid w:val="00785ABD"/>
    <w:rsid w:val="00796BD3"/>
    <w:rsid w:val="007A2DD4"/>
    <w:rsid w:val="007D38B5"/>
    <w:rsid w:val="007E7EA0"/>
    <w:rsid w:val="008027A7"/>
    <w:rsid w:val="00807255"/>
    <w:rsid w:val="0081023E"/>
    <w:rsid w:val="008173AA"/>
    <w:rsid w:val="00840A14"/>
    <w:rsid w:val="00894610"/>
    <w:rsid w:val="008B62B4"/>
    <w:rsid w:val="008D2D7B"/>
    <w:rsid w:val="008E0737"/>
    <w:rsid w:val="008F7C2C"/>
    <w:rsid w:val="00940E96"/>
    <w:rsid w:val="00950A82"/>
    <w:rsid w:val="009552B1"/>
    <w:rsid w:val="009B0BAE"/>
    <w:rsid w:val="009C1C89"/>
    <w:rsid w:val="009F3448"/>
    <w:rsid w:val="00A01CF9"/>
    <w:rsid w:val="00A20B63"/>
    <w:rsid w:val="00A5668C"/>
    <w:rsid w:val="00A71773"/>
    <w:rsid w:val="00A817A5"/>
    <w:rsid w:val="00AA4F7A"/>
    <w:rsid w:val="00AE2C85"/>
    <w:rsid w:val="00B0107F"/>
    <w:rsid w:val="00B01C81"/>
    <w:rsid w:val="00B0303F"/>
    <w:rsid w:val="00B12A37"/>
    <w:rsid w:val="00B41837"/>
    <w:rsid w:val="00B63EF2"/>
    <w:rsid w:val="00B91FEA"/>
    <w:rsid w:val="00BA7D89"/>
    <w:rsid w:val="00BB5F41"/>
    <w:rsid w:val="00BC0D39"/>
    <w:rsid w:val="00BC7BC0"/>
    <w:rsid w:val="00BD57B7"/>
    <w:rsid w:val="00BE63E2"/>
    <w:rsid w:val="00C10CFB"/>
    <w:rsid w:val="00C462C5"/>
    <w:rsid w:val="00C62B68"/>
    <w:rsid w:val="00C8553B"/>
    <w:rsid w:val="00CD2009"/>
    <w:rsid w:val="00CF629C"/>
    <w:rsid w:val="00D30A0F"/>
    <w:rsid w:val="00D631AA"/>
    <w:rsid w:val="00D84580"/>
    <w:rsid w:val="00D92EEA"/>
    <w:rsid w:val="00DA5D4E"/>
    <w:rsid w:val="00DA770A"/>
    <w:rsid w:val="00E0479E"/>
    <w:rsid w:val="00E05752"/>
    <w:rsid w:val="00E175B3"/>
    <w:rsid w:val="00E176BA"/>
    <w:rsid w:val="00E423EC"/>
    <w:rsid w:val="00E55121"/>
    <w:rsid w:val="00EB4FCB"/>
    <w:rsid w:val="00EC6BC5"/>
    <w:rsid w:val="00F348D0"/>
    <w:rsid w:val="00F35898"/>
    <w:rsid w:val="00F5225B"/>
    <w:rsid w:val="00FA2BFC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3EA7A8"/>
  <w15:docId w15:val="{80FCF967-6779-3C41-BE59-DD80770B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C62B68"/>
    <w:rPr>
      <w:color w:val="0070C0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A5668C"/>
    <w:pPr>
      <w:framePr w:hSpace="180" w:wrap="around" w:hAnchor="page" w:x="1821" w:y="2317"/>
      <w:spacing w:before="120" w:after="160"/>
      <w:jc w:val="left"/>
    </w:pPr>
    <w:rPr>
      <w:caps w:val="0"/>
      <w:sz w:val="32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02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47/en" TargetMode="External"/><Relationship Id="rId13" Type="http://schemas.openxmlformats.org/officeDocument/2006/relationships/hyperlink" Target="https://www.itu.int/md/S24-CL-C-0136/en" TargetMode="External"/><Relationship Id="rId18" Type="http://schemas.openxmlformats.org/officeDocument/2006/relationships/hyperlink" Target="https://www.itu.int/md/S24-CL-C-0136/e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tpf.itu.int/2026/" TargetMode="External"/><Relationship Id="rId7" Type="http://schemas.openxmlformats.org/officeDocument/2006/relationships/hyperlink" Target="https://www.itu.int/md/S25-CL-C-0043/en" TargetMode="External"/><Relationship Id="rId12" Type="http://schemas.openxmlformats.org/officeDocument/2006/relationships/hyperlink" Target="https://www.itu.int/md/S24-CL-C-0136/en" TargetMode="External"/><Relationship Id="rId17" Type="http://schemas.openxmlformats.org/officeDocument/2006/relationships/hyperlink" Target="https://www.itu.int/en/council/ties/Documents/2025/IEG-WTPF26-Final%20list%20of%20participants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tu.int/md/S24-SG-CIR-0044/en" TargetMode="External"/><Relationship Id="rId20" Type="http://schemas.openxmlformats.org/officeDocument/2006/relationships/hyperlink" Target="mailto:iegwtpf21@lists.itu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4-CL-C-0005/e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4-CL-C-0136/e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S22-PP-C-0207/en" TargetMode="External"/><Relationship Id="rId19" Type="http://schemas.openxmlformats.org/officeDocument/2006/relationships/hyperlink" Target="https://www.itu.int/en/council/Pages/ieg-wtpf-26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RES-002-R.pdf" TargetMode="External"/><Relationship Id="rId14" Type="http://schemas.openxmlformats.org/officeDocument/2006/relationships/hyperlink" Target="https://www.itu.int/md/S24-CL-C-0136/en" TargetMode="External"/><Relationship Id="rId22" Type="http://schemas.openxmlformats.org/officeDocument/2006/relationships/hyperlink" Target="https://www.itu.int/md/S24-SG-CIR-0069/en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1531</Words>
  <Characters>10251</Characters>
  <Application>Microsoft Office Word</Application>
  <DocSecurity>0</DocSecurity>
  <Lines>207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Preparation for the 2026 World Telecommunication/ICT Policy Forum (WTPF-26)</vt:lpstr>
      <vt:lpstr/>
    </vt:vector>
  </TitlesOfParts>
  <Manager>General Secretariat - Pool</Manager>
  <Company>International Telecommunication Union (ITU)</Company>
  <LinksUpToDate>false</LinksUpToDate>
  <CharactersWithSpaces>11710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the 2026 World Telecommunication/ICT Policy Forum (WTPF-26)</dc:title>
  <dc:subject>ITU Council 2025</dc:subject>
  <cp:keywords>C2025, C25, Council-25</cp:keywords>
  <dc:description/>
  <cp:lastPrinted>2006-03-28T16:12:00Z</cp:lastPrinted>
  <dcterms:created xsi:type="dcterms:W3CDTF">2025-06-04T10:35:00Z</dcterms:created>
  <dcterms:modified xsi:type="dcterms:W3CDTF">2025-06-04T10:35:00Z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