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0364A165"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3C5378">
              <w:rPr>
                <w:b/>
              </w:rPr>
              <w:t>PL 3</w:t>
            </w:r>
          </w:p>
        </w:tc>
        <w:tc>
          <w:tcPr>
            <w:tcW w:w="5245" w:type="dxa"/>
          </w:tcPr>
          <w:p w14:paraId="6779937E" w14:textId="158966D6"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3C5378">
              <w:rPr>
                <w:b/>
              </w:rPr>
              <w:t>4</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0D02C2D8" w:rsidR="00AD3606" w:rsidRPr="00C0458D" w:rsidRDefault="00DF339C" w:rsidP="00AD3606">
            <w:pPr>
              <w:tabs>
                <w:tab w:val="left" w:pos="851"/>
              </w:tabs>
              <w:spacing w:before="0"/>
              <w:jc w:val="right"/>
              <w:rPr>
                <w:b/>
              </w:rPr>
            </w:pPr>
            <w:r>
              <w:rPr>
                <w:b/>
              </w:rPr>
              <w:t>16 May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0AD3606">
        <w:trPr>
          <w:cantSplit/>
        </w:trPr>
        <w:tc>
          <w:tcPr>
            <w:tcW w:w="9214" w:type="dxa"/>
            <w:gridSpan w:val="2"/>
            <w:tcMar>
              <w:left w:w="0" w:type="dxa"/>
            </w:tcMar>
          </w:tcPr>
          <w:p w14:paraId="2A2DCF47" w14:textId="19E46475" w:rsidR="00AD3606" w:rsidRPr="000F7289" w:rsidRDefault="00831B25" w:rsidP="000F7289">
            <w:pPr>
              <w:pStyle w:val="Subtitle"/>
              <w:framePr w:hSpace="0" w:wrap="auto" w:xAlign="left" w:yAlign="inline"/>
            </w:pPr>
            <w:bookmarkStart w:id="9" w:name="dtitle1" w:colFirst="0" w:colLast="0"/>
            <w:bookmarkEnd w:id="8"/>
            <w:r>
              <w:t>PREPARATIONS FOR THE 2026 PLENIPOTENTIARY CONFERENCE</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19266C8B" w:rsidR="00AD3606" w:rsidRPr="00C0458D" w:rsidRDefault="00574FFA" w:rsidP="00F16BAB">
            <w:r w:rsidRPr="00574FFA">
              <w:t>The purpose of this document is to update the Council on the status of preparations for the forthcoming Plenipotentiary Conference (PP-2</w:t>
            </w:r>
            <w:r>
              <w:t>6</w:t>
            </w:r>
            <w:r w:rsidRPr="00574FFA">
              <w:t>).</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437C9F82" w:rsidR="00722551" w:rsidRDefault="00831B25" w:rsidP="00722551">
            <w:r w:rsidRPr="00831B25">
              <w:t xml:space="preserve">The Council is invited </w:t>
            </w:r>
            <w:r w:rsidRPr="00C82DE3">
              <w:t>to</w:t>
            </w:r>
            <w:r w:rsidRPr="00C82DE3">
              <w:rPr>
                <w:b/>
                <w:bCs/>
              </w:rPr>
              <w:t xml:space="preserve"> note</w:t>
            </w:r>
            <w:r w:rsidRPr="00831B25">
              <w:t xml:space="preserve"> the current status of the preparations for PP-</w:t>
            </w:r>
            <w:r>
              <w:t xml:space="preserve">26, </w:t>
            </w:r>
            <w:r w:rsidRPr="00C82DE3">
              <w:rPr>
                <w:b/>
                <w:bCs/>
              </w:rPr>
              <w:t>approve</w:t>
            </w:r>
            <w:r>
              <w:t xml:space="preserve"> the ethical guidelines, and </w:t>
            </w:r>
            <w:r w:rsidRPr="00C82DE3">
              <w:rPr>
                <w:b/>
                <w:bCs/>
              </w:rPr>
              <w:t>consider</w:t>
            </w:r>
            <w:r>
              <w:t xml:space="preserve"> the proposed improvements</w:t>
            </w:r>
            <w:r w:rsidRPr="00831B25">
              <w: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41C7C73F" w:rsidR="00722551" w:rsidRPr="00F16BAB" w:rsidRDefault="00C82DE3" w:rsidP="00722551">
            <w:r>
              <w:t>Convening platforms.</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655AA1E9" w:rsidR="00453079" w:rsidRPr="00453079" w:rsidRDefault="00C82DE3" w:rsidP="00F16BAB">
            <w:pPr>
              <w:spacing w:before="160"/>
              <w:rPr>
                <w:szCs w:val="24"/>
              </w:rPr>
            </w:pPr>
            <w:r>
              <w:rPr>
                <w:szCs w:val="24"/>
              </w:rPr>
              <w:t>Within the allocated budget 2024-2025 and foreseen budget 2026-2027.</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1DCEF5E4" w:rsidR="00AD3606" w:rsidRPr="00F958C4" w:rsidRDefault="00F958C4" w:rsidP="00F16BAB">
            <w:pPr>
              <w:spacing w:after="160"/>
              <w:rPr>
                <w:i/>
                <w:iCs/>
                <w:sz w:val="22"/>
                <w:szCs w:val="22"/>
              </w:rPr>
            </w:pPr>
            <w:r w:rsidRPr="00F958C4">
              <w:rPr>
                <w:i/>
                <w:iCs/>
                <w:sz w:val="22"/>
                <w:szCs w:val="22"/>
              </w:rPr>
              <w:t xml:space="preserve">Documents </w:t>
            </w:r>
            <w:hyperlink r:id="rId11" w:history="1">
              <w:r w:rsidRPr="00F958C4">
                <w:rPr>
                  <w:rStyle w:val="Hyperlink"/>
                  <w:i/>
                  <w:iCs/>
                  <w:sz w:val="22"/>
                  <w:szCs w:val="22"/>
                </w:rPr>
                <w:t>PP-14/75</w:t>
              </w:r>
            </w:hyperlink>
            <w:r w:rsidRPr="00F958C4">
              <w:rPr>
                <w:i/>
                <w:iCs/>
                <w:sz w:val="22"/>
                <w:szCs w:val="22"/>
              </w:rPr>
              <w:t xml:space="preserve"> (</w:t>
            </w:r>
            <w:r w:rsidR="00AD3438" w:rsidRPr="00F958C4">
              <w:rPr>
                <w:rFonts w:asciiTheme="minorHAnsi" w:eastAsia="Arial Unicode MS" w:hAnsiTheme="minorHAnsi" w:cstheme="minorHAnsi"/>
                <w:i/>
                <w:iCs/>
                <w:sz w:val="22"/>
                <w:szCs w:val="22"/>
              </w:rPr>
              <w:t>B/75/1</w:t>
            </w:r>
            <w:r w:rsidRPr="00F958C4">
              <w:rPr>
                <w:i/>
                <w:iCs/>
                <w:sz w:val="22"/>
                <w:szCs w:val="22"/>
              </w:rPr>
              <w:t>),</w:t>
            </w:r>
            <w:r w:rsidR="007C2CD0" w:rsidRPr="00F958C4">
              <w:rPr>
                <w:i/>
                <w:iCs/>
                <w:sz w:val="22"/>
                <w:szCs w:val="22"/>
              </w:rPr>
              <w:t xml:space="preserve"> </w:t>
            </w:r>
            <w:hyperlink r:id="rId12" w:history="1">
              <w:r w:rsidR="00AD3438" w:rsidRPr="00F958C4">
                <w:rPr>
                  <w:rStyle w:val="Hyperlink"/>
                  <w:rFonts w:asciiTheme="minorHAnsi" w:hAnsiTheme="minorHAnsi" w:cstheme="minorHAnsi"/>
                  <w:i/>
                  <w:iCs/>
                  <w:sz w:val="22"/>
                  <w:szCs w:val="22"/>
                </w:rPr>
                <w:t>PP-14/DT/66</w:t>
              </w:r>
            </w:hyperlink>
            <w:r w:rsidR="00AD3438" w:rsidRPr="00F958C4">
              <w:rPr>
                <w:rFonts w:asciiTheme="minorHAnsi" w:hAnsiTheme="minorHAnsi" w:cstheme="minorHAnsi"/>
                <w:i/>
                <w:iCs/>
                <w:sz w:val="22"/>
                <w:szCs w:val="22"/>
              </w:rPr>
              <w:t xml:space="preserve">, </w:t>
            </w:r>
            <w:hyperlink r:id="rId13" w:history="1">
              <w:r w:rsidR="00AD3438" w:rsidRPr="00F958C4">
                <w:rPr>
                  <w:rStyle w:val="Hyperlink"/>
                  <w:rFonts w:asciiTheme="minorHAnsi" w:eastAsia="Arial Unicode MS" w:hAnsiTheme="minorHAnsi" w:cstheme="minorHAnsi"/>
                  <w:i/>
                  <w:iCs/>
                  <w:sz w:val="22"/>
                  <w:szCs w:val="22"/>
                </w:rPr>
                <w:t>PP-14/161</w:t>
              </w:r>
            </w:hyperlink>
            <w:r w:rsidR="00AD3438" w:rsidRPr="00F958C4">
              <w:rPr>
                <w:rFonts w:asciiTheme="minorHAnsi" w:eastAsia="Arial Unicode MS" w:hAnsiTheme="minorHAnsi" w:cstheme="minorHAnsi"/>
                <w:i/>
                <w:iCs/>
                <w:sz w:val="22"/>
                <w:szCs w:val="22"/>
              </w:rPr>
              <w:t>,</w:t>
            </w:r>
            <w:r w:rsidR="00AD3438" w:rsidRPr="00F958C4">
              <w:rPr>
                <w:rFonts w:asciiTheme="minorHAnsi" w:hAnsiTheme="minorHAnsi" w:cstheme="minorHAnsi"/>
                <w:i/>
                <w:iCs/>
                <w:sz w:val="22"/>
                <w:szCs w:val="22"/>
              </w:rPr>
              <w:t xml:space="preserve"> </w:t>
            </w:r>
            <w:hyperlink r:id="rId14" w:history="1">
              <w:r w:rsidR="00AD3438" w:rsidRPr="00F958C4">
                <w:rPr>
                  <w:rStyle w:val="Hyperlink"/>
                  <w:rFonts w:asciiTheme="minorHAnsi" w:hAnsiTheme="minorHAnsi" w:cstheme="minorHAnsi"/>
                  <w:i/>
                  <w:iCs/>
                  <w:sz w:val="22"/>
                  <w:szCs w:val="22"/>
                </w:rPr>
                <w:t>PP-14/175 (Recommendation 8)</w:t>
              </w:r>
            </w:hyperlink>
            <w:r w:rsidR="00AD3438" w:rsidRPr="00F958C4">
              <w:rPr>
                <w:i/>
                <w:iCs/>
                <w:sz w:val="22"/>
                <w:szCs w:val="22"/>
              </w:rPr>
              <w:t xml:space="preserve"> </w:t>
            </w:r>
            <w:r w:rsidR="007C2CD0" w:rsidRPr="00F958C4">
              <w:rPr>
                <w:i/>
                <w:iCs/>
                <w:sz w:val="22"/>
                <w:szCs w:val="22"/>
              </w:rPr>
              <w:t xml:space="preserve">of the Plenipotentiary Conference (Busan, 2014); Council Documents </w:t>
            </w:r>
            <w:hyperlink r:id="rId15" w:history="1">
              <w:proofErr w:type="spellStart"/>
              <w:r w:rsidR="00AD3438" w:rsidRPr="00F958C4">
                <w:rPr>
                  <w:rStyle w:val="Hyperlink"/>
                  <w:rFonts w:asciiTheme="minorHAnsi" w:hAnsiTheme="minorHAnsi" w:cstheme="minorHAnsi"/>
                  <w:i/>
                  <w:iCs/>
                  <w:sz w:val="22"/>
                  <w:szCs w:val="22"/>
                </w:rPr>
                <w:t>C15</w:t>
              </w:r>
              <w:proofErr w:type="spellEnd"/>
              <w:r w:rsidR="00AD3438" w:rsidRPr="00F958C4">
                <w:rPr>
                  <w:rStyle w:val="Hyperlink"/>
                  <w:rFonts w:asciiTheme="minorHAnsi" w:hAnsiTheme="minorHAnsi" w:cstheme="minorHAnsi"/>
                  <w:i/>
                  <w:iCs/>
                  <w:sz w:val="22"/>
                  <w:szCs w:val="22"/>
                </w:rPr>
                <w:t>/4</w:t>
              </w:r>
            </w:hyperlink>
            <w:r w:rsidR="00AD3438" w:rsidRPr="00F958C4">
              <w:rPr>
                <w:i/>
                <w:iCs/>
                <w:sz w:val="22"/>
                <w:szCs w:val="22"/>
              </w:rPr>
              <w:t xml:space="preserve">, </w:t>
            </w:r>
            <w:hyperlink r:id="rId16" w:history="1">
              <w:proofErr w:type="spellStart"/>
              <w:r w:rsidR="00AD3438" w:rsidRPr="00F958C4">
                <w:rPr>
                  <w:rStyle w:val="Hyperlink"/>
                  <w:i/>
                  <w:iCs/>
                  <w:sz w:val="22"/>
                  <w:szCs w:val="22"/>
                </w:rPr>
                <w:t>C15</w:t>
              </w:r>
              <w:proofErr w:type="spellEnd"/>
              <w:r w:rsidR="00AD3438" w:rsidRPr="00F958C4">
                <w:rPr>
                  <w:rStyle w:val="Hyperlink"/>
                  <w:i/>
                  <w:iCs/>
                  <w:sz w:val="22"/>
                  <w:szCs w:val="22"/>
                </w:rPr>
                <w:t>/99</w:t>
              </w:r>
            </w:hyperlink>
            <w:r w:rsidR="00AD3438" w:rsidRPr="00F958C4">
              <w:rPr>
                <w:i/>
                <w:iCs/>
                <w:sz w:val="22"/>
                <w:szCs w:val="22"/>
              </w:rPr>
              <w:t xml:space="preserve">, </w:t>
            </w:r>
            <w:hyperlink r:id="rId17" w:history="1">
              <w:proofErr w:type="spellStart"/>
              <w:r w:rsidR="00AD3438" w:rsidRPr="00F958C4">
                <w:rPr>
                  <w:rStyle w:val="Hyperlink"/>
                  <w:i/>
                  <w:iCs/>
                  <w:sz w:val="22"/>
                  <w:szCs w:val="22"/>
                </w:rPr>
                <w:t>C16</w:t>
              </w:r>
              <w:proofErr w:type="spellEnd"/>
              <w:r w:rsidR="00AD3438" w:rsidRPr="00F958C4">
                <w:rPr>
                  <w:rStyle w:val="Hyperlink"/>
                  <w:i/>
                  <w:iCs/>
                  <w:sz w:val="22"/>
                  <w:szCs w:val="22"/>
                </w:rPr>
                <w:t>/4</w:t>
              </w:r>
            </w:hyperlink>
            <w:r w:rsidR="007C2CD0" w:rsidRPr="00F958C4">
              <w:rPr>
                <w:i/>
                <w:iCs/>
                <w:sz w:val="22"/>
                <w:szCs w:val="22"/>
              </w:rPr>
              <w:t xml:space="preserve"> and</w:t>
            </w:r>
            <w:r w:rsidR="00AD3438" w:rsidRPr="00F958C4">
              <w:rPr>
                <w:i/>
                <w:iCs/>
                <w:sz w:val="22"/>
                <w:szCs w:val="22"/>
              </w:rPr>
              <w:t xml:space="preserve"> </w:t>
            </w:r>
            <w:hyperlink r:id="rId18" w:history="1">
              <w:proofErr w:type="spellStart"/>
              <w:r w:rsidR="00AD3438" w:rsidRPr="00F958C4">
                <w:rPr>
                  <w:rStyle w:val="Hyperlink"/>
                  <w:i/>
                  <w:iCs/>
                  <w:sz w:val="22"/>
                  <w:szCs w:val="22"/>
                </w:rPr>
                <w:t>C16</w:t>
              </w:r>
              <w:proofErr w:type="spellEnd"/>
              <w:r w:rsidR="00AD3438" w:rsidRPr="00F958C4">
                <w:rPr>
                  <w:rStyle w:val="Hyperlink"/>
                  <w:i/>
                  <w:iCs/>
                  <w:sz w:val="22"/>
                  <w:szCs w:val="22"/>
                </w:rPr>
                <w:t>/120</w:t>
              </w:r>
            </w:hyperlink>
            <w:r w:rsidR="007C2CD0" w:rsidRPr="00F958C4">
              <w:rPr>
                <w:i/>
                <w:iCs/>
                <w:sz w:val="22"/>
                <w:szCs w:val="22"/>
              </w:rPr>
              <w:t xml:space="preserve">; Circular Letters </w:t>
            </w:r>
            <w:hyperlink r:id="rId19" w:history="1">
              <w:r w:rsidR="00AD3438" w:rsidRPr="00F958C4">
                <w:rPr>
                  <w:rStyle w:val="Hyperlink"/>
                  <w:i/>
                  <w:iCs/>
                  <w:sz w:val="22"/>
                  <w:szCs w:val="22"/>
                </w:rPr>
                <w:t>CL-16/48</w:t>
              </w:r>
            </w:hyperlink>
            <w:r w:rsidR="00AD3438" w:rsidRPr="00F958C4">
              <w:rPr>
                <w:i/>
                <w:iCs/>
                <w:sz w:val="22"/>
                <w:szCs w:val="22"/>
              </w:rPr>
              <w:t xml:space="preserve"> </w:t>
            </w:r>
            <w:r w:rsidR="007C2CD0" w:rsidRPr="00F958C4">
              <w:rPr>
                <w:i/>
                <w:iCs/>
                <w:sz w:val="22"/>
                <w:szCs w:val="22"/>
              </w:rPr>
              <w:t xml:space="preserve">and </w:t>
            </w:r>
            <w:hyperlink r:id="rId20" w:history="1">
              <w:r w:rsidR="00AD3438" w:rsidRPr="00F958C4">
                <w:rPr>
                  <w:rStyle w:val="Hyperlink"/>
                  <w:i/>
                  <w:iCs/>
                  <w:sz w:val="22"/>
                  <w:szCs w:val="22"/>
                </w:rPr>
                <w:t>CL-17/7</w:t>
              </w:r>
            </w:hyperlink>
            <w:r w:rsidR="007C2CD0" w:rsidRPr="00F958C4">
              <w:rPr>
                <w:i/>
                <w:iCs/>
                <w:sz w:val="22"/>
                <w:szCs w:val="22"/>
              </w:rPr>
              <w:t xml:space="preserve">; Document </w:t>
            </w:r>
            <w:hyperlink r:id="rId21" w:history="1">
              <w:r w:rsidR="007C2CD0" w:rsidRPr="00F958C4">
                <w:rPr>
                  <w:rStyle w:val="Hyperlink"/>
                  <w:i/>
                  <w:iCs/>
                  <w:sz w:val="22"/>
                  <w:szCs w:val="22"/>
                </w:rPr>
                <w:t>CWG-FHR</w:t>
              </w:r>
              <w:r w:rsidR="00730279">
                <w:rPr>
                  <w:rStyle w:val="Hyperlink"/>
                  <w:i/>
                  <w:iCs/>
                  <w:sz w:val="22"/>
                  <w:szCs w:val="22"/>
                </w:rPr>
                <w:t>-</w:t>
              </w:r>
              <w:r w:rsidR="007C2CD0" w:rsidRPr="00F958C4">
                <w:rPr>
                  <w:rStyle w:val="Hyperlink"/>
                  <w:i/>
                  <w:iCs/>
                  <w:sz w:val="22"/>
                  <w:szCs w:val="22"/>
                </w:rPr>
                <w:t>7/10</w:t>
              </w:r>
            </w:hyperlink>
            <w:r w:rsidR="007C2CD0" w:rsidRPr="00F958C4">
              <w:rPr>
                <w:i/>
                <w:iCs/>
                <w:sz w:val="22"/>
                <w:szCs w:val="22"/>
              </w:rPr>
              <w:t xml:space="preserve">; Council Documents </w:t>
            </w:r>
            <w:hyperlink r:id="rId22" w:history="1">
              <w:proofErr w:type="spellStart"/>
              <w:r w:rsidR="00AD3438" w:rsidRPr="00F958C4">
                <w:rPr>
                  <w:rStyle w:val="Hyperlink"/>
                  <w:i/>
                  <w:iCs/>
                  <w:sz w:val="22"/>
                  <w:szCs w:val="22"/>
                </w:rPr>
                <w:t>C17</w:t>
              </w:r>
              <w:proofErr w:type="spellEnd"/>
              <w:r w:rsidR="00AD3438" w:rsidRPr="00F958C4">
                <w:rPr>
                  <w:rStyle w:val="Hyperlink"/>
                  <w:i/>
                  <w:iCs/>
                  <w:sz w:val="22"/>
                  <w:szCs w:val="22"/>
                </w:rPr>
                <w:t>/INF/6</w:t>
              </w:r>
            </w:hyperlink>
            <w:r w:rsidR="00AD3438" w:rsidRPr="00F958C4">
              <w:rPr>
                <w:i/>
                <w:iCs/>
                <w:sz w:val="22"/>
                <w:szCs w:val="22"/>
              </w:rPr>
              <w:t xml:space="preserve">, </w:t>
            </w:r>
            <w:hyperlink r:id="rId23" w:history="1">
              <w:proofErr w:type="spellStart"/>
              <w:r w:rsidR="00AD3438" w:rsidRPr="00F958C4">
                <w:rPr>
                  <w:rStyle w:val="Hyperlink"/>
                  <w:i/>
                  <w:iCs/>
                  <w:sz w:val="22"/>
                  <w:szCs w:val="22"/>
                </w:rPr>
                <w:t>C17</w:t>
              </w:r>
              <w:proofErr w:type="spellEnd"/>
              <w:r w:rsidR="00AD3438" w:rsidRPr="00F958C4">
                <w:rPr>
                  <w:rStyle w:val="Hyperlink"/>
                  <w:i/>
                  <w:iCs/>
                  <w:sz w:val="22"/>
                  <w:szCs w:val="22"/>
                </w:rPr>
                <w:t>/4(</w:t>
              </w:r>
              <w:proofErr w:type="spellStart"/>
              <w:r w:rsidR="00AD3438" w:rsidRPr="00F958C4">
                <w:rPr>
                  <w:rStyle w:val="Hyperlink"/>
                  <w:i/>
                  <w:iCs/>
                  <w:sz w:val="22"/>
                  <w:szCs w:val="22"/>
                </w:rPr>
                <w:t>Rev.1</w:t>
              </w:r>
              <w:proofErr w:type="spellEnd"/>
              <w:r w:rsidR="00AD3438" w:rsidRPr="00F958C4">
                <w:rPr>
                  <w:rStyle w:val="Hyperlink"/>
                  <w:i/>
                  <w:iCs/>
                  <w:sz w:val="22"/>
                  <w:szCs w:val="22"/>
                </w:rPr>
                <w:t>)</w:t>
              </w:r>
            </w:hyperlink>
            <w:r w:rsidR="00AD3438" w:rsidRPr="00F958C4">
              <w:rPr>
                <w:i/>
                <w:iCs/>
                <w:sz w:val="22"/>
                <w:szCs w:val="22"/>
              </w:rPr>
              <w:t xml:space="preserve">, </w:t>
            </w:r>
            <w:hyperlink r:id="rId24" w:history="1">
              <w:proofErr w:type="spellStart"/>
              <w:r w:rsidR="00AD3438" w:rsidRPr="00F958C4">
                <w:rPr>
                  <w:rStyle w:val="Hyperlink"/>
                  <w:i/>
                  <w:iCs/>
                  <w:sz w:val="22"/>
                  <w:szCs w:val="22"/>
                </w:rPr>
                <w:t>C17</w:t>
              </w:r>
              <w:proofErr w:type="spellEnd"/>
              <w:r w:rsidR="00AD3438" w:rsidRPr="00F958C4">
                <w:rPr>
                  <w:rStyle w:val="Hyperlink"/>
                  <w:i/>
                  <w:iCs/>
                  <w:sz w:val="22"/>
                  <w:szCs w:val="22"/>
                </w:rPr>
                <w:t>/76(</w:t>
              </w:r>
              <w:proofErr w:type="spellStart"/>
              <w:r w:rsidR="00AD3438" w:rsidRPr="00F958C4">
                <w:rPr>
                  <w:rStyle w:val="Hyperlink"/>
                  <w:i/>
                  <w:iCs/>
                  <w:sz w:val="22"/>
                  <w:szCs w:val="22"/>
                </w:rPr>
                <w:t>Rev.1</w:t>
              </w:r>
              <w:proofErr w:type="spellEnd"/>
              <w:r w:rsidR="00AD3438" w:rsidRPr="00F958C4">
                <w:rPr>
                  <w:rStyle w:val="Hyperlink"/>
                  <w:i/>
                  <w:iCs/>
                  <w:sz w:val="22"/>
                  <w:szCs w:val="22"/>
                </w:rPr>
                <w:t>)</w:t>
              </w:r>
            </w:hyperlink>
            <w:r w:rsidR="00AD3438" w:rsidRPr="00F958C4">
              <w:rPr>
                <w:i/>
                <w:iCs/>
                <w:sz w:val="22"/>
                <w:szCs w:val="22"/>
              </w:rPr>
              <w:t xml:space="preserve">, </w:t>
            </w:r>
            <w:hyperlink r:id="rId25" w:history="1">
              <w:proofErr w:type="spellStart"/>
              <w:r w:rsidR="00AD3438" w:rsidRPr="00F958C4">
                <w:rPr>
                  <w:rStyle w:val="Hyperlink"/>
                  <w:i/>
                  <w:iCs/>
                  <w:sz w:val="22"/>
                  <w:szCs w:val="22"/>
                </w:rPr>
                <w:t>C17</w:t>
              </w:r>
              <w:proofErr w:type="spellEnd"/>
              <w:r w:rsidR="00AD3438" w:rsidRPr="00F958C4">
                <w:rPr>
                  <w:rStyle w:val="Hyperlink"/>
                  <w:i/>
                  <w:iCs/>
                  <w:sz w:val="22"/>
                  <w:szCs w:val="22"/>
                </w:rPr>
                <w:t>/78(</w:t>
              </w:r>
              <w:proofErr w:type="spellStart"/>
              <w:r w:rsidR="00AD3438" w:rsidRPr="00F958C4">
                <w:rPr>
                  <w:rStyle w:val="Hyperlink"/>
                  <w:i/>
                  <w:iCs/>
                  <w:sz w:val="22"/>
                  <w:szCs w:val="22"/>
                </w:rPr>
                <w:t>Rev.2</w:t>
              </w:r>
              <w:proofErr w:type="spellEnd"/>
              <w:r w:rsidR="00AD3438" w:rsidRPr="00F958C4">
                <w:rPr>
                  <w:rStyle w:val="Hyperlink"/>
                  <w:i/>
                  <w:iCs/>
                  <w:sz w:val="22"/>
                  <w:szCs w:val="22"/>
                </w:rPr>
                <w:t>)</w:t>
              </w:r>
            </w:hyperlink>
            <w:r w:rsidR="00AD3438" w:rsidRPr="00F958C4">
              <w:rPr>
                <w:i/>
                <w:iCs/>
                <w:sz w:val="22"/>
                <w:szCs w:val="22"/>
              </w:rPr>
              <w:t xml:space="preserve">, </w:t>
            </w:r>
            <w:hyperlink r:id="rId26" w:history="1">
              <w:proofErr w:type="spellStart"/>
              <w:r w:rsidR="00AD3438" w:rsidRPr="00F958C4">
                <w:rPr>
                  <w:rStyle w:val="Hyperlink"/>
                  <w:i/>
                  <w:iCs/>
                  <w:sz w:val="22"/>
                  <w:szCs w:val="22"/>
                </w:rPr>
                <w:t>C17</w:t>
              </w:r>
              <w:proofErr w:type="spellEnd"/>
              <w:r w:rsidR="00AD3438" w:rsidRPr="00F958C4">
                <w:rPr>
                  <w:rStyle w:val="Hyperlink"/>
                  <w:i/>
                  <w:iCs/>
                  <w:sz w:val="22"/>
                  <w:szCs w:val="22"/>
                </w:rPr>
                <w:t>/96</w:t>
              </w:r>
            </w:hyperlink>
            <w:r w:rsidR="00AD3438" w:rsidRPr="00F958C4">
              <w:rPr>
                <w:i/>
                <w:iCs/>
                <w:sz w:val="22"/>
                <w:szCs w:val="22"/>
              </w:rPr>
              <w:t xml:space="preserve">, </w:t>
            </w:r>
            <w:hyperlink r:id="rId27" w:history="1">
              <w:proofErr w:type="spellStart"/>
              <w:r w:rsidR="00AD3438" w:rsidRPr="00F958C4">
                <w:rPr>
                  <w:rStyle w:val="Hyperlink"/>
                  <w:i/>
                  <w:iCs/>
                  <w:sz w:val="22"/>
                  <w:szCs w:val="22"/>
                </w:rPr>
                <w:t>C17</w:t>
              </w:r>
              <w:proofErr w:type="spellEnd"/>
              <w:r w:rsidR="00AD3438" w:rsidRPr="00F958C4">
                <w:rPr>
                  <w:rStyle w:val="Hyperlink"/>
                  <w:i/>
                  <w:iCs/>
                  <w:sz w:val="22"/>
                  <w:szCs w:val="22"/>
                </w:rPr>
                <w:t>/DL/8</w:t>
              </w:r>
            </w:hyperlink>
            <w:r w:rsidR="00AD3438" w:rsidRPr="00F958C4">
              <w:rPr>
                <w:i/>
                <w:iCs/>
                <w:sz w:val="22"/>
                <w:szCs w:val="22"/>
              </w:rPr>
              <w:t xml:space="preserve">, </w:t>
            </w:r>
            <w:hyperlink r:id="rId28" w:history="1">
              <w:proofErr w:type="spellStart"/>
              <w:r w:rsidR="00AD3438" w:rsidRPr="00F958C4">
                <w:rPr>
                  <w:rStyle w:val="Hyperlink"/>
                  <w:i/>
                  <w:iCs/>
                  <w:sz w:val="22"/>
                  <w:szCs w:val="22"/>
                </w:rPr>
                <w:t>C17</w:t>
              </w:r>
              <w:proofErr w:type="spellEnd"/>
              <w:r w:rsidR="00AD3438" w:rsidRPr="00F958C4">
                <w:rPr>
                  <w:rStyle w:val="Hyperlink"/>
                  <w:i/>
                  <w:iCs/>
                  <w:sz w:val="22"/>
                  <w:szCs w:val="22"/>
                </w:rPr>
                <w:t>/130</w:t>
              </w:r>
            </w:hyperlink>
            <w:r w:rsidR="00AD3438" w:rsidRPr="00F958C4">
              <w:rPr>
                <w:i/>
                <w:iCs/>
                <w:sz w:val="22"/>
                <w:szCs w:val="22"/>
              </w:rPr>
              <w:t xml:space="preserve">, </w:t>
            </w:r>
            <w:hyperlink r:id="rId29" w:history="1">
              <w:proofErr w:type="spellStart"/>
              <w:r w:rsidR="00AD3438" w:rsidRPr="00F958C4">
                <w:rPr>
                  <w:rStyle w:val="Hyperlink"/>
                  <w:i/>
                  <w:iCs/>
                  <w:sz w:val="22"/>
                  <w:szCs w:val="22"/>
                </w:rPr>
                <w:t>C18</w:t>
              </w:r>
              <w:proofErr w:type="spellEnd"/>
              <w:r w:rsidR="00AD3438" w:rsidRPr="00F958C4">
                <w:rPr>
                  <w:rStyle w:val="Hyperlink"/>
                  <w:i/>
                  <w:iCs/>
                  <w:sz w:val="22"/>
                  <w:szCs w:val="22"/>
                </w:rPr>
                <w:t>/5</w:t>
              </w:r>
            </w:hyperlink>
            <w:r w:rsidR="00AD3438" w:rsidRPr="00F958C4">
              <w:rPr>
                <w:i/>
                <w:iCs/>
                <w:sz w:val="22"/>
                <w:szCs w:val="22"/>
              </w:rPr>
              <w:t xml:space="preserve">, </w:t>
            </w:r>
            <w:hyperlink r:id="rId30" w:history="1">
              <w:proofErr w:type="spellStart"/>
              <w:r w:rsidR="00AD3438" w:rsidRPr="00F958C4">
                <w:rPr>
                  <w:rStyle w:val="Hyperlink"/>
                  <w:i/>
                  <w:iCs/>
                  <w:sz w:val="22"/>
                  <w:szCs w:val="22"/>
                </w:rPr>
                <w:t>C18</w:t>
              </w:r>
              <w:proofErr w:type="spellEnd"/>
              <w:r w:rsidR="00AD3438" w:rsidRPr="00F958C4">
                <w:rPr>
                  <w:rStyle w:val="Hyperlink"/>
                  <w:i/>
                  <w:iCs/>
                  <w:sz w:val="22"/>
                  <w:szCs w:val="22"/>
                </w:rPr>
                <w:t>/50</w:t>
              </w:r>
            </w:hyperlink>
            <w:r w:rsidRPr="00F958C4">
              <w:rPr>
                <w:i/>
                <w:iCs/>
                <w:sz w:val="22"/>
                <w:szCs w:val="22"/>
              </w:rPr>
              <w:t xml:space="preserve"> and </w:t>
            </w:r>
            <w:hyperlink r:id="rId31" w:history="1">
              <w:proofErr w:type="spellStart"/>
              <w:r w:rsidR="00AD3438" w:rsidRPr="00F958C4">
                <w:rPr>
                  <w:rStyle w:val="Hyperlink"/>
                  <w:i/>
                  <w:iCs/>
                  <w:sz w:val="22"/>
                  <w:szCs w:val="22"/>
                </w:rPr>
                <w:t>C18</w:t>
              </w:r>
              <w:proofErr w:type="spellEnd"/>
              <w:r w:rsidR="00AD3438" w:rsidRPr="00F958C4">
                <w:rPr>
                  <w:rStyle w:val="Hyperlink"/>
                  <w:i/>
                  <w:iCs/>
                  <w:sz w:val="22"/>
                  <w:szCs w:val="22"/>
                </w:rPr>
                <w:t>/109</w:t>
              </w:r>
            </w:hyperlink>
            <w:r w:rsidR="007C2CD0" w:rsidRPr="00F958C4">
              <w:rPr>
                <w:i/>
                <w:iCs/>
                <w:sz w:val="22"/>
                <w:szCs w:val="22"/>
              </w:rPr>
              <w:t>;</w:t>
            </w:r>
            <w:r w:rsidR="00AD3438" w:rsidRPr="00F958C4">
              <w:rPr>
                <w:i/>
                <w:iCs/>
                <w:sz w:val="22"/>
                <w:szCs w:val="22"/>
              </w:rPr>
              <w:t xml:space="preserve"> </w:t>
            </w:r>
            <w:r w:rsidR="007C2CD0" w:rsidRPr="00F958C4">
              <w:rPr>
                <w:i/>
                <w:iCs/>
                <w:sz w:val="22"/>
                <w:szCs w:val="22"/>
              </w:rPr>
              <w:t xml:space="preserve">Documents </w:t>
            </w:r>
            <w:hyperlink r:id="rId32" w:history="1">
              <w:r w:rsidR="00AD3438" w:rsidRPr="00F958C4">
                <w:rPr>
                  <w:rStyle w:val="Hyperlink"/>
                  <w:rFonts w:asciiTheme="minorHAnsi" w:hAnsiTheme="minorHAnsi" w:cstheme="minorHAnsi"/>
                  <w:i/>
                  <w:iCs/>
                  <w:sz w:val="22"/>
                  <w:szCs w:val="22"/>
                </w:rPr>
                <w:t>PP-18/31</w:t>
              </w:r>
            </w:hyperlink>
            <w:r w:rsidRPr="00F958C4">
              <w:rPr>
                <w:i/>
                <w:iCs/>
                <w:sz w:val="22"/>
                <w:szCs w:val="22"/>
              </w:rPr>
              <w:t>,</w:t>
            </w:r>
            <w:r w:rsidR="00AD3438" w:rsidRPr="00F958C4">
              <w:rPr>
                <w:i/>
                <w:iCs/>
                <w:sz w:val="22"/>
                <w:szCs w:val="22"/>
              </w:rPr>
              <w:t xml:space="preserve"> </w:t>
            </w:r>
            <w:hyperlink r:id="rId33" w:history="1">
              <w:r w:rsidR="007C2CD0" w:rsidRPr="00730279">
                <w:rPr>
                  <w:rStyle w:val="Hyperlink"/>
                  <w:i/>
                  <w:iCs/>
                  <w:sz w:val="22"/>
                  <w:szCs w:val="22"/>
                </w:rPr>
                <w:t>PP-18/63(</w:t>
              </w:r>
              <w:proofErr w:type="spellStart"/>
              <w:r w:rsidR="007C2CD0" w:rsidRPr="00730279">
                <w:rPr>
                  <w:rStyle w:val="Hyperlink"/>
                  <w:i/>
                  <w:iCs/>
                  <w:sz w:val="22"/>
                  <w:szCs w:val="22"/>
                </w:rPr>
                <w:t>Add.1</w:t>
              </w:r>
              <w:proofErr w:type="spellEnd"/>
              <w:r w:rsidR="007C2CD0" w:rsidRPr="00730279">
                <w:rPr>
                  <w:rStyle w:val="Hyperlink"/>
                  <w:i/>
                  <w:iCs/>
                  <w:sz w:val="22"/>
                  <w:szCs w:val="22"/>
                </w:rPr>
                <w:t>)</w:t>
              </w:r>
            </w:hyperlink>
            <w:r w:rsidR="007C2CD0" w:rsidRPr="00F958C4">
              <w:rPr>
                <w:i/>
                <w:iCs/>
                <w:sz w:val="22"/>
                <w:szCs w:val="22"/>
              </w:rPr>
              <w:t xml:space="preserve"> (</w:t>
            </w:r>
            <w:r w:rsidR="00AD3438" w:rsidRPr="00F958C4">
              <w:rPr>
                <w:rFonts w:eastAsiaTheme="minorEastAsia" w:cstheme="minorBidi"/>
                <w:i/>
                <w:iCs/>
                <w:sz w:val="22"/>
                <w:szCs w:val="22"/>
              </w:rPr>
              <w:t>IAP/</w:t>
            </w:r>
            <w:proofErr w:type="spellStart"/>
            <w:r w:rsidR="00AD3438" w:rsidRPr="00730279">
              <w:rPr>
                <w:rFonts w:eastAsiaTheme="minorEastAsia" w:cstheme="minorBidi"/>
                <w:i/>
                <w:iCs/>
                <w:sz w:val="22"/>
                <w:szCs w:val="22"/>
              </w:rPr>
              <w:t>63A1</w:t>
            </w:r>
            <w:proofErr w:type="spellEnd"/>
            <w:r w:rsidR="00AD3438" w:rsidRPr="00730279">
              <w:rPr>
                <w:rFonts w:eastAsiaTheme="minorEastAsia" w:cstheme="minorBidi"/>
                <w:i/>
                <w:iCs/>
                <w:sz w:val="22"/>
                <w:szCs w:val="22"/>
              </w:rPr>
              <w:t>/7</w:t>
            </w:r>
            <w:r w:rsidR="00AD3438" w:rsidRPr="00730279">
              <w:rPr>
                <w:rFonts w:eastAsiaTheme="minorEastAsia"/>
                <w:i/>
                <w:iCs/>
                <w:sz w:val="22"/>
                <w:szCs w:val="22"/>
              </w:rPr>
              <w:t xml:space="preserve">, </w:t>
            </w:r>
            <w:r w:rsidR="00AD3438" w:rsidRPr="00730279">
              <w:rPr>
                <w:rFonts w:eastAsiaTheme="minorEastAsia" w:cstheme="minorBidi"/>
                <w:i/>
                <w:iCs/>
                <w:sz w:val="22"/>
                <w:szCs w:val="22"/>
              </w:rPr>
              <w:t>IAP/</w:t>
            </w:r>
            <w:proofErr w:type="spellStart"/>
            <w:r w:rsidR="00AD3438" w:rsidRPr="00730279">
              <w:rPr>
                <w:rFonts w:eastAsiaTheme="minorEastAsia" w:cstheme="minorBidi"/>
                <w:i/>
                <w:iCs/>
                <w:sz w:val="22"/>
                <w:szCs w:val="22"/>
              </w:rPr>
              <w:t>63A1</w:t>
            </w:r>
            <w:proofErr w:type="spellEnd"/>
            <w:r w:rsidR="00AD3438" w:rsidRPr="00F958C4">
              <w:rPr>
                <w:rFonts w:eastAsiaTheme="minorEastAsia" w:cstheme="minorBidi"/>
                <w:i/>
                <w:iCs/>
                <w:sz w:val="22"/>
                <w:szCs w:val="22"/>
              </w:rPr>
              <w:t>/23</w:t>
            </w:r>
            <w:r w:rsidR="007C2CD0" w:rsidRPr="00F958C4">
              <w:rPr>
                <w:i/>
                <w:iCs/>
                <w:sz w:val="22"/>
                <w:szCs w:val="22"/>
              </w:rPr>
              <w:t>)</w:t>
            </w:r>
            <w:r w:rsidR="00AD3438" w:rsidRPr="00F958C4">
              <w:rPr>
                <w:rStyle w:val="Hyperlink"/>
                <w:rFonts w:eastAsiaTheme="minorEastAsia" w:cstheme="minorBidi"/>
                <w:i/>
                <w:iCs/>
                <w:color w:val="auto"/>
                <w:sz w:val="22"/>
                <w:szCs w:val="22"/>
                <w:u w:val="none"/>
              </w:rPr>
              <w:t>,</w:t>
            </w:r>
            <w:r w:rsidR="007C2CD0" w:rsidRPr="00F958C4">
              <w:rPr>
                <w:rStyle w:val="Hyperlink"/>
                <w:rFonts w:eastAsiaTheme="minorEastAsia" w:cstheme="minorBidi"/>
                <w:i/>
                <w:iCs/>
                <w:color w:val="auto"/>
                <w:sz w:val="22"/>
                <w:szCs w:val="22"/>
                <w:u w:val="none"/>
              </w:rPr>
              <w:t xml:space="preserve"> </w:t>
            </w:r>
            <w:hyperlink r:id="rId34" w:history="1">
              <w:r w:rsidR="007C2CD0" w:rsidRPr="00730279">
                <w:rPr>
                  <w:rStyle w:val="Hyperlink"/>
                  <w:rFonts w:eastAsiaTheme="minorEastAsia" w:cstheme="minorBidi"/>
                  <w:i/>
                  <w:iCs/>
                  <w:sz w:val="22"/>
                  <w:szCs w:val="22"/>
                </w:rPr>
                <w:t>PP-18/68</w:t>
              </w:r>
              <w:r w:rsidR="00EC7860" w:rsidRPr="00730279">
                <w:rPr>
                  <w:rStyle w:val="Hyperlink"/>
                  <w:rFonts w:eastAsiaTheme="minorEastAsia" w:cstheme="minorBidi"/>
                  <w:i/>
                  <w:iCs/>
                  <w:sz w:val="22"/>
                  <w:szCs w:val="22"/>
                </w:rPr>
                <w:t>(</w:t>
              </w:r>
              <w:proofErr w:type="spellStart"/>
              <w:r w:rsidR="00EC7860" w:rsidRPr="00730279">
                <w:rPr>
                  <w:rStyle w:val="Hyperlink"/>
                  <w:rFonts w:eastAsiaTheme="minorEastAsia" w:cstheme="minorBidi"/>
                  <w:i/>
                  <w:iCs/>
                  <w:sz w:val="22"/>
                  <w:szCs w:val="22"/>
                </w:rPr>
                <w:t>Rev.1</w:t>
              </w:r>
              <w:proofErr w:type="spellEnd"/>
              <w:r w:rsidR="00EC7860" w:rsidRPr="00730279">
                <w:rPr>
                  <w:rStyle w:val="Hyperlink"/>
                  <w:rFonts w:eastAsiaTheme="minorEastAsia" w:cstheme="minorBidi"/>
                  <w:i/>
                  <w:iCs/>
                  <w:sz w:val="22"/>
                  <w:szCs w:val="22"/>
                </w:rPr>
                <w:t>)</w:t>
              </w:r>
            </w:hyperlink>
            <w:r w:rsidR="00EC7860" w:rsidRPr="00F958C4">
              <w:rPr>
                <w:rStyle w:val="Hyperlink"/>
                <w:rFonts w:eastAsiaTheme="minorEastAsia" w:cstheme="minorBidi"/>
                <w:i/>
                <w:iCs/>
                <w:color w:val="auto"/>
                <w:sz w:val="22"/>
                <w:szCs w:val="22"/>
                <w:u w:val="none"/>
              </w:rPr>
              <w:t xml:space="preserve"> (</w:t>
            </w:r>
            <w:r w:rsidR="00AD3438" w:rsidRPr="00F958C4">
              <w:rPr>
                <w:rFonts w:eastAsiaTheme="minorEastAsia" w:cstheme="minorBidi"/>
                <w:i/>
                <w:iCs/>
                <w:sz w:val="22"/>
                <w:szCs w:val="22"/>
              </w:rPr>
              <w:t>ARG/CAN/CTR/DOM/</w:t>
            </w:r>
            <w:proofErr w:type="spellStart"/>
            <w:r w:rsidR="00AD3438" w:rsidRPr="00F958C4">
              <w:rPr>
                <w:rFonts w:eastAsiaTheme="minorEastAsia" w:cstheme="minorBidi"/>
                <w:i/>
                <w:iCs/>
                <w:sz w:val="22"/>
                <w:szCs w:val="22"/>
              </w:rPr>
              <w:t>PRG</w:t>
            </w:r>
            <w:proofErr w:type="spellEnd"/>
            <w:r w:rsidR="00AD3438" w:rsidRPr="00F958C4">
              <w:rPr>
                <w:rFonts w:eastAsiaTheme="minorEastAsia" w:cstheme="minorBidi"/>
                <w:i/>
                <w:iCs/>
                <w:sz w:val="22"/>
                <w:szCs w:val="22"/>
              </w:rPr>
              <w:t>/S/</w:t>
            </w:r>
            <w:proofErr w:type="spellStart"/>
            <w:r w:rsidR="00AD3438" w:rsidRPr="00F958C4">
              <w:rPr>
                <w:rFonts w:eastAsiaTheme="minorEastAsia" w:cstheme="minorBidi"/>
                <w:i/>
                <w:iCs/>
                <w:sz w:val="22"/>
                <w:szCs w:val="22"/>
              </w:rPr>
              <w:t>68R1</w:t>
            </w:r>
            <w:proofErr w:type="spellEnd"/>
            <w:r w:rsidR="00AD3438" w:rsidRPr="00F958C4">
              <w:rPr>
                <w:rFonts w:eastAsiaTheme="minorEastAsia" w:cstheme="minorBidi"/>
                <w:i/>
                <w:iCs/>
                <w:sz w:val="22"/>
                <w:szCs w:val="22"/>
              </w:rPr>
              <w:t>/1</w:t>
            </w:r>
            <w:r w:rsidR="00EC7860" w:rsidRPr="00F958C4">
              <w:rPr>
                <w:i/>
                <w:iCs/>
                <w:sz w:val="22"/>
                <w:szCs w:val="22"/>
              </w:rPr>
              <w:t>)</w:t>
            </w:r>
            <w:r w:rsidR="00AD3438" w:rsidRPr="00F958C4">
              <w:rPr>
                <w:rStyle w:val="Hyperlink"/>
                <w:rFonts w:eastAsiaTheme="minorEastAsia" w:cstheme="minorBidi"/>
                <w:i/>
                <w:iCs/>
                <w:color w:val="auto"/>
                <w:sz w:val="22"/>
                <w:szCs w:val="22"/>
                <w:u w:val="none"/>
              </w:rPr>
              <w:t xml:space="preserve">, </w:t>
            </w:r>
            <w:hyperlink r:id="rId35" w:history="1">
              <w:r w:rsidR="00EC7860" w:rsidRPr="00730279">
                <w:rPr>
                  <w:rStyle w:val="Hyperlink"/>
                  <w:rFonts w:eastAsiaTheme="minorEastAsia" w:cstheme="minorBidi"/>
                  <w:i/>
                  <w:iCs/>
                  <w:sz w:val="22"/>
                  <w:szCs w:val="22"/>
                </w:rPr>
                <w:t>PP-18/55(</w:t>
              </w:r>
              <w:proofErr w:type="spellStart"/>
              <w:r w:rsidR="00EC7860" w:rsidRPr="00730279">
                <w:rPr>
                  <w:rStyle w:val="Hyperlink"/>
                  <w:rFonts w:eastAsiaTheme="minorEastAsia" w:cstheme="minorBidi"/>
                  <w:i/>
                  <w:iCs/>
                  <w:sz w:val="22"/>
                  <w:szCs w:val="22"/>
                </w:rPr>
                <w:t>Add.5</w:t>
              </w:r>
              <w:proofErr w:type="spellEnd"/>
              <w:r w:rsidR="00EC7860" w:rsidRPr="00730279">
                <w:rPr>
                  <w:rStyle w:val="Hyperlink"/>
                  <w:rFonts w:eastAsiaTheme="minorEastAsia" w:cstheme="minorBidi"/>
                  <w:i/>
                  <w:iCs/>
                  <w:sz w:val="22"/>
                  <w:szCs w:val="22"/>
                </w:rPr>
                <w:t>)</w:t>
              </w:r>
            </w:hyperlink>
            <w:r w:rsidR="00EC7860" w:rsidRPr="00F958C4">
              <w:rPr>
                <w:rStyle w:val="Hyperlink"/>
                <w:rFonts w:eastAsiaTheme="minorEastAsia" w:cstheme="minorBidi"/>
                <w:i/>
                <w:iCs/>
                <w:color w:val="auto"/>
                <w:sz w:val="22"/>
                <w:szCs w:val="22"/>
                <w:u w:val="none"/>
              </w:rPr>
              <w:t xml:space="preserve"> (</w:t>
            </w:r>
            <w:proofErr w:type="spellStart"/>
            <w:r w:rsidR="00AD3438" w:rsidRPr="00F958C4">
              <w:rPr>
                <w:rFonts w:eastAsiaTheme="minorEastAsia" w:cstheme="minorBidi"/>
                <w:i/>
                <w:iCs/>
                <w:sz w:val="22"/>
                <w:szCs w:val="22"/>
              </w:rPr>
              <w:t>AFCP</w:t>
            </w:r>
            <w:proofErr w:type="spellEnd"/>
            <w:r w:rsidR="00AD3438" w:rsidRPr="00F958C4">
              <w:rPr>
                <w:rFonts w:eastAsiaTheme="minorEastAsia" w:cstheme="minorBidi"/>
                <w:i/>
                <w:iCs/>
                <w:sz w:val="22"/>
                <w:szCs w:val="22"/>
              </w:rPr>
              <w:t>/</w:t>
            </w:r>
            <w:proofErr w:type="spellStart"/>
            <w:r w:rsidR="00AD3438" w:rsidRPr="00F958C4">
              <w:rPr>
                <w:rFonts w:eastAsiaTheme="minorEastAsia" w:cstheme="minorBidi"/>
                <w:i/>
                <w:iCs/>
                <w:sz w:val="22"/>
                <w:szCs w:val="22"/>
              </w:rPr>
              <w:t>55A5</w:t>
            </w:r>
            <w:proofErr w:type="spellEnd"/>
            <w:r w:rsidR="00AD3438" w:rsidRPr="00F958C4">
              <w:rPr>
                <w:rFonts w:eastAsiaTheme="minorEastAsia" w:cstheme="minorBidi"/>
                <w:i/>
                <w:iCs/>
                <w:sz w:val="22"/>
                <w:szCs w:val="22"/>
              </w:rPr>
              <w:t>/1</w:t>
            </w:r>
            <w:r w:rsidR="00EC7860" w:rsidRPr="00F958C4">
              <w:rPr>
                <w:i/>
                <w:iCs/>
                <w:sz w:val="22"/>
                <w:szCs w:val="22"/>
              </w:rPr>
              <w:t>)</w:t>
            </w:r>
            <w:r w:rsidR="00AD3438" w:rsidRPr="00F958C4">
              <w:rPr>
                <w:rStyle w:val="Hyperlink"/>
                <w:rFonts w:eastAsiaTheme="minorEastAsia" w:cstheme="minorBidi"/>
                <w:i/>
                <w:iCs/>
                <w:color w:val="auto"/>
                <w:sz w:val="22"/>
                <w:szCs w:val="22"/>
                <w:u w:val="none"/>
              </w:rPr>
              <w:t xml:space="preserve">, </w:t>
            </w:r>
            <w:hyperlink r:id="rId36" w:history="1">
              <w:r w:rsidR="00EC7860" w:rsidRPr="00730279">
                <w:rPr>
                  <w:rStyle w:val="Hyperlink"/>
                  <w:rFonts w:eastAsiaTheme="minorEastAsia" w:cstheme="minorBidi"/>
                  <w:i/>
                  <w:iCs/>
                  <w:sz w:val="22"/>
                  <w:szCs w:val="22"/>
                </w:rPr>
                <w:t>PP-18/72(</w:t>
              </w:r>
              <w:proofErr w:type="spellStart"/>
              <w:r w:rsidR="00EC7860" w:rsidRPr="00730279">
                <w:rPr>
                  <w:rStyle w:val="Hyperlink"/>
                  <w:rFonts w:eastAsiaTheme="minorEastAsia" w:cstheme="minorBidi"/>
                  <w:i/>
                  <w:iCs/>
                  <w:sz w:val="22"/>
                  <w:szCs w:val="22"/>
                </w:rPr>
                <w:t>Add.1</w:t>
              </w:r>
              <w:proofErr w:type="spellEnd"/>
              <w:r w:rsidR="00EC7860" w:rsidRPr="00730279">
                <w:rPr>
                  <w:rStyle w:val="Hyperlink"/>
                  <w:rFonts w:eastAsiaTheme="minorEastAsia" w:cstheme="minorBidi"/>
                  <w:i/>
                  <w:iCs/>
                  <w:sz w:val="22"/>
                  <w:szCs w:val="22"/>
                </w:rPr>
                <w:t>)</w:t>
              </w:r>
            </w:hyperlink>
            <w:r w:rsidR="00EC7860" w:rsidRPr="00F958C4">
              <w:rPr>
                <w:rStyle w:val="Hyperlink"/>
                <w:rFonts w:eastAsiaTheme="minorEastAsia" w:cstheme="minorBidi"/>
                <w:i/>
                <w:iCs/>
                <w:color w:val="auto"/>
                <w:sz w:val="22"/>
                <w:szCs w:val="22"/>
                <w:u w:val="none"/>
              </w:rPr>
              <w:t xml:space="preserve"> (</w:t>
            </w:r>
            <w:r w:rsidR="00AD3438" w:rsidRPr="00F958C4">
              <w:rPr>
                <w:rFonts w:eastAsiaTheme="minorEastAsia" w:cstheme="minorBidi"/>
                <w:i/>
                <w:iCs/>
                <w:sz w:val="22"/>
                <w:szCs w:val="22"/>
              </w:rPr>
              <w:t>ARB/</w:t>
            </w:r>
            <w:proofErr w:type="spellStart"/>
            <w:r w:rsidR="00AD3438" w:rsidRPr="00F958C4">
              <w:rPr>
                <w:rFonts w:eastAsiaTheme="minorEastAsia" w:cstheme="minorBidi"/>
                <w:i/>
                <w:iCs/>
                <w:sz w:val="22"/>
                <w:szCs w:val="22"/>
              </w:rPr>
              <w:t>72A1</w:t>
            </w:r>
            <w:proofErr w:type="spellEnd"/>
            <w:r w:rsidR="00AD3438" w:rsidRPr="00F958C4">
              <w:rPr>
                <w:rFonts w:eastAsiaTheme="minorEastAsia" w:cstheme="minorBidi"/>
                <w:i/>
                <w:iCs/>
                <w:sz w:val="22"/>
                <w:szCs w:val="22"/>
              </w:rPr>
              <w:t>/38</w:t>
            </w:r>
            <w:r w:rsidR="00EC7860" w:rsidRPr="00F958C4">
              <w:rPr>
                <w:i/>
                <w:iCs/>
                <w:sz w:val="22"/>
                <w:szCs w:val="22"/>
              </w:rPr>
              <w:t>)</w:t>
            </w:r>
            <w:r w:rsidR="00AD3438" w:rsidRPr="00F958C4">
              <w:rPr>
                <w:rStyle w:val="Hyperlink"/>
                <w:rFonts w:eastAsiaTheme="minorEastAsia" w:cstheme="minorBidi"/>
                <w:i/>
                <w:iCs/>
                <w:color w:val="auto"/>
                <w:sz w:val="22"/>
                <w:szCs w:val="22"/>
                <w:u w:val="none"/>
              </w:rPr>
              <w:t xml:space="preserve">, </w:t>
            </w:r>
            <w:hyperlink r:id="rId37" w:history="1">
              <w:r w:rsidR="00AD3438" w:rsidRPr="00F958C4">
                <w:rPr>
                  <w:rStyle w:val="Hyperlink"/>
                  <w:rFonts w:eastAsiaTheme="minorEastAsia" w:cstheme="minorBidi"/>
                  <w:i/>
                  <w:iCs/>
                  <w:sz w:val="22"/>
                  <w:szCs w:val="22"/>
                </w:rPr>
                <w:t>PP-18/DT/18(</w:t>
              </w:r>
              <w:proofErr w:type="spellStart"/>
              <w:r w:rsidR="00AD3438" w:rsidRPr="00F958C4">
                <w:rPr>
                  <w:rStyle w:val="Hyperlink"/>
                  <w:rFonts w:eastAsiaTheme="minorEastAsia" w:cstheme="minorBidi"/>
                  <w:i/>
                  <w:iCs/>
                  <w:sz w:val="22"/>
                  <w:szCs w:val="22"/>
                </w:rPr>
                <w:t>Rev.1</w:t>
              </w:r>
              <w:proofErr w:type="spellEnd"/>
              <w:r w:rsidR="00AD3438" w:rsidRPr="00F958C4">
                <w:rPr>
                  <w:rStyle w:val="Hyperlink"/>
                  <w:rFonts w:eastAsiaTheme="minorEastAsia" w:cstheme="minorBidi"/>
                  <w:i/>
                  <w:iCs/>
                  <w:sz w:val="22"/>
                  <w:szCs w:val="22"/>
                </w:rPr>
                <w:t>)</w:t>
              </w:r>
            </w:hyperlink>
            <w:r w:rsidR="00EC7860" w:rsidRPr="00F958C4">
              <w:rPr>
                <w:rStyle w:val="Hyperlink"/>
                <w:rFonts w:eastAsiaTheme="minorEastAsia" w:cstheme="minorBidi"/>
                <w:i/>
                <w:iCs/>
                <w:color w:val="auto"/>
                <w:sz w:val="22"/>
                <w:szCs w:val="22"/>
                <w:u w:val="none"/>
              </w:rPr>
              <w:t>,</w:t>
            </w:r>
            <w:r w:rsidR="00AD3438" w:rsidRPr="00F958C4">
              <w:rPr>
                <w:i/>
                <w:iCs/>
                <w:sz w:val="22"/>
                <w:szCs w:val="22"/>
              </w:rPr>
              <w:t xml:space="preserve"> </w:t>
            </w:r>
            <w:hyperlink r:id="rId38" w:history="1">
              <w:r w:rsidR="00AD3438" w:rsidRPr="00F958C4">
                <w:rPr>
                  <w:rStyle w:val="Hyperlink"/>
                  <w:i/>
                  <w:iCs/>
                  <w:sz w:val="22"/>
                  <w:szCs w:val="22"/>
                </w:rPr>
                <w:t>PP-18/155</w:t>
              </w:r>
            </w:hyperlink>
            <w:r w:rsidR="00AD3438" w:rsidRPr="00F958C4">
              <w:rPr>
                <w:i/>
                <w:iCs/>
                <w:sz w:val="22"/>
                <w:szCs w:val="22"/>
              </w:rPr>
              <w:t xml:space="preserve">, </w:t>
            </w:r>
            <w:hyperlink r:id="rId39" w:history="1">
              <w:r w:rsidR="00AD3438" w:rsidRPr="00F958C4">
                <w:rPr>
                  <w:rStyle w:val="Hyperlink"/>
                  <w:rFonts w:eastAsiaTheme="minorEastAsia" w:cstheme="minorBidi"/>
                  <w:i/>
                  <w:iCs/>
                  <w:sz w:val="22"/>
                  <w:szCs w:val="22"/>
                </w:rPr>
                <w:t>PP-18/173</w:t>
              </w:r>
            </w:hyperlink>
            <w:r w:rsidR="00FE3EEB" w:rsidRPr="00F958C4">
              <w:rPr>
                <w:i/>
                <w:iCs/>
                <w:sz w:val="22"/>
                <w:szCs w:val="22"/>
              </w:rPr>
              <w:t xml:space="preserve"> of the Plenipotentiary Conference (Dubai, 2018)</w:t>
            </w:r>
            <w:r w:rsidR="00EC7860" w:rsidRPr="00F958C4">
              <w:rPr>
                <w:rStyle w:val="Hyperlink"/>
                <w:rFonts w:eastAsiaTheme="minorEastAsia" w:cstheme="minorBidi"/>
                <w:i/>
                <w:iCs/>
                <w:color w:val="auto"/>
                <w:sz w:val="22"/>
                <w:szCs w:val="22"/>
                <w:u w:val="none"/>
              </w:rPr>
              <w:t>; Council Documents</w:t>
            </w:r>
            <w:r w:rsidR="00AD3438" w:rsidRPr="00F958C4">
              <w:rPr>
                <w:rStyle w:val="Hyperlink"/>
                <w:rFonts w:eastAsiaTheme="minorEastAsia" w:cstheme="minorBidi"/>
                <w:i/>
                <w:iCs/>
                <w:color w:val="auto"/>
                <w:sz w:val="22"/>
                <w:szCs w:val="22"/>
                <w:u w:val="none"/>
              </w:rPr>
              <w:t xml:space="preserve"> </w:t>
            </w:r>
            <w:hyperlink r:id="rId40" w:history="1">
              <w:proofErr w:type="spellStart"/>
              <w:r w:rsidR="00AD3438" w:rsidRPr="00F958C4">
                <w:rPr>
                  <w:rStyle w:val="Hyperlink"/>
                  <w:i/>
                  <w:iCs/>
                  <w:sz w:val="22"/>
                  <w:szCs w:val="22"/>
                </w:rPr>
                <w:t>C19</w:t>
              </w:r>
              <w:proofErr w:type="spellEnd"/>
              <w:r w:rsidR="00AD3438" w:rsidRPr="00F958C4">
                <w:rPr>
                  <w:rStyle w:val="Hyperlink"/>
                  <w:i/>
                  <w:iCs/>
                  <w:sz w:val="22"/>
                  <w:szCs w:val="22"/>
                </w:rPr>
                <w:t>/13</w:t>
              </w:r>
            </w:hyperlink>
            <w:r w:rsidRPr="00F958C4">
              <w:rPr>
                <w:i/>
                <w:iCs/>
                <w:sz w:val="22"/>
                <w:szCs w:val="22"/>
              </w:rPr>
              <w:t xml:space="preserve"> and </w:t>
            </w:r>
            <w:hyperlink r:id="rId41" w:history="1">
              <w:proofErr w:type="spellStart"/>
              <w:r w:rsidR="00AD3438" w:rsidRPr="00F958C4">
                <w:rPr>
                  <w:rStyle w:val="Hyperlink"/>
                  <w:i/>
                  <w:iCs/>
                  <w:sz w:val="22"/>
                  <w:szCs w:val="22"/>
                </w:rPr>
                <w:t>C19</w:t>
              </w:r>
              <w:proofErr w:type="spellEnd"/>
              <w:r w:rsidR="00AD3438" w:rsidRPr="00F958C4">
                <w:rPr>
                  <w:rStyle w:val="Hyperlink"/>
                  <w:i/>
                  <w:iCs/>
                  <w:sz w:val="22"/>
                  <w:szCs w:val="22"/>
                </w:rPr>
                <w:t>/112</w:t>
              </w:r>
            </w:hyperlink>
            <w:r w:rsidR="00EC7860" w:rsidRPr="00F958C4">
              <w:rPr>
                <w:rStyle w:val="Hyperlink"/>
                <w:i/>
                <w:iCs/>
                <w:color w:val="auto"/>
                <w:sz w:val="22"/>
                <w:szCs w:val="22"/>
                <w:u w:val="none"/>
              </w:rPr>
              <w:t>;</w:t>
            </w:r>
            <w:r w:rsidR="00AD3438" w:rsidRPr="00F958C4">
              <w:rPr>
                <w:rStyle w:val="Hyperlink"/>
                <w:i/>
                <w:iCs/>
                <w:color w:val="auto"/>
                <w:sz w:val="22"/>
                <w:szCs w:val="22"/>
                <w:u w:val="none"/>
              </w:rPr>
              <w:t xml:space="preserve"> </w:t>
            </w:r>
            <w:r w:rsidR="00EC7860" w:rsidRPr="00F958C4">
              <w:rPr>
                <w:rStyle w:val="Hyperlink"/>
                <w:i/>
                <w:iCs/>
                <w:color w:val="auto"/>
                <w:sz w:val="22"/>
                <w:szCs w:val="22"/>
                <w:u w:val="none"/>
              </w:rPr>
              <w:t xml:space="preserve">Circular Letter </w:t>
            </w:r>
            <w:hyperlink r:id="rId42" w:history="1">
              <w:r w:rsidR="00AD3438" w:rsidRPr="00F958C4">
                <w:rPr>
                  <w:rStyle w:val="Hyperlink"/>
                  <w:rFonts w:asciiTheme="minorHAnsi" w:hAnsiTheme="minorHAnsi" w:cstheme="minorHAnsi"/>
                  <w:i/>
                  <w:iCs/>
                  <w:sz w:val="22"/>
                  <w:szCs w:val="22"/>
                </w:rPr>
                <w:t>CL-19/57</w:t>
              </w:r>
            </w:hyperlink>
            <w:r w:rsidR="00EC7860" w:rsidRPr="00F958C4">
              <w:rPr>
                <w:rStyle w:val="Hyperlink"/>
                <w:i/>
                <w:iCs/>
                <w:color w:val="auto"/>
                <w:sz w:val="22"/>
                <w:szCs w:val="22"/>
                <w:u w:val="none"/>
              </w:rPr>
              <w:t>;</w:t>
            </w:r>
            <w:r w:rsidR="00AD3438" w:rsidRPr="00F958C4">
              <w:rPr>
                <w:rStyle w:val="Hyperlink"/>
                <w:i/>
                <w:iCs/>
                <w:color w:val="auto"/>
                <w:sz w:val="22"/>
                <w:szCs w:val="22"/>
                <w:u w:val="none"/>
              </w:rPr>
              <w:t xml:space="preserve"> </w:t>
            </w:r>
            <w:r w:rsidR="00EC7860" w:rsidRPr="00F958C4">
              <w:rPr>
                <w:rStyle w:val="Hyperlink"/>
                <w:i/>
                <w:iCs/>
                <w:color w:val="auto"/>
                <w:sz w:val="22"/>
                <w:szCs w:val="22"/>
                <w:u w:val="none"/>
              </w:rPr>
              <w:t xml:space="preserve">Council Documents </w:t>
            </w:r>
            <w:hyperlink r:id="rId43" w:history="1">
              <w:proofErr w:type="spellStart"/>
              <w:r w:rsidR="00AD3438" w:rsidRPr="00F958C4">
                <w:rPr>
                  <w:rStyle w:val="Hyperlink"/>
                  <w:i/>
                  <w:iCs/>
                  <w:sz w:val="22"/>
                  <w:szCs w:val="22"/>
                </w:rPr>
                <w:t>C20</w:t>
              </w:r>
              <w:proofErr w:type="spellEnd"/>
              <w:r w:rsidR="00AD3438" w:rsidRPr="00F958C4">
                <w:rPr>
                  <w:rStyle w:val="Hyperlink"/>
                  <w:i/>
                  <w:iCs/>
                  <w:sz w:val="22"/>
                  <w:szCs w:val="22"/>
                </w:rPr>
                <w:t>/4</w:t>
              </w:r>
            </w:hyperlink>
            <w:r w:rsidR="00AD3438" w:rsidRPr="00F958C4">
              <w:rPr>
                <w:rStyle w:val="Hyperlink"/>
                <w:i/>
                <w:iCs/>
                <w:color w:val="auto"/>
                <w:sz w:val="22"/>
                <w:szCs w:val="22"/>
                <w:u w:val="none"/>
              </w:rPr>
              <w:t xml:space="preserve">, </w:t>
            </w:r>
            <w:hyperlink r:id="rId44" w:history="1">
              <w:proofErr w:type="spellStart"/>
              <w:r w:rsidR="00AD3438" w:rsidRPr="00F958C4">
                <w:rPr>
                  <w:rStyle w:val="Hyperlink"/>
                  <w:rFonts w:asciiTheme="minorHAnsi" w:hAnsiTheme="minorHAnsi" w:cstheme="minorHAnsi"/>
                  <w:i/>
                  <w:iCs/>
                  <w:sz w:val="22"/>
                  <w:szCs w:val="22"/>
                </w:rPr>
                <w:t>C20</w:t>
              </w:r>
              <w:proofErr w:type="spellEnd"/>
              <w:r w:rsidR="00AD3438" w:rsidRPr="00F958C4">
                <w:rPr>
                  <w:rStyle w:val="Hyperlink"/>
                  <w:rFonts w:asciiTheme="minorHAnsi" w:hAnsiTheme="minorHAnsi" w:cstheme="minorHAnsi"/>
                  <w:i/>
                  <w:iCs/>
                  <w:sz w:val="22"/>
                  <w:szCs w:val="22"/>
                </w:rPr>
                <w:t>/INF/8</w:t>
              </w:r>
            </w:hyperlink>
            <w:r w:rsidR="00AD3438" w:rsidRPr="00F958C4">
              <w:rPr>
                <w:rFonts w:asciiTheme="minorHAnsi" w:hAnsiTheme="minorHAnsi"/>
                <w:bCs/>
                <w:i/>
                <w:iCs/>
                <w:sz w:val="22"/>
                <w:szCs w:val="22"/>
              </w:rPr>
              <w:t xml:space="preserve">, </w:t>
            </w:r>
            <w:hyperlink r:id="rId45" w:history="1">
              <w:proofErr w:type="spellStart"/>
              <w:r w:rsidR="00AD3438" w:rsidRPr="00F958C4">
                <w:rPr>
                  <w:rStyle w:val="Hyperlink"/>
                  <w:i/>
                  <w:iCs/>
                  <w:sz w:val="22"/>
                  <w:szCs w:val="22"/>
                </w:rPr>
                <w:t>C21</w:t>
              </w:r>
              <w:proofErr w:type="spellEnd"/>
              <w:r w:rsidR="00AD3438" w:rsidRPr="00F958C4">
                <w:rPr>
                  <w:rStyle w:val="Hyperlink"/>
                  <w:i/>
                  <w:iCs/>
                  <w:sz w:val="22"/>
                  <w:szCs w:val="22"/>
                </w:rPr>
                <w:t>/4(</w:t>
              </w:r>
              <w:proofErr w:type="spellStart"/>
              <w:r w:rsidR="00AD3438" w:rsidRPr="00F958C4">
                <w:rPr>
                  <w:rStyle w:val="Hyperlink"/>
                  <w:i/>
                  <w:iCs/>
                  <w:sz w:val="22"/>
                  <w:szCs w:val="22"/>
                </w:rPr>
                <w:t>Rev.1</w:t>
              </w:r>
              <w:proofErr w:type="spellEnd"/>
              <w:r w:rsidR="00AD3438" w:rsidRPr="00F958C4">
                <w:rPr>
                  <w:rStyle w:val="Hyperlink"/>
                  <w:i/>
                  <w:iCs/>
                  <w:sz w:val="22"/>
                  <w:szCs w:val="22"/>
                </w:rPr>
                <w:t>)</w:t>
              </w:r>
            </w:hyperlink>
            <w:r w:rsidRPr="00F958C4">
              <w:rPr>
                <w:i/>
                <w:iCs/>
                <w:sz w:val="22"/>
                <w:szCs w:val="22"/>
              </w:rPr>
              <w:t xml:space="preserve"> and</w:t>
            </w:r>
            <w:r w:rsidR="00AD3438" w:rsidRPr="00F958C4">
              <w:rPr>
                <w:rStyle w:val="Hyperlink"/>
                <w:i/>
                <w:iCs/>
                <w:color w:val="auto"/>
                <w:sz w:val="22"/>
                <w:szCs w:val="22"/>
                <w:u w:val="none"/>
              </w:rPr>
              <w:t xml:space="preserve"> </w:t>
            </w:r>
            <w:hyperlink r:id="rId46" w:history="1">
              <w:proofErr w:type="spellStart"/>
              <w:r w:rsidR="00AD3438" w:rsidRPr="00F958C4">
                <w:rPr>
                  <w:rStyle w:val="Hyperlink"/>
                  <w:i/>
                  <w:iCs/>
                  <w:sz w:val="22"/>
                  <w:szCs w:val="22"/>
                </w:rPr>
                <w:t>C21</w:t>
              </w:r>
              <w:proofErr w:type="spellEnd"/>
              <w:r w:rsidR="00AD3438" w:rsidRPr="00F958C4">
                <w:rPr>
                  <w:rStyle w:val="Hyperlink"/>
                  <w:i/>
                  <w:iCs/>
                  <w:sz w:val="22"/>
                  <w:szCs w:val="22"/>
                </w:rPr>
                <w:t>/86</w:t>
              </w:r>
            </w:hyperlink>
            <w:r w:rsidR="00EC7860" w:rsidRPr="00F958C4">
              <w:rPr>
                <w:i/>
                <w:iCs/>
                <w:sz w:val="22"/>
                <w:szCs w:val="22"/>
              </w:rPr>
              <w:t xml:space="preserve">; </w:t>
            </w:r>
            <w:r w:rsidR="00FE3EEB" w:rsidRPr="00F958C4">
              <w:rPr>
                <w:i/>
                <w:iCs/>
                <w:sz w:val="22"/>
                <w:szCs w:val="22"/>
              </w:rPr>
              <w:t>Letters</w:t>
            </w:r>
            <w:r w:rsidR="00EC6E07" w:rsidRPr="00F958C4">
              <w:rPr>
                <w:i/>
                <w:iCs/>
                <w:sz w:val="22"/>
                <w:szCs w:val="22"/>
              </w:rPr>
              <w:t xml:space="preserve"> </w:t>
            </w:r>
            <w:hyperlink r:id="rId47" w:history="1">
              <w:r w:rsidR="00EC6E07" w:rsidRPr="00F958C4">
                <w:rPr>
                  <w:rStyle w:val="Hyperlink"/>
                  <w:i/>
                  <w:iCs/>
                  <w:sz w:val="22"/>
                  <w:szCs w:val="22"/>
                </w:rPr>
                <w:t>DM-21/1016</w:t>
              </w:r>
            </w:hyperlink>
            <w:r w:rsidRPr="00F958C4">
              <w:rPr>
                <w:i/>
                <w:iCs/>
                <w:sz w:val="22"/>
                <w:szCs w:val="22"/>
              </w:rPr>
              <w:t xml:space="preserve"> and </w:t>
            </w:r>
            <w:hyperlink r:id="rId48" w:history="1">
              <w:r w:rsidR="00EC6E07" w:rsidRPr="00F958C4">
                <w:rPr>
                  <w:rStyle w:val="Hyperlink"/>
                  <w:i/>
                  <w:iCs/>
                  <w:sz w:val="22"/>
                  <w:szCs w:val="22"/>
                </w:rPr>
                <w:t>DM-21/1017</w:t>
              </w:r>
            </w:hyperlink>
            <w:r w:rsidR="00FE3EEB" w:rsidRPr="00F958C4">
              <w:rPr>
                <w:i/>
                <w:iCs/>
                <w:sz w:val="22"/>
                <w:szCs w:val="22"/>
              </w:rPr>
              <w:t>; Documents</w:t>
            </w:r>
            <w:r w:rsidR="00EC6E07" w:rsidRPr="00F958C4">
              <w:rPr>
                <w:i/>
                <w:iCs/>
                <w:sz w:val="22"/>
                <w:szCs w:val="22"/>
              </w:rPr>
              <w:t xml:space="preserve"> </w:t>
            </w:r>
            <w:hyperlink r:id="rId49" w:history="1">
              <w:r w:rsidR="00AD3438" w:rsidRPr="00F958C4">
                <w:rPr>
                  <w:rStyle w:val="Hyperlink"/>
                  <w:i/>
                  <w:iCs/>
                  <w:sz w:val="22"/>
                  <w:szCs w:val="22"/>
                </w:rPr>
                <w:t>PP-22/40</w:t>
              </w:r>
            </w:hyperlink>
            <w:r w:rsidR="00AD3438" w:rsidRPr="00F958C4">
              <w:rPr>
                <w:i/>
                <w:iCs/>
                <w:sz w:val="22"/>
                <w:szCs w:val="22"/>
              </w:rPr>
              <w:t xml:space="preserve">, </w:t>
            </w:r>
            <w:r w:rsidRPr="00F958C4">
              <w:rPr>
                <w:i/>
                <w:iCs/>
                <w:sz w:val="22"/>
                <w:szCs w:val="22"/>
              </w:rPr>
              <w:t>PP-22/68(</w:t>
            </w:r>
            <w:proofErr w:type="spellStart"/>
            <w:r w:rsidRPr="00F958C4">
              <w:rPr>
                <w:i/>
                <w:iCs/>
                <w:sz w:val="22"/>
                <w:szCs w:val="22"/>
              </w:rPr>
              <w:t>Add.17</w:t>
            </w:r>
            <w:proofErr w:type="spellEnd"/>
            <w:r w:rsidRPr="00F958C4">
              <w:rPr>
                <w:i/>
                <w:iCs/>
                <w:sz w:val="22"/>
                <w:szCs w:val="22"/>
              </w:rPr>
              <w:t>) (</w:t>
            </w:r>
            <w:hyperlink r:id="rId50" w:history="1">
              <w:r w:rsidR="00AD3438" w:rsidRPr="00F958C4">
                <w:rPr>
                  <w:rStyle w:val="Hyperlink"/>
                  <w:i/>
                  <w:iCs/>
                  <w:sz w:val="22"/>
                  <w:szCs w:val="22"/>
                </w:rPr>
                <w:t>RCC/</w:t>
              </w:r>
              <w:proofErr w:type="spellStart"/>
              <w:r w:rsidR="00AD3438" w:rsidRPr="00F958C4">
                <w:rPr>
                  <w:rStyle w:val="Hyperlink"/>
                  <w:i/>
                  <w:iCs/>
                  <w:sz w:val="22"/>
                  <w:szCs w:val="22"/>
                </w:rPr>
                <w:t>68A17</w:t>
              </w:r>
              <w:proofErr w:type="spellEnd"/>
              <w:r w:rsidR="00AD3438" w:rsidRPr="00F958C4">
                <w:rPr>
                  <w:rStyle w:val="Hyperlink"/>
                  <w:i/>
                  <w:iCs/>
                  <w:sz w:val="22"/>
                  <w:szCs w:val="22"/>
                </w:rPr>
                <w:t>/1</w:t>
              </w:r>
            </w:hyperlink>
            <w:r w:rsidRPr="00F958C4">
              <w:rPr>
                <w:i/>
                <w:iCs/>
                <w:sz w:val="22"/>
                <w:szCs w:val="22"/>
              </w:rPr>
              <w:t>)</w:t>
            </w:r>
            <w:r w:rsidR="00AD3438" w:rsidRPr="00F958C4">
              <w:rPr>
                <w:i/>
                <w:iCs/>
                <w:sz w:val="22"/>
                <w:szCs w:val="22"/>
              </w:rPr>
              <w:t xml:space="preserve">, </w:t>
            </w:r>
            <w:hyperlink r:id="rId51" w:history="1">
              <w:r w:rsidR="00AD3438" w:rsidRPr="00F958C4">
                <w:rPr>
                  <w:rStyle w:val="Hyperlink"/>
                  <w:i/>
                  <w:iCs/>
                  <w:sz w:val="22"/>
                  <w:szCs w:val="22"/>
                </w:rPr>
                <w:t>PP-22/189</w:t>
              </w:r>
            </w:hyperlink>
            <w:r w:rsidRPr="00F958C4">
              <w:rPr>
                <w:i/>
                <w:iCs/>
                <w:sz w:val="22"/>
                <w:szCs w:val="22"/>
              </w:rPr>
              <w:t xml:space="preserve"> and </w:t>
            </w:r>
            <w:hyperlink r:id="rId52" w:history="1">
              <w:r w:rsidR="00AD3438" w:rsidRPr="00F958C4">
                <w:rPr>
                  <w:rStyle w:val="Hyperlink"/>
                  <w:i/>
                  <w:iCs/>
                  <w:sz w:val="22"/>
                  <w:szCs w:val="22"/>
                </w:rPr>
                <w:t>PP-22/206</w:t>
              </w:r>
            </w:hyperlink>
            <w:r w:rsidR="00FE3EEB" w:rsidRPr="00F958C4">
              <w:rPr>
                <w:i/>
                <w:iCs/>
                <w:sz w:val="22"/>
                <w:szCs w:val="22"/>
              </w:rPr>
              <w:t xml:space="preserve"> of the Plenipotentiary Conference (Bucharest, 2022); Council Documents</w:t>
            </w:r>
            <w:r w:rsidR="00AD3438" w:rsidRPr="00F958C4">
              <w:rPr>
                <w:i/>
                <w:iCs/>
                <w:sz w:val="22"/>
                <w:szCs w:val="22"/>
              </w:rPr>
              <w:t xml:space="preserve"> </w:t>
            </w:r>
            <w:hyperlink r:id="rId53" w:history="1">
              <w:r w:rsidR="00AD3438" w:rsidRPr="00F958C4">
                <w:rPr>
                  <w:rStyle w:val="Hyperlink"/>
                  <w:i/>
                  <w:iCs/>
                  <w:sz w:val="22"/>
                  <w:szCs w:val="22"/>
                </w:rPr>
                <w:t>C23/4</w:t>
              </w:r>
            </w:hyperlink>
            <w:r w:rsidR="00AD3438" w:rsidRPr="00F958C4">
              <w:rPr>
                <w:i/>
                <w:iCs/>
                <w:sz w:val="22"/>
                <w:szCs w:val="22"/>
              </w:rPr>
              <w:t xml:space="preserve">, </w:t>
            </w:r>
            <w:hyperlink r:id="rId54" w:history="1">
              <w:r w:rsidR="00AD3438" w:rsidRPr="00F958C4">
                <w:rPr>
                  <w:rStyle w:val="Hyperlink"/>
                  <w:i/>
                  <w:iCs/>
                  <w:sz w:val="22"/>
                  <w:szCs w:val="22"/>
                </w:rPr>
                <w:t>C23/84</w:t>
              </w:r>
            </w:hyperlink>
            <w:r w:rsidRPr="00F958C4">
              <w:rPr>
                <w:i/>
                <w:iCs/>
                <w:sz w:val="22"/>
                <w:szCs w:val="22"/>
              </w:rPr>
              <w:t xml:space="preserve"> and </w:t>
            </w:r>
            <w:hyperlink r:id="rId55" w:history="1">
              <w:r w:rsidR="00AD3438" w:rsidRPr="00F958C4">
                <w:rPr>
                  <w:rStyle w:val="Hyperlink"/>
                  <w:i/>
                  <w:iCs/>
                  <w:sz w:val="22"/>
                  <w:szCs w:val="22"/>
                </w:rPr>
                <w:t>C23/107</w:t>
              </w:r>
            </w:hyperlink>
            <w:r w:rsidR="00FE3EEB" w:rsidRPr="00F958C4">
              <w:rPr>
                <w:i/>
                <w:iCs/>
                <w:sz w:val="22"/>
                <w:szCs w:val="22"/>
              </w:rPr>
              <w:t xml:space="preserve">; Circular </w:t>
            </w:r>
            <w:r w:rsidRPr="00F958C4">
              <w:rPr>
                <w:i/>
                <w:iCs/>
                <w:sz w:val="22"/>
                <w:szCs w:val="22"/>
              </w:rPr>
              <w:t xml:space="preserve">Letter </w:t>
            </w:r>
            <w:hyperlink r:id="rId56" w:history="1">
              <w:r w:rsidR="00AD3438" w:rsidRPr="00F958C4">
                <w:rPr>
                  <w:rStyle w:val="Hyperlink"/>
                  <w:i/>
                  <w:iCs/>
                  <w:sz w:val="22"/>
                  <w:szCs w:val="22"/>
                </w:rPr>
                <w:t>CL-24/11</w:t>
              </w:r>
            </w:hyperlink>
            <w:r w:rsidR="00FE3EEB" w:rsidRPr="00F958C4">
              <w:rPr>
                <w:i/>
                <w:iCs/>
                <w:sz w:val="22"/>
                <w:szCs w:val="22"/>
              </w:rPr>
              <w:t>; Council Documents</w:t>
            </w:r>
            <w:r w:rsidR="00AD3438" w:rsidRPr="00F958C4">
              <w:rPr>
                <w:i/>
                <w:iCs/>
                <w:sz w:val="22"/>
                <w:szCs w:val="22"/>
              </w:rPr>
              <w:t xml:space="preserve"> </w:t>
            </w:r>
            <w:hyperlink r:id="rId57" w:history="1">
              <w:proofErr w:type="spellStart"/>
              <w:r w:rsidR="00AD3438" w:rsidRPr="00F958C4">
                <w:rPr>
                  <w:rStyle w:val="Hyperlink"/>
                  <w:rFonts w:asciiTheme="minorHAnsi" w:hAnsiTheme="minorHAnsi" w:cstheme="minorHAnsi"/>
                  <w:i/>
                  <w:iCs/>
                  <w:sz w:val="22"/>
                  <w:szCs w:val="22"/>
                </w:rPr>
                <w:t>C24</w:t>
              </w:r>
              <w:proofErr w:type="spellEnd"/>
              <w:r w:rsidR="00AD3438" w:rsidRPr="00F958C4">
                <w:rPr>
                  <w:rStyle w:val="Hyperlink"/>
                  <w:rFonts w:asciiTheme="minorHAnsi" w:hAnsiTheme="minorHAnsi" w:cstheme="minorHAnsi"/>
                  <w:i/>
                  <w:iCs/>
                  <w:sz w:val="22"/>
                  <w:szCs w:val="22"/>
                </w:rPr>
                <w:t>/INF/13</w:t>
              </w:r>
            </w:hyperlink>
            <w:r w:rsidR="00AD3438" w:rsidRPr="00F958C4">
              <w:rPr>
                <w:i/>
                <w:iCs/>
                <w:sz w:val="22"/>
                <w:szCs w:val="22"/>
              </w:rPr>
              <w:t xml:space="preserve">, </w:t>
            </w:r>
            <w:hyperlink r:id="rId58" w:history="1">
              <w:r w:rsidR="00AD3438" w:rsidRPr="00F958C4">
                <w:rPr>
                  <w:rStyle w:val="Hyperlink"/>
                  <w:i/>
                  <w:iCs/>
                  <w:sz w:val="22"/>
                  <w:szCs w:val="22"/>
                </w:rPr>
                <w:t>Decision 636 (C23-ADD/14)</w:t>
              </w:r>
            </w:hyperlink>
            <w:r w:rsidR="00AD3438" w:rsidRPr="00F958C4">
              <w:rPr>
                <w:i/>
                <w:iCs/>
                <w:sz w:val="22"/>
                <w:szCs w:val="22"/>
              </w:rPr>
              <w:t xml:space="preserve">, </w:t>
            </w:r>
            <w:hyperlink r:id="rId59" w:history="1">
              <w:proofErr w:type="spellStart"/>
              <w:r w:rsidR="00AD3438" w:rsidRPr="00F958C4">
                <w:rPr>
                  <w:rStyle w:val="Hyperlink"/>
                  <w:rFonts w:asciiTheme="minorHAnsi" w:hAnsiTheme="minorHAnsi" w:cstheme="minorHAnsi"/>
                  <w:i/>
                  <w:iCs/>
                  <w:sz w:val="22"/>
                  <w:szCs w:val="22"/>
                </w:rPr>
                <w:t>C24</w:t>
              </w:r>
              <w:proofErr w:type="spellEnd"/>
              <w:r w:rsidR="00AD3438" w:rsidRPr="00F958C4">
                <w:rPr>
                  <w:rStyle w:val="Hyperlink"/>
                  <w:rFonts w:asciiTheme="minorHAnsi" w:hAnsiTheme="minorHAnsi" w:cstheme="minorHAnsi"/>
                  <w:i/>
                  <w:iCs/>
                  <w:sz w:val="22"/>
                  <w:szCs w:val="22"/>
                </w:rPr>
                <w:t>/4</w:t>
              </w:r>
            </w:hyperlink>
            <w:r w:rsidR="00AD3438" w:rsidRPr="00F958C4">
              <w:rPr>
                <w:rFonts w:asciiTheme="minorHAnsi" w:hAnsiTheme="minorHAnsi" w:cstheme="minorHAnsi"/>
                <w:i/>
                <w:iCs/>
                <w:sz w:val="22"/>
                <w:szCs w:val="22"/>
              </w:rPr>
              <w:t xml:space="preserve">, </w:t>
            </w:r>
            <w:hyperlink r:id="rId60" w:history="1">
              <w:proofErr w:type="spellStart"/>
              <w:r w:rsidR="00AD3438" w:rsidRPr="00F958C4">
                <w:rPr>
                  <w:rStyle w:val="Hyperlink"/>
                  <w:rFonts w:asciiTheme="minorHAnsi" w:hAnsiTheme="minorHAnsi" w:cstheme="minorHAnsi"/>
                  <w:i/>
                  <w:iCs/>
                  <w:sz w:val="22"/>
                  <w:szCs w:val="22"/>
                </w:rPr>
                <w:t>C24</w:t>
              </w:r>
              <w:proofErr w:type="spellEnd"/>
              <w:r w:rsidR="00AD3438" w:rsidRPr="00F958C4">
                <w:rPr>
                  <w:rStyle w:val="Hyperlink"/>
                  <w:rFonts w:asciiTheme="minorHAnsi" w:hAnsiTheme="minorHAnsi" w:cstheme="minorHAnsi"/>
                  <w:i/>
                  <w:iCs/>
                  <w:sz w:val="22"/>
                  <w:szCs w:val="22"/>
                </w:rPr>
                <w:t>/86</w:t>
              </w:r>
            </w:hyperlink>
            <w:r w:rsidRPr="00F958C4">
              <w:rPr>
                <w:i/>
                <w:iCs/>
                <w:sz w:val="22"/>
                <w:szCs w:val="22"/>
              </w:rPr>
              <w:t xml:space="preserve"> and </w:t>
            </w:r>
            <w:hyperlink r:id="rId61" w:history="1">
              <w:proofErr w:type="spellStart"/>
              <w:r w:rsidR="00AD3438" w:rsidRPr="00F958C4">
                <w:rPr>
                  <w:rStyle w:val="Hyperlink"/>
                  <w:rFonts w:asciiTheme="minorHAnsi" w:hAnsiTheme="minorHAnsi" w:cstheme="minorHAnsi"/>
                  <w:i/>
                  <w:iCs/>
                  <w:sz w:val="22"/>
                  <w:szCs w:val="22"/>
                </w:rPr>
                <w:t>C24</w:t>
              </w:r>
              <w:proofErr w:type="spellEnd"/>
              <w:r w:rsidR="00AD3438" w:rsidRPr="00F958C4">
                <w:rPr>
                  <w:rStyle w:val="Hyperlink"/>
                  <w:rFonts w:asciiTheme="minorHAnsi" w:hAnsiTheme="minorHAnsi" w:cstheme="minorHAnsi"/>
                  <w:i/>
                  <w:iCs/>
                  <w:sz w:val="22"/>
                  <w:szCs w:val="22"/>
                </w:rPr>
                <w:t>/113</w:t>
              </w:r>
            </w:hyperlink>
            <w:r w:rsidR="00AD3438" w:rsidRPr="00F958C4">
              <w:rPr>
                <w:rFonts w:asciiTheme="minorHAnsi" w:hAnsiTheme="minorHAnsi" w:cstheme="minorHAnsi"/>
                <w:i/>
                <w:iCs/>
                <w:sz w:val="22"/>
                <w:szCs w:val="22"/>
              </w:rPr>
              <w:t>.</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316BAA8C" w14:textId="51FBF876" w:rsidR="00831B25" w:rsidRPr="00DF226F" w:rsidRDefault="00831B25" w:rsidP="00B33BDB">
      <w:pPr>
        <w:pStyle w:val="Heading1"/>
      </w:pPr>
      <w:r w:rsidRPr="00DF226F">
        <w:lastRenderedPageBreak/>
        <w:t>1</w:t>
      </w:r>
      <w:r w:rsidR="00AE1DAB">
        <w:tab/>
      </w:r>
      <w:r w:rsidRPr="00DF226F">
        <w:t>Introduction</w:t>
      </w:r>
    </w:p>
    <w:p w14:paraId="6D4E8DF6" w14:textId="1A9C760F" w:rsidR="00831B25" w:rsidRPr="008A2558" w:rsidRDefault="00831B25" w:rsidP="00BC5C81">
      <w:pPr>
        <w:jc w:val="both"/>
      </w:pPr>
      <w:r w:rsidRPr="008A2558">
        <w:t>At the last Plenipotentiary Conference (PP-22) held in Romania, as per the revision of Resolution</w:t>
      </w:r>
      <w:r w:rsidR="00BC5C81">
        <w:t> </w:t>
      </w:r>
      <w:r w:rsidRPr="008A2558">
        <w:t>77</w:t>
      </w:r>
      <w:r w:rsidR="0017151C" w:rsidRPr="008A2558">
        <w:t>,</w:t>
      </w:r>
      <w:r w:rsidRPr="008A2558">
        <w:t xml:space="preserve"> it was decided to hold the next PP (PP-26) during the last quarter of 2026 in Doha, Qatar. </w:t>
      </w:r>
      <w:r w:rsidR="00774D3D" w:rsidRPr="008A2558">
        <w:t xml:space="preserve">At </w:t>
      </w:r>
      <w:r w:rsidR="00C80929" w:rsidRPr="008A2558">
        <w:t>its 2023</w:t>
      </w:r>
      <w:r w:rsidR="00774D3D" w:rsidRPr="008A2558">
        <w:t xml:space="preserve"> additional session, the Council </w:t>
      </w:r>
      <w:r w:rsidR="00C80929" w:rsidRPr="008A2558">
        <w:t>decided</w:t>
      </w:r>
      <w:r w:rsidR="00774D3D" w:rsidRPr="008A2558">
        <w:t xml:space="preserve"> to hold PP-26 at the Doha Exhibition and Convention Center from Monday, 9 to Friday, 27 November 2026 (</w:t>
      </w:r>
      <w:hyperlink r:id="rId62" w:history="1">
        <w:r w:rsidR="00774D3D" w:rsidRPr="008A2558">
          <w:rPr>
            <w:rStyle w:val="Hyperlink"/>
            <w:rFonts w:asciiTheme="minorHAnsi" w:hAnsiTheme="minorHAnsi" w:cstheme="minorHAnsi"/>
            <w:spacing w:val="-2"/>
          </w:rPr>
          <w:t>Decision</w:t>
        </w:r>
        <w:r w:rsidR="00A7366E">
          <w:rPr>
            <w:rStyle w:val="Hyperlink"/>
            <w:rFonts w:asciiTheme="minorHAnsi" w:hAnsiTheme="minorHAnsi" w:cstheme="minorHAnsi"/>
            <w:spacing w:val="-2"/>
          </w:rPr>
          <w:t> </w:t>
        </w:r>
        <w:r w:rsidR="00774D3D" w:rsidRPr="008A2558">
          <w:rPr>
            <w:rStyle w:val="Hyperlink"/>
            <w:rFonts w:asciiTheme="minorHAnsi" w:hAnsiTheme="minorHAnsi" w:cstheme="minorHAnsi"/>
            <w:spacing w:val="-2"/>
          </w:rPr>
          <w:t>636</w:t>
        </w:r>
      </w:hyperlink>
      <w:r w:rsidR="00774D3D" w:rsidRPr="008A2558">
        <w:t xml:space="preserve">). </w:t>
      </w:r>
    </w:p>
    <w:p w14:paraId="63167BED" w14:textId="547EF399" w:rsidR="00831B25" w:rsidRPr="008A2558" w:rsidRDefault="00831B25" w:rsidP="00BC5C81">
      <w:pPr>
        <w:jc w:val="both"/>
      </w:pPr>
      <w:r w:rsidRPr="008A2558">
        <w:t>Pursuant to No. 2 of the Convention, in the event that the precise place and exact dates of a PP have not been set by the preceding PP, they shall be fixed by the Council with the concurrence of the majority of the Member States.</w:t>
      </w:r>
      <w:r w:rsidR="00FF7225" w:rsidRPr="008A2558">
        <w:t xml:space="preserve"> Further to the adoption of Decision 636, this decision was then confirmed following a consultation of all Member States (</w:t>
      </w:r>
      <w:hyperlink r:id="rId63" w:history="1">
        <w:r w:rsidR="00FF7225" w:rsidRPr="008A2558">
          <w:rPr>
            <w:rStyle w:val="Hyperlink"/>
            <w:rFonts w:asciiTheme="minorHAnsi" w:hAnsiTheme="minorHAnsi" w:cstheme="minorHAnsi"/>
            <w:spacing w:val="-2"/>
          </w:rPr>
          <w:t>CL-23/44</w:t>
        </w:r>
      </w:hyperlink>
      <w:r w:rsidR="00FF7225" w:rsidRPr="008A2558">
        <w:t xml:space="preserve"> and </w:t>
      </w:r>
      <w:hyperlink r:id="rId64" w:history="1">
        <w:r w:rsidR="00FF7225" w:rsidRPr="008A2558">
          <w:rPr>
            <w:rStyle w:val="Hyperlink"/>
            <w:rFonts w:asciiTheme="minorHAnsi" w:hAnsiTheme="minorHAnsi" w:cstheme="minorHAnsi"/>
            <w:spacing w:val="-2"/>
          </w:rPr>
          <w:t>CL-23/53</w:t>
        </w:r>
      </w:hyperlink>
      <w:r w:rsidR="00FF7225" w:rsidRPr="008A2558">
        <w:t>).</w:t>
      </w:r>
    </w:p>
    <w:p w14:paraId="04C6E381" w14:textId="432A09FE" w:rsidR="0017151C" w:rsidRPr="00DF226F" w:rsidRDefault="0017151C" w:rsidP="00B33BDB">
      <w:pPr>
        <w:pStyle w:val="Heading1"/>
      </w:pPr>
      <w:r w:rsidRPr="00DF226F">
        <w:t>2</w:t>
      </w:r>
      <w:r w:rsidR="00AE1DAB">
        <w:tab/>
      </w:r>
      <w:r w:rsidRPr="00DF226F">
        <w:t xml:space="preserve">Organization with </w:t>
      </w:r>
      <w:r w:rsidR="00B33BDB">
        <w:t xml:space="preserve">the </w:t>
      </w:r>
      <w:r w:rsidR="00B33BDB" w:rsidRPr="00DF226F">
        <w:t>host country</w:t>
      </w:r>
    </w:p>
    <w:p w14:paraId="2744D9F4" w14:textId="00B016ED" w:rsidR="0017151C" w:rsidRPr="0017151C" w:rsidRDefault="0017151C" w:rsidP="00BC5C81">
      <w:pPr>
        <w:jc w:val="both"/>
        <w:rPr>
          <w:rFonts w:asciiTheme="minorHAnsi" w:hAnsiTheme="minorHAnsi" w:cstheme="minorHAnsi"/>
        </w:rPr>
      </w:pPr>
      <w:r w:rsidRPr="0017151C">
        <w:rPr>
          <w:rFonts w:asciiTheme="minorHAnsi" w:hAnsiTheme="minorHAnsi" w:cstheme="minorHAnsi"/>
        </w:rPr>
        <w:t xml:space="preserve">Discussions </w:t>
      </w:r>
      <w:r w:rsidRPr="00BC5C81">
        <w:t>between</w:t>
      </w:r>
      <w:r w:rsidRPr="0017151C">
        <w:rPr>
          <w:rFonts w:asciiTheme="minorHAnsi" w:hAnsiTheme="minorHAnsi" w:cstheme="minorHAnsi"/>
        </w:rPr>
        <w:t xml:space="preserve"> ITU and the Government of </w:t>
      </w:r>
      <w:r>
        <w:rPr>
          <w:rFonts w:asciiTheme="minorHAnsi" w:hAnsiTheme="minorHAnsi" w:cstheme="minorHAnsi"/>
        </w:rPr>
        <w:t>Qatar</w:t>
      </w:r>
      <w:r w:rsidRPr="0017151C">
        <w:rPr>
          <w:rFonts w:asciiTheme="minorHAnsi" w:hAnsiTheme="minorHAnsi" w:cstheme="minorHAnsi"/>
        </w:rPr>
        <w:t xml:space="preserve"> on the provisions of the Host Country Agreement </w:t>
      </w:r>
      <w:r w:rsidR="00B0118A">
        <w:rPr>
          <w:rFonts w:asciiTheme="minorHAnsi" w:hAnsiTheme="minorHAnsi" w:cstheme="minorHAnsi"/>
        </w:rPr>
        <w:t>are ongoing.</w:t>
      </w:r>
    </w:p>
    <w:p w14:paraId="3E9B8359" w14:textId="77777777" w:rsidR="00B0118A" w:rsidRDefault="0017151C" w:rsidP="00BC5C81">
      <w:pPr>
        <w:jc w:val="both"/>
        <w:rPr>
          <w:rFonts w:asciiTheme="minorHAnsi" w:hAnsiTheme="minorHAnsi" w:cstheme="minorHAnsi"/>
        </w:rPr>
      </w:pPr>
      <w:r w:rsidRPr="0017151C">
        <w:rPr>
          <w:rFonts w:asciiTheme="minorHAnsi" w:hAnsiTheme="minorHAnsi" w:cstheme="minorHAnsi"/>
        </w:rPr>
        <w:t xml:space="preserve">The ITU secretariat conducted a site visit from </w:t>
      </w:r>
      <w:r>
        <w:rPr>
          <w:rFonts w:asciiTheme="minorHAnsi" w:hAnsiTheme="minorHAnsi" w:cstheme="minorHAnsi"/>
        </w:rPr>
        <w:t xml:space="preserve">4 to 8 November </w:t>
      </w:r>
      <w:r w:rsidRPr="0017151C">
        <w:rPr>
          <w:rFonts w:asciiTheme="minorHAnsi" w:hAnsiTheme="minorHAnsi" w:cstheme="minorHAnsi"/>
        </w:rPr>
        <w:t>20</w:t>
      </w:r>
      <w:r>
        <w:rPr>
          <w:rFonts w:asciiTheme="minorHAnsi" w:hAnsiTheme="minorHAnsi" w:cstheme="minorHAnsi"/>
        </w:rPr>
        <w:t>24</w:t>
      </w:r>
      <w:r w:rsidRPr="0017151C">
        <w:rPr>
          <w:rFonts w:asciiTheme="minorHAnsi" w:hAnsiTheme="minorHAnsi" w:cstheme="minorHAnsi"/>
        </w:rPr>
        <w:t xml:space="preserve"> to meet with </w:t>
      </w:r>
      <w:r w:rsidR="00B0118A" w:rsidRPr="0017151C">
        <w:rPr>
          <w:rFonts w:asciiTheme="minorHAnsi" w:hAnsiTheme="minorHAnsi" w:cstheme="minorHAnsi"/>
        </w:rPr>
        <w:t xml:space="preserve">Host Country </w:t>
      </w:r>
      <w:r w:rsidRPr="0017151C">
        <w:rPr>
          <w:rFonts w:asciiTheme="minorHAnsi" w:hAnsiTheme="minorHAnsi" w:cstheme="minorHAnsi"/>
        </w:rPr>
        <w:t>counterparts, examine the conference centre, infrastructure, and hotels, prepare the security and communication plans, address protocol issues, and commence the organization of logistics.</w:t>
      </w:r>
      <w:r w:rsidR="00AE1DAB">
        <w:rPr>
          <w:rFonts w:asciiTheme="minorHAnsi" w:hAnsiTheme="minorHAnsi" w:cstheme="minorHAnsi"/>
        </w:rPr>
        <w:t xml:space="preserve"> </w:t>
      </w:r>
    </w:p>
    <w:p w14:paraId="76904859" w14:textId="0F18ECCE" w:rsidR="00B0118A" w:rsidRDefault="00B0118A" w:rsidP="00BC5C81">
      <w:pPr>
        <w:jc w:val="both"/>
        <w:rPr>
          <w:rFonts w:asciiTheme="minorHAnsi" w:hAnsiTheme="minorHAnsi" w:cstheme="minorBidi"/>
        </w:rPr>
      </w:pPr>
      <w:r w:rsidRPr="7B53170A">
        <w:rPr>
          <w:rFonts w:asciiTheme="minorHAnsi" w:hAnsiTheme="minorHAnsi" w:cstheme="minorBidi"/>
        </w:rPr>
        <w:t xml:space="preserve">The ITU secretariat and the Host Country team in charge of the preparation of PP-26 have been holding monthly virtual meetings to exchange information, discuss all elements of the preparation of the event, and address pressing issues. In addition to the monthly meetings, regular bilateral </w:t>
      </w:r>
      <w:r w:rsidRPr="00BC5C81">
        <w:t>meetings</w:t>
      </w:r>
      <w:r w:rsidRPr="7B53170A">
        <w:rPr>
          <w:rFonts w:asciiTheme="minorHAnsi" w:hAnsiTheme="minorHAnsi" w:cstheme="minorBidi"/>
        </w:rPr>
        <w:t xml:space="preserve"> have been taking place with the Host Country to address specific areas of the organization of </w:t>
      </w:r>
      <w:r w:rsidR="52DDB316" w:rsidRPr="7B53170A">
        <w:rPr>
          <w:rFonts w:asciiTheme="minorHAnsi" w:hAnsiTheme="minorHAnsi" w:cstheme="minorBidi"/>
        </w:rPr>
        <w:t>the event</w:t>
      </w:r>
      <w:r w:rsidRPr="7B53170A">
        <w:rPr>
          <w:rFonts w:asciiTheme="minorHAnsi" w:hAnsiTheme="minorHAnsi" w:cstheme="minorBidi"/>
        </w:rPr>
        <w:t>.</w:t>
      </w:r>
    </w:p>
    <w:p w14:paraId="61EFA4E8" w14:textId="6D9C3BBC" w:rsidR="0017151C" w:rsidRPr="0017151C" w:rsidRDefault="00B0118A" w:rsidP="00BC5C81">
      <w:pPr>
        <w:jc w:val="both"/>
        <w:rPr>
          <w:rFonts w:asciiTheme="minorHAnsi" w:hAnsiTheme="minorHAnsi" w:cstheme="minorHAnsi"/>
        </w:rPr>
      </w:pPr>
      <w:r>
        <w:rPr>
          <w:rFonts w:asciiTheme="minorHAnsi" w:hAnsiTheme="minorHAnsi" w:cstheme="minorHAnsi"/>
        </w:rPr>
        <w:t xml:space="preserve">As announced at </w:t>
      </w:r>
      <w:r w:rsidRPr="00BC5C81">
        <w:t>C24</w:t>
      </w:r>
      <w:r>
        <w:rPr>
          <w:rFonts w:asciiTheme="minorHAnsi" w:hAnsiTheme="minorHAnsi" w:cstheme="minorHAnsi"/>
        </w:rPr>
        <w:t>, t</w:t>
      </w:r>
      <w:r w:rsidRPr="00B0118A">
        <w:rPr>
          <w:rFonts w:asciiTheme="minorHAnsi" w:hAnsiTheme="minorHAnsi" w:cstheme="minorHAnsi"/>
        </w:rPr>
        <w:t xml:space="preserve">he Host Country has identified Mr Ahmad Abdulla </w:t>
      </w:r>
      <w:proofErr w:type="spellStart"/>
      <w:r w:rsidRPr="00B0118A">
        <w:rPr>
          <w:rFonts w:asciiTheme="minorHAnsi" w:hAnsiTheme="minorHAnsi" w:cstheme="minorHAnsi"/>
        </w:rPr>
        <w:t>AlMuslemani</w:t>
      </w:r>
      <w:proofErr w:type="spellEnd"/>
      <w:r w:rsidRPr="00B0118A">
        <w:rPr>
          <w:rFonts w:asciiTheme="minorHAnsi" w:hAnsiTheme="minorHAnsi" w:cstheme="minorHAnsi"/>
        </w:rPr>
        <w:t xml:space="preserve"> as the PP-2</w:t>
      </w:r>
      <w:r>
        <w:rPr>
          <w:rFonts w:asciiTheme="minorHAnsi" w:hAnsiTheme="minorHAnsi" w:cstheme="minorHAnsi"/>
        </w:rPr>
        <w:t>6</w:t>
      </w:r>
      <w:r w:rsidRPr="00B0118A">
        <w:rPr>
          <w:rFonts w:asciiTheme="minorHAnsi" w:hAnsiTheme="minorHAnsi" w:cstheme="minorHAnsi"/>
        </w:rPr>
        <w:t xml:space="preserve"> Chair-designate. Mr </w:t>
      </w:r>
      <w:proofErr w:type="spellStart"/>
      <w:r w:rsidRPr="00B0118A">
        <w:rPr>
          <w:rFonts w:asciiTheme="minorHAnsi" w:hAnsiTheme="minorHAnsi" w:cstheme="minorHAnsi"/>
        </w:rPr>
        <w:t>AlMuslemani</w:t>
      </w:r>
      <w:proofErr w:type="spellEnd"/>
      <w:r w:rsidRPr="00B0118A">
        <w:rPr>
          <w:rFonts w:asciiTheme="minorHAnsi" w:hAnsiTheme="minorHAnsi" w:cstheme="minorHAnsi"/>
        </w:rPr>
        <w:t xml:space="preserve"> has met the ITU management team and is actively preparing by participating in briefings with the secretariat as well as ITU official meetings.</w:t>
      </w:r>
    </w:p>
    <w:p w14:paraId="66FC631B" w14:textId="294CB1E7" w:rsidR="00782C30" w:rsidRPr="00DF226F" w:rsidRDefault="00782C30" w:rsidP="00B33BDB">
      <w:pPr>
        <w:pStyle w:val="Heading1"/>
      </w:pPr>
      <w:r w:rsidRPr="00DF226F">
        <w:t>3</w:t>
      </w:r>
      <w:r w:rsidR="00B76C94">
        <w:tab/>
      </w:r>
      <w:r w:rsidRPr="00DF226F">
        <w:t xml:space="preserve">Improvements </w:t>
      </w:r>
      <w:r w:rsidR="00D846EA">
        <w:t>as decided by C24</w:t>
      </w:r>
    </w:p>
    <w:p w14:paraId="6BA16859" w14:textId="20E7E44F" w:rsidR="00782C30" w:rsidRDefault="00D761D0" w:rsidP="00BC5C81">
      <w:pPr>
        <w:jc w:val="both"/>
        <w:rPr>
          <w:rFonts w:asciiTheme="minorHAnsi" w:hAnsiTheme="minorHAnsi" w:cstheme="minorHAnsi"/>
        </w:rPr>
      </w:pPr>
      <w:r>
        <w:rPr>
          <w:rFonts w:asciiTheme="minorHAnsi" w:hAnsiTheme="minorHAnsi" w:cstheme="minorHAnsi"/>
        </w:rPr>
        <w:t xml:space="preserve">At </w:t>
      </w:r>
      <w:r w:rsidR="00AC3DD9">
        <w:rPr>
          <w:rFonts w:asciiTheme="minorHAnsi" w:hAnsiTheme="minorHAnsi" w:cstheme="minorHAnsi"/>
        </w:rPr>
        <w:t xml:space="preserve">the </w:t>
      </w:r>
      <w:hyperlink r:id="rId65" w:history="1">
        <w:r w:rsidR="00AC3DD9" w:rsidRPr="00AC3DD9">
          <w:rPr>
            <w:rStyle w:val="Hyperlink"/>
            <w:rFonts w:asciiTheme="minorHAnsi" w:hAnsiTheme="minorHAnsi" w:cstheme="minorHAnsi"/>
          </w:rPr>
          <w:t>third Plenary</w:t>
        </w:r>
      </w:hyperlink>
      <w:r w:rsidR="00AC3DD9">
        <w:rPr>
          <w:rFonts w:asciiTheme="minorHAnsi" w:hAnsiTheme="minorHAnsi" w:cstheme="minorHAnsi"/>
        </w:rPr>
        <w:t xml:space="preserve"> of </w:t>
      </w:r>
      <w:r w:rsidR="00C82DE3">
        <w:rPr>
          <w:rFonts w:asciiTheme="minorHAnsi" w:hAnsiTheme="minorHAnsi" w:cstheme="minorHAnsi"/>
        </w:rPr>
        <w:t xml:space="preserve">its 2024 session, further to discussion of the outcome of consultations on proposed improvements </w:t>
      </w:r>
      <w:r w:rsidR="00C82DE3" w:rsidRPr="00BC5C81">
        <w:t>to</w:t>
      </w:r>
      <w:r w:rsidR="00C82DE3">
        <w:rPr>
          <w:rFonts w:asciiTheme="minorHAnsi" w:hAnsiTheme="minorHAnsi" w:cstheme="minorHAnsi"/>
        </w:rPr>
        <w:t xml:space="preserve"> the PP (</w:t>
      </w:r>
      <w:r w:rsidR="00B33BDB">
        <w:rPr>
          <w:rFonts w:asciiTheme="minorHAnsi" w:hAnsiTheme="minorHAnsi" w:cstheme="minorHAnsi"/>
        </w:rPr>
        <w:t xml:space="preserve">Documents </w:t>
      </w:r>
      <w:hyperlink r:id="rId66" w:history="1">
        <w:proofErr w:type="spellStart"/>
        <w:r w:rsidR="00C82DE3" w:rsidRPr="00C82DE3">
          <w:rPr>
            <w:rStyle w:val="Hyperlink"/>
            <w:rFonts w:asciiTheme="minorHAnsi" w:hAnsiTheme="minorHAnsi" w:cstheme="minorHAnsi"/>
          </w:rPr>
          <w:t>C24</w:t>
        </w:r>
        <w:proofErr w:type="spellEnd"/>
        <w:r w:rsidR="00C82DE3" w:rsidRPr="00C82DE3">
          <w:rPr>
            <w:rStyle w:val="Hyperlink"/>
            <w:rFonts w:asciiTheme="minorHAnsi" w:hAnsiTheme="minorHAnsi" w:cstheme="minorHAnsi"/>
          </w:rPr>
          <w:t>/4</w:t>
        </w:r>
      </w:hyperlink>
      <w:r w:rsidR="00C82DE3">
        <w:rPr>
          <w:rFonts w:asciiTheme="minorHAnsi" w:hAnsiTheme="minorHAnsi" w:cstheme="minorHAnsi"/>
        </w:rPr>
        <w:t xml:space="preserve"> and </w:t>
      </w:r>
      <w:hyperlink r:id="rId67" w:history="1">
        <w:proofErr w:type="spellStart"/>
        <w:r w:rsidR="00C82DE3" w:rsidRPr="00C82DE3">
          <w:rPr>
            <w:rStyle w:val="Hyperlink"/>
            <w:rFonts w:asciiTheme="minorHAnsi" w:hAnsiTheme="minorHAnsi" w:cstheme="minorHAnsi"/>
          </w:rPr>
          <w:t>C24</w:t>
        </w:r>
        <w:proofErr w:type="spellEnd"/>
        <w:r w:rsidR="00C82DE3" w:rsidRPr="00C82DE3">
          <w:rPr>
            <w:rStyle w:val="Hyperlink"/>
            <w:rFonts w:asciiTheme="minorHAnsi" w:hAnsiTheme="minorHAnsi" w:cstheme="minorHAnsi"/>
          </w:rPr>
          <w:t>/86</w:t>
        </w:r>
      </w:hyperlink>
      <w:r w:rsidR="00C82DE3">
        <w:rPr>
          <w:rFonts w:asciiTheme="minorHAnsi" w:hAnsiTheme="minorHAnsi" w:cstheme="minorHAnsi"/>
        </w:rPr>
        <w:t>), the Council decided to</w:t>
      </w:r>
      <w:r w:rsidR="00E03530">
        <w:rPr>
          <w:rFonts w:asciiTheme="minorHAnsi" w:hAnsiTheme="minorHAnsi" w:cstheme="minorHAnsi"/>
        </w:rPr>
        <w:t xml:space="preserve">: </w:t>
      </w:r>
    </w:p>
    <w:p w14:paraId="59CB8A81" w14:textId="1DA7B431" w:rsidR="00E03530" w:rsidRPr="00B33BDB" w:rsidRDefault="00B33BDB" w:rsidP="00B33BDB">
      <w:pPr>
        <w:pStyle w:val="enumlev1"/>
        <w:jc w:val="both"/>
      </w:pPr>
      <w:r>
        <w:t>–</w:t>
      </w:r>
      <w:r>
        <w:tab/>
      </w:r>
      <w:r w:rsidR="00E03530" w:rsidRPr="00B33BDB">
        <w:t>request the secretariat to continue implementing the successful measures already taken at PP-22 on time management, delegate training, and improvement of processes and to work with the Host Country to implement any possible improvements at PP-26;</w:t>
      </w:r>
    </w:p>
    <w:p w14:paraId="708D5220" w14:textId="561C7CE6" w:rsidR="00E03530" w:rsidRPr="00B33BDB" w:rsidRDefault="00B33BDB" w:rsidP="00B33BDB">
      <w:pPr>
        <w:pStyle w:val="enumlev1"/>
        <w:jc w:val="both"/>
      </w:pPr>
      <w:r>
        <w:t>–</w:t>
      </w:r>
      <w:r>
        <w:tab/>
      </w:r>
      <w:r w:rsidR="00E03530" w:rsidRPr="00B33BDB">
        <w:t>invite the CWG-SFP to review the proposals made to improve the PP, specifically on streamlining resolutions and decisions and their financial implications, and to report back to Council-25; and</w:t>
      </w:r>
    </w:p>
    <w:p w14:paraId="2735D08F" w14:textId="145FD6BC" w:rsidR="00E03530" w:rsidRPr="00B33BDB" w:rsidRDefault="00B33BDB" w:rsidP="00B33BDB">
      <w:pPr>
        <w:pStyle w:val="enumlev1"/>
        <w:jc w:val="both"/>
      </w:pPr>
      <w:r>
        <w:t>–</w:t>
      </w:r>
      <w:r>
        <w:tab/>
      </w:r>
      <w:r w:rsidR="00E03530" w:rsidRPr="00B33BDB">
        <w:t>invite Member States to consider sponsoring programmes that foster the participation of women and young people at the conference.</w:t>
      </w:r>
    </w:p>
    <w:p w14:paraId="7C26CB22" w14:textId="77777777" w:rsidR="0019063C" w:rsidRDefault="0019063C" w:rsidP="00B33BDB">
      <w:pPr>
        <w:pStyle w:val="Headingb"/>
      </w:pPr>
      <w:r>
        <w:t>Delegate preparation</w:t>
      </w:r>
    </w:p>
    <w:p w14:paraId="30DE0B32" w14:textId="712FE0AB" w:rsidR="00C80253" w:rsidRDefault="0019063C" w:rsidP="00BC5C81">
      <w:pPr>
        <w:jc w:val="both"/>
        <w:rPr>
          <w:rFonts w:asciiTheme="minorHAnsi" w:hAnsiTheme="minorHAnsi" w:cstheme="minorBidi"/>
        </w:rPr>
      </w:pPr>
      <w:r w:rsidRPr="7B53170A">
        <w:rPr>
          <w:rFonts w:asciiTheme="minorHAnsi" w:hAnsiTheme="minorHAnsi" w:cstheme="minorBidi"/>
        </w:rPr>
        <w:t xml:space="preserve">As </w:t>
      </w:r>
      <w:r w:rsidR="007C0614" w:rsidRPr="7B53170A">
        <w:rPr>
          <w:rFonts w:asciiTheme="minorHAnsi" w:hAnsiTheme="minorHAnsi" w:cstheme="minorBidi"/>
        </w:rPr>
        <w:t>requested</w:t>
      </w:r>
      <w:r w:rsidRPr="7B53170A">
        <w:rPr>
          <w:rFonts w:asciiTheme="minorHAnsi" w:hAnsiTheme="minorHAnsi" w:cstheme="minorBidi"/>
        </w:rPr>
        <w:t xml:space="preserve"> by Member States during the consultation, the secretariat is exploring ways to improve delegate </w:t>
      </w:r>
      <w:r w:rsidRPr="00BC5C81">
        <w:t>preparation</w:t>
      </w:r>
      <w:r w:rsidRPr="7B53170A">
        <w:rPr>
          <w:rFonts w:asciiTheme="minorHAnsi" w:hAnsiTheme="minorHAnsi" w:cstheme="minorBidi"/>
        </w:rPr>
        <w:t>, including</w:t>
      </w:r>
      <w:r w:rsidR="00643C34" w:rsidRPr="7B53170A">
        <w:rPr>
          <w:rFonts w:asciiTheme="minorHAnsi" w:hAnsiTheme="minorHAnsi" w:cstheme="minorBidi"/>
        </w:rPr>
        <w:t xml:space="preserve"> training through the ITU Academy, online </w:t>
      </w:r>
      <w:r w:rsidR="00643C34" w:rsidRPr="7B53170A">
        <w:rPr>
          <w:rFonts w:asciiTheme="minorHAnsi" w:hAnsiTheme="minorHAnsi" w:cstheme="minorBidi"/>
        </w:rPr>
        <w:lastRenderedPageBreak/>
        <w:t>training/workshops/presentations, and leveraging the experience of former conference officers and delegates</w:t>
      </w:r>
      <w:r w:rsidR="003536C5" w:rsidRPr="7B53170A">
        <w:rPr>
          <w:rFonts w:asciiTheme="minorHAnsi" w:hAnsiTheme="minorHAnsi" w:cstheme="minorBidi"/>
        </w:rPr>
        <w:t>.</w:t>
      </w:r>
      <w:r w:rsidR="008C2AB5" w:rsidRPr="7B53170A">
        <w:rPr>
          <w:rFonts w:asciiTheme="minorHAnsi" w:hAnsiTheme="minorHAnsi" w:cstheme="minorBidi"/>
        </w:rPr>
        <w:t xml:space="preserve"> </w:t>
      </w:r>
      <w:r w:rsidR="3FB337F7" w:rsidRPr="7B53170A">
        <w:rPr>
          <w:rFonts w:asciiTheme="minorHAnsi" w:hAnsiTheme="minorHAnsi" w:cstheme="minorBidi"/>
        </w:rPr>
        <w:t>Training</w:t>
      </w:r>
      <w:r w:rsidR="008C2AB5" w:rsidRPr="7B53170A">
        <w:rPr>
          <w:rFonts w:asciiTheme="minorHAnsi" w:hAnsiTheme="minorHAnsi" w:cstheme="minorBidi"/>
        </w:rPr>
        <w:t xml:space="preserve"> could also be organized </w:t>
      </w:r>
      <w:r w:rsidR="00662B11" w:rsidRPr="7B53170A">
        <w:rPr>
          <w:rFonts w:asciiTheme="minorHAnsi" w:hAnsiTheme="minorHAnsi" w:cstheme="minorBidi"/>
        </w:rPr>
        <w:t xml:space="preserve">in conjunction with </w:t>
      </w:r>
      <w:r w:rsidR="008C2AB5" w:rsidRPr="7B53170A">
        <w:rPr>
          <w:rFonts w:asciiTheme="minorHAnsi" w:hAnsiTheme="minorHAnsi" w:cstheme="minorBidi"/>
        </w:rPr>
        <w:t xml:space="preserve">regional meetings. </w:t>
      </w:r>
      <w:r w:rsidR="007E061F" w:rsidRPr="7B53170A">
        <w:rPr>
          <w:rFonts w:asciiTheme="minorHAnsi" w:hAnsiTheme="minorHAnsi" w:cstheme="minorBidi"/>
        </w:rPr>
        <w:t>Topics such as PP objectives, negotiation techniques, procedures, timelines, delegates’ functions, chairing committees, resolution drafting, administrative processes and procedures, credentials, what to expect at the PP, election procedures, rules of procedure, newcomers’ session/induction video could be explored.</w:t>
      </w:r>
      <w:r w:rsidR="00FC54E9" w:rsidRPr="7B53170A">
        <w:rPr>
          <w:rFonts w:asciiTheme="minorHAnsi" w:hAnsiTheme="minorHAnsi" w:cstheme="minorBidi"/>
        </w:rPr>
        <w:t xml:space="preserve"> </w:t>
      </w:r>
    </w:p>
    <w:p w14:paraId="24F0D8AD" w14:textId="5D409CA9" w:rsidR="0019063C" w:rsidRDefault="00FC54E9" w:rsidP="00BC5C81">
      <w:pPr>
        <w:jc w:val="both"/>
        <w:rPr>
          <w:rFonts w:asciiTheme="minorHAnsi" w:hAnsiTheme="minorHAnsi" w:cstheme="minorBidi"/>
        </w:rPr>
      </w:pPr>
      <w:r w:rsidRPr="7B53170A">
        <w:rPr>
          <w:rFonts w:asciiTheme="minorHAnsi" w:hAnsiTheme="minorHAnsi" w:cstheme="minorBidi"/>
        </w:rPr>
        <w:t>Regional group</w:t>
      </w:r>
      <w:r w:rsidR="001B6C35" w:rsidRPr="7B53170A">
        <w:rPr>
          <w:rFonts w:asciiTheme="minorHAnsi" w:hAnsiTheme="minorHAnsi" w:cstheme="minorBidi"/>
        </w:rPr>
        <w:t>s</w:t>
      </w:r>
      <w:r w:rsidR="0068318D" w:rsidRPr="7B53170A">
        <w:rPr>
          <w:rFonts w:asciiTheme="minorHAnsi" w:hAnsiTheme="minorHAnsi" w:cstheme="minorBidi"/>
        </w:rPr>
        <w:t xml:space="preserve"> and </w:t>
      </w:r>
      <w:r w:rsidR="00C10E77">
        <w:rPr>
          <w:rFonts w:asciiTheme="minorHAnsi" w:hAnsiTheme="minorHAnsi" w:cstheme="minorBidi"/>
        </w:rPr>
        <w:t>M</w:t>
      </w:r>
      <w:r w:rsidR="0068318D" w:rsidRPr="7B53170A">
        <w:rPr>
          <w:rFonts w:asciiTheme="minorHAnsi" w:hAnsiTheme="minorHAnsi" w:cstheme="minorBidi"/>
        </w:rPr>
        <w:t xml:space="preserve">ember </w:t>
      </w:r>
      <w:r w:rsidR="00C10E77">
        <w:rPr>
          <w:rFonts w:asciiTheme="minorHAnsi" w:hAnsiTheme="minorHAnsi" w:cstheme="minorBidi"/>
        </w:rPr>
        <w:t>S</w:t>
      </w:r>
      <w:r w:rsidR="0068318D" w:rsidRPr="7B53170A">
        <w:rPr>
          <w:rFonts w:asciiTheme="minorHAnsi" w:hAnsiTheme="minorHAnsi" w:cstheme="minorBidi"/>
        </w:rPr>
        <w:t>tates</w:t>
      </w:r>
      <w:r w:rsidRPr="7B53170A">
        <w:rPr>
          <w:rFonts w:asciiTheme="minorHAnsi" w:hAnsiTheme="minorHAnsi" w:cstheme="minorBidi"/>
        </w:rPr>
        <w:t xml:space="preserve"> interested </w:t>
      </w:r>
      <w:r w:rsidR="00A75A9E" w:rsidRPr="7B53170A">
        <w:rPr>
          <w:rFonts w:asciiTheme="minorHAnsi" w:hAnsiTheme="minorHAnsi" w:cstheme="minorBidi"/>
        </w:rPr>
        <w:t>in hosting</w:t>
      </w:r>
      <w:r w:rsidR="00DC1A1D" w:rsidRPr="7B53170A">
        <w:rPr>
          <w:rFonts w:asciiTheme="minorHAnsi" w:hAnsiTheme="minorHAnsi" w:cstheme="minorBidi"/>
        </w:rPr>
        <w:t xml:space="preserve"> training</w:t>
      </w:r>
      <w:r w:rsidR="00C14D97" w:rsidRPr="7B53170A">
        <w:rPr>
          <w:rFonts w:asciiTheme="minorHAnsi" w:hAnsiTheme="minorHAnsi" w:cstheme="minorBidi"/>
        </w:rPr>
        <w:t xml:space="preserve"> </w:t>
      </w:r>
      <w:r w:rsidR="24B5EA5B" w:rsidRPr="7B53170A">
        <w:rPr>
          <w:rFonts w:asciiTheme="minorHAnsi" w:hAnsiTheme="minorHAnsi" w:cstheme="minorBidi"/>
        </w:rPr>
        <w:t>sessions and</w:t>
      </w:r>
      <w:r w:rsidR="00E33A72" w:rsidRPr="7B53170A">
        <w:rPr>
          <w:rFonts w:asciiTheme="minorHAnsi" w:hAnsiTheme="minorHAnsi" w:cstheme="minorBidi"/>
        </w:rPr>
        <w:t xml:space="preserve"> support</w:t>
      </w:r>
      <w:r w:rsidR="00C10E77">
        <w:rPr>
          <w:rFonts w:asciiTheme="minorHAnsi" w:hAnsiTheme="minorHAnsi" w:cstheme="minorBidi"/>
        </w:rPr>
        <w:t>ing</w:t>
      </w:r>
      <w:r w:rsidR="00E33A72" w:rsidRPr="7B53170A">
        <w:rPr>
          <w:rFonts w:asciiTheme="minorHAnsi" w:hAnsiTheme="minorHAnsi" w:cstheme="minorBidi"/>
        </w:rPr>
        <w:t xml:space="preserve"> </w:t>
      </w:r>
      <w:r w:rsidR="00AD5956" w:rsidRPr="7B53170A">
        <w:rPr>
          <w:rFonts w:asciiTheme="minorHAnsi" w:hAnsiTheme="minorHAnsi" w:cstheme="minorBidi"/>
        </w:rPr>
        <w:t xml:space="preserve">the development of training </w:t>
      </w:r>
      <w:r w:rsidR="5B05E0AA" w:rsidRPr="7B53170A">
        <w:rPr>
          <w:rFonts w:asciiTheme="minorHAnsi" w:hAnsiTheme="minorHAnsi" w:cstheme="minorBidi"/>
        </w:rPr>
        <w:t>program</w:t>
      </w:r>
      <w:r w:rsidR="00C10E77">
        <w:rPr>
          <w:rFonts w:asciiTheme="minorHAnsi" w:hAnsiTheme="minorHAnsi" w:cstheme="minorBidi"/>
        </w:rPr>
        <w:t>me</w:t>
      </w:r>
      <w:r w:rsidR="00F44D48">
        <w:rPr>
          <w:rFonts w:asciiTheme="minorHAnsi" w:hAnsiTheme="minorHAnsi" w:cstheme="minorBidi"/>
        </w:rPr>
        <w:t>s,</w:t>
      </w:r>
      <w:r w:rsidR="5B05E0AA" w:rsidRPr="7B53170A">
        <w:rPr>
          <w:rFonts w:asciiTheme="minorHAnsi" w:hAnsiTheme="minorHAnsi" w:cstheme="minorBidi"/>
        </w:rPr>
        <w:t xml:space="preserve"> as</w:t>
      </w:r>
      <w:r w:rsidR="009D0B43" w:rsidRPr="7B53170A">
        <w:rPr>
          <w:rFonts w:asciiTheme="minorHAnsi" w:hAnsiTheme="minorHAnsi" w:cstheme="minorBidi"/>
        </w:rPr>
        <w:t xml:space="preserve"> well as</w:t>
      </w:r>
      <w:r w:rsidR="007236B6" w:rsidRPr="7B53170A">
        <w:rPr>
          <w:rFonts w:asciiTheme="minorHAnsi" w:hAnsiTheme="minorHAnsi" w:cstheme="minorBidi"/>
        </w:rPr>
        <w:t xml:space="preserve"> former chairs of committee</w:t>
      </w:r>
      <w:r w:rsidR="008952BF" w:rsidRPr="7B53170A">
        <w:rPr>
          <w:rFonts w:asciiTheme="minorHAnsi" w:hAnsiTheme="minorHAnsi" w:cstheme="minorBidi"/>
        </w:rPr>
        <w:t>s</w:t>
      </w:r>
      <w:r w:rsidR="007236B6" w:rsidRPr="7B53170A">
        <w:rPr>
          <w:rFonts w:asciiTheme="minorHAnsi" w:hAnsiTheme="minorHAnsi" w:cstheme="minorBidi"/>
        </w:rPr>
        <w:t xml:space="preserve"> willing to </w:t>
      </w:r>
      <w:r w:rsidR="00A75A9E" w:rsidRPr="7B53170A">
        <w:rPr>
          <w:rFonts w:asciiTheme="minorHAnsi" w:hAnsiTheme="minorHAnsi" w:cstheme="minorBidi"/>
        </w:rPr>
        <w:t>share</w:t>
      </w:r>
      <w:r w:rsidR="007236B6" w:rsidRPr="7B53170A">
        <w:rPr>
          <w:rFonts w:asciiTheme="minorHAnsi" w:hAnsiTheme="minorHAnsi" w:cstheme="minorBidi"/>
        </w:rPr>
        <w:t xml:space="preserve"> their experience</w:t>
      </w:r>
      <w:r w:rsidR="00F44D48">
        <w:rPr>
          <w:rFonts w:asciiTheme="minorHAnsi" w:hAnsiTheme="minorHAnsi" w:cstheme="minorBidi"/>
        </w:rPr>
        <w:t>,</w:t>
      </w:r>
      <w:r w:rsidR="007236B6" w:rsidRPr="7B53170A">
        <w:rPr>
          <w:rFonts w:asciiTheme="minorHAnsi" w:hAnsiTheme="minorHAnsi" w:cstheme="minorBidi"/>
        </w:rPr>
        <w:t xml:space="preserve"> </w:t>
      </w:r>
      <w:r w:rsidR="001D2DE8" w:rsidRPr="7B53170A">
        <w:rPr>
          <w:rFonts w:asciiTheme="minorHAnsi" w:hAnsiTheme="minorHAnsi" w:cstheme="minorBidi"/>
        </w:rPr>
        <w:t>are invited to contact the secretariat.</w:t>
      </w:r>
    </w:p>
    <w:p w14:paraId="6CF4E119" w14:textId="68B939F2" w:rsidR="004013A0" w:rsidRPr="00AC45DF" w:rsidRDefault="004013A0" w:rsidP="00B33BDB">
      <w:pPr>
        <w:pStyle w:val="Headingb"/>
      </w:pPr>
      <w:r w:rsidRPr="00AC45DF">
        <w:t>Regional and inter-regional preparations</w:t>
      </w:r>
    </w:p>
    <w:p w14:paraId="05EA48C0" w14:textId="203E9E9F" w:rsidR="00374F0E" w:rsidRDefault="004013A0" w:rsidP="00BC5C81">
      <w:pPr>
        <w:jc w:val="both"/>
        <w:rPr>
          <w:rFonts w:asciiTheme="minorHAnsi" w:hAnsiTheme="minorHAnsi" w:cstheme="minorBidi"/>
        </w:rPr>
      </w:pPr>
      <w:r w:rsidRPr="70E2719F">
        <w:rPr>
          <w:rFonts w:asciiTheme="minorHAnsi" w:hAnsiTheme="minorHAnsi" w:cstheme="minorBidi"/>
        </w:rPr>
        <w:t xml:space="preserve">Building on the successful experiences of PP-18 and PP-22 during which three informal inter-regional meetings </w:t>
      </w:r>
      <w:r w:rsidRPr="00BC5C81">
        <w:t>were</w:t>
      </w:r>
      <w:r w:rsidRPr="70E2719F">
        <w:rPr>
          <w:rFonts w:asciiTheme="minorHAnsi" w:hAnsiTheme="minorHAnsi" w:cstheme="minorBidi"/>
        </w:rPr>
        <w:t xml:space="preserve"> organized with the support of the secretariat, it is proposed to </w:t>
      </w:r>
      <w:r w:rsidR="00534DDC" w:rsidRPr="70E2719F">
        <w:rPr>
          <w:rFonts w:asciiTheme="minorHAnsi" w:hAnsiTheme="minorHAnsi" w:cstheme="minorBidi"/>
        </w:rPr>
        <w:t xml:space="preserve">continue </w:t>
      </w:r>
      <w:r w:rsidR="00CA277C" w:rsidRPr="70E2719F">
        <w:rPr>
          <w:rFonts w:asciiTheme="minorHAnsi" w:hAnsiTheme="minorHAnsi" w:cstheme="minorBidi"/>
        </w:rPr>
        <w:t>strengthening the inter-regional process with the goal of formalizing it</w:t>
      </w:r>
      <w:r w:rsidR="001257B7" w:rsidRPr="70E2719F">
        <w:rPr>
          <w:rFonts w:asciiTheme="minorHAnsi" w:hAnsiTheme="minorHAnsi" w:cstheme="minorBidi"/>
        </w:rPr>
        <w:t xml:space="preserve"> </w:t>
      </w:r>
      <w:r w:rsidR="009B6B07" w:rsidRPr="70E2719F">
        <w:rPr>
          <w:rFonts w:asciiTheme="minorHAnsi" w:hAnsiTheme="minorHAnsi" w:cstheme="minorBidi"/>
        </w:rPr>
        <w:t>as</w:t>
      </w:r>
      <w:r w:rsidR="001257B7" w:rsidRPr="70E2719F">
        <w:rPr>
          <w:rFonts w:asciiTheme="minorHAnsi" w:hAnsiTheme="minorHAnsi" w:cstheme="minorBidi"/>
        </w:rPr>
        <w:t xml:space="preserve"> is the case </w:t>
      </w:r>
      <w:r w:rsidR="00062A86" w:rsidRPr="70E2719F">
        <w:rPr>
          <w:rFonts w:asciiTheme="minorHAnsi" w:hAnsiTheme="minorHAnsi" w:cstheme="minorBidi"/>
        </w:rPr>
        <w:t>for other ITU world conferences</w:t>
      </w:r>
      <w:r w:rsidR="00CA277C" w:rsidRPr="70E2719F">
        <w:rPr>
          <w:rFonts w:asciiTheme="minorHAnsi" w:hAnsiTheme="minorHAnsi" w:cstheme="minorBidi"/>
        </w:rPr>
        <w:t xml:space="preserve">. </w:t>
      </w:r>
      <w:r w:rsidR="00083627" w:rsidRPr="70E2719F">
        <w:rPr>
          <w:rFonts w:asciiTheme="minorHAnsi" w:hAnsiTheme="minorHAnsi" w:cstheme="minorBidi"/>
        </w:rPr>
        <w:t xml:space="preserve">The main </w:t>
      </w:r>
      <w:r w:rsidR="00FE6375" w:rsidRPr="70E2719F">
        <w:rPr>
          <w:rFonts w:asciiTheme="minorHAnsi" w:hAnsiTheme="minorHAnsi" w:cstheme="minorBidi"/>
        </w:rPr>
        <w:t xml:space="preserve">aim is to improve the </w:t>
      </w:r>
      <w:r w:rsidR="109481F4" w:rsidRPr="70E2719F">
        <w:rPr>
          <w:rFonts w:asciiTheme="minorHAnsi" w:hAnsiTheme="minorHAnsi" w:cstheme="minorBidi"/>
        </w:rPr>
        <w:t>preparation</w:t>
      </w:r>
      <w:r w:rsidR="00C300A2">
        <w:rPr>
          <w:rFonts w:asciiTheme="minorHAnsi" w:hAnsiTheme="minorHAnsi" w:cstheme="minorBidi"/>
        </w:rPr>
        <w:t xml:space="preserve"> in order to</w:t>
      </w:r>
      <w:r w:rsidR="00106E1F" w:rsidRPr="70E2719F">
        <w:rPr>
          <w:rFonts w:asciiTheme="minorHAnsi" w:hAnsiTheme="minorHAnsi" w:cstheme="minorBidi"/>
        </w:rPr>
        <w:t xml:space="preserve"> improve the time</w:t>
      </w:r>
      <w:r w:rsidR="00C300A2">
        <w:rPr>
          <w:rFonts w:asciiTheme="minorHAnsi" w:hAnsiTheme="minorHAnsi" w:cstheme="minorBidi"/>
        </w:rPr>
        <w:t xml:space="preserve"> </w:t>
      </w:r>
      <w:r w:rsidR="00106E1F" w:rsidRPr="70E2719F">
        <w:rPr>
          <w:rFonts w:asciiTheme="minorHAnsi" w:hAnsiTheme="minorHAnsi" w:cstheme="minorBidi"/>
        </w:rPr>
        <w:t xml:space="preserve">management plan and </w:t>
      </w:r>
      <w:r w:rsidR="00F960CB" w:rsidRPr="70E2719F">
        <w:rPr>
          <w:rFonts w:asciiTheme="minorHAnsi" w:hAnsiTheme="minorHAnsi" w:cstheme="minorBidi"/>
        </w:rPr>
        <w:t xml:space="preserve">limit late-night and </w:t>
      </w:r>
      <w:r w:rsidR="04F56D55" w:rsidRPr="70E2719F">
        <w:rPr>
          <w:rFonts w:asciiTheme="minorHAnsi" w:hAnsiTheme="minorHAnsi" w:cstheme="minorBidi"/>
        </w:rPr>
        <w:t>weekend</w:t>
      </w:r>
      <w:r w:rsidR="00F960CB" w:rsidRPr="70E2719F">
        <w:rPr>
          <w:rFonts w:asciiTheme="minorHAnsi" w:hAnsiTheme="minorHAnsi" w:cstheme="minorBidi"/>
        </w:rPr>
        <w:t xml:space="preserve"> working sessions </w:t>
      </w:r>
      <w:r w:rsidR="00144D5E" w:rsidRPr="70E2719F">
        <w:rPr>
          <w:rFonts w:asciiTheme="minorHAnsi" w:hAnsiTheme="minorHAnsi" w:cstheme="minorBidi"/>
        </w:rPr>
        <w:t>during the conference.</w:t>
      </w:r>
    </w:p>
    <w:p w14:paraId="72349866" w14:textId="3D012013" w:rsidR="009E41D7" w:rsidRDefault="00F830B5" w:rsidP="004013A0">
      <w:pPr>
        <w:pStyle w:val="Reasons"/>
        <w:spacing w:before="120"/>
        <w:jc w:val="both"/>
        <w:rPr>
          <w:rFonts w:asciiTheme="minorHAnsi" w:hAnsiTheme="minorHAnsi" w:cstheme="minorHAnsi"/>
        </w:rPr>
      </w:pPr>
      <w:r>
        <w:rPr>
          <w:rFonts w:asciiTheme="minorHAnsi" w:hAnsiTheme="minorHAnsi" w:cstheme="minorHAnsi"/>
        </w:rPr>
        <w:t>Starting these preparations well in advance</w:t>
      </w:r>
      <w:r w:rsidR="00CC173F">
        <w:rPr>
          <w:rFonts w:asciiTheme="minorHAnsi" w:hAnsiTheme="minorHAnsi" w:cstheme="minorHAnsi"/>
        </w:rPr>
        <w:t xml:space="preserve"> will allow the </w:t>
      </w:r>
      <w:r w:rsidR="004D7F1F">
        <w:rPr>
          <w:rFonts w:asciiTheme="minorHAnsi" w:hAnsiTheme="minorHAnsi" w:cstheme="minorHAnsi"/>
        </w:rPr>
        <w:t>C</w:t>
      </w:r>
      <w:r w:rsidR="001501A3">
        <w:rPr>
          <w:rFonts w:asciiTheme="minorHAnsi" w:hAnsiTheme="minorHAnsi" w:cstheme="minorHAnsi"/>
        </w:rPr>
        <w:t>hair</w:t>
      </w:r>
      <w:r w:rsidR="004D7F1F">
        <w:rPr>
          <w:rFonts w:asciiTheme="minorHAnsi" w:hAnsiTheme="minorHAnsi" w:cstheme="minorHAnsi"/>
        </w:rPr>
        <w:t>-</w:t>
      </w:r>
      <w:r w:rsidR="001501A3">
        <w:rPr>
          <w:rFonts w:asciiTheme="minorHAnsi" w:hAnsiTheme="minorHAnsi" w:cstheme="minorHAnsi"/>
        </w:rPr>
        <w:t xml:space="preserve">designate to engage regularly with </w:t>
      </w:r>
      <w:r w:rsidR="0088438E">
        <w:rPr>
          <w:rFonts w:asciiTheme="minorHAnsi" w:hAnsiTheme="minorHAnsi" w:cstheme="minorHAnsi"/>
        </w:rPr>
        <w:t>regional groups and delegations</w:t>
      </w:r>
      <w:r w:rsidR="00C80253">
        <w:rPr>
          <w:rFonts w:asciiTheme="minorHAnsi" w:hAnsiTheme="minorHAnsi" w:cstheme="minorHAnsi"/>
        </w:rPr>
        <w:t xml:space="preserve"> and </w:t>
      </w:r>
      <w:r w:rsidR="0010533A">
        <w:rPr>
          <w:rFonts w:asciiTheme="minorHAnsi" w:hAnsiTheme="minorHAnsi" w:cstheme="minorHAnsi"/>
        </w:rPr>
        <w:t xml:space="preserve">facilitate exchanges on </w:t>
      </w:r>
      <w:r w:rsidR="00CF5EB2">
        <w:rPr>
          <w:rFonts w:asciiTheme="minorHAnsi" w:hAnsiTheme="minorHAnsi" w:cstheme="minorHAnsi"/>
        </w:rPr>
        <w:t xml:space="preserve">subjects </w:t>
      </w:r>
      <w:r w:rsidR="002E76A8">
        <w:rPr>
          <w:rFonts w:asciiTheme="minorHAnsi" w:hAnsiTheme="minorHAnsi" w:cstheme="minorHAnsi"/>
        </w:rPr>
        <w:t xml:space="preserve">that will require more </w:t>
      </w:r>
      <w:r w:rsidR="00BD6084">
        <w:rPr>
          <w:rFonts w:asciiTheme="minorHAnsi" w:hAnsiTheme="minorHAnsi" w:cstheme="minorHAnsi"/>
        </w:rPr>
        <w:t>in-depth</w:t>
      </w:r>
      <w:r w:rsidR="002E76A8">
        <w:rPr>
          <w:rFonts w:asciiTheme="minorHAnsi" w:hAnsiTheme="minorHAnsi" w:cstheme="minorHAnsi"/>
        </w:rPr>
        <w:t xml:space="preserve"> discussion</w:t>
      </w:r>
      <w:r w:rsidR="0088438E">
        <w:rPr>
          <w:rFonts w:asciiTheme="minorHAnsi" w:hAnsiTheme="minorHAnsi" w:cstheme="minorHAnsi"/>
        </w:rPr>
        <w:t xml:space="preserve">. </w:t>
      </w:r>
    </w:p>
    <w:p w14:paraId="096C71B9" w14:textId="69EB7044" w:rsidR="004013A0" w:rsidRDefault="0088438E" w:rsidP="00BC5C81">
      <w:pPr>
        <w:jc w:val="both"/>
        <w:rPr>
          <w:rFonts w:asciiTheme="minorHAnsi" w:hAnsiTheme="minorHAnsi" w:cstheme="minorBidi"/>
        </w:rPr>
      </w:pPr>
      <w:r w:rsidRPr="2BCE4346">
        <w:rPr>
          <w:rFonts w:asciiTheme="minorHAnsi" w:hAnsiTheme="minorHAnsi" w:cstheme="minorBidi"/>
        </w:rPr>
        <w:t xml:space="preserve">It </w:t>
      </w:r>
      <w:r w:rsidR="00AD7351" w:rsidRPr="2BCE4346">
        <w:rPr>
          <w:rFonts w:asciiTheme="minorHAnsi" w:hAnsiTheme="minorHAnsi" w:cstheme="minorBidi"/>
        </w:rPr>
        <w:t>will allow</w:t>
      </w:r>
      <w:r w:rsidR="4AAD4E2B" w:rsidRPr="2BCE4346">
        <w:rPr>
          <w:rFonts w:asciiTheme="minorHAnsi" w:hAnsiTheme="minorHAnsi" w:cstheme="minorBidi"/>
        </w:rPr>
        <w:t>:</w:t>
      </w:r>
      <w:r w:rsidR="00F830B5" w:rsidRPr="2BCE4346">
        <w:rPr>
          <w:rFonts w:asciiTheme="minorHAnsi" w:hAnsiTheme="minorHAnsi" w:cstheme="minorBidi"/>
        </w:rPr>
        <w:t xml:space="preserve"> </w:t>
      </w:r>
      <w:r w:rsidR="0010533A" w:rsidRPr="2BCE4346">
        <w:rPr>
          <w:rFonts w:asciiTheme="minorHAnsi" w:hAnsiTheme="minorHAnsi" w:cstheme="minorBidi"/>
        </w:rPr>
        <w:t>advanc</w:t>
      </w:r>
      <w:r w:rsidR="00D43CED" w:rsidRPr="2BCE4346">
        <w:rPr>
          <w:rFonts w:asciiTheme="minorHAnsi" w:hAnsiTheme="minorHAnsi" w:cstheme="minorBidi"/>
        </w:rPr>
        <w:t xml:space="preserve">ed agreement </w:t>
      </w:r>
      <w:r w:rsidR="00DC1B52" w:rsidRPr="2BCE4346">
        <w:rPr>
          <w:rFonts w:asciiTheme="minorHAnsi" w:hAnsiTheme="minorHAnsi" w:cstheme="minorBidi"/>
        </w:rPr>
        <w:t xml:space="preserve">on </w:t>
      </w:r>
      <w:r w:rsidR="00F830B5" w:rsidRPr="2BCE4346">
        <w:rPr>
          <w:rFonts w:asciiTheme="minorHAnsi" w:hAnsiTheme="minorHAnsi" w:cstheme="minorBidi"/>
        </w:rPr>
        <w:t>potential chairs and vice-chairs of committees and eventual ad hoc/drafting groups;</w:t>
      </w:r>
      <w:r w:rsidR="005871C6" w:rsidRPr="2BCE4346">
        <w:rPr>
          <w:rFonts w:asciiTheme="minorHAnsi" w:hAnsiTheme="minorHAnsi" w:cstheme="minorBidi"/>
        </w:rPr>
        <w:t xml:space="preserve"> identif</w:t>
      </w:r>
      <w:r w:rsidR="00BD4226">
        <w:rPr>
          <w:rFonts w:asciiTheme="minorHAnsi" w:hAnsiTheme="minorHAnsi" w:cstheme="minorBidi"/>
        </w:rPr>
        <w:t>ication of</w:t>
      </w:r>
      <w:r w:rsidR="005871C6" w:rsidRPr="2BCE4346">
        <w:rPr>
          <w:rFonts w:asciiTheme="minorHAnsi" w:hAnsiTheme="minorHAnsi" w:cstheme="minorBidi"/>
        </w:rPr>
        <w:t xml:space="preserve"> </w:t>
      </w:r>
      <w:r w:rsidR="00F830B5" w:rsidRPr="2BCE4346">
        <w:rPr>
          <w:rFonts w:asciiTheme="minorHAnsi" w:hAnsiTheme="minorHAnsi" w:cstheme="minorBidi"/>
        </w:rPr>
        <w:t>areas of consensus and subjects which require more in-depth discussions; agree</w:t>
      </w:r>
      <w:r w:rsidR="18291694" w:rsidRPr="2BCE4346">
        <w:rPr>
          <w:rFonts w:asciiTheme="minorHAnsi" w:hAnsiTheme="minorHAnsi" w:cstheme="minorBidi"/>
        </w:rPr>
        <w:t>ment</w:t>
      </w:r>
      <w:r w:rsidR="00F830B5" w:rsidRPr="2BCE4346">
        <w:rPr>
          <w:rFonts w:asciiTheme="minorHAnsi" w:hAnsiTheme="minorHAnsi" w:cstheme="minorBidi"/>
        </w:rPr>
        <w:t xml:space="preserve"> upon working methods</w:t>
      </w:r>
      <w:r w:rsidR="009E0A7A" w:rsidRPr="2BCE4346">
        <w:rPr>
          <w:rFonts w:asciiTheme="minorHAnsi" w:hAnsiTheme="minorHAnsi" w:cstheme="minorBidi"/>
        </w:rPr>
        <w:t xml:space="preserve"> and time management</w:t>
      </w:r>
      <w:r w:rsidR="00F830B5" w:rsidRPr="2BCE4346">
        <w:rPr>
          <w:rFonts w:asciiTheme="minorHAnsi" w:hAnsiTheme="minorHAnsi" w:cstheme="minorBidi"/>
        </w:rPr>
        <w:t xml:space="preserve"> for maximum efficiency; </w:t>
      </w:r>
      <w:r w:rsidR="002507EC" w:rsidRPr="00BC5C81">
        <w:t>agree</w:t>
      </w:r>
      <w:r w:rsidR="77C9D893" w:rsidRPr="00BC5C81">
        <w:t>ment</w:t>
      </w:r>
      <w:r w:rsidR="002507EC" w:rsidRPr="2BCE4346">
        <w:rPr>
          <w:rFonts w:asciiTheme="minorHAnsi" w:hAnsiTheme="minorHAnsi" w:cstheme="minorBidi"/>
        </w:rPr>
        <w:t xml:space="preserve"> upon the structure of the conference and allocation of documents; and discuss</w:t>
      </w:r>
      <w:r w:rsidR="58F2220D" w:rsidRPr="2BCE4346">
        <w:rPr>
          <w:rFonts w:asciiTheme="minorHAnsi" w:hAnsiTheme="minorHAnsi" w:cstheme="minorBidi"/>
        </w:rPr>
        <w:t>ion of</w:t>
      </w:r>
      <w:r w:rsidR="002507EC" w:rsidRPr="2BCE4346">
        <w:rPr>
          <w:rFonts w:asciiTheme="minorHAnsi" w:hAnsiTheme="minorHAnsi" w:cstheme="minorBidi"/>
        </w:rPr>
        <w:t xml:space="preserve"> streamlining</w:t>
      </w:r>
      <w:r w:rsidR="004829DD" w:rsidRPr="2BCE4346">
        <w:rPr>
          <w:rFonts w:asciiTheme="minorHAnsi" w:hAnsiTheme="minorHAnsi" w:cstheme="minorBidi"/>
        </w:rPr>
        <w:t xml:space="preserve"> </w:t>
      </w:r>
      <w:r w:rsidR="002507EC" w:rsidRPr="2BCE4346">
        <w:rPr>
          <w:rFonts w:asciiTheme="minorHAnsi" w:hAnsiTheme="minorHAnsi" w:cstheme="minorBidi"/>
        </w:rPr>
        <w:t>and financial implications of resolutions and decisions (see also below).</w:t>
      </w:r>
    </w:p>
    <w:p w14:paraId="20538094" w14:textId="7A605E07" w:rsidR="004013A0" w:rsidRDefault="006E1FFA" w:rsidP="00BC5C81">
      <w:pPr>
        <w:jc w:val="both"/>
        <w:rPr>
          <w:rFonts w:asciiTheme="minorHAnsi" w:hAnsiTheme="minorHAnsi" w:cstheme="minorBidi"/>
        </w:rPr>
      </w:pPr>
      <w:r w:rsidRPr="7B53170A">
        <w:rPr>
          <w:rFonts w:asciiTheme="minorHAnsi" w:hAnsiTheme="minorHAnsi" w:cstheme="minorBidi"/>
        </w:rPr>
        <w:t xml:space="preserve">It is proposed to improve the communication between the regional groups and the secretariat in advance of the </w:t>
      </w:r>
      <w:r w:rsidR="008E506B">
        <w:rPr>
          <w:rFonts w:asciiTheme="minorHAnsi" w:hAnsiTheme="minorHAnsi" w:cstheme="minorBidi"/>
        </w:rPr>
        <w:t>c</w:t>
      </w:r>
      <w:r w:rsidRPr="7B53170A">
        <w:rPr>
          <w:rFonts w:asciiTheme="minorHAnsi" w:hAnsiTheme="minorHAnsi" w:cstheme="minorBidi"/>
        </w:rPr>
        <w:t>onference</w:t>
      </w:r>
      <w:r w:rsidR="00EE5270" w:rsidRPr="7B53170A">
        <w:rPr>
          <w:rFonts w:asciiTheme="minorHAnsi" w:hAnsiTheme="minorHAnsi" w:cstheme="minorBidi"/>
        </w:rPr>
        <w:t xml:space="preserve"> and between the regions.</w:t>
      </w:r>
      <w:r w:rsidR="001418A1" w:rsidRPr="7B53170A">
        <w:rPr>
          <w:rFonts w:asciiTheme="minorHAnsi" w:hAnsiTheme="minorHAnsi" w:cstheme="minorBidi"/>
        </w:rPr>
        <w:t xml:space="preserve"> </w:t>
      </w:r>
      <w:r w:rsidR="004013A0" w:rsidRPr="7B53170A">
        <w:rPr>
          <w:rFonts w:asciiTheme="minorHAnsi" w:hAnsiTheme="minorHAnsi" w:cstheme="minorBidi"/>
        </w:rPr>
        <w:t xml:space="preserve">RTOs are strongly invited to send to the </w:t>
      </w:r>
      <w:r w:rsidR="004013A0" w:rsidRPr="00BC5C81">
        <w:t>secretariat</w:t>
      </w:r>
      <w:r w:rsidR="004013A0" w:rsidRPr="7B53170A">
        <w:rPr>
          <w:rFonts w:asciiTheme="minorHAnsi" w:hAnsiTheme="minorHAnsi" w:cstheme="minorBidi"/>
        </w:rPr>
        <w:t xml:space="preserve"> as soon as possible the dates for their regional preparatory meetings if they have not yet done so. </w:t>
      </w:r>
      <w:r w:rsidR="002B3525" w:rsidRPr="7B53170A">
        <w:rPr>
          <w:rFonts w:asciiTheme="minorHAnsi" w:hAnsiTheme="minorHAnsi" w:cstheme="minorBidi"/>
        </w:rPr>
        <w:t xml:space="preserve">Each RTO could submit a report to the ITU secretariat after each preparatory meeting that would be </w:t>
      </w:r>
      <w:r w:rsidR="54FE60DE" w:rsidRPr="7B53170A">
        <w:rPr>
          <w:rFonts w:asciiTheme="minorHAnsi" w:hAnsiTheme="minorHAnsi" w:cstheme="minorBidi"/>
        </w:rPr>
        <w:t>circulated</w:t>
      </w:r>
      <w:r w:rsidR="002B3525" w:rsidRPr="7B53170A">
        <w:rPr>
          <w:rFonts w:asciiTheme="minorHAnsi" w:hAnsiTheme="minorHAnsi" w:cstheme="minorBidi"/>
        </w:rPr>
        <w:t xml:space="preserve"> to all member</w:t>
      </w:r>
      <w:r w:rsidR="009D0B43" w:rsidRPr="7B53170A">
        <w:rPr>
          <w:rFonts w:asciiTheme="minorHAnsi" w:hAnsiTheme="minorHAnsi" w:cstheme="minorBidi"/>
        </w:rPr>
        <w:t>s</w:t>
      </w:r>
      <w:r w:rsidR="002B3525" w:rsidRPr="7B53170A">
        <w:rPr>
          <w:rFonts w:asciiTheme="minorHAnsi" w:hAnsiTheme="minorHAnsi" w:cstheme="minorBidi"/>
        </w:rPr>
        <w:t xml:space="preserve"> for information. </w:t>
      </w:r>
      <w:r w:rsidR="004013A0" w:rsidRPr="7B53170A">
        <w:rPr>
          <w:rFonts w:asciiTheme="minorHAnsi" w:hAnsiTheme="minorHAnsi" w:cstheme="minorBidi"/>
        </w:rPr>
        <w:t xml:space="preserve">The secretariat will create and regularly update a dedicated page on the PP-26 website on regional preparations for the PP. RTOs are also invited to send to the secretariat the names of their focal point(s) </w:t>
      </w:r>
      <w:r w:rsidR="00CA6F89" w:rsidRPr="7B53170A">
        <w:rPr>
          <w:rFonts w:asciiTheme="minorHAnsi" w:hAnsiTheme="minorHAnsi" w:cstheme="minorBidi"/>
        </w:rPr>
        <w:t xml:space="preserve">per issue/resolution </w:t>
      </w:r>
      <w:r w:rsidR="004013A0" w:rsidRPr="7B53170A">
        <w:rPr>
          <w:rFonts w:asciiTheme="minorHAnsi" w:hAnsiTheme="minorHAnsi" w:cstheme="minorBidi"/>
        </w:rPr>
        <w:t>for PP to liaise with the secretariat.</w:t>
      </w:r>
    </w:p>
    <w:p w14:paraId="3E787459" w14:textId="10277709" w:rsidR="004013A0" w:rsidRDefault="004013A0" w:rsidP="00BC5C81">
      <w:pPr>
        <w:jc w:val="both"/>
        <w:rPr>
          <w:rFonts w:asciiTheme="minorHAnsi" w:hAnsiTheme="minorHAnsi" w:cstheme="minorBidi"/>
        </w:rPr>
      </w:pPr>
      <w:r w:rsidRPr="7B53170A">
        <w:rPr>
          <w:rFonts w:asciiTheme="minorHAnsi" w:hAnsiTheme="minorHAnsi" w:cstheme="minorBidi"/>
        </w:rPr>
        <w:t xml:space="preserve">As for PP-22, it </w:t>
      </w:r>
      <w:r w:rsidR="3A88633A" w:rsidRPr="7B53170A">
        <w:rPr>
          <w:rFonts w:asciiTheme="minorHAnsi" w:hAnsiTheme="minorHAnsi" w:cstheme="minorBidi"/>
        </w:rPr>
        <w:t>is proposed</w:t>
      </w:r>
      <w:r w:rsidRPr="7B53170A">
        <w:rPr>
          <w:rFonts w:asciiTheme="minorHAnsi" w:hAnsiTheme="minorHAnsi" w:cstheme="minorBidi"/>
        </w:rPr>
        <w:t xml:space="preserve"> to organize </w:t>
      </w:r>
      <w:r w:rsidR="008A16D5" w:rsidRPr="7B53170A">
        <w:rPr>
          <w:rFonts w:asciiTheme="minorHAnsi" w:hAnsiTheme="minorHAnsi" w:cstheme="minorBidi"/>
        </w:rPr>
        <w:t xml:space="preserve">the </w:t>
      </w:r>
      <w:r w:rsidRPr="7B53170A">
        <w:rPr>
          <w:rFonts w:asciiTheme="minorHAnsi" w:hAnsiTheme="minorHAnsi" w:cstheme="minorBidi"/>
        </w:rPr>
        <w:t xml:space="preserve">inter-regional meetings </w:t>
      </w:r>
      <w:r w:rsidR="008A16D5" w:rsidRPr="7B53170A">
        <w:rPr>
          <w:rFonts w:asciiTheme="minorHAnsi" w:hAnsiTheme="minorHAnsi" w:cstheme="minorBidi"/>
        </w:rPr>
        <w:t xml:space="preserve">in conjunction with other important ITU </w:t>
      </w:r>
      <w:r w:rsidR="008A16D5" w:rsidRPr="00BC5C81">
        <w:t>meetings</w:t>
      </w:r>
      <w:r w:rsidR="1B709D95" w:rsidRPr="7B53170A">
        <w:rPr>
          <w:rFonts w:asciiTheme="minorHAnsi" w:hAnsiTheme="minorHAnsi" w:cstheme="minorBidi"/>
        </w:rPr>
        <w:t>.</w:t>
      </w:r>
      <w:r w:rsidRPr="7B53170A">
        <w:rPr>
          <w:rFonts w:asciiTheme="minorHAnsi" w:hAnsiTheme="minorHAnsi" w:cstheme="minorBidi"/>
        </w:rPr>
        <w:t xml:space="preserve"> </w:t>
      </w:r>
      <w:r w:rsidR="4176772F" w:rsidRPr="7B53170A">
        <w:rPr>
          <w:rFonts w:asciiTheme="minorHAnsi" w:hAnsiTheme="minorHAnsi" w:cstheme="minorBidi"/>
        </w:rPr>
        <w:t xml:space="preserve">The proposal is </w:t>
      </w:r>
      <w:r w:rsidRPr="7B53170A">
        <w:rPr>
          <w:rFonts w:asciiTheme="minorHAnsi" w:hAnsiTheme="minorHAnsi" w:cstheme="minorBidi"/>
        </w:rPr>
        <w:t xml:space="preserve">to hold three </w:t>
      </w:r>
      <w:r w:rsidR="00570C81" w:rsidRPr="7B53170A">
        <w:rPr>
          <w:rFonts w:asciiTheme="minorHAnsi" w:hAnsiTheme="minorHAnsi" w:cstheme="minorBidi"/>
        </w:rPr>
        <w:t xml:space="preserve">or four </w:t>
      </w:r>
      <w:r w:rsidR="00ED212A" w:rsidRPr="7B53170A">
        <w:rPr>
          <w:rFonts w:asciiTheme="minorHAnsi" w:hAnsiTheme="minorHAnsi" w:cstheme="minorBidi"/>
        </w:rPr>
        <w:t xml:space="preserve">hybrid </w:t>
      </w:r>
      <w:r w:rsidRPr="7B53170A">
        <w:rPr>
          <w:rFonts w:asciiTheme="minorHAnsi" w:hAnsiTheme="minorHAnsi" w:cstheme="minorBidi"/>
        </w:rPr>
        <w:t>meetings as follows:</w:t>
      </w:r>
    </w:p>
    <w:p w14:paraId="00A4BF91" w14:textId="26C08E7E" w:rsidR="00570C81" w:rsidRDefault="00B33BDB" w:rsidP="00B33BDB">
      <w:pPr>
        <w:pStyle w:val="enumlev1"/>
        <w:jc w:val="both"/>
      </w:pPr>
      <w:r>
        <w:t>–</w:t>
      </w:r>
      <w:r>
        <w:tab/>
      </w:r>
      <w:r w:rsidR="00570C81">
        <w:t>a meeting that could take place in conjunction with WTDC-25;</w:t>
      </w:r>
    </w:p>
    <w:p w14:paraId="2E145838" w14:textId="04AEBD64" w:rsidR="004013A0" w:rsidRDefault="00B33BDB" w:rsidP="00B33BDB">
      <w:pPr>
        <w:pStyle w:val="enumlev1"/>
        <w:jc w:val="both"/>
      </w:pPr>
      <w:r>
        <w:t>–</w:t>
      </w:r>
      <w:r>
        <w:tab/>
      </w:r>
      <w:r w:rsidR="00570C81">
        <w:t>a</w:t>
      </w:r>
      <w:r w:rsidR="004013A0" w:rsidRPr="005362DA">
        <w:t xml:space="preserve"> meeting in conjunction with C2</w:t>
      </w:r>
      <w:r w:rsidR="004013A0">
        <w:t>6</w:t>
      </w:r>
      <w:r w:rsidR="004013A0" w:rsidRPr="005362DA">
        <w:t xml:space="preserve"> (2</w:t>
      </w:r>
      <w:r w:rsidR="004013A0">
        <w:t>8 April</w:t>
      </w:r>
      <w:r w:rsidR="004013A0" w:rsidRPr="005362DA">
        <w:t xml:space="preserve"> – </w:t>
      </w:r>
      <w:r w:rsidR="004013A0">
        <w:t>8 May</w:t>
      </w:r>
      <w:r w:rsidR="004013A0" w:rsidRPr="005362DA">
        <w:t xml:space="preserve"> 202</w:t>
      </w:r>
      <w:r w:rsidR="004013A0">
        <w:t>6</w:t>
      </w:r>
      <w:r w:rsidR="004013A0" w:rsidRPr="005362DA">
        <w:t>);</w:t>
      </w:r>
    </w:p>
    <w:p w14:paraId="5D8926AC" w14:textId="6519CFD1" w:rsidR="004013A0" w:rsidRDefault="00B33BDB" w:rsidP="00B33BDB">
      <w:pPr>
        <w:pStyle w:val="enumlev1"/>
        <w:jc w:val="both"/>
      </w:pPr>
      <w:r>
        <w:t>–</w:t>
      </w:r>
      <w:r>
        <w:tab/>
      </w:r>
      <w:r w:rsidR="00570C81">
        <w:t>a</w:t>
      </w:r>
      <w:r w:rsidR="004013A0" w:rsidRPr="005362DA">
        <w:t xml:space="preserve"> meeting </w:t>
      </w:r>
      <w:r w:rsidR="004013A0">
        <w:t>in June or Jul</w:t>
      </w:r>
      <w:r w:rsidR="004013A0" w:rsidRPr="004013A0">
        <w:t>y 2026</w:t>
      </w:r>
      <w:r w:rsidR="00570C81">
        <w:t>, possibly in conjunction with WTPF-26</w:t>
      </w:r>
      <w:r w:rsidR="004013A0" w:rsidRPr="004013A0">
        <w:t>;</w:t>
      </w:r>
    </w:p>
    <w:p w14:paraId="70B4D761" w14:textId="2B1783D9" w:rsidR="00D846EA" w:rsidRPr="004013A0" w:rsidRDefault="00B33BDB" w:rsidP="00B33BDB">
      <w:pPr>
        <w:pStyle w:val="enumlev1"/>
        <w:jc w:val="both"/>
        <w:rPr>
          <w:rFonts w:cstheme="minorBidi"/>
        </w:rPr>
      </w:pPr>
      <w:r>
        <w:t>–</w:t>
      </w:r>
      <w:r>
        <w:tab/>
      </w:r>
      <w:r w:rsidR="00570C81" w:rsidRPr="1D683AC7">
        <w:rPr>
          <w:rFonts w:cstheme="minorBidi"/>
        </w:rPr>
        <w:t>a</w:t>
      </w:r>
      <w:r w:rsidR="004013A0" w:rsidRPr="1D683AC7">
        <w:rPr>
          <w:rFonts w:cstheme="minorBidi"/>
        </w:rPr>
        <w:t xml:space="preserve"> meeting after the deadline for submission of candidatures (no later than 23</w:t>
      </w:r>
      <w:r w:rsidR="61B0B8C5" w:rsidRPr="1D683AC7">
        <w:rPr>
          <w:rFonts w:cstheme="minorBidi"/>
        </w:rPr>
        <w:t>.</w:t>
      </w:r>
      <w:r w:rsidR="004013A0" w:rsidRPr="1D683AC7">
        <w:rPr>
          <w:rFonts w:cstheme="minorBidi"/>
        </w:rPr>
        <w:t>59 on the 28</w:t>
      </w:r>
      <w:r w:rsidR="004013A0" w:rsidRPr="007C0614">
        <w:rPr>
          <w:rFonts w:cstheme="minorBidi"/>
          <w:vertAlign w:val="superscript"/>
        </w:rPr>
        <w:t>th</w:t>
      </w:r>
      <w:r w:rsidR="004013A0" w:rsidRPr="1D683AC7">
        <w:rPr>
          <w:rFonts w:cstheme="minorBidi"/>
        </w:rPr>
        <w:t xml:space="preserve"> day prior to the conference, as per G</w:t>
      </w:r>
      <w:r w:rsidR="4632FFA2" w:rsidRPr="1D683AC7">
        <w:rPr>
          <w:rFonts w:cstheme="minorBidi"/>
        </w:rPr>
        <w:t xml:space="preserve">eneral </w:t>
      </w:r>
      <w:r w:rsidR="004013A0" w:rsidRPr="1D683AC7">
        <w:rPr>
          <w:rFonts w:cstheme="minorBidi"/>
        </w:rPr>
        <w:t>R</w:t>
      </w:r>
      <w:r w:rsidR="639595F7" w:rsidRPr="1D683AC7">
        <w:rPr>
          <w:rFonts w:cstheme="minorBidi"/>
        </w:rPr>
        <w:t>ule</w:t>
      </w:r>
      <w:r w:rsidR="004013A0" w:rsidRPr="1D683AC7">
        <w:rPr>
          <w:rFonts w:cstheme="minorBidi"/>
        </w:rPr>
        <w:t xml:space="preserve"> </w:t>
      </w:r>
      <w:r w:rsidR="00046DA0">
        <w:rPr>
          <w:rFonts w:cstheme="minorBidi"/>
        </w:rPr>
        <w:t xml:space="preserve">(GR) </w:t>
      </w:r>
      <w:r w:rsidR="004013A0" w:rsidRPr="1D683AC7">
        <w:rPr>
          <w:rFonts w:cstheme="minorBidi"/>
        </w:rPr>
        <w:t>170: 23.59 on 12 October 2026). Saudi Arabia has offered to host this last meeting, as was done in 2018 and 2022.</w:t>
      </w:r>
    </w:p>
    <w:p w14:paraId="7BF1F010" w14:textId="673A74E4" w:rsidR="003A1797" w:rsidRDefault="00761E2A" w:rsidP="00B33BDB">
      <w:pPr>
        <w:pStyle w:val="Headingb"/>
      </w:pPr>
      <w:r>
        <w:lastRenderedPageBreak/>
        <w:t xml:space="preserve">Shortening </w:t>
      </w:r>
      <w:r w:rsidR="00B33BDB">
        <w:t>contributions</w:t>
      </w:r>
    </w:p>
    <w:p w14:paraId="3DA93BF3" w14:textId="5F8398EE" w:rsidR="00761E2A" w:rsidRDefault="00D44462" w:rsidP="00BC5C81">
      <w:pPr>
        <w:jc w:val="both"/>
        <w:rPr>
          <w:rFonts w:asciiTheme="minorHAnsi" w:hAnsiTheme="minorHAnsi" w:cstheme="minorHAnsi"/>
        </w:rPr>
      </w:pPr>
      <w:r w:rsidRPr="00DF020D">
        <w:rPr>
          <w:rFonts w:asciiTheme="minorHAnsi" w:hAnsiTheme="minorHAnsi" w:cstheme="minorHAnsi"/>
        </w:rPr>
        <w:t xml:space="preserve">Efforts </w:t>
      </w:r>
      <w:r>
        <w:rPr>
          <w:rFonts w:asciiTheme="minorHAnsi" w:hAnsiTheme="minorHAnsi" w:cstheme="minorHAnsi"/>
        </w:rPr>
        <w:t xml:space="preserve">will be </w:t>
      </w:r>
      <w:r w:rsidRPr="00BC5C81">
        <w:t>made</w:t>
      </w:r>
      <w:r>
        <w:rPr>
          <w:rFonts w:asciiTheme="minorHAnsi" w:hAnsiTheme="minorHAnsi" w:cstheme="minorHAnsi"/>
        </w:rPr>
        <w:t xml:space="preserve"> to continue shortening </w:t>
      </w:r>
      <w:r w:rsidR="002438D6">
        <w:rPr>
          <w:rFonts w:asciiTheme="minorHAnsi" w:hAnsiTheme="minorHAnsi" w:cstheme="minorHAnsi"/>
        </w:rPr>
        <w:t>the s</w:t>
      </w:r>
      <w:r>
        <w:rPr>
          <w:rFonts w:asciiTheme="minorHAnsi" w:hAnsiTheme="minorHAnsi" w:cstheme="minorHAnsi"/>
        </w:rPr>
        <w:t>ecretariat</w:t>
      </w:r>
      <w:r w:rsidR="002438D6">
        <w:rPr>
          <w:rFonts w:asciiTheme="minorHAnsi" w:hAnsiTheme="minorHAnsi" w:cstheme="minorHAnsi"/>
        </w:rPr>
        <w:t>’s</w:t>
      </w:r>
      <w:r>
        <w:rPr>
          <w:rFonts w:asciiTheme="minorHAnsi" w:hAnsiTheme="minorHAnsi" w:cstheme="minorHAnsi"/>
        </w:rPr>
        <w:t xml:space="preserve"> </w:t>
      </w:r>
      <w:r w:rsidR="002438D6">
        <w:rPr>
          <w:rFonts w:asciiTheme="minorHAnsi" w:hAnsiTheme="minorHAnsi" w:cstheme="minorHAnsi"/>
        </w:rPr>
        <w:t>c</w:t>
      </w:r>
      <w:r>
        <w:rPr>
          <w:rFonts w:asciiTheme="minorHAnsi" w:hAnsiTheme="minorHAnsi" w:cstheme="minorHAnsi"/>
        </w:rPr>
        <w:t>ontribution</w:t>
      </w:r>
      <w:r w:rsidR="002438D6">
        <w:rPr>
          <w:rFonts w:asciiTheme="minorHAnsi" w:hAnsiTheme="minorHAnsi" w:cstheme="minorHAnsi"/>
        </w:rPr>
        <w:t>s</w:t>
      </w:r>
      <w:r>
        <w:rPr>
          <w:rFonts w:asciiTheme="minorHAnsi" w:hAnsiTheme="minorHAnsi" w:cstheme="minorHAnsi"/>
        </w:rPr>
        <w:t xml:space="preserve"> to the </w:t>
      </w:r>
      <w:r w:rsidR="008E506B">
        <w:rPr>
          <w:rFonts w:asciiTheme="minorHAnsi" w:hAnsiTheme="minorHAnsi" w:cstheme="minorHAnsi"/>
        </w:rPr>
        <w:t>c</w:t>
      </w:r>
      <w:r>
        <w:rPr>
          <w:rFonts w:asciiTheme="minorHAnsi" w:hAnsiTheme="minorHAnsi" w:cstheme="minorHAnsi"/>
        </w:rPr>
        <w:t xml:space="preserve">onference. </w:t>
      </w:r>
    </w:p>
    <w:p w14:paraId="09FB4368" w14:textId="567AF8A8" w:rsidR="00D44462" w:rsidRPr="00DF020D" w:rsidRDefault="00D73229" w:rsidP="00BC5C81">
      <w:pPr>
        <w:jc w:val="both"/>
        <w:rPr>
          <w:rFonts w:asciiTheme="minorHAnsi" w:hAnsiTheme="minorHAnsi" w:cstheme="minorHAnsi"/>
        </w:rPr>
      </w:pPr>
      <w:r>
        <w:rPr>
          <w:rFonts w:asciiTheme="minorHAnsi" w:hAnsiTheme="minorHAnsi" w:cstheme="minorHAnsi"/>
        </w:rPr>
        <w:t>Guideline</w:t>
      </w:r>
      <w:r w:rsidR="007A7354">
        <w:rPr>
          <w:rFonts w:asciiTheme="minorHAnsi" w:hAnsiTheme="minorHAnsi" w:cstheme="minorHAnsi"/>
        </w:rPr>
        <w:t>s</w:t>
      </w:r>
      <w:r>
        <w:rPr>
          <w:rFonts w:asciiTheme="minorHAnsi" w:hAnsiTheme="minorHAnsi" w:cstheme="minorHAnsi"/>
        </w:rPr>
        <w:t xml:space="preserve"> </w:t>
      </w:r>
      <w:r w:rsidR="00C12956">
        <w:rPr>
          <w:rFonts w:asciiTheme="minorHAnsi" w:hAnsiTheme="minorHAnsi" w:cstheme="minorHAnsi"/>
        </w:rPr>
        <w:t xml:space="preserve">on drafting </w:t>
      </w:r>
      <w:r w:rsidR="00266F61">
        <w:rPr>
          <w:rFonts w:asciiTheme="minorHAnsi" w:hAnsiTheme="minorHAnsi" w:cstheme="minorHAnsi"/>
        </w:rPr>
        <w:t>resolutions</w:t>
      </w:r>
      <w:r w:rsidR="00C12956">
        <w:rPr>
          <w:rFonts w:asciiTheme="minorHAnsi" w:hAnsiTheme="minorHAnsi" w:cstheme="minorHAnsi"/>
        </w:rPr>
        <w:t xml:space="preserve"> </w:t>
      </w:r>
      <w:r w:rsidR="00B36510">
        <w:rPr>
          <w:rFonts w:asciiTheme="minorHAnsi" w:hAnsiTheme="minorHAnsi" w:cstheme="minorHAnsi"/>
        </w:rPr>
        <w:t>will be developed to</w:t>
      </w:r>
      <w:r w:rsidR="006129A9">
        <w:rPr>
          <w:rFonts w:asciiTheme="minorHAnsi" w:hAnsiTheme="minorHAnsi" w:cstheme="minorHAnsi"/>
        </w:rPr>
        <w:t xml:space="preserve"> </w:t>
      </w:r>
      <w:r w:rsidR="00145D85">
        <w:rPr>
          <w:rFonts w:asciiTheme="minorHAnsi" w:hAnsiTheme="minorHAnsi" w:cstheme="minorHAnsi"/>
        </w:rPr>
        <w:t xml:space="preserve">explain the format of the Resolutions and </w:t>
      </w:r>
      <w:r w:rsidR="006129A9">
        <w:rPr>
          <w:rFonts w:asciiTheme="minorHAnsi" w:hAnsiTheme="minorHAnsi" w:cstheme="minorHAnsi"/>
        </w:rPr>
        <w:t xml:space="preserve">the </w:t>
      </w:r>
      <w:r w:rsidR="006129A9" w:rsidRPr="00BC5C81">
        <w:t>importance</w:t>
      </w:r>
      <w:r w:rsidR="006129A9">
        <w:rPr>
          <w:rFonts w:asciiTheme="minorHAnsi" w:hAnsiTheme="minorHAnsi" w:cstheme="minorHAnsi"/>
        </w:rPr>
        <w:t xml:space="preserve"> of the</w:t>
      </w:r>
      <w:r w:rsidR="00145D85">
        <w:rPr>
          <w:rFonts w:asciiTheme="minorHAnsi" w:hAnsiTheme="minorHAnsi" w:cstheme="minorHAnsi"/>
        </w:rPr>
        <w:t xml:space="preserve"> operative part w</w:t>
      </w:r>
      <w:r w:rsidR="005568B3">
        <w:rPr>
          <w:rFonts w:asciiTheme="minorHAnsi" w:hAnsiTheme="minorHAnsi" w:cstheme="minorHAnsi"/>
        </w:rPr>
        <w:t>hich highlight</w:t>
      </w:r>
      <w:r w:rsidR="00423311">
        <w:rPr>
          <w:rFonts w:asciiTheme="minorHAnsi" w:hAnsiTheme="minorHAnsi" w:cstheme="minorHAnsi"/>
        </w:rPr>
        <w:t>s</w:t>
      </w:r>
      <w:r w:rsidR="005568B3">
        <w:rPr>
          <w:rFonts w:asciiTheme="minorHAnsi" w:hAnsiTheme="minorHAnsi" w:cstheme="minorHAnsi"/>
        </w:rPr>
        <w:t xml:space="preserve"> the activities to be implemented </w:t>
      </w:r>
      <w:r w:rsidR="00266F61">
        <w:rPr>
          <w:rFonts w:asciiTheme="minorHAnsi" w:hAnsiTheme="minorHAnsi" w:cstheme="minorHAnsi"/>
        </w:rPr>
        <w:t>by ITU and its membership.</w:t>
      </w:r>
    </w:p>
    <w:p w14:paraId="34766586" w14:textId="787E21A8" w:rsidR="004013A0" w:rsidRPr="004013A0" w:rsidRDefault="004013A0" w:rsidP="00B33BDB">
      <w:pPr>
        <w:pStyle w:val="Headingb"/>
      </w:pPr>
      <w:r w:rsidRPr="004013A0">
        <w:t>Streamlining and financial implications of resolutions and decisions</w:t>
      </w:r>
    </w:p>
    <w:p w14:paraId="4BA1B118" w14:textId="29A8B9F9" w:rsidR="00510E25" w:rsidRDefault="008269A8" w:rsidP="00BC5C81">
      <w:pPr>
        <w:jc w:val="both"/>
        <w:rPr>
          <w:rFonts w:asciiTheme="minorHAnsi" w:hAnsiTheme="minorHAnsi" w:cstheme="minorBidi"/>
        </w:rPr>
      </w:pPr>
      <w:r w:rsidRPr="11332A3A">
        <w:rPr>
          <w:rFonts w:asciiTheme="minorHAnsi" w:hAnsiTheme="minorHAnsi" w:cstheme="minorBidi"/>
        </w:rPr>
        <w:t xml:space="preserve">Regarding the mapping exercise of resolutions and decisions aimed at harmonizing the outcomes of the Plenipotentiary Conference, </w:t>
      </w:r>
      <w:r w:rsidR="009F5E96" w:rsidRPr="00A77523">
        <w:rPr>
          <w:rFonts w:asciiTheme="minorHAnsi" w:hAnsiTheme="minorHAnsi" w:cstheme="minorBidi"/>
        </w:rPr>
        <w:t>a</w:t>
      </w:r>
      <w:r w:rsidRPr="00A77523">
        <w:rPr>
          <w:rFonts w:asciiTheme="minorHAnsi" w:hAnsiTheme="minorHAnsi" w:cstheme="minorBidi"/>
        </w:rPr>
        <w:t xml:space="preserve"> PP resolution mapping tool </w:t>
      </w:r>
      <w:r w:rsidR="777008A1" w:rsidRPr="00A77523">
        <w:rPr>
          <w:rFonts w:asciiTheme="minorHAnsi" w:hAnsiTheme="minorHAnsi" w:cstheme="minorBidi"/>
        </w:rPr>
        <w:t>is</w:t>
      </w:r>
      <w:r w:rsidR="777008A1" w:rsidRPr="11332A3A">
        <w:rPr>
          <w:rFonts w:asciiTheme="minorHAnsi" w:hAnsiTheme="minorHAnsi" w:cstheme="minorBidi"/>
        </w:rPr>
        <w:t xml:space="preserve"> </w:t>
      </w:r>
      <w:r w:rsidR="5CC40A15" w:rsidRPr="11332A3A">
        <w:rPr>
          <w:rFonts w:asciiTheme="minorHAnsi" w:hAnsiTheme="minorHAnsi" w:cstheme="minorBidi"/>
        </w:rPr>
        <w:t>being developed</w:t>
      </w:r>
      <w:r w:rsidRPr="11332A3A">
        <w:rPr>
          <w:rFonts w:asciiTheme="minorHAnsi" w:hAnsiTheme="minorHAnsi" w:cstheme="minorBidi"/>
        </w:rPr>
        <w:t xml:space="preserve"> and was presented to the CWG-SFP. The group discussed the creation of non-mandatory guidelines for Member States to reference when reviewing and/or drafting resolutions and decisions for PP-26. These proposed guidelines are being presented to Council</w:t>
      </w:r>
      <w:r w:rsidR="001D0CAE" w:rsidRPr="11332A3A">
        <w:rPr>
          <w:rFonts w:asciiTheme="minorHAnsi" w:hAnsiTheme="minorHAnsi" w:cstheme="minorBidi"/>
        </w:rPr>
        <w:t>-</w:t>
      </w:r>
      <w:r w:rsidRPr="11332A3A">
        <w:rPr>
          <w:rFonts w:asciiTheme="minorHAnsi" w:hAnsiTheme="minorHAnsi" w:cstheme="minorBidi"/>
        </w:rPr>
        <w:t xml:space="preserve">25 </w:t>
      </w:r>
      <w:r w:rsidR="00B0118A" w:rsidRPr="11332A3A">
        <w:rPr>
          <w:rFonts w:asciiTheme="minorHAnsi" w:hAnsiTheme="minorHAnsi" w:cstheme="minorBidi"/>
        </w:rPr>
        <w:t>in</w:t>
      </w:r>
      <w:r w:rsidRPr="11332A3A">
        <w:rPr>
          <w:rFonts w:asciiTheme="minorHAnsi" w:hAnsiTheme="minorHAnsi" w:cstheme="minorBidi"/>
        </w:rPr>
        <w:t xml:space="preserve"> </w:t>
      </w:r>
      <w:r w:rsidR="007C0614" w:rsidRPr="11332A3A">
        <w:rPr>
          <w:rFonts w:asciiTheme="minorHAnsi" w:hAnsiTheme="minorHAnsi" w:cstheme="minorBidi"/>
        </w:rPr>
        <w:t xml:space="preserve">Document </w:t>
      </w:r>
      <w:hyperlink r:id="rId68" w:history="1">
        <w:r w:rsidRPr="11332A3A">
          <w:rPr>
            <w:rStyle w:val="Hyperlink"/>
            <w:rFonts w:asciiTheme="minorHAnsi" w:hAnsiTheme="minorHAnsi" w:cstheme="minorBidi"/>
          </w:rPr>
          <w:t>C25/29</w:t>
        </w:r>
      </w:hyperlink>
      <w:r w:rsidRPr="11332A3A">
        <w:rPr>
          <w:rFonts w:asciiTheme="minorHAnsi" w:hAnsiTheme="minorHAnsi" w:cstheme="minorBidi"/>
        </w:rPr>
        <w:t xml:space="preserve"> for consideration.</w:t>
      </w:r>
      <w:r w:rsidR="00510E25" w:rsidRPr="11332A3A">
        <w:rPr>
          <w:rFonts w:asciiTheme="minorHAnsi" w:hAnsiTheme="minorHAnsi" w:cstheme="minorBidi"/>
        </w:rPr>
        <w:t xml:space="preserve"> </w:t>
      </w:r>
    </w:p>
    <w:p w14:paraId="02B010AC" w14:textId="3E204E19" w:rsidR="008269A8" w:rsidRDefault="00510E25" w:rsidP="00BC5C81">
      <w:pPr>
        <w:jc w:val="both"/>
        <w:rPr>
          <w:rFonts w:asciiTheme="minorHAnsi" w:hAnsiTheme="minorHAnsi" w:cstheme="minorBidi"/>
        </w:rPr>
      </w:pPr>
      <w:r w:rsidRPr="5D4848BA">
        <w:rPr>
          <w:rFonts w:asciiTheme="minorHAnsi" w:hAnsiTheme="minorHAnsi" w:cstheme="minorBidi"/>
        </w:rPr>
        <w:t>Regarding the financial implications of proposed resolutions and decisions</w:t>
      </w:r>
      <w:r w:rsidR="00472650" w:rsidRPr="5D4848BA">
        <w:rPr>
          <w:rFonts w:asciiTheme="minorHAnsi" w:hAnsiTheme="minorHAnsi" w:cstheme="minorBidi"/>
        </w:rPr>
        <w:t xml:space="preserve">, </w:t>
      </w:r>
      <w:r w:rsidR="22358678" w:rsidRPr="5D4848BA">
        <w:rPr>
          <w:rFonts w:asciiTheme="minorHAnsi" w:hAnsiTheme="minorHAnsi" w:cstheme="minorBidi"/>
        </w:rPr>
        <w:t>M</w:t>
      </w:r>
      <w:r w:rsidR="00472650" w:rsidRPr="5D4848BA">
        <w:rPr>
          <w:rFonts w:asciiTheme="minorHAnsi" w:hAnsiTheme="minorHAnsi" w:cstheme="minorBidi"/>
        </w:rPr>
        <w:t xml:space="preserve">ember States recognized the </w:t>
      </w:r>
      <w:r w:rsidR="00625FD8" w:rsidRPr="5D4848BA">
        <w:rPr>
          <w:rFonts w:asciiTheme="minorHAnsi" w:hAnsiTheme="minorHAnsi" w:cstheme="minorBidi"/>
        </w:rPr>
        <w:t xml:space="preserve">helpfulness to assess the financial impact of proposals </w:t>
      </w:r>
      <w:r w:rsidR="005F0F5C" w:rsidRPr="5D4848BA">
        <w:rPr>
          <w:rFonts w:asciiTheme="minorHAnsi" w:hAnsiTheme="minorHAnsi" w:cstheme="minorBidi"/>
        </w:rPr>
        <w:t xml:space="preserve">and the role </w:t>
      </w:r>
      <w:r w:rsidR="00482782" w:rsidRPr="5D4848BA">
        <w:rPr>
          <w:rFonts w:asciiTheme="minorHAnsi" w:hAnsiTheme="minorHAnsi" w:cstheme="minorBidi"/>
        </w:rPr>
        <w:t>of the Budget Contr</w:t>
      </w:r>
      <w:r w:rsidR="00B264E2" w:rsidRPr="5D4848BA">
        <w:rPr>
          <w:rFonts w:asciiTheme="minorHAnsi" w:hAnsiTheme="minorHAnsi" w:cstheme="minorBidi"/>
        </w:rPr>
        <w:t>ol Committee</w:t>
      </w:r>
      <w:r w:rsidR="00B71811" w:rsidRPr="5D4848BA">
        <w:rPr>
          <w:rFonts w:asciiTheme="minorHAnsi" w:hAnsiTheme="minorHAnsi" w:cstheme="minorBidi"/>
        </w:rPr>
        <w:t xml:space="preserve">. </w:t>
      </w:r>
      <w:r w:rsidR="0DF46170" w:rsidRPr="5D4848BA">
        <w:rPr>
          <w:rFonts w:asciiTheme="minorHAnsi" w:hAnsiTheme="minorHAnsi" w:cstheme="minorBidi"/>
        </w:rPr>
        <w:t>The CWG</w:t>
      </w:r>
      <w:r w:rsidRPr="5D4848BA">
        <w:rPr>
          <w:rFonts w:asciiTheme="minorHAnsi" w:hAnsiTheme="minorHAnsi" w:cstheme="minorBidi"/>
        </w:rPr>
        <w:t xml:space="preserve">-FHR discussed this </w:t>
      </w:r>
      <w:r w:rsidR="00A44508" w:rsidRPr="5D4848BA">
        <w:rPr>
          <w:rFonts w:asciiTheme="minorHAnsi" w:hAnsiTheme="minorHAnsi" w:cstheme="minorBidi"/>
        </w:rPr>
        <w:t xml:space="preserve">issue </w:t>
      </w:r>
      <w:r w:rsidRPr="5D4848BA">
        <w:rPr>
          <w:rFonts w:asciiTheme="minorHAnsi" w:hAnsiTheme="minorHAnsi" w:cstheme="minorBidi"/>
        </w:rPr>
        <w:t xml:space="preserve">during both </w:t>
      </w:r>
      <w:r w:rsidR="00A44508" w:rsidRPr="5D4848BA">
        <w:rPr>
          <w:rFonts w:asciiTheme="minorHAnsi" w:hAnsiTheme="minorHAnsi" w:cstheme="minorBidi"/>
        </w:rPr>
        <w:t xml:space="preserve">of </w:t>
      </w:r>
      <w:r w:rsidRPr="5D4848BA">
        <w:rPr>
          <w:rFonts w:asciiTheme="minorHAnsi" w:hAnsiTheme="minorHAnsi" w:cstheme="minorBidi"/>
        </w:rPr>
        <w:t xml:space="preserve">its meetings and decided to </w:t>
      </w:r>
      <w:r w:rsidRPr="00BC5C81">
        <w:t>invite</w:t>
      </w:r>
      <w:r w:rsidRPr="5D4848BA">
        <w:rPr>
          <w:rFonts w:asciiTheme="minorHAnsi" w:hAnsiTheme="minorHAnsi" w:cstheme="minorBidi"/>
        </w:rPr>
        <w:t xml:space="preserve"> the secretariat of the conferences and assemblies to provide transparent information on the possible financial implications of proposals submitted as early as possible to support discussion (see</w:t>
      </w:r>
      <w:r w:rsidR="007C0614">
        <w:rPr>
          <w:rFonts w:asciiTheme="minorHAnsi" w:hAnsiTheme="minorHAnsi" w:cstheme="minorBidi"/>
        </w:rPr>
        <w:t xml:space="preserve"> Document</w:t>
      </w:r>
      <w:r w:rsidRPr="5D4848BA">
        <w:rPr>
          <w:rFonts w:asciiTheme="minorHAnsi" w:hAnsiTheme="minorHAnsi" w:cstheme="minorBidi"/>
        </w:rPr>
        <w:t xml:space="preserve"> </w:t>
      </w:r>
      <w:hyperlink r:id="rId69">
        <w:r w:rsidRPr="5D4848BA">
          <w:rPr>
            <w:rStyle w:val="Hyperlink"/>
            <w:rFonts w:asciiTheme="minorHAnsi" w:hAnsiTheme="minorHAnsi" w:cstheme="minorBidi"/>
          </w:rPr>
          <w:t>C25/50</w:t>
        </w:r>
      </w:hyperlink>
      <w:r w:rsidRPr="5D4848BA">
        <w:rPr>
          <w:rFonts w:asciiTheme="minorHAnsi" w:hAnsiTheme="minorHAnsi" w:cstheme="minorBidi"/>
        </w:rPr>
        <w:t>).</w:t>
      </w:r>
    </w:p>
    <w:p w14:paraId="3F7288B1" w14:textId="5BB0B7D1" w:rsidR="001D0CAE" w:rsidRPr="001D0CAE" w:rsidRDefault="001D0CAE" w:rsidP="00B33BDB">
      <w:pPr>
        <w:pStyle w:val="Headingb"/>
      </w:pPr>
      <w:r w:rsidRPr="001D0CAE">
        <w:t>Participation of women and young people</w:t>
      </w:r>
    </w:p>
    <w:p w14:paraId="0D047979" w14:textId="77777777" w:rsidR="004C509E" w:rsidRDefault="0060395E" w:rsidP="00BC5C81">
      <w:pPr>
        <w:jc w:val="both"/>
        <w:rPr>
          <w:rFonts w:asciiTheme="minorHAnsi" w:hAnsiTheme="minorHAnsi" w:cstheme="minorHAnsi"/>
        </w:rPr>
      </w:pPr>
      <w:r w:rsidRPr="0060395E">
        <w:rPr>
          <w:rFonts w:asciiTheme="minorHAnsi" w:hAnsiTheme="minorHAnsi" w:cstheme="minorHAnsi"/>
        </w:rPr>
        <w:t xml:space="preserve">Building on </w:t>
      </w:r>
      <w:r w:rsidRPr="00BC5C81">
        <w:t>the</w:t>
      </w:r>
      <w:r w:rsidRPr="0060395E">
        <w:rPr>
          <w:rFonts w:asciiTheme="minorHAnsi" w:hAnsiTheme="minorHAnsi" w:cstheme="minorHAnsi"/>
        </w:rPr>
        <w:t xml:space="preserve"> </w:t>
      </w:r>
      <w:r w:rsidRPr="00BC5C81">
        <w:t>outcomes</w:t>
      </w:r>
      <w:r w:rsidRPr="0060395E">
        <w:rPr>
          <w:rFonts w:asciiTheme="minorHAnsi" w:hAnsiTheme="minorHAnsi" w:cstheme="minorHAnsi"/>
        </w:rPr>
        <w:t xml:space="preserve"> of the 2022 Plenipotentiary Conference (PP-22), the secretariat is working to strengthen the participation and leadership of women delegates in the Union’s work. </w:t>
      </w:r>
    </w:p>
    <w:p w14:paraId="34D5BA8E" w14:textId="7DD71DEB" w:rsidR="004C509E" w:rsidRDefault="00DF4465" w:rsidP="00BC5C81">
      <w:pPr>
        <w:jc w:val="both"/>
      </w:pPr>
      <w:r>
        <w:t xml:space="preserve">The aim is to </w:t>
      </w:r>
      <w:r w:rsidRPr="00BC5C81">
        <w:t>reach</w:t>
      </w:r>
      <w:r>
        <w:t xml:space="preserve"> at least </w:t>
      </w:r>
      <w:r w:rsidR="004269D5">
        <w:t>40</w:t>
      </w:r>
      <w:r w:rsidR="007C0614">
        <w:t xml:space="preserve"> per cent</w:t>
      </w:r>
      <w:r>
        <w:t xml:space="preserve"> of </w:t>
      </w:r>
      <w:r w:rsidR="007C0614">
        <w:t>women's</w:t>
      </w:r>
      <w:r>
        <w:t xml:space="preserve"> </w:t>
      </w:r>
      <w:r w:rsidR="00DB5133">
        <w:t xml:space="preserve">participation </w:t>
      </w:r>
      <w:r w:rsidR="004269D5">
        <w:t>in the conference</w:t>
      </w:r>
      <w:r w:rsidR="009B365D">
        <w:t xml:space="preserve"> compared to 33</w:t>
      </w:r>
      <w:r w:rsidR="00BC5C81">
        <w:t xml:space="preserve"> per cent </w:t>
      </w:r>
      <w:r w:rsidR="009B365D">
        <w:t>at PP-22</w:t>
      </w:r>
      <w:r w:rsidR="004269D5">
        <w:t>.</w:t>
      </w:r>
      <w:r w:rsidR="00BA7300">
        <w:t xml:space="preserve"> </w:t>
      </w:r>
      <w:r w:rsidR="00230C65">
        <w:t xml:space="preserve">The </w:t>
      </w:r>
      <w:r w:rsidR="00EC2ECE">
        <w:t>s</w:t>
      </w:r>
      <w:r w:rsidR="00230C65">
        <w:t xml:space="preserve">ecretariat will </w:t>
      </w:r>
      <w:r w:rsidR="009A494D">
        <w:t xml:space="preserve">invite Member States </w:t>
      </w:r>
      <w:r w:rsidR="00DB5133">
        <w:t xml:space="preserve">to </w:t>
      </w:r>
      <w:r w:rsidR="00DF415F">
        <w:t xml:space="preserve">support </w:t>
      </w:r>
      <w:r w:rsidR="007C0614">
        <w:t>women's</w:t>
      </w:r>
      <w:r w:rsidR="00DF415F">
        <w:t xml:space="preserve"> participation in their </w:t>
      </w:r>
      <w:r w:rsidR="00FC5C93">
        <w:t xml:space="preserve">delegations and </w:t>
      </w:r>
      <w:r w:rsidR="00DF415F">
        <w:t>encourage delegations to be led by women.</w:t>
      </w:r>
    </w:p>
    <w:p w14:paraId="6F6AE956" w14:textId="00DD57FE" w:rsidR="00D65164" w:rsidRDefault="00FC5C93" w:rsidP="00BC5C81">
      <w:pPr>
        <w:jc w:val="both"/>
        <w:rPr>
          <w:rFonts w:asciiTheme="minorHAnsi" w:hAnsiTheme="minorHAnsi" w:cstheme="minorBidi"/>
        </w:rPr>
      </w:pPr>
      <w:r w:rsidRPr="7B53170A">
        <w:rPr>
          <w:rFonts w:asciiTheme="minorHAnsi" w:hAnsiTheme="minorHAnsi" w:cstheme="minorBidi"/>
        </w:rPr>
        <w:t xml:space="preserve">The </w:t>
      </w:r>
      <w:r w:rsidR="00EC2ECE" w:rsidRPr="7B53170A">
        <w:rPr>
          <w:rFonts w:asciiTheme="minorHAnsi" w:hAnsiTheme="minorHAnsi" w:cstheme="minorBidi"/>
        </w:rPr>
        <w:t>s</w:t>
      </w:r>
      <w:r w:rsidR="002A30E1" w:rsidRPr="7B53170A">
        <w:rPr>
          <w:rFonts w:asciiTheme="minorHAnsi" w:hAnsiTheme="minorHAnsi" w:cstheme="minorBidi"/>
        </w:rPr>
        <w:t>ecretariat</w:t>
      </w:r>
      <w:r w:rsidRPr="7B53170A">
        <w:rPr>
          <w:rFonts w:asciiTheme="minorHAnsi" w:hAnsiTheme="minorHAnsi" w:cstheme="minorBidi"/>
        </w:rPr>
        <w:t xml:space="preserve"> plan</w:t>
      </w:r>
      <w:r w:rsidR="002A30E1" w:rsidRPr="7B53170A">
        <w:rPr>
          <w:rFonts w:asciiTheme="minorHAnsi" w:hAnsiTheme="minorHAnsi" w:cstheme="minorBidi"/>
        </w:rPr>
        <w:t xml:space="preserve">s </w:t>
      </w:r>
      <w:r w:rsidR="009B365D" w:rsidRPr="7B53170A">
        <w:rPr>
          <w:rFonts w:asciiTheme="minorHAnsi" w:hAnsiTheme="minorHAnsi" w:cstheme="minorBidi"/>
        </w:rPr>
        <w:t xml:space="preserve">to </w:t>
      </w:r>
      <w:r w:rsidR="243E62AB" w:rsidRPr="7B53170A">
        <w:rPr>
          <w:rFonts w:asciiTheme="minorHAnsi" w:hAnsiTheme="minorHAnsi" w:cstheme="minorBidi"/>
        </w:rPr>
        <w:t>provide capacity</w:t>
      </w:r>
      <w:r w:rsidR="0060395E" w:rsidRPr="7B53170A">
        <w:rPr>
          <w:rFonts w:asciiTheme="minorHAnsi" w:hAnsiTheme="minorHAnsi" w:cstheme="minorBidi"/>
        </w:rPr>
        <w:t xml:space="preserve"> building, networking, and mentoring opportunities before and during </w:t>
      </w:r>
      <w:r w:rsidR="0060395E" w:rsidRPr="00BC5C81">
        <w:t>PP</w:t>
      </w:r>
      <w:r w:rsidR="0060395E" w:rsidRPr="7B53170A">
        <w:rPr>
          <w:rFonts w:asciiTheme="minorHAnsi" w:hAnsiTheme="minorHAnsi" w:cstheme="minorBidi"/>
        </w:rPr>
        <w:t xml:space="preserve">-26 to help address disparities in representation. </w:t>
      </w:r>
    </w:p>
    <w:p w14:paraId="273D9386" w14:textId="72626A17" w:rsidR="0060395E" w:rsidRDefault="0060395E" w:rsidP="00BC5C81">
      <w:pPr>
        <w:jc w:val="both"/>
        <w:rPr>
          <w:rFonts w:asciiTheme="minorHAnsi" w:hAnsiTheme="minorHAnsi" w:cstheme="minorHAnsi"/>
        </w:rPr>
      </w:pPr>
      <w:r w:rsidRPr="0060395E">
        <w:rPr>
          <w:rFonts w:asciiTheme="minorHAnsi" w:hAnsiTheme="minorHAnsi" w:cstheme="minorHAnsi"/>
        </w:rPr>
        <w:t xml:space="preserve">Regional focal points for women are recommended as part of the PP-26 preparatory process, along with </w:t>
      </w:r>
      <w:r w:rsidRPr="00BC5C81">
        <w:t>consultations</w:t>
      </w:r>
      <w:r w:rsidRPr="0060395E">
        <w:rPr>
          <w:rFonts w:asciiTheme="minorHAnsi" w:hAnsiTheme="minorHAnsi" w:cstheme="minorHAnsi"/>
        </w:rPr>
        <w:t xml:space="preserve"> involving participants from previous programmes</w:t>
      </w:r>
      <w:r w:rsidR="003146E5">
        <w:rPr>
          <w:rFonts w:asciiTheme="minorHAnsi" w:hAnsiTheme="minorHAnsi" w:cstheme="minorHAnsi"/>
        </w:rPr>
        <w:t xml:space="preserve"> and </w:t>
      </w:r>
      <w:r w:rsidR="007D13C1">
        <w:rPr>
          <w:rFonts w:asciiTheme="minorHAnsi" w:hAnsiTheme="minorHAnsi" w:cstheme="minorHAnsi"/>
        </w:rPr>
        <w:t>existing ITU</w:t>
      </w:r>
      <w:r w:rsidR="00DF1CE2">
        <w:rPr>
          <w:rFonts w:asciiTheme="minorHAnsi" w:hAnsiTheme="minorHAnsi" w:cstheme="minorHAnsi"/>
        </w:rPr>
        <w:t xml:space="preserve"> N</w:t>
      </w:r>
      <w:r w:rsidR="003146E5">
        <w:rPr>
          <w:rFonts w:asciiTheme="minorHAnsi" w:hAnsiTheme="minorHAnsi" w:cstheme="minorHAnsi"/>
        </w:rPr>
        <w:t>etworks</w:t>
      </w:r>
      <w:r w:rsidR="00190107">
        <w:rPr>
          <w:rFonts w:asciiTheme="minorHAnsi" w:hAnsiTheme="minorHAnsi" w:cstheme="minorHAnsi"/>
        </w:rPr>
        <w:t xml:space="preserve"> of Wo</w:t>
      </w:r>
      <w:r w:rsidR="00DF1CE2">
        <w:rPr>
          <w:rFonts w:asciiTheme="minorHAnsi" w:hAnsiTheme="minorHAnsi" w:cstheme="minorHAnsi"/>
        </w:rPr>
        <w:t>men</w:t>
      </w:r>
      <w:r w:rsidRPr="0060395E">
        <w:rPr>
          <w:rFonts w:asciiTheme="minorHAnsi" w:hAnsiTheme="minorHAnsi" w:cstheme="minorHAnsi"/>
        </w:rPr>
        <w:t>.</w:t>
      </w:r>
    </w:p>
    <w:p w14:paraId="42E92530" w14:textId="18AEF967" w:rsidR="00E31781" w:rsidRPr="00E31781" w:rsidRDefault="00E31781" w:rsidP="00BC5C81">
      <w:pPr>
        <w:jc w:val="both"/>
        <w:rPr>
          <w:rFonts w:asciiTheme="minorHAnsi" w:hAnsiTheme="minorHAnsi" w:cstheme="minorBidi"/>
        </w:rPr>
      </w:pPr>
      <w:r w:rsidRPr="7B53170A">
        <w:rPr>
          <w:rFonts w:asciiTheme="minorHAnsi" w:hAnsiTheme="minorHAnsi" w:cstheme="minorBidi"/>
        </w:rPr>
        <w:t xml:space="preserve">In line with PP Resolution 198 (Rev. Bucharest, 2022), which promotes youth mainstreaming across the ITU, plans are being developed to support delegates under 35 through capacity building and mentoring on PP processes. Efforts will also include enabling youth participation as public observers where </w:t>
      </w:r>
      <w:r w:rsidR="79E61112" w:rsidRPr="7B53170A">
        <w:rPr>
          <w:rFonts w:asciiTheme="minorHAnsi" w:hAnsiTheme="minorHAnsi" w:cstheme="minorBidi"/>
        </w:rPr>
        <w:t>appropriate and</w:t>
      </w:r>
      <w:r w:rsidRPr="7B53170A">
        <w:rPr>
          <w:rFonts w:asciiTheme="minorHAnsi" w:hAnsiTheme="minorHAnsi" w:cstheme="minorBidi"/>
        </w:rPr>
        <w:t xml:space="preserve"> facilitating intergenerational dialogues on digital development. The inclusion of youth focal points in each region and the creation of a dedicated youth track at PP-26 are proposed to amplify young voices.</w:t>
      </w:r>
    </w:p>
    <w:p w14:paraId="3F7BF82D" w14:textId="73A4BDC0" w:rsidR="00D231EC" w:rsidRDefault="00D231EC" w:rsidP="00BC5C81">
      <w:pPr>
        <w:jc w:val="both"/>
        <w:rPr>
          <w:rFonts w:asciiTheme="minorHAnsi" w:hAnsiTheme="minorHAnsi" w:cstheme="minorHAnsi"/>
        </w:rPr>
      </w:pPr>
      <w:r>
        <w:rPr>
          <w:rFonts w:asciiTheme="minorHAnsi" w:hAnsiTheme="minorHAnsi" w:cstheme="minorHAnsi"/>
        </w:rPr>
        <w:t>Member states interested in support</w:t>
      </w:r>
      <w:r w:rsidR="00376BD1">
        <w:rPr>
          <w:rFonts w:asciiTheme="minorHAnsi" w:hAnsiTheme="minorHAnsi" w:cstheme="minorHAnsi"/>
        </w:rPr>
        <w:t xml:space="preserve"> initiatives aiming at </w:t>
      </w:r>
      <w:r w:rsidR="005C1330">
        <w:rPr>
          <w:rFonts w:asciiTheme="minorHAnsi" w:hAnsiTheme="minorHAnsi" w:cstheme="minorHAnsi"/>
        </w:rPr>
        <w:t xml:space="preserve">strengthening the participation of women and young </w:t>
      </w:r>
      <w:r w:rsidR="005C1330" w:rsidRPr="00BC5C81">
        <w:t>people</w:t>
      </w:r>
      <w:r w:rsidR="005C1330">
        <w:rPr>
          <w:rFonts w:asciiTheme="minorHAnsi" w:hAnsiTheme="minorHAnsi" w:cstheme="minorHAnsi"/>
        </w:rPr>
        <w:t xml:space="preserve"> are in</w:t>
      </w:r>
      <w:r w:rsidR="00E34AB3">
        <w:rPr>
          <w:rFonts w:asciiTheme="minorHAnsi" w:hAnsiTheme="minorHAnsi" w:cstheme="minorHAnsi"/>
        </w:rPr>
        <w:t>vited to contact the secretariat.</w:t>
      </w:r>
    </w:p>
    <w:p w14:paraId="68A0024B" w14:textId="6C57679D" w:rsidR="00CF1104" w:rsidRDefault="00CF1104" w:rsidP="00B33BDB">
      <w:pPr>
        <w:pStyle w:val="Heading1"/>
      </w:pPr>
      <w:r>
        <w:lastRenderedPageBreak/>
        <w:t>4</w:t>
      </w:r>
      <w:r>
        <w:tab/>
      </w:r>
      <w:r w:rsidR="001D0CAE">
        <w:t>Digitalization</w:t>
      </w:r>
    </w:p>
    <w:p w14:paraId="60337407" w14:textId="034C512E" w:rsidR="00A75FC9" w:rsidRDefault="00884F42" w:rsidP="00BC5C81">
      <w:pPr>
        <w:jc w:val="both"/>
        <w:rPr>
          <w:rFonts w:asciiTheme="minorHAnsi" w:hAnsiTheme="minorHAnsi" w:cstheme="minorHAnsi"/>
        </w:rPr>
      </w:pPr>
      <w:r>
        <w:rPr>
          <w:rFonts w:asciiTheme="minorHAnsi" w:hAnsiTheme="minorHAnsi" w:cstheme="minorHAnsi"/>
        </w:rPr>
        <w:t xml:space="preserve">The </w:t>
      </w:r>
      <w:r w:rsidR="00F74E01">
        <w:rPr>
          <w:rFonts w:asciiTheme="minorHAnsi" w:hAnsiTheme="minorHAnsi" w:cstheme="minorHAnsi"/>
        </w:rPr>
        <w:t>s</w:t>
      </w:r>
      <w:r>
        <w:rPr>
          <w:rFonts w:asciiTheme="minorHAnsi" w:hAnsiTheme="minorHAnsi" w:cstheme="minorHAnsi"/>
        </w:rPr>
        <w:t xml:space="preserve">ecretariat </w:t>
      </w:r>
      <w:r w:rsidRPr="00BC5C81">
        <w:t>will</w:t>
      </w:r>
      <w:r>
        <w:rPr>
          <w:rFonts w:asciiTheme="minorHAnsi" w:hAnsiTheme="minorHAnsi" w:cstheme="minorHAnsi"/>
        </w:rPr>
        <w:t xml:space="preserve"> continue </w:t>
      </w:r>
      <w:r w:rsidR="00283FFC">
        <w:rPr>
          <w:rFonts w:asciiTheme="minorHAnsi" w:hAnsiTheme="minorHAnsi" w:cstheme="minorHAnsi"/>
        </w:rPr>
        <w:t xml:space="preserve">to </w:t>
      </w:r>
      <w:r w:rsidR="000D0C50">
        <w:rPr>
          <w:rFonts w:asciiTheme="minorHAnsi" w:hAnsiTheme="minorHAnsi" w:cstheme="minorHAnsi"/>
        </w:rPr>
        <w:t xml:space="preserve">improve processes </w:t>
      </w:r>
      <w:r w:rsidR="00283FFC">
        <w:rPr>
          <w:rFonts w:asciiTheme="minorHAnsi" w:hAnsiTheme="minorHAnsi" w:cstheme="minorHAnsi"/>
        </w:rPr>
        <w:t>for delegates</w:t>
      </w:r>
      <w:r w:rsidR="00AA5340">
        <w:rPr>
          <w:rFonts w:asciiTheme="minorHAnsi" w:hAnsiTheme="minorHAnsi" w:cstheme="minorHAnsi"/>
        </w:rPr>
        <w:t>,</w:t>
      </w:r>
      <w:r w:rsidR="00283FFC">
        <w:rPr>
          <w:rFonts w:asciiTheme="minorHAnsi" w:hAnsiTheme="minorHAnsi" w:cstheme="minorHAnsi"/>
        </w:rPr>
        <w:t xml:space="preserve"> </w:t>
      </w:r>
      <w:r w:rsidR="000D0C50">
        <w:rPr>
          <w:rFonts w:asciiTheme="minorHAnsi" w:hAnsiTheme="minorHAnsi" w:cstheme="minorHAnsi"/>
        </w:rPr>
        <w:t>such as registration</w:t>
      </w:r>
      <w:r w:rsidR="00D055C6">
        <w:rPr>
          <w:rFonts w:asciiTheme="minorHAnsi" w:hAnsiTheme="minorHAnsi" w:cstheme="minorHAnsi"/>
        </w:rPr>
        <w:t>, room booking</w:t>
      </w:r>
      <w:r w:rsidR="00865E3E">
        <w:rPr>
          <w:rFonts w:asciiTheme="minorHAnsi" w:hAnsiTheme="minorHAnsi" w:cstheme="minorHAnsi"/>
        </w:rPr>
        <w:t xml:space="preserve">, protocol </w:t>
      </w:r>
      <w:r w:rsidR="009B365D">
        <w:rPr>
          <w:rFonts w:asciiTheme="minorHAnsi" w:hAnsiTheme="minorHAnsi" w:cstheme="minorHAnsi"/>
        </w:rPr>
        <w:t>service, as</w:t>
      </w:r>
      <w:r w:rsidR="00A75FC9">
        <w:rPr>
          <w:rFonts w:asciiTheme="minorHAnsi" w:hAnsiTheme="minorHAnsi" w:cstheme="minorHAnsi"/>
        </w:rPr>
        <w:t xml:space="preserve"> well as digital tools. </w:t>
      </w:r>
      <w:r w:rsidR="00B87B0F">
        <w:rPr>
          <w:rFonts w:asciiTheme="minorHAnsi" w:hAnsiTheme="minorHAnsi" w:cstheme="minorHAnsi"/>
        </w:rPr>
        <w:t xml:space="preserve"> An ITU mobile app is under consideration.</w:t>
      </w:r>
    </w:p>
    <w:p w14:paraId="400FCEAE" w14:textId="26AB25AE" w:rsidR="00346976" w:rsidRDefault="00470B57" w:rsidP="00BC5C81">
      <w:pPr>
        <w:jc w:val="both"/>
        <w:rPr>
          <w:rFonts w:asciiTheme="minorHAnsi" w:hAnsiTheme="minorHAnsi" w:cstheme="minorHAnsi"/>
        </w:rPr>
      </w:pPr>
      <w:r w:rsidRPr="00470B57">
        <w:rPr>
          <w:rFonts w:asciiTheme="minorHAnsi" w:hAnsiTheme="minorHAnsi" w:cstheme="minorHAnsi"/>
        </w:rPr>
        <w:t xml:space="preserve">As part of the ongoing transformation project, the secretariat is advancing several initiatives aimed at integrating AI technologies to optimize the preparatory process and enhance operational </w:t>
      </w:r>
      <w:r w:rsidR="009B365D" w:rsidRPr="00BC5C81">
        <w:t>efficiencies</w:t>
      </w:r>
      <w:r w:rsidR="009B365D" w:rsidRPr="00470B57">
        <w:rPr>
          <w:rFonts w:asciiTheme="minorHAnsi" w:hAnsiTheme="minorHAnsi" w:cstheme="minorHAnsi"/>
        </w:rPr>
        <w:t>.</w:t>
      </w:r>
      <w:r w:rsidRPr="00470B57">
        <w:rPr>
          <w:rFonts w:asciiTheme="minorHAnsi" w:hAnsiTheme="minorHAnsi" w:cstheme="minorHAnsi"/>
        </w:rPr>
        <w:t xml:space="preserve"> Additionally, </w:t>
      </w:r>
      <w:r>
        <w:rPr>
          <w:rFonts w:asciiTheme="minorHAnsi" w:hAnsiTheme="minorHAnsi" w:cstheme="minorHAnsi"/>
        </w:rPr>
        <w:t xml:space="preserve">the secretariat is actively learning from initiatives and projects at other organizations, </w:t>
      </w:r>
      <w:r w:rsidR="00346976">
        <w:rPr>
          <w:rFonts w:asciiTheme="minorHAnsi" w:hAnsiTheme="minorHAnsi" w:cstheme="minorHAnsi"/>
        </w:rPr>
        <w:t>specifically how to use AI to improve the</w:t>
      </w:r>
      <w:r w:rsidR="008C2AB5">
        <w:rPr>
          <w:rFonts w:asciiTheme="minorHAnsi" w:hAnsiTheme="minorHAnsi" w:cstheme="minorHAnsi"/>
        </w:rPr>
        <w:t xml:space="preserve"> efficiency of governing bodies’ processes</w:t>
      </w:r>
    </w:p>
    <w:p w14:paraId="4C7A21E7" w14:textId="4B9B3691" w:rsidR="00A07EE2" w:rsidRPr="00CF1104" w:rsidRDefault="00A07EE2" w:rsidP="00BC5C81">
      <w:pPr>
        <w:jc w:val="both"/>
        <w:rPr>
          <w:rFonts w:asciiTheme="minorHAnsi" w:hAnsiTheme="minorHAnsi" w:cstheme="minorBidi"/>
        </w:rPr>
      </w:pPr>
      <w:r w:rsidRPr="1B0BE370">
        <w:rPr>
          <w:rFonts w:asciiTheme="minorHAnsi" w:hAnsiTheme="minorHAnsi" w:cstheme="minorBidi"/>
        </w:rPr>
        <w:t xml:space="preserve">Considering the </w:t>
      </w:r>
      <w:r w:rsidRPr="00BC5C81">
        <w:t>support</w:t>
      </w:r>
      <w:r w:rsidRPr="1B0BE370">
        <w:rPr>
          <w:rFonts w:asciiTheme="minorHAnsi" w:hAnsiTheme="minorHAnsi" w:cstheme="minorBidi"/>
        </w:rPr>
        <w:t xml:space="preserve"> expressed by Member States in the consultation, it is proposed to provide remote participation at the Plenary and committee level. </w:t>
      </w:r>
    </w:p>
    <w:p w14:paraId="0068DACC" w14:textId="37387D9F" w:rsidR="00416366" w:rsidRDefault="006F7EF2" w:rsidP="00B33BDB">
      <w:pPr>
        <w:pStyle w:val="Heading1"/>
      </w:pPr>
      <w:r>
        <w:t>5</w:t>
      </w:r>
      <w:r w:rsidR="00F74E01">
        <w:tab/>
      </w:r>
      <w:r>
        <w:t>Greening the PP</w:t>
      </w:r>
    </w:p>
    <w:p w14:paraId="4D666665" w14:textId="1384128D" w:rsidR="00416366" w:rsidRDefault="001C0F16" w:rsidP="00BC5C81">
      <w:pPr>
        <w:jc w:val="both"/>
        <w:rPr>
          <w:rFonts w:asciiTheme="minorHAnsi" w:hAnsiTheme="minorHAnsi" w:cstheme="minorBidi"/>
          <w:highlight w:val="yellow"/>
        </w:rPr>
      </w:pPr>
      <w:r w:rsidRPr="2FEE238F">
        <w:rPr>
          <w:rFonts w:asciiTheme="minorHAnsi" w:hAnsiTheme="minorHAnsi" w:cstheme="minorBidi"/>
        </w:rPr>
        <w:t>T</w:t>
      </w:r>
      <w:r w:rsidR="006C22E6" w:rsidRPr="2FEE238F">
        <w:rPr>
          <w:rFonts w:asciiTheme="minorHAnsi" w:hAnsiTheme="minorHAnsi" w:cstheme="minorBidi"/>
        </w:rPr>
        <w:t xml:space="preserve">he </w:t>
      </w:r>
      <w:r w:rsidR="00724C8A">
        <w:rPr>
          <w:rFonts w:asciiTheme="minorHAnsi" w:hAnsiTheme="minorHAnsi" w:cstheme="minorBidi"/>
        </w:rPr>
        <w:t>H</w:t>
      </w:r>
      <w:r w:rsidR="006C22E6" w:rsidRPr="2FEE238F">
        <w:rPr>
          <w:rFonts w:asciiTheme="minorHAnsi" w:hAnsiTheme="minorHAnsi" w:cstheme="minorBidi"/>
        </w:rPr>
        <w:t>os</w:t>
      </w:r>
      <w:r w:rsidR="00E36AE8" w:rsidRPr="2FEE238F">
        <w:rPr>
          <w:rFonts w:asciiTheme="minorHAnsi" w:hAnsiTheme="minorHAnsi" w:cstheme="minorBidi"/>
        </w:rPr>
        <w:t xml:space="preserve">t </w:t>
      </w:r>
      <w:r w:rsidR="00724C8A">
        <w:rPr>
          <w:rFonts w:asciiTheme="minorHAnsi" w:hAnsiTheme="minorHAnsi" w:cstheme="minorBidi"/>
        </w:rPr>
        <w:t>C</w:t>
      </w:r>
      <w:r w:rsidR="00E36AE8" w:rsidRPr="2FEE238F">
        <w:rPr>
          <w:rFonts w:asciiTheme="minorHAnsi" w:hAnsiTheme="minorHAnsi" w:cstheme="minorBidi"/>
        </w:rPr>
        <w:t>ountry</w:t>
      </w:r>
      <w:r w:rsidRPr="2FEE238F">
        <w:rPr>
          <w:rFonts w:asciiTheme="minorHAnsi" w:hAnsiTheme="minorHAnsi" w:cstheme="minorBidi"/>
        </w:rPr>
        <w:t xml:space="preserve"> and </w:t>
      </w:r>
      <w:r w:rsidR="00E36AE8" w:rsidRPr="2FEE238F">
        <w:rPr>
          <w:rFonts w:asciiTheme="minorHAnsi" w:hAnsiTheme="minorHAnsi" w:cstheme="minorBidi"/>
        </w:rPr>
        <w:t xml:space="preserve">the secretariat will </w:t>
      </w:r>
      <w:r w:rsidR="00856E70" w:rsidRPr="2FEE238F">
        <w:rPr>
          <w:rFonts w:asciiTheme="minorHAnsi" w:hAnsiTheme="minorHAnsi" w:cstheme="minorBidi"/>
        </w:rPr>
        <w:t>continue the efforts undertaken at PP-</w:t>
      </w:r>
      <w:r w:rsidR="002C3EDB" w:rsidRPr="2FEE238F">
        <w:rPr>
          <w:rFonts w:asciiTheme="minorHAnsi" w:hAnsiTheme="minorHAnsi" w:cstheme="minorBidi"/>
        </w:rPr>
        <w:t>22 and</w:t>
      </w:r>
      <w:r w:rsidR="00BD09A1" w:rsidRPr="2FEE238F">
        <w:rPr>
          <w:rFonts w:asciiTheme="minorHAnsi" w:hAnsiTheme="minorHAnsi" w:cstheme="minorBidi"/>
        </w:rPr>
        <w:t xml:space="preserve"> will endeavor </w:t>
      </w:r>
      <w:r w:rsidR="00092312" w:rsidRPr="2FEE238F">
        <w:rPr>
          <w:rFonts w:asciiTheme="minorHAnsi" w:hAnsiTheme="minorHAnsi" w:cstheme="minorBidi"/>
        </w:rPr>
        <w:t xml:space="preserve">to </w:t>
      </w:r>
      <w:r w:rsidR="00092312" w:rsidRPr="00BC5C81">
        <w:t>implement</w:t>
      </w:r>
      <w:r w:rsidR="00BD09A1" w:rsidRPr="2FEE238F">
        <w:rPr>
          <w:rFonts w:asciiTheme="minorHAnsi" w:hAnsiTheme="minorHAnsi" w:cstheme="minorBidi"/>
        </w:rPr>
        <w:t xml:space="preserve"> the Green UN event Check List</w:t>
      </w:r>
      <w:r w:rsidR="0D2241F8" w:rsidRPr="2FEE238F">
        <w:rPr>
          <w:rFonts w:asciiTheme="minorHAnsi" w:hAnsiTheme="minorHAnsi" w:cstheme="minorBidi"/>
        </w:rPr>
        <w:t>.</w:t>
      </w:r>
    </w:p>
    <w:p w14:paraId="30825474" w14:textId="1A4F4F0B" w:rsidR="00040095" w:rsidRDefault="00372441" w:rsidP="00BC5C81">
      <w:pPr>
        <w:jc w:val="both"/>
        <w:rPr>
          <w:rFonts w:asciiTheme="minorHAnsi" w:hAnsiTheme="minorHAnsi" w:cstheme="minorHAnsi"/>
        </w:rPr>
      </w:pPr>
      <w:r>
        <w:rPr>
          <w:rFonts w:asciiTheme="minorHAnsi" w:hAnsiTheme="minorHAnsi" w:cstheme="minorHAnsi"/>
        </w:rPr>
        <w:t xml:space="preserve">Before the </w:t>
      </w:r>
      <w:r w:rsidR="008E506B">
        <w:rPr>
          <w:rFonts w:asciiTheme="minorHAnsi" w:hAnsiTheme="minorHAnsi" w:cstheme="minorHAnsi"/>
        </w:rPr>
        <w:t>c</w:t>
      </w:r>
      <w:r>
        <w:rPr>
          <w:rFonts w:asciiTheme="minorHAnsi" w:hAnsiTheme="minorHAnsi" w:cstheme="minorHAnsi"/>
        </w:rPr>
        <w:t xml:space="preserve">onference, the </w:t>
      </w:r>
      <w:r w:rsidR="00EC2ECE">
        <w:rPr>
          <w:rFonts w:asciiTheme="minorHAnsi" w:hAnsiTheme="minorHAnsi" w:cstheme="minorHAnsi"/>
        </w:rPr>
        <w:t>s</w:t>
      </w:r>
      <w:r>
        <w:rPr>
          <w:rFonts w:asciiTheme="minorHAnsi" w:hAnsiTheme="minorHAnsi" w:cstheme="minorHAnsi"/>
        </w:rPr>
        <w:t>ecret</w:t>
      </w:r>
      <w:r w:rsidR="00024553">
        <w:rPr>
          <w:rFonts w:asciiTheme="minorHAnsi" w:hAnsiTheme="minorHAnsi" w:cstheme="minorHAnsi"/>
        </w:rPr>
        <w:t xml:space="preserve">ariat </w:t>
      </w:r>
      <w:r w:rsidR="00BE58A0">
        <w:rPr>
          <w:rFonts w:asciiTheme="minorHAnsi" w:hAnsiTheme="minorHAnsi" w:cstheme="minorHAnsi"/>
        </w:rPr>
        <w:t xml:space="preserve">will provide comprehensive guidelines and resources to encourage </w:t>
      </w:r>
      <w:r w:rsidR="00BE58A0" w:rsidRPr="00BC5C81">
        <w:t>delegates</w:t>
      </w:r>
      <w:r w:rsidR="00BE58A0">
        <w:rPr>
          <w:rFonts w:asciiTheme="minorHAnsi" w:hAnsiTheme="minorHAnsi" w:cstheme="minorHAnsi"/>
        </w:rPr>
        <w:t xml:space="preserve"> </w:t>
      </w:r>
      <w:r w:rsidR="00024553">
        <w:rPr>
          <w:rFonts w:asciiTheme="minorHAnsi" w:hAnsiTheme="minorHAnsi" w:cstheme="minorHAnsi"/>
        </w:rPr>
        <w:t>on how to support a green conference</w:t>
      </w:r>
      <w:r w:rsidR="0095165A">
        <w:rPr>
          <w:rFonts w:asciiTheme="minorHAnsi" w:hAnsiTheme="minorHAnsi" w:cstheme="minorHAnsi"/>
        </w:rPr>
        <w:t>. Green e</w:t>
      </w:r>
      <w:r w:rsidR="00BD09A1">
        <w:rPr>
          <w:rFonts w:asciiTheme="minorHAnsi" w:hAnsiTheme="minorHAnsi" w:cstheme="minorHAnsi"/>
        </w:rPr>
        <w:t>lectoral</w:t>
      </w:r>
      <w:r w:rsidR="00480119">
        <w:rPr>
          <w:rFonts w:asciiTheme="minorHAnsi" w:hAnsiTheme="minorHAnsi" w:cstheme="minorHAnsi"/>
        </w:rPr>
        <w:t xml:space="preserve"> campaign</w:t>
      </w:r>
      <w:r w:rsidR="00BD09A1">
        <w:rPr>
          <w:rFonts w:asciiTheme="minorHAnsi" w:hAnsiTheme="minorHAnsi" w:cstheme="minorHAnsi"/>
        </w:rPr>
        <w:t>s</w:t>
      </w:r>
      <w:r w:rsidR="00480119">
        <w:rPr>
          <w:rFonts w:asciiTheme="minorHAnsi" w:hAnsiTheme="minorHAnsi" w:cstheme="minorHAnsi"/>
        </w:rPr>
        <w:t xml:space="preserve"> will be </w:t>
      </w:r>
      <w:r w:rsidR="00BD09A1">
        <w:rPr>
          <w:rFonts w:asciiTheme="minorHAnsi" w:hAnsiTheme="minorHAnsi" w:cstheme="minorHAnsi"/>
        </w:rPr>
        <w:t>promoted,</w:t>
      </w:r>
      <w:r w:rsidR="00480119">
        <w:rPr>
          <w:rFonts w:asciiTheme="minorHAnsi" w:hAnsiTheme="minorHAnsi" w:cstheme="minorHAnsi"/>
        </w:rPr>
        <w:t xml:space="preserve"> </w:t>
      </w:r>
      <w:r w:rsidR="00F940F5">
        <w:rPr>
          <w:rFonts w:asciiTheme="minorHAnsi" w:hAnsiTheme="minorHAnsi" w:cstheme="minorHAnsi"/>
        </w:rPr>
        <w:t xml:space="preserve">and </w:t>
      </w:r>
      <w:r w:rsidR="00324D4B">
        <w:rPr>
          <w:rFonts w:asciiTheme="minorHAnsi" w:hAnsiTheme="minorHAnsi" w:cstheme="minorHAnsi"/>
        </w:rPr>
        <w:t>practices such as refraining from printing campaign materials</w:t>
      </w:r>
      <w:r w:rsidR="00C060E4">
        <w:rPr>
          <w:rFonts w:asciiTheme="minorHAnsi" w:hAnsiTheme="minorHAnsi" w:cstheme="minorHAnsi"/>
        </w:rPr>
        <w:t>,</w:t>
      </w:r>
      <w:r w:rsidR="00324D4B">
        <w:rPr>
          <w:rFonts w:asciiTheme="minorHAnsi" w:hAnsiTheme="minorHAnsi" w:cstheme="minorHAnsi"/>
        </w:rPr>
        <w:t xml:space="preserve"> dist</w:t>
      </w:r>
      <w:r w:rsidR="0071314C">
        <w:rPr>
          <w:rFonts w:asciiTheme="minorHAnsi" w:hAnsiTheme="minorHAnsi" w:cstheme="minorHAnsi"/>
        </w:rPr>
        <w:t>ributing non-ecofriendly</w:t>
      </w:r>
      <w:r w:rsidR="00613561">
        <w:rPr>
          <w:rFonts w:asciiTheme="minorHAnsi" w:hAnsiTheme="minorHAnsi" w:cstheme="minorHAnsi"/>
        </w:rPr>
        <w:t xml:space="preserve"> </w:t>
      </w:r>
      <w:r w:rsidR="00A574A7">
        <w:rPr>
          <w:rFonts w:asciiTheme="minorHAnsi" w:hAnsiTheme="minorHAnsi" w:cstheme="minorHAnsi"/>
        </w:rPr>
        <w:t>gifts</w:t>
      </w:r>
      <w:r w:rsidR="00C060E4">
        <w:rPr>
          <w:rFonts w:asciiTheme="minorHAnsi" w:hAnsiTheme="minorHAnsi" w:cstheme="minorHAnsi"/>
        </w:rPr>
        <w:t>, and sending non-recyclable parcels to the conference premises</w:t>
      </w:r>
      <w:r w:rsidR="00040095">
        <w:rPr>
          <w:rFonts w:asciiTheme="minorHAnsi" w:hAnsiTheme="minorHAnsi" w:cstheme="minorHAnsi"/>
        </w:rPr>
        <w:t xml:space="preserve"> will be encouraged. </w:t>
      </w:r>
    </w:p>
    <w:p w14:paraId="7B217D8A" w14:textId="39DF399A" w:rsidR="008F31B2" w:rsidRDefault="4741C026" w:rsidP="00B33BDB">
      <w:pPr>
        <w:pStyle w:val="Heading1"/>
      </w:pPr>
      <w:r w:rsidRPr="0B9FFA41">
        <w:t>6</w:t>
      </w:r>
      <w:r w:rsidR="00CF1104">
        <w:tab/>
      </w:r>
      <w:r w:rsidR="00D1390A" w:rsidRPr="0B9FFA41">
        <w:t>Ministerial participation</w:t>
      </w:r>
    </w:p>
    <w:p w14:paraId="6319C82C" w14:textId="5830528F" w:rsidR="008F31B2" w:rsidRDefault="00A07EE2" w:rsidP="00BC5C81">
      <w:pPr>
        <w:jc w:val="both"/>
        <w:rPr>
          <w:rFonts w:asciiTheme="minorHAnsi" w:hAnsiTheme="minorHAnsi" w:cstheme="minorBidi"/>
        </w:rPr>
      </w:pPr>
      <w:r w:rsidRPr="7B53170A">
        <w:rPr>
          <w:rFonts w:asciiTheme="minorHAnsi" w:hAnsiTheme="minorHAnsi" w:cstheme="minorBidi"/>
        </w:rPr>
        <w:t xml:space="preserve">Further to the outcome of the consultation, it is proposed </w:t>
      </w:r>
      <w:r w:rsidR="7B730D47" w:rsidRPr="7B53170A">
        <w:rPr>
          <w:rFonts w:asciiTheme="minorHAnsi" w:hAnsiTheme="minorHAnsi" w:cstheme="minorBidi"/>
        </w:rPr>
        <w:t>to continue</w:t>
      </w:r>
      <w:r w:rsidRPr="7B53170A">
        <w:rPr>
          <w:rFonts w:asciiTheme="minorHAnsi" w:hAnsiTheme="minorHAnsi" w:cstheme="minorBidi"/>
        </w:rPr>
        <w:t xml:space="preserve"> to improve the roll-out of policy statements, including limiting speaking time to 3 minutes for Ministers and 2 minutes for other heads of delegations. The secretariat is also exploring </w:t>
      </w:r>
      <w:r w:rsidR="00AE6A83" w:rsidRPr="7B53170A">
        <w:rPr>
          <w:rFonts w:asciiTheme="minorHAnsi" w:hAnsiTheme="minorHAnsi" w:cstheme="minorBidi"/>
        </w:rPr>
        <w:t>other ways to enhance the participation of Ministers and other high-level delegates such as round-table discussions and dedicated sessions for Ministers</w:t>
      </w:r>
      <w:r w:rsidR="00DE7ED7" w:rsidRPr="7B53170A">
        <w:rPr>
          <w:rFonts w:asciiTheme="minorHAnsi" w:hAnsiTheme="minorHAnsi" w:cstheme="minorBidi"/>
        </w:rPr>
        <w:t xml:space="preserve"> in the first t</w:t>
      </w:r>
      <w:r w:rsidR="00423311" w:rsidRPr="7B53170A">
        <w:rPr>
          <w:rFonts w:asciiTheme="minorHAnsi" w:hAnsiTheme="minorHAnsi" w:cstheme="minorBidi"/>
        </w:rPr>
        <w:t>hree</w:t>
      </w:r>
      <w:r w:rsidR="00DE7ED7" w:rsidRPr="7B53170A">
        <w:rPr>
          <w:rFonts w:asciiTheme="minorHAnsi" w:hAnsiTheme="minorHAnsi" w:cstheme="minorBidi"/>
        </w:rPr>
        <w:t xml:space="preserve"> days of the </w:t>
      </w:r>
      <w:r w:rsidR="00423311" w:rsidRPr="7B53170A">
        <w:rPr>
          <w:rFonts w:asciiTheme="minorHAnsi" w:hAnsiTheme="minorHAnsi" w:cstheme="minorBidi"/>
        </w:rPr>
        <w:t>conference,</w:t>
      </w:r>
      <w:r w:rsidR="00AE6A83" w:rsidRPr="7B53170A">
        <w:rPr>
          <w:rFonts w:asciiTheme="minorHAnsi" w:hAnsiTheme="minorHAnsi" w:cstheme="minorBidi"/>
        </w:rPr>
        <w:t xml:space="preserve"> as well as improving the services provided to assist in the organization of bilateral meetings. </w:t>
      </w:r>
    </w:p>
    <w:p w14:paraId="1B03F7A5" w14:textId="43B1AC60" w:rsidR="00B76C94" w:rsidRPr="00DF226F" w:rsidRDefault="4C08D1A1" w:rsidP="00B33BDB">
      <w:pPr>
        <w:pStyle w:val="Heading1"/>
      </w:pPr>
      <w:r w:rsidRPr="0B9FFA41">
        <w:t>7</w:t>
      </w:r>
      <w:r w:rsidR="009F5E96">
        <w:tab/>
      </w:r>
      <w:r w:rsidR="00B76C94" w:rsidRPr="0B9FFA41">
        <w:t>E</w:t>
      </w:r>
      <w:r w:rsidR="006F51BE" w:rsidRPr="0B9FFA41">
        <w:t>lectoral process</w:t>
      </w:r>
      <w:r w:rsidR="00B76C94" w:rsidRPr="0B9FFA41">
        <w:t xml:space="preserve"> </w:t>
      </w:r>
      <w:r w:rsidR="006F51BE" w:rsidRPr="0B9FFA41">
        <w:t>and ethical guidelines</w:t>
      </w:r>
    </w:p>
    <w:p w14:paraId="01B87A22" w14:textId="09375AA5" w:rsidR="00083636" w:rsidRPr="00083636" w:rsidRDefault="00083636" w:rsidP="00B33BDB">
      <w:pPr>
        <w:pStyle w:val="Headingb"/>
      </w:pPr>
      <w:r w:rsidRPr="00083636">
        <w:t>Electoral process</w:t>
      </w:r>
    </w:p>
    <w:p w14:paraId="3AFAA079" w14:textId="7C4F2E75" w:rsidR="006F51BE" w:rsidRDefault="006F51BE" w:rsidP="00BC5C81">
      <w:pPr>
        <w:jc w:val="both"/>
        <w:rPr>
          <w:rFonts w:asciiTheme="minorHAnsi" w:hAnsiTheme="minorHAnsi" w:cstheme="minorHAnsi"/>
        </w:rPr>
      </w:pPr>
      <w:r>
        <w:rPr>
          <w:rFonts w:asciiTheme="minorHAnsi" w:hAnsiTheme="minorHAnsi" w:cstheme="minorHAnsi"/>
        </w:rPr>
        <w:t>PP-22</w:t>
      </w:r>
      <w:r w:rsidRPr="006F51BE">
        <w:rPr>
          <w:rFonts w:asciiTheme="minorHAnsi" w:hAnsiTheme="minorHAnsi" w:cstheme="minorHAnsi"/>
        </w:rPr>
        <w:t xml:space="preserve"> instruct</w:t>
      </w:r>
      <w:r>
        <w:rPr>
          <w:rFonts w:asciiTheme="minorHAnsi" w:hAnsiTheme="minorHAnsi" w:cstheme="minorHAnsi"/>
        </w:rPr>
        <w:t xml:space="preserve">ed </w:t>
      </w:r>
      <w:r w:rsidRPr="006F51BE">
        <w:rPr>
          <w:rFonts w:asciiTheme="minorHAnsi" w:hAnsiTheme="minorHAnsi" w:cstheme="minorHAnsi"/>
        </w:rPr>
        <w:t>the Council to examine the conduct of election campaigns</w:t>
      </w:r>
      <w:r>
        <w:rPr>
          <w:rFonts w:asciiTheme="minorHAnsi" w:hAnsiTheme="minorHAnsi" w:cstheme="minorHAnsi"/>
        </w:rPr>
        <w:t xml:space="preserve"> </w:t>
      </w:r>
      <w:r w:rsidRPr="006F51BE">
        <w:rPr>
          <w:rFonts w:asciiTheme="minorHAnsi" w:hAnsiTheme="minorHAnsi" w:cstheme="minorHAnsi"/>
        </w:rPr>
        <w:t>and procedures for electing the Secretary-General, Deputy Secretary-General, Directors of</w:t>
      </w:r>
      <w:r>
        <w:rPr>
          <w:rFonts w:asciiTheme="minorHAnsi" w:hAnsiTheme="minorHAnsi" w:cstheme="minorHAnsi"/>
        </w:rPr>
        <w:t xml:space="preserve"> </w:t>
      </w:r>
      <w:r w:rsidRPr="006F51BE">
        <w:rPr>
          <w:rFonts w:asciiTheme="minorHAnsi" w:hAnsiTheme="minorHAnsi" w:cstheme="minorHAnsi"/>
        </w:rPr>
        <w:t>the Bureaux</w:t>
      </w:r>
      <w:r w:rsidR="001F1FD9">
        <w:rPr>
          <w:rFonts w:asciiTheme="minorHAnsi" w:hAnsiTheme="minorHAnsi" w:cstheme="minorHAnsi"/>
        </w:rPr>
        <w:t>,</w:t>
      </w:r>
      <w:r w:rsidRPr="006F51BE">
        <w:rPr>
          <w:rFonts w:asciiTheme="minorHAnsi" w:hAnsiTheme="minorHAnsi" w:cstheme="minorHAnsi"/>
        </w:rPr>
        <w:t xml:space="preserve"> and members of the Radio Regulations Board by the end of the 2024 session of</w:t>
      </w:r>
      <w:r>
        <w:rPr>
          <w:rFonts w:asciiTheme="minorHAnsi" w:hAnsiTheme="minorHAnsi" w:cstheme="minorHAnsi"/>
        </w:rPr>
        <w:t xml:space="preserve"> </w:t>
      </w:r>
      <w:r w:rsidRPr="006F51BE">
        <w:rPr>
          <w:rFonts w:asciiTheme="minorHAnsi" w:hAnsiTheme="minorHAnsi" w:cstheme="minorHAnsi"/>
        </w:rPr>
        <w:t>the Council.</w:t>
      </w:r>
      <w:r>
        <w:rPr>
          <w:rFonts w:asciiTheme="minorHAnsi" w:hAnsiTheme="minorHAnsi" w:cstheme="minorHAnsi"/>
        </w:rPr>
        <w:t xml:space="preserve"> At the request of C23, the secretariat conducted a consultation with Member States on this issue and other improvements; the results were reported to C24 and no further decision was </w:t>
      </w:r>
      <w:r w:rsidR="00083636">
        <w:rPr>
          <w:rFonts w:asciiTheme="minorHAnsi" w:hAnsiTheme="minorHAnsi" w:cstheme="minorHAnsi"/>
        </w:rPr>
        <w:t>taken</w:t>
      </w:r>
      <w:r>
        <w:rPr>
          <w:rFonts w:asciiTheme="minorHAnsi" w:hAnsiTheme="minorHAnsi" w:cstheme="minorHAnsi"/>
        </w:rPr>
        <w:t xml:space="preserve"> on this issue.</w:t>
      </w:r>
    </w:p>
    <w:p w14:paraId="0FB73039" w14:textId="77777777" w:rsidR="006F51BE" w:rsidRPr="006F51BE" w:rsidRDefault="006F51BE" w:rsidP="00B33BDB">
      <w:pPr>
        <w:pStyle w:val="Headingb"/>
      </w:pPr>
      <w:r w:rsidRPr="006F51BE">
        <w:t>Ethical guidelines</w:t>
      </w:r>
    </w:p>
    <w:p w14:paraId="33C127B4" w14:textId="6839126F" w:rsidR="0017151C" w:rsidRDefault="00B76C94" w:rsidP="00BC5C81">
      <w:pPr>
        <w:jc w:val="both"/>
        <w:rPr>
          <w:rFonts w:asciiTheme="minorHAnsi" w:hAnsiTheme="minorHAnsi" w:cstheme="minorHAnsi"/>
        </w:rPr>
      </w:pPr>
      <w:r>
        <w:rPr>
          <w:rFonts w:asciiTheme="minorHAnsi" w:hAnsiTheme="minorHAnsi" w:cstheme="minorHAnsi"/>
        </w:rPr>
        <w:t xml:space="preserve">As the PP approaches, </w:t>
      </w:r>
      <w:r w:rsidR="00AD3438">
        <w:rPr>
          <w:rFonts w:asciiTheme="minorHAnsi" w:hAnsiTheme="minorHAnsi" w:cstheme="minorHAnsi"/>
        </w:rPr>
        <w:t>it is important to maintain a campaigning atmosphere which is fair and ethical. Therefore, considering the support that Member States expressed during the aforementioned consultation on improvements in 2024, it is proposed that the Council re-endorse the guidelines on “Ethical aspects of certain campaign activities” found in</w:t>
      </w:r>
      <w:r w:rsidR="00862CED">
        <w:rPr>
          <w:rFonts w:asciiTheme="minorHAnsi" w:hAnsiTheme="minorHAnsi" w:cstheme="minorHAnsi"/>
        </w:rPr>
        <w:t xml:space="preserve"> </w:t>
      </w:r>
      <w:r w:rsidR="00862CED" w:rsidRPr="008F31B2">
        <w:rPr>
          <w:rFonts w:asciiTheme="minorHAnsi" w:hAnsiTheme="minorHAnsi" w:cstheme="minorHAnsi"/>
        </w:rPr>
        <w:t>the</w:t>
      </w:r>
      <w:r w:rsidR="00AD3438" w:rsidRPr="008F31B2">
        <w:rPr>
          <w:rFonts w:asciiTheme="minorHAnsi" w:hAnsiTheme="minorHAnsi" w:cstheme="minorHAnsi"/>
        </w:rPr>
        <w:t xml:space="preserve"> Annex,</w:t>
      </w:r>
      <w:r w:rsidR="00AD3438">
        <w:rPr>
          <w:rFonts w:asciiTheme="minorHAnsi" w:hAnsiTheme="minorHAnsi" w:cstheme="minorHAnsi"/>
        </w:rPr>
        <w:t xml:space="preserve"> as was done in 2017 and 2021. </w:t>
      </w:r>
    </w:p>
    <w:p w14:paraId="5DFF6A09" w14:textId="122EBA24" w:rsidR="005362DA" w:rsidRPr="005362DA" w:rsidRDefault="753412BC" w:rsidP="00B33BDB">
      <w:pPr>
        <w:pStyle w:val="Heading1"/>
      </w:pPr>
      <w:r w:rsidRPr="0B9FFA41">
        <w:lastRenderedPageBreak/>
        <w:t>8</w:t>
      </w:r>
      <w:r w:rsidR="005362DA">
        <w:tab/>
      </w:r>
      <w:r w:rsidR="005362DA" w:rsidRPr="0B9FFA41">
        <w:t>Next steps</w:t>
      </w:r>
    </w:p>
    <w:p w14:paraId="430BC98B" w14:textId="1B1504E6" w:rsidR="00AC45DF" w:rsidRPr="00AC45DF" w:rsidRDefault="00AC45DF" w:rsidP="00B33BDB">
      <w:pPr>
        <w:pStyle w:val="Headingb"/>
      </w:pPr>
      <w:r w:rsidRPr="00AC45DF">
        <w:t>Internal organization</w:t>
      </w:r>
    </w:p>
    <w:p w14:paraId="6AE84E24" w14:textId="2E27AC5A" w:rsidR="005362DA" w:rsidRDefault="005362DA" w:rsidP="00BC5C81">
      <w:pPr>
        <w:jc w:val="both"/>
        <w:rPr>
          <w:rFonts w:asciiTheme="minorHAnsi" w:hAnsiTheme="minorHAnsi" w:cstheme="minorHAnsi"/>
        </w:rPr>
      </w:pPr>
      <w:r w:rsidRPr="005362DA">
        <w:rPr>
          <w:rFonts w:asciiTheme="minorHAnsi" w:hAnsiTheme="minorHAnsi" w:cstheme="minorHAnsi"/>
        </w:rPr>
        <w:t xml:space="preserve">Internally, the </w:t>
      </w:r>
      <w:r w:rsidRPr="00BC5C81">
        <w:t>Coordination</w:t>
      </w:r>
      <w:r w:rsidRPr="005362DA">
        <w:rPr>
          <w:rFonts w:asciiTheme="minorHAnsi" w:hAnsiTheme="minorHAnsi" w:cstheme="minorHAnsi"/>
        </w:rPr>
        <w:t xml:space="preserve"> Committee will establish the </w:t>
      </w:r>
      <w:r>
        <w:rPr>
          <w:rFonts w:asciiTheme="minorHAnsi" w:hAnsiTheme="minorHAnsi" w:cstheme="minorHAnsi"/>
        </w:rPr>
        <w:t>Doha</w:t>
      </w:r>
      <w:r w:rsidRPr="005362DA">
        <w:rPr>
          <w:rFonts w:asciiTheme="minorHAnsi" w:hAnsiTheme="minorHAnsi" w:cstheme="minorHAnsi"/>
        </w:rPr>
        <w:t xml:space="preserve"> Preparatory Group (</w:t>
      </w:r>
      <w:r>
        <w:rPr>
          <w:rFonts w:asciiTheme="minorHAnsi" w:hAnsiTheme="minorHAnsi" w:cstheme="minorHAnsi"/>
        </w:rPr>
        <w:t>D</w:t>
      </w:r>
      <w:r w:rsidRPr="005362DA">
        <w:rPr>
          <w:rFonts w:asciiTheme="minorHAnsi" w:hAnsiTheme="minorHAnsi" w:cstheme="minorHAnsi"/>
        </w:rPr>
        <w:t>PG) with representatives from all Bureaux and the General Secretariat.</w:t>
      </w:r>
    </w:p>
    <w:p w14:paraId="48C6FC18" w14:textId="1249F063" w:rsidR="00AC45DF" w:rsidRPr="00AC45DF" w:rsidRDefault="00AC45DF" w:rsidP="00B33BDB">
      <w:pPr>
        <w:pStyle w:val="Headingb"/>
      </w:pPr>
      <w:r>
        <w:t>Invitation</w:t>
      </w:r>
      <w:r w:rsidR="006F51BE">
        <w:t xml:space="preserve">s and call for proposals and </w:t>
      </w:r>
      <w:r>
        <w:t>candidatures</w:t>
      </w:r>
    </w:p>
    <w:p w14:paraId="6376A1D4" w14:textId="4C53B050" w:rsidR="00D94A26" w:rsidRDefault="00AC45DF" w:rsidP="00BC5C81">
      <w:pPr>
        <w:jc w:val="both"/>
        <w:rPr>
          <w:rFonts w:asciiTheme="minorHAnsi" w:hAnsiTheme="minorHAnsi" w:cstheme="minorHAnsi"/>
        </w:rPr>
      </w:pPr>
      <w:r>
        <w:rPr>
          <w:rFonts w:asciiTheme="minorHAnsi" w:hAnsiTheme="minorHAnsi" w:cstheme="minorHAnsi"/>
        </w:rPr>
        <w:t xml:space="preserve">As per </w:t>
      </w:r>
      <w:r w:rsidR="00046DA0">
        <w:rPr>
          <w:rFonts w:asciiTheme="minorHAnsi" w:hAnsiTheme="minorHAnsi" w:cstheme="minorHAnsi"/>
        </w:rPr>
        <w:t>GR</w:t>
      </w:r>
      <w:r>
        <w:rPr>
          <w:rFonts w:asciiTheme="minorHAnsi" w:hAnsiTheme="minorHAnsi" w:cstheme="minorHAnsi"/>
        </w:rPr>
        <w:t xml:space="preserve"> 5 and 6, the Secretary-General will send an invitation on behalf of the Government of Qatar one year </w:t>
      </w:r>
      <w:r w:rsidRPr="00BC5C81">
        <w:t>before</w:t>
      </w:r>
      <w:r>
        <w:rPr>
          <w:rFonts w:asciiTheme="minorHAnsi" w:hAnsiTheme="minorHAnsi" w:cstheme="minorHAnsi"/>
        </w:rPr>
        <w:t xml:space="preserve"> the date of opening of the conference. </w:t>
      </w:r>
    </w:p>
    <w:p w14:paraId="7BB8D24C" w14:textId="4BDFCADF" w:rsidR="00862CED" w:rsidRDefault="00AC45DF" w:rsidP="00BC5C81">
      <w:pPr>
        <w:jc w:val="both"/>
        <w:rPr>
          <w:rFonts w:asciiTheme="minorHAnsi" w:hAnsiTheme="minorHAnsi" w:cstheme="minorHAnsi"/>
        </w:rPr>
      </w:pPr>
      <w:r>
        <w:rPr>
          <w:rFonts w:asciiTheme="minorHAnsi" w:hAnsiTheme="minorHAnsi" w:cstheme="minorHAnsi"/>
        </w:rPr>
        <w:t xml:space="preserve">Additionally, as per GR 40 and 168, immediately after the invitations have been sent, the Secretary-General </w:t>
      </w:r>
      <w:r w:rsidRPr="00BC5C81">
        <w:t>will</w:t>
      </w:r>
      <w:r>
        <w:rPr>
          <w:rFonts w:asciiTheme="minorHAnsi" w:hAnsiTheme="minorHAnsi" w:cstheme="minorHAnsi"/>
        </w:rPr>
        <w:t xml:space="preserve"> issue another letter inviting submission of contributions to the work of the conference as well as candidatures. Candidatures shall be published as conference documents as soon as they have been received by the Secretary-General (GR171).</w:t>
      </w:r>
      <w:r w:rsidR="00D94A26">
        <w:rPr>
          <w:rFonts w:asciiTheme="minorHAnsi" w:hAnsiTheme="minorHAnsi" w:cstheme="minorHAnsi"/>
        </w:rPr>
        <w:t xml:space="preserve"> </w:t>
      </w:r>
    </w:p>
    <w:p w14:paraId="11AFEB73" w14:textId="7147D91E" w:rsidR="00AC45DF" w:rsidRDefault="00AC45D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n-US"/>
        </w:rPr>
      </w:pPr>
      <w:r>
        <w:rPr>
          <w:rFonts w:asciiTheme="minorHAnsi" w:hAnsiTheme="minorHAnsi" w:cstheme="minorHAnsi"/>
        </w:rPr>
        <w:br w:type="page"/>
      </w:r>
    </w:p>
    <w:p w14:paraId="4344B901" w14:textId="19D256A1" w:rsidR="00862CED" w:rsidRPr="00D75405" w:rsidRDefault="00862CED" w:rsidP="00AA5340">
      <w:pPr>
        <w:pStyle w:val="AnnexNo"/>
      </w:pPr>
      <w:r w:rsidRPr="00AA5340">
        <w:lastRenderedPageBreak/>
        <w:t>Annex</w:t>
      </w:r>
    </w:p>
    <w:p w14:paraId="4405E539" w14:textId="7FC00FF7" w:rsidR="00862CED" w:rsidRPr="003113D3" w:rsidRDefault="00862CED" w:rsidP="00AA5340">
      <w:pPr>
        <w:pStyle w:val="Annextitle"/>
        <w:rPr>
          <w:lang w:val="en-US"/>
        </w:rPr>
      </w:pPr>
      <w:r w:rsidRPr="003113D3">
        <w:t>Guidelines on “Ethical aspects of certain campaign activities</w:t>
      </w:r>
      <w:r w:rsidRPr="00C3021D">
        <w:t>”</w:t>
      </w:r>
      <w:r w:rsidRPr="00C3021D">
        <w:rPr>
          <w:rStyle w:val="FootnoteReference"/>
          <w:spacing w:val="-2"/>
          <w:sz w:val="20"/>
        </w:rPr>
        <w:footnoteReference w:id="2"/>
      </w:r>
      <w:r w:rsidRPr="003113D3">
        <w:t xml:space="preserve"> </w:t>
      </w:r>
      <w:r w:rsidRPr="003113D3">
        <w:br/>
        <w:t>prior to the Plenipotentiary Conference</w:t>
      </w:r>
    </w:p>
    <w:p w14:paraId="31378D28" w14:textId="152E2D6B" w:rsidR="00862CED" w:rsidRDefault="00862CED" w:rsidP="00AA5340">
      <w:pPr>
        <w:pStyle w:val="Normalaftertitle"/>
        <w:jc w:val="both"/>
        <w:rPr>
          <w:rFonts w:eastAsiaTheme="minorEastAsia"/>
        </w:rPr>
      </w:pPr>
      <w:r w:rsidRPr="00D12237">
        <w:rPr>
          <w:rFonts w:eastAsiaTheme="minorEastAsia"/>
        </w:rPr>
        <w:t>The guidance provided in the document is based on the current framework and practice.</w:t>
      </w:r>
      <w:r w:rsidRPr="00582382">
        <w:rPr>
          <w:rStyle w:val="FootnoteReference"/>
          <w:rFonts w:cstheme="majorBidi"/>
          <w:szCs w:val="24"/>
        </w:rPr>
        <w:footnoteReference w:id="3"/>
      </w:r>
      <w:r w:rsidRPr="00D12237">
        <w:rPr>
          <w:rFonts w:eastAsiaTheme="minorEastAsia"/>
        </w:rPr>
        <w:t xml:space="preserve"> It is relevant primarily to candidates with a current role in the Union</w:t>
      </w:r>
      <w:r w:rsidR="00347CEE">
        <w:rPr>
          <w:rFonts w:eastAsiaTheme="minorEastAsia"/>
        </w:rPr>
        <w:t xml:space="preserve"> </w:t>
      </w:r>
      <w:r w:rsidRPr="00D12237">
        <w:rPr>
          <w:rFonts w:eastAsiaTheme="minorEastAsia"/>
        </w:rPr>
        <w:t xml:space="preserve">—this includes appointed staff members as well as Elected Officials. </w:t>
      </w:r>
    </w:p>
    <w:p w14:paraId="3B2EFC04" w14:textId="311172FE" w:rsidR="00862CED" w:rsidRPr="0084728A" w:rsidRDefault="00862CED" w:rsidP="00AA5340">
      <w:pPr>
        <w:jc w:val="both"/>
        <w:rPr>
          <w:rFonts w:eastAsiaTheme="minorEastAsia"/>
          <w:u w:val="single"/>
        </w:rPr>
      </w:pPr>
      <w:r w:rsidRPr="0084728A">
        <w:rPr>
          <w:rFonts w:eastAsiaTheme="minorEastAsia"/>
        </w:rPr>
        <w:t>In addition to basic principles such as fairness, equity, transparency, good faith, dignity and mutual respect, individuals who must balance an existing role in the Union with a candidature should be particularly mindful of general principles in the following three key areas, described further below: (A) Use of Union resources; (B) Campaign activities around Union events; and (C) Engagement with Member State representatives.</w:t>
      </w:r>
    </w:p>
    <w:p w14:paraId="1487000B" w14:textId="3F4963CB" w:rsidR="00862CED" w:rsidRPr="0084728A" w:rsidRDefault="00B33BDB" w:rsidP="00AA5340">
      <w:pPr>
        <w:pStyle w:val="Heading1"/>
        <w:rPr>
          <w:rFonts w:eastAsiaTheme="minorEastAsia"/>
        </w:rPr>
      </w:pPr>
      <w:r w:rsidRPr="0084728A">
        <w:rPr>
          <w:rFonts w:eastAsiaTheme="minorEastAsia"/>
        </w:rPr>
        <w:t>A)</w:t>
      </w:r>
      <w:r w:rsidRPr="0084728A">
        <w:rPr>
          <w:rFonts w:eastAsiaTheme="minorEastAsia"/>
        </w:rPr>
        <w:tab/>
      </w:r>
      <w:r w:rsidR="00862CED" w:rsidRPr="0084728A">
        <w:rPr>
          <w:rFonts w:eastAsiaTheme="minorEastAsia"/>
        </w:rPr>
        <w:t xml:space="preserve">Use of Union </w:t>
      </w:r>
      <w:r w:rsidR="00347CEE" w:rsidRPr="0084728A">
        <w:rPr>
          <w:rFonts w:eastAsiaTheme="minorEastAsia"/>
        </w:rPr>
        <w:t>resources</w:t>
      </w:r>
    </w:p>
    <w:p w14:paraId="1A1970A1" w14:textId="1AEDFA4A" w:rsidR="00862CED" w:rsidRPr="0084728A" w:rsidRDefault="00862CED" w:rsidP="00AA5340">
      <w:pPr>
        <w:pStyle w:val="Headingb"/>
        <w:rPr>
          <w:rFonts w:eastAsiaTheme="minorEastAsia"/>
        </w:rPr>
      </w:pPr>
      <w:r>
        <w:rPr>
          <w:rFonts w:eastAsiaTheme="minorEastAsia"/>
        </w:rPr>
        <w:t xml:space="preserve">General </w:t>
      </w:r>
      <w:r w:rsidR="00347CEE">
        <w:rPr>
          <w:rFonts w:eastAsiaTheme="minorEastAsia"/>
        </w:rPr>
        <w:t>principle</w:t>
      </w:r>
    </w:p>
    <w:p w14:paraId="5D0280AA" w14:textId="71137D4B" w:rsidR="00862CED" w:rsidRPr="00AA5340" w:rsidRDefault="00AA5340" w:rsidP="00AA5340">
      <w:pPr>
        <w:pStyle w:val="enumlev1"/>
        <w:jc w:val="both"/>
        <w:rPr>
          <w:rFonts w:eastAsiaTheme="minorEastAsia"/>
          <w:b/>
          <w:bCs/>
          <w:u w:val="single"/>
        </w:rPr>
      </w:pPr>
      <w:r>
        <w:rPr>
          <w:rFonts w:eastAsiaTheme="minorEastAsia"/>
          <w:b/>
          <w:bCs/>
        </w:rPr>
        <w:t>–</w:t>
      </w:r>
      <w:r>
        <w:rPr>
          <w:rFonts w:eastAsiaTheme="minorEastAsia"/>
          <w:b/>
          <w:bCs/>
        </w:rPr>
        <w:tab/>
      </w:r>
      <w:r w:rsidR="00862CED" w:rsidRPr="00AA5340">
        <w:rPr>
          <w:rFonts w:eastAsiaTheme="minorEastAsia"/>
          <w:b/>
          <w:bCs/>
        </w:rPr>
        <w:t>The resources of the Union may only be used for the purpose of delivering the organization</w:t>
      </w:r>
      <w:r w:rsidR="00E31781" w:rsidRPr="00AA5340">
        <w:rPr>
          <w:rFonts w:eastAsiaTheme="minorEastAsia"/>
          <w:b/>
          <w:bCs/>
        </w:rPr>
        <w:t>’</w:t>
      </w:r>
      <w:r w:rsidR="00862CED" w:rsidRPr="00AA5340">
        <w:rPr>
          <w:rFonts w:eastAsiaTheme="minorEastAsia"/>
          <w:b/>
          <w:bCs/>
        </w:rPr>
        <w:t>s mandate and advancing its best interests.</w:t>
      </w:r>
    </w:p>
    <w:p w14:paraId="440EF218" w14:textId="04DE3E25" w:rsidR="00862CED" w:rsidRPr="0084728A" w:rsidRDefault="00862CED" w:rsidP="00AA5340">
      <w:pPr>
        <w:jc w:val="both"/>
        <w:rPr>
          <w:rFonts w:eastAsiaTheme="minorEastAsia"/>
        </w:rPr>
      </w:pPr>
      <w:r w:rsidRPr="0084728A">
        <w:rPr>
          <w:rFonts w:eastAsiaTheme="minorEastAsia"/>
          <w:u w:val="single"/>
        </w:rPr>
        <w:t>Application</w:t>
      </w:r>
      <w:r w:rsidRPr="0084728A">
        <w:rPr>
          <w:rFonts w:eastAsiaTheme="minorEastAsia"/>
        </w:rPr>
        <w:t>: Candidates should be mindful not to use any Union resources or their current position</w:t>
      </w:r>
      <w:r w:rsidR="00347CEE">
        <w:rPr>
          <w:rFonts w:eastAsiaTheme="minorEastAsia"/>
        </w:rPr>
        <w:t xml:space="preserve"> </w:t>
      </w:r>
      <w:r w:rsidRPr="0084728A">
        <w:rPr>
          <w:rFonts w:eastAsiaTheme="minorEastAsia"/>
        </w:rPr>
        <w:t>—including personnel support, official travel and expense reimbursement, or any office resources—</w:t>
      </w:r>
      <w:r w:rsidR="00347CEE">
        <w:rPr>
          <w:rFonts w:eastAsiaTheme="minorEastAsia"/>
        </w:rPr>
        <w:t xml:space="preserve"> </w:t>
      </w:r>
      <w:r w:rsidRPr="0084728A">
        <w:rPr>
          <w:rFonts w:eastAsiaTheme="minorEastAsia"/>
        </w:rPr>
        <w:t>for the purpose o</w:t>
      </w:r>
      <w:r>
        <w:rPr>
          <w:rFonts w:eastAsiaTheme="minorEastAsia"/>
        </w:rPr>
        <w:t xml:space="preserve">f advancing their candidature. </w:t>
      </w:r>
      <w:r w:rsidRPr="0084728A">
        <w:rPr>
          <w:rFonts w:eastAsiaTheme="minorEastAsia"/>
        </w:rPr>
        <w:t>Doing so may provide those with access to such resources an undue advantage and allow them to improperly draw a personal benefit from resources that are intended for official use only.</w:t>
      </w:r>
      <w:r>
        <w:rPr>
          <w:rFonts w:eastAsiaTheme="minorEastAsia"/>
        </w:rPr>
        <w:t xml:space="preserve"> </w:t>
      </w:r>
    </w:p>
    <w:p w14:paraId="0C6A519F" w14:textId="77777777" w:rsidR="00862CED" w:rsidRPr="0084728A" w:rsidRDefault="00862CED" w:rsidP="00AA5340">
      <w:pPr>
        <w:pStyle w:val="Headingi"/>
        <w:rPr>
          <w:rFonts w:eastAsiaTheme="minorEastAsia"/>
        </w:rPr>
      </w:pPr>
      <w:r w:rsidRPr="0084728A">
        <w:rPr>
          <w:rFonts w:eastAsiaTheme="minorEastAsia"/>
        </w:rPr>
        <w:t xml:space="preserve">For example: </w:t>
      </w:r>
    </w:p>
    <w:p w14:paraId="65C9FE80" w14:textId="0216EC73" w:rsidR="00862CED" w:rsidRPr="0084728A" w:rsidRDefault="00347CEE" w:rsidP="00AA5340">
      <w:pPr>
        <w:pStyle w:val="enumlev1"/>
        <w:jc w:val="both"/>
        <w:rPr>
          <w:rFonts w:eastAsiaTheme="minorEastAsia"/>
        </w:rPr>
      </w:pPr>
      <w:r>
        <w:rPr>
          <w:rFonts w:asciiTheme="minorHAnsi" w:eastAsiaTheme="minorEastAsia" w:hAnsiTheme="minorHAnsi" w:cstheme="majorBidi"/>
        </w:rPr>
        <w:t>–</w:t>
      </w:r>
      <w:r>
        <w:rPr>
          <w:rFonts w:asciiTheme="minorHAnsi" w:eastAsiaTheme="minorEastAsia" w:hAnsiTheme="minorHAnsi" w:cstheme="majorBidi"/>
        </w:rPr>
        <w:tab/>
      </w:r>
      <w:r w:rsidR="00862CED" w:rsidRPr="7B53170A">
        <w:rPr>
          <w:rFonts w:eastAsiaTheme="minorEastAsia"/>
        </w:rPr>
        <w:t xml:space="preserve">Official travel for a mission or event should </w:t>
      </w:r>
      <w:r w:rsidR="00862CED" w:rsidRPr="7B53170A">
        <w:rPr>
          <w:rFonts w:eastAsiaTheme="minorEastAsia"/>
          <w:u w:val="single"/>
        </w:rPr>
        <w:t>not</w:t>
      </w:r>
      <w:r w:rsidR="00862CED" w:rsidRPr="7B53170A">
        <w:rPr>
          <w:rFonts w:eastAsiaTheme="minorEastAsia"/>
        </w:rPr>
        <w:t xml:space="preserve"> be undertaken or authorized if the </w:t>
      </w:r>
      <w:r w:rsidR="7563340B" w:rsidRPr="7B53170A">
        <w:rPr>
          <w:rFonts w:eastAsiaTheme="minorEastAsia"/>
        </w:rPr>
        <w:t>traveller</w:t>
      </w:r>
      <w:r w:rsidR="00862CED" w:rsidRPr="7B53170A">
        <w:rPr>
          <w:rFonts w:eastAsiaTheme="minorEastAsia"/>
        </w:rPr>
        <w:t xml:space="preserve"> would </w:t>
      </w:r>
      <w:r w:rsidR="00862CED" w:rsidRPr="7B53170A">
        <w:rPr>
          <w:rFonts w:eastAsiaTheme="minorEastAsia"/>
          <w:u w:val="single"/>
        </w:rPr>
        <w:t>not</w:t>
      </w:r>
      <w:r w:rsidR="00862CED" w:rsidRPr="7B53170A">
        <w:rPr>
          <w:rFonts w:eastAsiaTheme="minorEastAsia"/>
        </w:rPr>
        <w:t xml:space="preserve"> typically attend such event in the normal course of their official duties for ITU. Conversely, if a staff member in active service would typically attend an event in the course of their official duties, their candidature should not preclude attendance. For further guidance on conduct while at an official event or during a mission, see below.</w:t>
      </w:r>
    </w:p>
    <w:p w14:paraId="1135681E" w14:textId="1976579C" w:rsidR="00862CED" w:rsidRPr="0084728A" w:rsidRDefault="00840405" w:rsidP="00AA5340">
      <w:pPr>
        <w:pStyle w:val="enumlev1"/>
        <w:jc w:val="both"/>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sidR="00862CED" w:rsidRPr="0B9FFA41">
        <w:rPr>
          <w:rFonts w:asciiTheme="minorHAnsi" w:eastAsiaTheme="minorEastAsia" w:hAnsiTheme="minorHAnsi" w:cstheme="majorBidi"/>
        </w:rPr>
        <w:t xml:space="preserve">There should be no use of any Union symbols (i.e., the ITU flag and/or emblem or the logos for specific </w:t>
      </w:r>
      <w:r w:rsidR="00862CED" w:rsidRPr="00AA5340">
        <w:rPr>
          <w:rFonts w:eastAsiaTheme="minorEastAsia"/>
        </w:rPr>
        <w:t>conferences</w:t>
      </w:r>
      <w:r w:rsidR="00862CED" w:rsidRPr="0B9FFA41">
        <w:rPr>
          <w:rFonts w:asciiTheme="minorHAnsi" w:eastAsiaTheme="minorEastAsia" w:hAnsiTheme="minorHAnsi" w:cstheme="majorBidi"/>
        </w:rPr>
        <w:t xml:space="preserve"> arranged by ITU) in any materials to promote a candidacy. This may improperly create the appearance of an official endorsement of a candidate. The Ethics Office (ETO) is available to review draft materials and advise on any specific cases.</w:t>
      </w:r>
    </w:p>
    <w:p w14:paraId="48E804CA" w14:textId="5D02C391" w:rsidR="00862CED" w:rsidRPr="0084728A" w:rsidRDefault="00840405" w:rsidP="00AA5340">
      <w:pPr>
        <w:pStyle w:val="enumlev1"/>
        <w:jc w:val="both"/>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sidR="00862CED" w:rsidRPr="7B53170A">
        <w:rPr>
          <w:rFonts w:asciiTheme="minorHAnsi" w:eastAsiaTheme="minorEastAsia" w:hAnsiTheme="minorHAnsi" w:cstheme="majorBidi"/>
        </w:rPr>
        <w:t>ITU Computers, printers, communications channels</w:t>
      </w:r>
      <w:r w:rsidR="00347CEE">
        <w:rPr>
          <w:rFonts w:asciiTheme="minorHAnsi" w:eastAsiaTheme="minorEastAsia" w:hAnsiTheme="minorHAnsi" w:cstheme="majorBidi"/>
        </w:rPr>
        <w:t xml:space="preserve"> </w:t>
      </w:r>
      <w:r w:rsidR="00862CED" w:rsidRPr="7B53170A">
        <w:rPr>
          <w:rFonts w:asciiTheme="minorHAnsi" w:eastAsiaTheme="minorEastAsia" w:hAnsiTheme="minorHAnsi" w:cstheme="majorBidi"/>
        </w:rPr>
        <w:t>—including, ITU social media accounts—</w:t>
      </w:r>
      <w:r w:rsidR="00347CEE">
        <w:rPr>
          <w:rFonts w:asciiTheme="minorHAnsi" w:eastAsiaTheme="minorEastAsia" w:hAnsiTheme="minorHAnsi" w:cstheme="majorBidi"/>
        </w:rPr>
        <w:t xml:space="preserve"> </w:t>
      </w:r>
      <w:r w:rsidR="00862CED" w:rsidRPr="7B53170A">
        <w:rPr>
          <w:rFonts w:asciiTheme="minorHAnsi" w:eastAsiaTheme="minorEastAsia" w:hAnsiTheme="minorHAnsi" w:cstheme="majorBidi"/>
        </w:rPr>
        <w:t xml:space="preserve">and ITU </w:t>
      </w:r>
      <w:r w:rsidR="00862CED" w:rsidRPr="00AA5340">
        <w:rPr>
          <w:rFonts w:eastAsiaTheme="minorEastAsia"/>
        </w:rPr>
        <w:t>letterhead</w:t>
      </w:r>
      <w:r w:rsidR="00862CED" w:rsidRPr="7B53170A">
        <w:rPr>
          <w:rFonts w:asciiTheme="minorHAnsi" w:eastAsiaTheme="minorEastAsia" w:hAnsiTheme="minorHAnsi" w:cstheme="majorBidi"/>
        </w:rPr>
        <w:t xml:space="preserve"> should not be used for any campaign activities. A private email account (not on the ITU corporate system) should be used for correspondence </w:t>
      </w:r>
      <w:r w:rsidR="00862CED" w:rsidRPr="7B53170A">
        <w:rPr>
          <w:rFonts w:asciiTheme="minorHAnsi" w:eastAsiaTheme="minorEastAsia" w:hAnsiTheme="minorHAnsi" w:cstheme="majorBidi"/>
        </w:rPr>
        <w:lastRenderedPageBreak/>
        <w:t xml:space="preserve">relating to campaign activities. To the extent an individual is contacted on their ITU corporate account regarding their candidature, the correspondence should be forwarded to the private </w:t>
      </w:r>
      <w:r w:rsidR="207F5F25" w:rsidRPr="7B53170A">
        <w:rPr>
          <w:rFonts w:asciiTheme="minorHAnsi" w:eastAsiaTheme="minorEastAsia" w:hAnsiTheme="minorHAnsi" w:cstheme="majorBidi"/>
        </w:rPr>
        <w:t>account,</w:t>
      </w:r>
      <w:r w:rsidR="00862CED" w:rsidRPr="7B53170A">
        <w:rPr>
          <w:rFonts w:asciiTheme="minorHAnsi" w:eastAsiaTheme="minorEastAsia" w:hAnsiTheme="minorHAnsi" w:cstheme="majorBidi"/>
        </w:rPr>
        <w:t xml:space="preserve"> and further correspondence should occur through that channel.</w:t>
      </w:r>
    </w:p>
    <w:p w14:paraId="080C9493" w14:textId="6C06C803" w:rsidR="00862CED" w:rsidRPr="0084728A" w:rsidRDefault="00840405" w:rsidP="00AA5340">
      <w:pPr>
        <w:pStyle w:val="enumlev1"/>
        <w:jc w:val="both"/>
        <w:rPr>
          <w:rFonts w:asciiTheme="minorHAnsi" w:eastAsiaTheme="minorEastAsia" w:hAnsiTheme="minorHAnsi" w:cstheme="majorBidi"/>
          <w:u w:val="single"/>
        </w:rPr>
      </w:pPr>
      <w:r>
        <w:rPr>
          <w:rFonts w:asciiTheme="minorHAnsi" w:eastAsiaTheme="minorEastAsia" w:hAnsiTheme="minorHAnsi" w:cstheme="majorBidi"/>
        </w:rPr>
        <w:t>–</w:t>
      </w:r>
      <w:r>
        <w:rPr>
          <w:rFonts w:asciiTheme="minorHAnsi" w:eastAsiaTheme="minorEastAsia" w:hAnsiTheme="minorHAnsi" w:cstheme="majorBidi"/>
        </w:rPr>
        <w:tab/>
      </w:r>
      <w:r w:rsidR="00862CED" w:rsidRPr="0B9FFA41">
        <w:rPr>
          <w:rFonts w:asciiTheme="minorHAnsi" w:eastAsiaTheme="minorEastAsia" w:hAnsiTheme="minorHAnsi" w:cstheme="majorBidi"/>
        </w:rPr>
        <w:t>Candidates should not seek the support of ITU staff responsible for communications activities of the Union (or any other ITU staff) to prepare any promotional materials for their candidature. This includes requests for advice, pictures, assistance or feedback with any promotional materials.</w:t>
      </w:r>
    </w:p>
    <w:p w14:paraId="65AC810D" w14:textId="2F8D4490" w:rsidR="00862CED" w:rsidRPr="0084728A" w:rsidRDefault="00B33BDB" w:rsidP="00AA5340">
      <w:pPr>
        <w:pStyle w:val="Heading1"/>
        <w:rPr>
          <w:rFonts w:eastAsiaTheme="minorEastAsia"/>
        </w:rPr>
      </w:pPr>
      <w:r w:rsidRPr="0084728A">
        <w:rPr>
          <w:rFonts w:eastAsiaTheme="minorEastAsia"/>
        </w:rPr>
        <w:t>B)</w:t>
      </w:r>
      <w:r w:rsidRPr="0084728A">
        <w:rPr>
          <w:rFonts w:eastAsiaTheme="minorEastAsia"/>
        </w:rPr>
        <w:tab/>
      </w:r>
      <w:r w:rsidR="00862CED" w:rsidRPr="0084728A">
        <w:rPr>
          <w:rFonts w:eastAsiaTheme="minorEastAsia"/>
        </w:rPr>
        <w:t xml:space="preserve">Campaign </w:t>
      </w:r>
      <w:r w:rsidR="00347CEE" w:rsidRPr="0084728A">
        <w:rPr>
          <w:rFonts w:eastAsiaTheme="minorEastAsia"/>
        </w:rPr>
        <w:t xml:space="preserve">activities around </w:t>
      </w:r>
      <w:r w:rsidR="00862CED" w:rsidRPr="0084728A">
        <w:rPr>
          <w:rFonts w:eastAsiaTheme="minorEastAsia"/>
        </w:rPr>
        <w:t xml:space="preserve">Union </w:t>
      </w:r>
      <w:r w:rsidR="00347CEE" w:rsidRPr="0084728A">
        <w:rPr>
          <w:rFonts w:eastAsiaTheme="minorEastAsia"/>
        </w:rPr>
        <w:t>events</w:t>
      </w:r>
    </w:p>
    <w:p w14:paraId="25DFABA9" w14:textId="647D13E6" w:rsidR="00862CED" w:rsidRPr="0084728A" w:rsidRDefault="00862CED" w:rsidP="00AA5340">
      <w:pPr>
        <w:pStyle w:val="Headingb"/>
        <w:rPr>
          <w:rFonts w:eastAsiaTheme="minorEastAsia"/>
        </w:rPr>
      </w:pPr>
      <w:r>
        <w:rPr>
          <w:rFonts w:eastAsiaTheme="minorEastAsia"/>
        </w:rPr>
        <w:t xml:space="preserve">General </w:t>
      </w:r>
      <w:r w:rsidR="00347CEE">
        <w:rPr>
          <w:rFonts w:eastAsiaTheme="minorEastAsia"/>
        </w:rPr>
        <w:t>principle</w:t>
      </w:r>
    </w:p>
    <w:p w14:paraId="10C9475E" w14:textId="38362A17" w:rsidR="00862CED" w:rsidRPr="00840405" w:rsidRDefault="00840405" w:rsidP="00840405">
      <w:pPr>
        <w:pStyle w:val="enumlev1"/>
        <w:jc w:val="both"/>
        <w:rPr>
          <w:rFonts w:eastAsiaTheme="minorEastAsia"/>
          <w:b/>
          <w:bCs/>
        </w:rPr>
      </w:pPr>
      <w:r w:rsidRPr="00840405">
        <w:rPr>
          <w:rFonts w:asciiTheme="minorHAnsi" w:eastAsiaTheme="minorEastAsia" w:hAnsiTheme="minorHAnsi" w:cstheme="majorBidi"/>
          <w:b/>
          <w:bCs/>
        </w:rPr>
        <w:t>–</w:t>
      </w:r>
      <w:r w:rsidRPr="00840405">
        <w:rPr>
          <w:rFonts w:asciiTheme="minorHAnsi" w:eastAsiaTheme="minorEastAsia" w:hAnsiTheme="minorHAnsi" w:cstheme="majorBidi"/>
          <w:b/>
          <w:bCs/>
        </w:rPr>
        <w:tab/>
      </w:r>
      <w:r w:rsidR="00862CED" w:rsidRPr="00840405">
        <w:rPr>
          <w:rFonts w:eastAsiaTheme="minorEastAsia"/>
          <w:b/>
          <w:bCs/>
        </w:rPr>
        <w:t xml:space="preserve">Campaign-related activities should not interfere with the conduct of Union affairs at official events. </w:t>
      </w:r>
    </w:p>
    <w:p w14:paraId="14C393E1" w14:textId="44D06D9D" w:rsidR="00862CED" w:rsidRPr="0084728A" w:rsidRDefault="00862CED" w:rsidP="7B53170A">
      <w:pPr>
        <w:snapToGrid w:val="0"/>
        <w:spacing w:after="120"/>
        <w:jc w:val="both"/>
        <w:rPr>
          <w:rFonts w:asciiTheme="minorHAnsi" w:eastAsiaTheme="minorEastAsia" w:hAnsiTheme="minorHAnsi" w:cstheme="majorBidi"/>
        </w:rPr>
      </w:pPr>
      <w:r w:rsidRPr="7B53170A">
        <w:rPr>
          <w:rFonts w:asciiTheme="minorHAnsi" w:eastAsiaTheme="minorEastAsia" w:hAnsiTheme="minorHAnsi" w:cstheme="majorBidi"/>
          <w:u w:val="single"/>
        </w:rPr>
        <w:t>Application</w:t>
      </w:r>
      <w:r w:rsidRPr="7B53170A">
        <w:rPr>
          <w:rFonts w:asciiTheme="minorHAnsi" w:eastAsiaTheme="minorEastAsia" w:hAnsiTheme="minorHAnsi" w:cstheme="majorBidi"/>
        </w:rPr>
        <w:t>: Union events</w:t>
      </w:r>
      <w:r w:rsidR="00840405">
        <w:rPr>
          <w:rFonts w:asciiTheme="minorHAnsi" w:eastAsiaTheme="minorEastAsia" w:hAnsiTheme="minorHAnsi" w:cstheme="majorBidi"/>
        </w:rPr>
        <w:t xml:space="preserve"> </w:t>
      </w:r>
      <w:r w:rsidRPr="7B53170A">
        <w:rPr>
          <w:rFonts w:asciiTheme="minorHAnsi" w:eastAsiaTheme="minorEastAsia" w:hAnsiTheme="minorHAnsi" w:cstheme="majorBidi"/>
        </w:rPr>
        <w:t>—and the informal and social occasions that surround these events—</w:t>
      </w:r>
      <w:r w:rsidR="00840405">
        <w:rPr>
          <w:rFonts w:asciiTheme="minorHAnsi" w:eastAsiaTheme="minorEastAsia" w:hAnsiTheme="minorHAnsi" w:cstheme="majorBidi"/>
        </w:rPr>
        <w:t xml:space="preserve"> </w:t>
      </w:r>
      <w:r w:rsidRPr="7B53170A">
        <w:rPr>
          <w:rFonts w:asciiTheme="minorHAnsi" w:eastAsiaTheme="minorEastAsia" w:hAnsiTheme="minorHAnsi" w:cstheme="majorBidi"/>
        </w:rPr>
        <w:t xml:space="preserve">are an opportunity to engage with Member State representatives. Some candidates may be in attendance at such events due to their official responsibilities with ITU. Others may be in attendance as they currently serve on the delegation of a Member State. Still others may not have an official reason to attend the </w:t>
      </w:r>
      <w:r w:rsidR="66494626" w:rsidRPr="7B53170A">
        <w:rPr>
          <w:rFonts w:asciiTheme="minorHAnsi" w:eastAsiaTheme="minorEastAsia" w:hAnsiTheme="minorHAnsi" w:cstheme="majorBidi"/>
        </w:rPr>
        <w:t>event but</w:t>
      </w:r>
      <w:r w:rsidRPr="7B53170A">
        <w:rPr>
          <w:rFonts w:asciiTheme="minorHAnsi" w:eastAsiaTheme="minorEastAsia" w:hAnsiTheme="minorHAnsi" w:cstheme="majorBidi"/>
        </w:rPr>
        <w:t xml:space="preserve"> wish to use the opportunity of stakeholders being convened in a single location.</w:t>
      </w:r>
    </w:p>
    <w:p w14:paraId="2E0CD117" w14:textId="122EC57C" w:rsidR="00862CED" w:rsidRPr="0084728A" w:rsidRDefault="00862CED" w:rsidP="7B53170A">
      <w:pPr>
        <w:spacing w:after="120"/>
        <w:jc w:val="both"/>
        <w:rPr>
          <w:rFonts w:asciiTheme="minorHAnsi" w:eastAsiaTheme="minorEastAsia" w:hAnsiTheme="minorHAnsi" w:cstheme="majorBidi"/>
        </w:rPr>
      </w:pPr>
      <w:r w:rsidRPr="7B53170A">
        <w:rPr>
          <w:rFonts w:asciiTheme="minorHAnsi" w:eastAsiaTheme="minorEastAsia" w:hAnsiTheme="minorHAnsi" w:cstheme="majorBidi"/>
        </w:rPr>
        <w:t>The basic principles of fairness and equity suggest that candidates should have an equal opportunity to engage with Member State representatives when they are convening for such events. At the same time, it should be noted that the purpose of these events is to advance the Union</w:t>
      </w:r>
      <w:r w:rsidR="00E31781" w:rsidRPr="7B53170A">
        <w:rPr>
          <w:rFonts w:asciiTheme="minorHAnsi" w:eastAsiaTheme="minorEastAsia" w:hAnsiTheme="minorHAnsi" w:cstheme="majorBidi"/>
        </w:rPr>
        <w:t>’</w:t>
      </w:r>
      <w:r w:rsidRPr="7B53170A">
        <w:rPr>
          <w:rFonts w:asciiTheme="minorHAnsi" w:eastAsiaTheme="minorEastAsia" w:hAnsiTheme="minorHAnsi" w:cstheme="majorBidi"/>
        </w:rPr>
        <w:t>s work in a specific area, not to serve as a forum for campaigning. Thus, individuals should refrain from engaging with Member State representatives to promote their candidature during the course of a Union event. Informal or social occasions surrounding these events</w:t>
      </w:r>
      <w:r w:rsidR="00840405">
        <w:rPr>
          <w:rFonts w:asciiTheme="minorHAnsi" w:eastAsiaTheme="minorEastAsia" w:hAnsiTheme="minorHAnsi" w:cstheme="majorBidi"/>
        </w:rPr>
        <w:t xml:space="preserve"> </w:t>
      </w:r>
      <w:r w:rsidRPr="7B53170A">
        <w:rPr>
          <w:rFonts w:asciiTheme="minorHAnsi" w:eastAsiaTheme="minorEastAsia" w:hAnsiTheme="minorHAnsi" w:cstheme="majorBidi"/>
        </w:rPr>
        <w:t>—not in the event space itself—</w:t>
      </w:r>
      <w:r w:rsidR="00840405">
        <w:rPr>
          <w:rFonts w:asciiTheme="minorHAnsi" w:eastAsiaTheme="minorEastAsia" w:hAnsiTheme="minorHAnsi" w:cstheme="majorBidi"/>
        </w:rPr>
        <w:t xml:space="preserve"> </w:t>
      </w:r>
      <w:r w:rsidRPr="7B53170A">
        <w:rPr>
          <w:rFonts w:asciiTheme="minorHAnsi" w:eastAsiaTheme="minorEastAsia" w:hAnsiTheme="minorHAnsi" w:cstheme="majorBidi"/>
        </w:rPr>
        <w:t xml:space="preserve">may be used by candidates for campaign activities. Overall, candidates should refrain from </w:t>
      </w:r>
      <w:r w:rsidR="670429AB" w:rsidRPr="7B53170A">
        <w:rPr>
          <w:rFonts w:asciiTheme="minorHAnsi" w:eastAsiaTheme="minorEastAsia" w:hAnsiTheme="minorHAnsi" w:cstheme="majorBidi"/>
        </w:rPr>
        <w:t>behaviour</w:t>
      </w:r>
      <w:r w:rsidRPr="7B53170A">
        <w:rPr>
          <w:rFonts w:asciiTheme="minorHAnsi" w:eastAsiaTheme="minorEastAsia" w:hAnsiTheme="minorHAnsi" w:cstheme="majorBidi"/>
        </w:rPr>
        <w:t xml:space="preserve"> that would suggest that the fullest care for Union affairs is being displaced by attention to campaign-related activities.</w:t>
      </w:r>
    </w:p>
    <w:p w14:paraId="3CBE3B98" w14:textId="77777777" w:rsidR="00862CED" w:rsidRPr="0084728A" w:rsidRDefault="00862CED" w:rsidP="00AA5340">
      <w:pPr>
        <w:pStyle w:val="Headingi"/>
        <w:rPr>
          <w:rFonts w:eastAsiaTheme="minorEastAsia"/>
        </w:rPr>
      </w:pPr>
      <w:r w:rsidRPr="0084728A">
        <w:rPr>
          <w:rFonts w:eastAsiaTheme="minorEastAsia"/>
        </w:rPr>
        <w:t xml:space="preserve">For example: </w:t>
      </w:r>
    </w:p>
    <w:p w14:paraId="690100B2" w14:textId="3DF08685" w:rsidR="00862CED" w:rsidRPr="0084728A" w:rsidRDefault="00840405" w:rsidP="00AA5340">
      <w:pPr>
        <w:pStyle w:val="enumlev1"/>
        <w:jc w:val="both"/>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sidR="00862CED" w:rsidRPr="0084728A">
        <w:rPr>
          <w:rFonts w:asciiTheme="minorHAnsi" w:eastAsiaTheme="minorEastAsia" w:hAnsiTheme="minorHAnsi" w:cstheme="majorBidi"/>
          <w:i/>
          <w:iCs/>
        </w:rPr>
        <w:t>Actively</w:t>
      </w:r>
      <w:r w:rsidR="00862CED" w:rsidRPr="0084728A">
        <w:rPr>
          <w:rFonts w:asciiTheme="minorHAnsi" w:eastAsiaTheme="minorEastAsia" w:hAnsiTheme="minorHAnsi" w:cstheme="majorBidi"/>
        </w:rPr>
        <w:t xml:space="preserve"> engaging Member State representatives to discuss a candidature during the course of official proceedings may detract from the ability to conclude official matters during that event. Thus, it would be best to avoid actively engaging Member State representatives on election issues during a Union event.  Candidates who are </w:t>
      </w:r>
      <w:r w:rsidR="00862CED" w:rsidRPr="00AA5340">
        <w:rPr>
          <w:rFonts w:eastAsiaTheme="minorEastAsia"/>
        </w:rPr>
        <w:t>approached</w:t>
      </w:r>
      <w:r w:rsidR="00862CED" w:rsidRPr="0084728A">
        <w:rPr>
          <w:rFonts w:asciiTheme="minorHAnsi" w:eastAsiaTheme="minorEastAsia" w:hAnsiTheme="minorHAnsi" w:cstheme="majorBidi"/>
        </w:rPr>
        <w:t xml:space="preserve"> during a Union event to discuss their candidacy should consider inviting the relevant party to discuss further outside of the official meetings. Preferably, this would be at a meeting scheduled after proceedings for the day have concluded rather than during a coffee or lunch break (which are frequently otherwise used to continue discussions on official matters).</w:t>
      </w:r>
      <w:r w:rsidR="00862CED">
        <w:rPr>
          <w:rFonts w:asciiTheme="minorHAnsi" w:eastAsiaTheme="minorEastAsia" w:hAnsiTheme="minorHAnsi" w:cstheme="majorBidi"/>
        </w:rPr>
        <w:t xml:space="preserve"> </w:t>
      </w:r>
    </w:p>
    <w:p w14:paraId="66849BA1" w14:textId="0A9F2F85" w:rsidR="00862CED" w:rsidRPr="0084728A" w:rsidRDefault="00840405" w:rsidP="00AA5340">
      <w:pPr>
        <w:pStyle w:val="enumlev1"/>
        <w:jc w:val="both"/>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sidR="00862CED" w:rsidRPr="0084728A">
        <w:rPr>
          <w:rFonts w:asciiTheme="minorHAnsi" w:eastAsiaTheme="minorEastAsia" w:hAnsiTheme="minorHAnsi" w:cstheme="majorBidi"/>
        </w:rPr>
        <w:t xml:space="preserve">During ITU events, candidates are discouraged from using the event space for any campaign activities. This includes refraining from delivering any candidate campaign statements during event break sessions sponsored by the Member States advancing their candidacy. As noted above, candidates may engage in campaign activities at </w:t>
      </w:r>
      <w:r w:rsidR="00862CED" w:rsidRPr="00AA5340">
        <w:rPr>
          <w:rFonts w:eastAsiaTheme="minorEastAsia"/>
        </w:rPr>
        <w:t>informal</w:t>
      </w:r>
      <w:r w:rsidR="00862CED" w:rsidRPr="0084728A">
        <w:rPr>
          <w:rFonts w:asciiTheme="minorHAnsi" w:eastAsiaTheme="minorEastAsia" w:hAnsiTheme="minorHAnsi" w:cstheme="majorBidi"/>
        </w:rPr>
        <w:t xml:space="preserve"> or social occasions (such as receptions hosted by Member States) outside of the ITU event space itself. </w:t>
      </w:r>
    </w:p>
    <w:p w14:paraId="08537012" w14:textId="5787A62B" w:rsidR="00862CED" w:rsidRPr="0084728A" w:rsidRDefault="00840405" w:rsidP="00AA5340">
      <w:pPr>
        <w:pStyle w:val="enumlev1"/>
        <w:jc w:val="both"/>
        <w:rPr>
          <w:rFonts w:asciiTheme="minorHAnsi" w:eastAsiaTheme="minorEastAsia" w:hAnsiTheme="minorHAnsi" w:cstheme="majorBidi"/>
        </w:rPr>
      </w:pPr>
      <w:r>
        <w:rPr>
          <w:rFonts w:asciiTheme="minorHAnsi" w:eastAsiaTheme="minorEastAsia" w:hAnsiTheme="minorHAnsi" w:cstheme="majorBidi"/>
        </w:rPr>
        <w:lastRenderedPageBreak/>
        <w:t>–</w:t>
      </w:r>
      <w:r>
        <w:rPr>
          <w:rFonts w:asciiTheme="minorHAnsi" w:eastAsiaTheme="minorEastAsia" w:hAnsiTheme="minorHAnsi" w:cstheme="majorBidi"/>
        </w:rPr>
        <w:tab/>
      </w:r>
      <w:r w:rsidR="00862CED" w:rsidRPr="0084728A">
        <w:rPr>
          <w:rFonts w:asciiTheme="minorHAnsi" w:eastAsiaTheme="minorEastAsia" w:hAnsiTheme="minorHAnsi" w:cstheme="majorBidi"/>
        </w:rPr>
        <w:t xml:space="preserve">Individuals travelling to the site of an event to promote their candidature—who would not otherwise attend the event in the normal course of their official duties—should do so while on leave from the Union. Furthermore, as noted above, costs for attendance at an event </w:t>
      </w:r>
      <w:r w:rsidR="00862CED" w:rsidRPr="00AA5340">
        <w:rPr>
          <w:rFonts w:eastAsiaTheme="minorEastAsia"/>
        </w:rPr>
        <w:t>for</w:t>
      </w:r>
      <w:r w:rsidR="00862CED" w:rsidRPr="0084728A">
        <w:rPr>
          <w:rFonts w:asciiTheme="minorHAnsi" w:eastAsiaTheme="minorEastAsia" w:hAnsiTheme="minorHAnsi" w:cstheme="majorBidi"/>
        </w:rPr>
        <w:t xml:space="preserve"> such individuals should not be borne by the Union. Individuals are strongly encouraged to contact the ETO to inform of planned presence at an ITU event in a private capacity such that specific aspects of the relevant campaign activities can be discussed. </w:t>
      </w:r>
    </w:p>
    <w:p w14:paraId="03FF0A54" w14:textId="0D86235F" w:rsidR="00862CED" w:rsidRPr="0084728A" w:rsidRDefault="00B33BDB" w:rsidP="00AA5340">
      <w:pPr>
        <w:pStyle w:val="Heading1"/>
        <w:rPr>
          <w:rFonts w:eastAsiaTheme="minorEastAsia"/>
        </w:rPr>
      </w:pPr>
      <w:r w:rsidRPr="0084728A">
        <w:rPr>
          <w:rFonts w:eastAsiaTheme="minorEastAsia"/>
        </w:rPr>
        <w:t>C)</w:t>
      </w:r>
      <w:r w:rsidRPr="0084728A">
        <w:rPr>
          <w:rFonts w:eastAsiaTheme="minorEastAsia"/>
        </w:rPr>
        <w:tab/>
      </w:r>
      <w:r w:rsidR="00862CED" w:rsidRPr="0084728A">
        <w:rPr>
          <w:rFonts w:eastAsiaTheme="minorEastAsia"/>
        </w:rPr>
        <w:t xml:space="preserve">Engagement with Member States </w:t>
      </w:r>
    </w:p>
    <w:p w14:paraId="6A3BFD4C" w14:textId="22EEA23D" w:rsidR="00862CED" w:rsidRPr="0084728A" w:rsidRDefault="00862CED" w:rsidP="00AA5340">
      <w:pPr>
        <w:pStyle w:val="Headingb"/>
        <w:rPr>
          <w:rFonts w:eastAsiaTheme="minorEastAsia"/>
        </w:rPr>
      </w:pPr>
      <w:r w:rsidRPr="0084728A">
        <w:rPr>
          <w:rFonts w:eastAsiaTheme="minorEastAsia"/>
        </w:rPr>
        <w:t xml:space="preserve">General </w:t>
      </w:r>
      <w:r w:rsidR="00840405" w:rsidRPr="0084728A">
        <w:rPr>
          <w:rFonts w:eastAsiaTheme="minorEastAsia"/>
        </w:rPr>
        <w:t>principle</w:t>
      </w:r>
    </w:p>
    <w:p w14:paraId="1A714313" w14:textId="0022D67F" w:rsidR="00862CED" w:rsidRPr="00AA5340" w:rsidRDefault="00840405" w:rsidP="00347CEE">
      <w:pPr>
        <w:pStyle w:val="enumlev1"/>
        <w:jc w:val="both"/>
        <w:rPr>
          <w:rFonts w:eastAsiaTheme="minorEastAsia"/>
          <w:b/>
          <w:bCs/>
        </w:rPr>
      </w:pPr>
      <w:r>
        <w:rPr>
          <w:rFonts w:asciiTheme="minorHAnsi" w:eastAsiaTheme="minorEastAsia" w:hAnsiTheme="minorHAnsi" w:cstheme="majorBidi"/>
        </w:rPr>
        <w:t>–</w:t>
      </w:r>
      <w:r>
        <w:rPr>
          <w:rFonts w:asciiTheme="minorHAnsi" w:eastAsiaTheme="minorEastAsia" w:hAnsiTheme="minorHAnsi" w:cstheme="majorBidi"/>
        </w:rPr>
        <w:tab/>
      </w:r>
      <w:r w:rsidR="00862CED" w:rsidRPr="00AA5340">
        <w:rPr>
          <w:rFonts w:eastAsiaTheme="minorEastAsia"/>
          <w:b/>
          <w:bCs/>
        </w:rPr>
        <w:t xml:space="preserve">The fundamental values of independence, loyalty to the Union and impartiality should be respected even while coordinating a candidature with a Member State. </w:t>
      </w:r>
    </w:p>
    <w:p w14:paraId="0626EA0D" w14:textId="2906CB1D" w:rsidR="00862CED" w:rsidRPr="0084728A" w:rsidRDefault="00862CED" w:rsidP="00AA5340">
      <w:pPr>
        <w:jc w:val="both"/>
        <w:rPr>
          <w:rFonts w:eastAsiaTheme="minorEastAsia"/>
        </w:rPr>
      </w:pPr>
      <w:r w:rsidRPr="7B53170A">
        <w:rPr>
          <w:rFonts w:eastAsiaTheme="minorEastAsia"/>
          <w:u w:val="single"/>
        </w:rPr>
        <w:t>Application</w:t>
      </w:r>
      <w:r w:rsidRPr="7B53170A">
        <w:rPr>
          <w:rFonts w:eastAsiaTheme="minorEastAsia"/>
        </w:rPr>
        <w:t>: A candidature will inevitably involve some level of</w:t>
      </w:r>
      <w:r w:rsidR="00347CEE">
        <w:rPr>
          <w:rFonts w:eastAsiaTheme="minorEastAsia"/>
        </w:rPr>
        <w:t xml:space="preserve"> </w:t>
      </w:r>
      <w:r w:rsidRPr="7B53170A">
        <w:rPr>
          <w:rFonts w:eastAsiaTheme="minorEastAsia"/>
        </w:rPr>
        <w:t xml:space="preserve">coordination with a Member State. This type of engagement with a Member State should not jeopardize the independence and impartiality of the individual as an international civil servants and loyalty to the Union. Respect for these principles requires scrupulous attention to the possible perception that </w:t>
      </w:r>
      <w:r w:rsidR="62349809" w:rsidRPr="7B53170A">
        <w:rPr>
          <w:rFonts w:eastAsiaTheme="minorEastAsia"/>
        </w:rPr>
        <w:t>behaviour</w:t>
      </w:r>
      <w:r w:rsidRPr="7B53170A">
        <w:rPr>
          <w:rFonts w:eastAsiaTheme="minorEastAsia"/>
        </w:rPr>
        <w:t xml:space="preserve"> taken in an official capacity will be viewed as reflecting the interests of a particular Member State and/or primarily intended to advance a candidature rather than serve the interests of the Union. There should be no suggestion that official acts on behalf of the Union</w:t>
      </w:r>
      <w:r w:rsidR="00840405">
        <w:rPr>
          <w:rFonts w:eastAsiaTheme="minorEastAsia"/>
        </w:rPr>
        <w:t xml:space="preserve"> </w:t>
      </w:r>
      <w:r w:rsidRPr="7B53170A">
        <w:rPr>
          <w:rFonts w:eastAsiaTheme="minorEastAsia"/>
        </w:rPr>
        <w:t>—whether current or future—</w:t>
      </w:r>
      <w:r w:rsidR="00840405">
        <w:rPr>
          <w:rFonts w:eastAsiaTheme="minorEastAsia"/>
        </w:rPr>
        <w:t xml:space="preserve"> </w:t>
      </w:r>
      <w:r w:rsidRPr="7B53170A">
        <w:rPr>
          <w:rFonts w:eastAsiaTheme="minorEastAsia"/>
        </w:rPr>
        <w:t>are, or will be, unduly influenced in exchange for support with a candidature.</w:t>
      </w:r>
    </w:p>
    <w:p w14:paraId="1DEDA667" w14:textId="77777777" w:rsidR="00862CED" w:rsidRPr="0084728A" w:rsidRDefault="00862CED" w:rsidP="00AA5340">
      <w:pPr>
        <w:pStyle w:val="Headingi"/>
        <w:rPr>
          <w:rFonts w:eastAsiaTheme="minorEastAsia"/>
        </w:rPr>
      </w:pPr>
      <w:r>
        <w:rPr>
          <w:rFonts w:eastAsiaTheme="minorEastAsia"/>
        </w:rPr>
        <w:t>For example:</w:t>
      </w:r>
    </w:p>
    <w:p w14:paraId="4115814E" w14:textId="27F976C4" w:rsidR="00862CED" w:rsidRPr="0084728A" w:rsidRDefault="00840405" w:rsidP="00AA5340">
      <w:pPr>
        <w:pStyle w:val="enumlev1"/>
        <w:jc w:val="both"/>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sidR="00862CED" w:rsidRPr="0084728A">
        <w:rPr>
          <w:rFonts w:asciiTheme="minorHAnsi" w:eastAsiaTheme="minorEastAsia" w:hAnsiTheme="minorHAnsi" w:cstheme="majorBidi"/>
        </w:rPr>
        <w:t xml:space="preserve">The coordination of a candidature should not involve sharing information with the Member State promoting the candidature that is not otherwise available to all Member </w:t>
      </w:r>
      <w:r w:rsidR="00862CED" w:rsidRPr="00AA5340">
        <w:rPr>
          <w:rFonts w:eastAsiaTheme="minorEastAsia"/>
        </w:rPr>
        <w:t>States</w:t>
      </w:r>
      <w:r w:rsidR="00862CED" w:rsidRPr="0084728A">
        <w:rPr>
          <w:rFonts w:asciiTheme="minorHAnsi" w:eastAsiaTheme="minorEastAsia" w:hAnsiTheme="minorHAnsi" w:cstheme="majorBidi"/>
        </w:rPr>
        <w:t xml:space="preserve"> or not appropriate for public disclosure. This includes information related to the workplace performance of other candidates. </w:t>
      </w:r>
    </w:p>
    <w:p w14:paraId="710E568A" w14:textId="36A24DDE" w:rsidR="00862CED" w:rsidRDefault="00840405" w:rsidP="00AA5340">
      <w:pPr>
        <w:pStyle w:val="enumlev1"/>
        <w:jc w:val="both"/>
        <w:rPr>
          <w:rFonts w:asciiTheme="minorHAnsi" w:eastAsiaTheme="minorEastAsia" w:hAnsiTheme="minorHAnsi" w:cstheme="majorBidi"/>
        </w:rPr>
      </w:pPr>
      <w:r>
        <w:rPr>
          <w:rFonts w:asciiTheme="minorHAnsi" w:eastAsiaTheme="minorEastAsia" w:hAnsiTheme="minorHAnsi" w:cstheme="majorBidi"/>
        </w:rPr>
        <w:t>–</w:t>
      </w:r>
      <w:r>
        <w:rPr>
          <w:rFonts w:asciiTheme="minorHAnsi" w:eastAsiaTheme="minorEastAsia" w:hAnsiTheme="minorHAnsi" w:cstheme="majorBidi"/>
        </w:rPr>
        <w:tab/>
      </w:r>
      <w:r w:rsidR="00862CED" w:rsidRPr="7B53170A">
        <w:rPr>
          <w:rFonts w:asciiTheme="minorHAnsi" w:eastAsiaTheme="minorEastAsia" w:hAnsiTheme="minorHAnsi" w:cstheme="majorBidi"/>
        </w:rPr>
        <w:t xml:space="preserve">Events organized by Member States to promote the candidature of an individual may involve a public speech by the candidate to outline their vision for the Union. There may also be written materials that are prepared in this regard. Those already serving the Union should </w:t>
      </w:r>
      <w:r w:rsidR="369BA767" w:rsidRPr="7B53170A">
        <w:rPr>
          <w:rFonts w:asciiTheme="minorHAnsi" w:eastAsiaTheme="minorEastAsia" w:hAnsiTheme="minorHAnsi" w:cstheme="majorBidi"/>
        </w:rPr>
        <w:t>endeavour</w:t>
      </w:r>
      <w:r w:rsidR="00862CED" w:rsidRPr="7B53170A">
        <w:rPr>
          <w:rFonts w:asciiTheme="minorHAnsi" w:eastAsiaTheme="minorEastAsia" w:hAnsiTheme="minorHAnsi" w:cstheme="majorBidi"/>
        </w:rPr>
        <w:t xml:space="preserve"> to express their strictly personal views as candidate without </w:t>
      </w:r>
      <w:r w:rsidR="00862CED" w:rsidRPr="00AA5340">
        <w:rPr>
          <w:rFonts w:eastAsiaTheme="minorEastAsia"/>
        </w:rPr>
        <w:t>calling</w:t>
      </w:r>
      <w:r w:rsidR="00862CED" w:rsidRPr="7B53170A">
        <w:rPr>
          <w:rFonts w:asciiTheme="minorHAnsi" w:eastAsiaTheme="minorEastAsia" w:hAnsiTheme="minorHAnsi" w:cstheme="majorBidi"/>
        </w:rPr>
        <w:t xml:space="preserve"> into question their independence from Member States, impartiality, and loyalty to the Union. A message that would reasonably appear to be focused on criticizing the Union and/or any other candidates rather than presenting a positive vision would be inconsistent with the basic principles of good-faith, dignity, and mutual respect and may be contrary to the obligations of international civil servants to remain loyal to the Union and refrain from publicly airing grievances. In light also of provisions in the legal framework regulating outside activities (including statements to the press and submission of materials for publication which relate to the purpose, activities or interests of the Union), the ETO is available, on a confidential basis, to review in advance and advise on any public remarks or publication materials. </w:t>
      </w:r>
    </w:p>
    <w:p w14:paraId="4C967359" w14:textId="77777777" w:rsidR="00AA5340" w:rsidRPr="0084728A" w:rsidRDefault="00AA5340" w:rsidP="00AA5340">
      <w:pPr>
        <w:pStyle w:val="enumlev1"/>
        <w:jc w:val="both"/>
        <w:rPr>
          <w:rFonts w:asciiTheme="minorHAnsi" w:eastAsiaTheme="minorEastAsia" w:hAnsiTheme="minorHAnsi" w:cstheme="majorBidi"/>
        </w:rPr>
      </w:pPr>
    </w:p>
    <w:p w14:paraId="35C6D0A5" w14:textId="77777777" w:rsidR="007A3FCD" w:rsidRPr="00C0458D" w:rsidRDefault="007A3FCD" w:rsidP="007A3FCD">
      <w:pPr>
        <w:jc w:val="center"/>
      </w:pPr>
      <w:r>
        <w:t>______________</w:t>
      </w:r>
    </w:p>
    <w:sectPr w:rsidR="007A3FCD" w:rsidRPr="00C0458D" w:rsidSect="00AD3606">
      <w:footerReference w:type="default" r:id="rId70"/>
      <w:headerReference w:type="first" r:id="rId71"/>
      <w:footerReference w:type="first" r:id="rId7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C6BD" w14:textId="77777777" w:rsidR="00C50D01" w:rsidRDefault="00C50D01">
      <w:r>
        <w:separator/>
      </w:r>
    </w:p>
  </w:endnote>
  <w:endnote w:type="continuationSeparator" w:id="0">
    <w:p w14:paraId="1D754ABF" w14:textId="77777777" w:rsidR="00C50D01" w:rsidRDefault="00C50D01">
      <w:r>
        <w:continuationSeparator/>
      </w:r>
    </w:p>
  </w:endnote>
  <w:endnote w:type="continuationNotice" w:id="1">
    <w:p w14:paraId="0C603994" w14:textId="77777777" w:rsidR="00C50D01" w:rsidRDefault="00C50D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xt2 W1G Medium">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7C13DC">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3F3122C0"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3C5378">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194AAF24"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3C5378">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C190" w14:textId="77777777" w:rsidR="00C50D01" w:rsidRDefault="00C50D01">
      <w:r>
        <w:t>____________________</w:t>
      </w:r>
    </w:p>
  </w:footnote>
  <w:footnote w:type="continuationSeparator" w:id="0">
    <w:p w14:paraId="30571E70" w14:textId="77777777" w:rsidR="00C50D01" w:rsidRDefault="00C50D01">
      <w:r>
        <w:continuationSeparator/>
      </w:r>
    </w:p>
  </w:footnote>
  <w:footnote w:type="continuationNotice" w:id="1">
    <w:p w14:paraId="02131981" w14:textId="77777777" w:rsidR="00C50D01" w:rsidRDefault="00C50D01">
      <w:pPr>
        <w:spacing w:before="0"/>
      </w:pPr>
    </w:p>
  </w:footnote>
  <w:footnote w:id="2">
    <w:p w14:paraId="15F9DA78" w14:textId="77777777" w:rsidR="00862CED" w:rsidRPr="00C3021D" w:rsidRDefault="00862CED" w:rsidP="00840405">
      <w:pPr>
        <w:pStyle w:val="FootnoteText10pt"/>
        <w:jc w:val="both"/>
      </w:pPr>
      <w:r>
        <w:rPr>
          <w:rStyle w:val="FootnoteReference"/>
        </w:rPr>
        <w:footnoteRef/>
      </w:r>
      <w:r>
        <w:t xml:space="preserve"> </w:t>
      </w:r>
      <w:r>
        <w:tab/>
      </w:r>
      <w:r w:rsidRPr="00C3021D">
        <w:t xml:space="preserve">The text of these guidelines is identical to the text of the guidelines adopted by the 2018 session of the Council and </w:t>
      </w:r>
      <w:r>
        <w:t xml:space="preserve">re-endorsed by 2021 session of the Council and </w:t>
      </w:r>
      <w:r w:rsidRPr="00C3021D">
        <w:t>published on the PP website.</w:t>
      </w:r>
    </w:p>
  </w:footnote>
  <w:footnote w:id="3">
    <w:p w14:paraId="2D3EE1AC" w14:textId="77777777" w:rsidR="00862CED" w:rsidRPr="00120E53" w:rsidRDefault="00862CED" w:rsidP="00347CEE">
      <w:pPr>
        <w:pStyle w:val="FootnoteText"/>
        <w:jc w:val="both"/>
      </w:pPr>
      <w:r w:rsidRPr="00C3021D">
        <w:rPr>
          <w:rStyle w:val="FootnoteReference"/>
        </w:rPr>
        <w:footnoteRef/>
      </w:r>
      <w:r w:rsidRPr="00C3021D">
        <w:t xml:space="preserve"> </w:t>
      </w:r>
      <w:r w:rsidRPr="00C3021D">
        <w:tab/>
      </w:r>
      <w:r w:rsidRPr="00C3021D">
        <w:rPr>
          <w:rFonts w:asciiTheme="minorHAnsi" w:hAnsiTheme="minorHAnsi" w:cstheme="majorBidi"/>
          <w:sz w:val="20"/>
        </w:rPr>
        <w:t xml:space="preserve">In principle, </w:t>
      </w:r>
      <w:r>
        <w:rPr>
          <w:rFonts w:asciiTheme="minorHAnsi" w:hAnsiTheme="minorHAnsi" w:cstheme="majorBidi"/>
          <w:sz w:val="20"/>
        </w:rPr>
        <w:t>the Ethics Office (</w:t>
      </w:r>
      <w:r w:rsidRPr="00C3021D">
        <w:rPr>
          <w:rFonts w:asciiTheme="minorHAnsi" w:hAnsiTheme="minorHAnsi" w:cstheme="majorBidi"/>
          <w:sz w:val="20"/>
        </w:rPr>
        <w:t>ETO</w:t>
      </w:r>
      <w:r>
        <w:rPr>
          <w:rFonts w:asciiTheme="minorHAnsi" w:hAnsiTheme="minorHAnsi" w:cstheme="majorBidi"/>
          <w:sz w:val="20"/>
        </w:rPr>
        <w:t>)</w:t>
      </w:r>
      <w:r w:rsidRPr="00C3021D">
        <w:rPr>
          <w:rFonts w:asciiTheme="minorHAnsi" w:hAnsiTheme="minorHAnsi" w:cstheme="majorBidi"/>
          <w:sz w:val="20"/>
        </w:rPr>
        <w:t xml:space="preserve"> considers that campaign</w:t>
      </w:r>
      <w:r w:rsidRPr="00FC78A8">
        <w:rPr>
          <w:rFonts w:asciiTheme="minorHAnsi" w:hAnsiTheme="minorHAnsi" w:cstheme="majorBidi"/>
          <w:sz w:val="20"/>
        </w:rPr>
        <w:t xml:space="preserve"> activities of candidates should be limited until the steps to formalize a candidature have taken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7C13D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93614"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833A39"/>
    <w:multiLevelType w:val="hybridMultilevel"/>
    <w:tmpl w:val="CB1E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96CBD"/>
    <w:multiLevelType w:val="hybridMultilevel"/>
    <w:tmpl w:val="C27C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C428A"/>
    <w:multiLevelType w:val="hybridMultilevel"/>
    <w:tmpl w:val="03AC1786"/>
    <w:lvl w:ilvl="0" w:tplc="4CA8305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82490323">
    <w:abstractNumId w:val="1"/>
  </w:num>
  <w:num w:numId="3" w16cid:durableId="1595169798">
    <w:abstractNumId w:val="7"/>
  </w:num>
  <w:num w:numId="4" w16cid:durableId="484395302">
    <w:abstractNumId w:val="5"/>
  </w:num>
  <w:num w:numId="5" w16cid:durableId="1085565910">
    <w:abstractNumId w:val="3"/>
  </w:num>
  <w:num w:numId="6" w16cid:durableId="867839662">
    <w:abstractNumId w:val="8"/>
  </w:num>
  <w:num w:numId="7" w16cid:durableId="959725534">
    <w:abstractNumId w:val="9"/>
  </w:num>
  <w:num w:numId="8" w16cid:durableId="321932896">
    <w:abstractNumId w:val="2"/>
  </w:num>
  <w:num w:numId="9" w16cid:durableId="725568672">
    <w:abstractNumId w:val="4"/>
  </w:num>
  <w:num w:numId="10" w16cid:durableId="351228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22DB"/>
    <w:rsid w:val="0002405F"/>
    <w:rsid w:val="00024553"/>
    <w:rsid w:val="000278FF"/>
    <w:rsid w:val="00036E85"/>
    <w:rsid w:val="00040095"/>
    <w:rsid w:val="00046DA0"/>
    <w:rsid w:val="00047917"/>
    <w:rsid w:val="0006007D"/>
    <w:rsid w:val="00062A86"/>
    <w:rsid w:val="00063016"/>
    <w:rsid w:val="00065D55"/>
    <w:rsid w:val="00066795"/>
    <w:rsid w:val="000745AB"/>
    <w:rsid w:val="00076AF6"/>
    <w:rsid w:val="00077585"/>
    <w:rsid w:val="00083627"/>
    <w:rsid w:val="00083636"/>
    <w:rsid w:val="00085CF2"/>
    <w:rsid w:val="00086CFB"/>
    <w:rsid w:val="00092312"/>
    <w:rsid w:val="00095E2F"/>
    <w:rsid w:val="000A6CA2"/>
    <w:rsid w:val="000B109C"/>
    <w:rsid w:val="000B142E"/>
    <w:rsid w:val="000B1705"/>
    <w:rsid w:val="000C1241"/>
    <w:rsid w:val="000D0C50"/>
    <w:rsid w:val="000D75B2"/>
    <w:rsid w:val="000F5DDB"/>
    <w:rsid w:val="000F7289"/>
    <w:rsid w:val="0010533A"/>
    <w:rsid w:val="00106E1F"/>
    <w:rsid w:val="001072EA"/>
    <w:rsid w:val="001121F5"/>
    <w:rsid w:val="001257B7"/>
    <w:rsid w:val="00135223"/>
    <w:rsid w:val="001400DC"/>
    <w:rsid w:val="00140CE1"/>
    <w:rsid w:val="001418A1"/>
    <w:rsid w:val="00144D5E"/>
    <w:rsid w:val="00145D85"/>
    <w:rsid w:val="001501A3"/>
    <w:rsid w:val="00151B95"/>
    <w:rsid w:val="001540B6"/>
    <w:rsid w:val="00154A71"/>
    <w:rsid w:val="001707B3"/>
    <w:rsid w:val="0017151C"/>
    <w:rsid w:val="00171C80"/>
    <w:rsid w:val="0017539C"/>
    <w:rsid w:val="00175AC2"/>
    <w:rsid w:val="0017609F"/>
    <w:rsid w:val="00181750"/>
    <w:rsid w:val="001872B5"/>
    <w:rsid w:val="00190107"/>
    <w:rsid w:val="0019063C"/>
    <w:rsid w:val="001915E3"/>
    <w:rsid w:val="00197E99"/>
    <w:rsid w:val="001A3154"/>
    <w:rsid w:val="001A7D1D"/>
    <w:rsid w:val="001B51DD"/>
    <w:rsid w:val="001B56FD"/>
    <w:rsid w:val="001B6C35"/>
    <w:rsid w:val="001C0F16"/>
    <w:rsid w:val="001C182C"/>
    <w:rsid w:val="001C628E"/>
    <w:rsid w:val="001D0CAE"/>
    <w:rsid w:val="001D2C32"/>
    <w:rsid w:val="001D2DE8"/>
    <w:rsid w:val="001E0687"/>
    <w:rsid w:val="001E0DA9"/>
    <w:rsid w:val="001E0F7B"/>
    <w:rsid w:val="001E47BB"/>
    <w:rsid w:val="001E5613"/>
    <w:rsid w:val="001F1FD9"/>
    <w:rsid w:val="001F5569"/>
    <w:rsid w:val="002119FD"/>
    <w:rsid w:val="002130E0"/>
    <w:rsid w:val="00221F46"/>
    <w:rsid w:val="002221B1"/>
    <w:rsid w:val="00230C65"/>
    <w:rsid w:val="002438D6"/>
    <w:rsid w:val="002507EC"/>
    <w:rsid w:val="00261DBD"/>
    <w:rsid w:val="00264425"/>
    <w:rsid w:val="00265875"/>
    <w:rsid w:val="00266F61"/>
    <w:rsid w:val="00266FF0"/>
    <w:rsid w:val="0027303B"/>
    <w:rsid w:val="0028109B"/>
    <w:rsid w:val="002836E3"/>
    <w:rsid w:val="00283FFC"/>
    <w:rsid w:val="00286D09"/>
    <w:rsid w:val="002A2188"/>
    <w:rsid w:val="002A30E1"/>
    <w:rsid w:val="002B1F58"/>
    <w:rsid w:val="002B3525"/>
    <w:rsid w:val="002B7902"/>
    <w:rsid w:val="002C1C7A"/>
    <w:rsid w:val="002C3EDB"/>
    <w:rsid w:val="002C54E2"/>
    <w:rsid w:val="002C6252"/>
    <w:rsid w:val="002D519B"/>
    <w:rsid w:val="002E76A8"/>
    <w:rsid w:val="0030160F"/>
    <w:rsid w:val="003146E5"/>
    <w:rsid w:val="00320223"/>
    <w:rsid w:val="00322D0D"/>
    <w:rsid w:val="00324D4B"/>
    <w:rsid w:val="00346976"/>
    <w:rsid w:val="00347CEE"/>
    <w:rsid w:val="00347E86"/>
    <w:rsid w:val="003536C5"/>
    <w:rsid w:val="00355905"/>
    <w:rsid w:val="00361465"/>
    <w:rsid w:val="00372441"/>
    <w:rsid w:val="00374F0E"/>
    <w:rsid w:val="00376BD1"/>
    <w:rsid w:val="00383C48"/>
    <w:rsid w:val="003877F5"/>
    <w:rsid w:val="003936D3"/>
    <w:rsid w:val="003942D4"/>
    <w:rsid w:val="003955D2"/>
    <w:rsid w:val="003958A8"/>
    <w:rsid w:val="003A1797"/>
    <w:rsid w:val="003B29C2"/>
    <w:rsid w:val="003C2533"/>
    <w:rsid w:val="003C5378"/>
    <w:rsid w:val="003D5A7F"/>
    <w:rsid w:val="003E27DA"/>
    <w:rsid w:val="003E3D1C"/>
    <w:rsid w:val="004013A0"/>
    <w:rsid w:val="0040435A"/>
    <w:rsid w:val="004100B2"/>
    <w:rsid w:val="00416366"/>
    <w:rsid w:val="00416A24"/>
    <w:rsid w:val="00423311"/>
    <w:rsid w:val="004244E4"/>
    <w:rsid w:val="004269D5"/>
    <w:rsid w:val="00427BFF"/>
    <w:rsid w:val="00431D9E"/>
    <w:rsid w:val="00433CE8"/>
    <w:rsid w:val="00434A5C"/>
    <w:rsid w:val="004414C5"/>
    <w:rsid w:val="00453079"/>
    <w:rsid w:val="004544D9"/>
    <w:rsid w:val="00470B57"/>
    <w:rsid w:val="00472650"/>
    <w:rsid w:val="00472BAD"/>
    <w:rsid w:val="00480119"/>
    <w:rsid w:val="004811F8"/>
    <w:rsid w:val="00482782"/>
    <w:rsid w:val="004829DD"/>
    <w:rsid w:val="00484009"/>
    <w:rsid w:val="00490E72"/>
    <w:rsid w:val="00491157"/>
    <w:rsid w:val="00491BA9"/>
    <w:rsid w:val="004921C8"/>
    <w:rsid w:val="00495B0B"/>
    <w:rsid w:val="004A02EC"/>
    <w:rsid w:val="004A1B8B"/>
    <w:rsid w:val="004A3916"/>
    <w:rsid w:val="004A3ADC"/>
    <w:rsid w:val="004B25A1"/>
    <w:rsid w:val="004B55AB"/>
    <w:rsid w:val="004C509E"/>
    <w:rsid w:val="004D1851"/>
    <w:rsid w:val="004D3156"/>
    <w:rsid w:val="004D5892"/>
    <w:rsid w:val="004D599D"/>
    <w:rsid w:val="004D7F1F"/>
    <w:rsid w:val="004E2EA5"/>
    <w:rsid w:val="004E3AEB"/>
    <w:rsid w:val="004F0770"/>
    <w:rsid w:val="0050223C"/>
    <w:rsid w:val="00506FF3"/>
    <w:rsid w:val="00507472"/>
    <w:rsid w:val="00510E25"/>
    <w:rsid w:val="0051441E"/>
    <w:rsid w:val="005243FF"/>
    <w:rsid w:val="00534DDC"/>
    <w:rsid w:val="005362DA"/>
    <w:rsid w:val="00542764"/>
    <w:rsid w:val="005568B3"/>
    <w:rsid w:val="00564FBC"/>
    <w:rsid w:val="00570C81"/>
    <w:rsid w:val="00574FFA"/>
    <w:rsid w:val="00575108"/>
    <w:rsid w:val="005800BC"/>
    <w:rsid w:val="00582442"/>
    <w:rsid w:val="0058379F"/>
    <w:rsid w:val="005871C6"/>
    <w:rsid w:val="005B48A4"/>
    <w:rsid w:val="005C1330"/>
    <w:rsid w:val="005C3648"/>
    <w:rsid w:val="005C7799"/>
    <w:rsid w:val="005D0248"/>
    <w:rsid w:val="005D38C7"/>
    <w:rsid w:val="005D45F9"/>
    <w:rsid w:val="005F0F5C"/>
    <w:rsid w:val="005F3269"/>
    <w:rsid w:val="0060395E"/>
    <w:rsid w:val="006067A1"/>
    <w:rsid w:val="006129A9"/>
    <w:rsid w:val="0061343A"/>
    <w:rsid w:val="00613561"/>
    <w:rsid w:val="00623AE3"/>
    <w:rsid w:val="00625FD8"/>
    <w:rsid w:val="00626018"/>
    <w:rsid w:val="0062603A"/>
    <w:rsid w:val="00630C4D"/>
    <w:rsid w:val="00643C34"/>
    <w:rsid w:val="00644EC6"/>
    <w:rsid w:val="006460E4"/>
    <w:rsid w:val="0064737F"/>
    <w:rsid w:val="006535F1"/>
    <w:rsid w:val="0065557D"/>
    <w:rsid w:val="00660D50"/>
    <w:rsid w:val="00662984"/>
    <w:rsid w:val="00662B11"/>
    <w:rsid w:val="00670375"/>
    <w:rsid w:val="006716BB"/>
    <w:rsid w:val="00682BB4"/>
    <w:rsid w:val="0068318D"/>
    <w:rsid w:val="006B1859"/>
    <w:rsid w:val="006B6680"/>
    <w:rsid w:val="006B6DCC"/>
    <w:rsid w:val="006B77F1"/>
    <w:rsid w:val="006C1575"/>
    <w:rsid w:val="006C22E6"/>
    <w:rsid w:val="006C5ECF"/>
    <w:rsid w:val="006E1FFA"/>
    <w:rsid w:val="006E4418"/>
    <w:rsid w:val="006F51BE"/>
    <w:rsid w:val="006F7EF2"/>
    <w:rsid w:val="00702DEF"/>
    <w:rsid w:val="00703F88"/>
    <w:rsid w:val="00706861"/>
    <w:rsid w:val="0071314C"/>
    <w:rsid w:val="00714221"/>
    <w:rsid w:val="00717AD1"/>
    <w:rsid w:val="00720866"/>
    <w:rsid w:val="00722551"/>
    <w:rsid w:val="007236B6"/>
    <w:rsid w:val="00724C8A"/>
    <w:rsid w:val="00730279"/>
    <w:rsid w:val="0075051B"/>
    <w:rsid w:val="00761E2A"/>
    <w:rsid w:val="00770359"/>
    <w:rsid w:val="0077110E"/>
    <w:rsid w:val="00774D3D"/>
    <w:rsid w:val="0077652F"/>
    <w:rsid w:val="00782C30"/>
    <w:rsid w:val="00793188"/>
    <w:rsid w:val="00794D34"/>
    <w:rsid w:val="007A3FCD"/>
    <w:rsid w:val="007A7354"/>
    <w:rsid w:val="007B19CF"/>
    <w:rsid w:val="007C0614"/>
    <w:rsid w:val="007C13DC"/>
    <w:rsid w:val="007C2CD0"/>
    <w:rsid w:val="007C44AB"/>
    <w:rsid w:val="007D01AF"/>
    <w:rsid w:val="007D13C1"/>
    <w:rsid w:val="007D5349"/>
    <w:rsid w:val="007E061F"/>
    <w:rsid w:val="007F7254"/>
    <w:rsid w:val="00813E5E"/>
    <w:rsid w:val="0082448C"/>
    <w:rsid w:val="008269A8"/>
    <w:rsid w:val="00831B25"/>
    <w:rsid w:val="0083581B"/>
    <w:rsid w:val="00840405"/>
    <w:rsid w:val="00840F2F"/>
    <w:rsid w:val="00842316"/>
    <w:rsid w:val="00845411"/>
    <w:rsid w:val="00856E70"/>
    <w:rsid w:val="008613EC"/>
    <w:rsid w:val="00862CED"/>
    <w:rsid w:val="00863874"/>
    <w:rsid w:val="00864AFF"/>
    <w:rsid w:val="00865925"/>
    <w:rsid w:val="00865E3E"/>
    <w:rsid w:val="0088438E"/>
    <w:rsid w:val="00884F42"/>
    <w:rsid w:val="008952BF"/>
    <w:rsid w:val="008A16D5"/>
    <w:rsid w:val="008A2558"/>
    <w:rsid w:val="008A68BF"/>
    <w:rsid w:val="008B0E5B"/>
    <w:rsid w:val="008B4A6A"/>
    <w:rsid w:val="008C2AB5"/>
    <w:rsid w:val="008C40F1"/>
    <w:rsid w:val="008C741F"/>
    <w:rsid w:val="008C7E27"/>
    <w:rsid w:val="008D285B"/>
    <w:rsid w:val="008E506B"/>
    <w:rsid w:val="008F31B2"/>
    <w:rsid w:val="008F66AD"/>
    <w:rsid w:val="008F7448"/>
    <w:rsid w:val="00900F22"/>
    <w:rsid w:val="0090147A"/>
    <w:rsid w:val="0091495B"/>
    <w:rsid w:val="009173EF"/>
    <w:rsid w:val="0092193C"/>
    <w:rsid w:val="00925D53"/>
    <w:rsid w:val="00932906"/>
    <w:rsid w:val="0095165A"/>
    <w:rsid w:val="00954C66"/>
    <w:rsid w:val="00961B0B"/>
    <w:rsid w:val="00962D33"/>
    <w:rsid w:val="00962EAA"/>
    <w:rsid w:val="00966FFD"/>
    <w:rsid w:val="00980936"/>
    <w:rsid w:val="009A47C9"/>
    <w:rsid w:val="009A494D"/>
    <w:rsid w:val="009B365D"/>
    <w:rsid w:val="009B3840"/>
    <w:rsid w:val="009B38C3"/>
    <w:rsid w:val="009B6B07"/>
    <w:rsid w:val="009C3877"/>
    <w:rsid w:val="009C6B24"/>
    <w:rsid w:val="009D0B43"/>
    <w:rsid w:val="009D53E5"/>
    <w:rsid w:val="009D5C67"/>
    <w:rsid w:val="009E0A7A"/>
    <w:rsid w:val="009E17BD"/>
    <w:rsid w:val="009E41D7"/>
    <w:rsid w:val="009E485A"/>
    <w:rsid w:val="009E6AA7"/>
    <w:rsid w:val="009F0E4A"/>
    <w:rsid w:val="009F2CD9"/>
    <w:rsid w:val="009F2D4E"/>
    <w:rsid w:val="009F5E96"/>
    <w:rsid w:val="00A04CEC"/>
    <w:rsid w:val="00A0757A"/>
    <w:rsid w:val="00A07EE2"/>
    <w:rsid w:val="00A159A2"/>
    <w:rsid w:val="00A159F4"/>
    <w:rsid w:val="00A202C6"/>
    <w:rsid w:val="00A20485"/>
    <w:rsid w:val="00A23C23"/>
    <w:rsid w:val="00A27F92"/>
    <w:rsid w:val="00A32257"/>
    <w:rsid w:val="00A33051"/>
    <w:rsid w:val="00A36D20"/>
    <w:rsid w:val="00A44508"/>
    <w:rsid w:val="00A514A4"/>
    <w:rsid w:val="00A52921"/>
    <w:rsid w:val="00A55622"/>
    <w:rsid w:val="00A574A7"/>
    <w:rsid w:val="00A66ECF"/>
    <w:rsid w:val="00A71891"/>
    <w:rsid w:val="00A7366E"/>
    <w:rsid w:val="00A75A9E"/>
    <w:rsid w:val="00A75FC9"/>
    <w:rsid w:val="00A77523"/>
    <w:rsid w:val="00A83502"/>
    <w:rsid w:val="00A94BAB"/>
    <w:rsid w:val="00AA225A"/>
    <w:rsid w:val="00AA5340"/>
    <w:rsid w:val="00AB7BFF"/>
    <w:rsid w:val="00AC268B"/>
    <w:rsid w:val="00AC3DD9"/>
    <w:rsid w:val="00AC45DF"/>
    <w:rsid w:val="00AC6288"/>
    <w:rsid w:val="00AD15B3"/>
    <w:rsid w:val="00AD3438"/>
    <w:rsid w:val="00AD3606"/>
    <w:rsid w:val="00AD4A3D"/>
    <w:rsid w:val="00AD5956"/>
    <w:rsid w:val="00AD677D"/>
    <w:rsid w:val="00AD6F27"/>
    <w:rsid w:val="00AD7351"/>
    <w:rsid w:val="00AE1DAB"/>
    <w:rsid w:val="00AE6A83"/>
    <w:rsid w:val="00AF6E49"/>
    <w:rsid w:val="00B0118A"/>
    <w:rsid w:val="00B03B92"/>
    <w:rsid w:val="00B0458C"/>
    <w:rsid w:val="00B04A67"/>
    <w:rsid w:val="00B0583C"/>
    <w:rsid w:val="00B124AC"/>
    <w:rsid w:val="00B264E2"/>
    <w:rsid w:val="00B333A4"/>
    <w:rsid w:val="00B33BDB"/>
    <w:rsid w:val="00B34514"/>
    <w:rsid w:val="00B36510"/>
    <w:rsid w:val="00B3709F"/>
    <w:rsid w:val="00B377C1"/>
    <w:rsid w:val="00B40A81"/>
    <w:rsid w:val="00B44000"/>
    <w:rsid w:val="00B44910"/>
    <w:rsid w:val="00B51F6E"/>
    <w:rsid w:val="00B61DC3"/>
    <w:rsid w:val="00B65C56"/>
    <w:rsid w:val="00B71811"/>
    <w:rsid w:val="00B72267"/>
    <w:rsid w:val="00B76C94"/>
    <w:rsid w:val="00B76EB6"/>
    <w:rsid w:val="00B7737B"/>
    <w:rsid w:val="00B824C8"/>
    <w:rsid w:val="00B84B9D"/>
    <w:rsid w:val="00B87B0F"/>
    <w:rsid w:val="00B9131F"/>
    <w:rsid w:val="00B94D97"/>
    <w:rsid w:val="00BA39F4"/>
    <w:rsid w:val="00BA7300"/>
    <w:rsid w:val="00BB0646"/>
    <w:rsid w:val="00BC251A"/>
    <w:rsid w:val="00BC5C81"/>
    <w:rsid w:val="00BD032B"/>
    <w:rsid w:val="00BD09A1"/>
    <w:rsid w:val="00BD4226"/>
    <w:rsid w:val="00BD5A8F"/>
    <w:rsid w:val="00BD6084"/>
    <w:rsid w:val="00BE01C6"/>
    <w:rsid w:val="00BE2640"/>
    <w:rsid w:val="00BE58A0"/>
    <w:rsid w:val="00BF0531"/>
    <w:rsid w:val="00BF1FDE"/>
    <w:rsid w:val="00BF5F3D"/>
    <w:rsid w:val="00C01189"/>
    <w:rsid w:val="00C0458D"/>
    <w:rsid w:val="00C060E4"/>
    <w:rsid w:val="00C10E77"/>
    <w:rsid w:val="00C12956"/>
    <w:rsid w:val="00C14D97"/>
    <w:rsid w:val="00C300A2"/>
    <w:rsid w:val="00C374DE"/>
    <w:rsid w:val="00C47AD4"/>
    <w:rsid w:val="00C50D01"/>
    <w:rsid w:val="00C52D81"/>
    <w:rsid w:val="00C539EE"/>
    <w:rsid w:val="00C55198"/>
    <w:rsid w:val="00C6520B"/>
    <w:rsid w:val="00C80253"/>
    <w:rsid w:val="00C80929"/>
    <w:rsid w:val="00C82DE3"/>
    <w:rsid w:val="00CA00F7"/>
    <w:rsid w:val="00CA277C"/>
    <w:rsid w:val="00CA6393"/>
    <w:rsid w:val="00CA6F89"/>
    <w:rsid w:val="00CA7995"/>
    <w:rsid w:val="00CB18FF"/>
    <w:rsid w:val="00CC173F"/>
    <w:rsid w:val="00CD0C08"/>
    <w:rsid w:val="00CE03FB"/>
    <w:rsid w:val="00CE433C"/>
    <w:rsid w:val="00CF0161"/>
    <w:rsid w:val="00CF1104"/>
    <w:rsid w:val="00CF33F3"/>
    <w:rsid w:val="00CF4A2B"/>
    <w:rsid w:val="00CF5EB2"/>
    <w:rsid w:val="00CF7044"/>
    <w:rsid w:val="00D00A9B"/>
    <w:rsid w:val="00D024CA"/>
    <w:rsid w:val="00D047C8"/>
    <w:rsid w:val="00D04F43"/>
    <w:rsid w:val="00D055C6"/>
    <w:rsid w:val="00D06183"/>
    <w:rsid w:val="00D1390A"/>
    <w:rsid w:val="00D20257"/>
    <w:rsid w:val="00D22C42"/>
    <w:rsid w:val="00D231EC"/>
    <w:rsid w:val="00D329D7"/>
    <w:rsid w:val="00D43CED"/>
    <w:rsid w:val="00D44462"/>
    <w:rsid w:val="00D65041"/>
    <w:rsid w:val="00D65164"/>
    <w:rsid w:val="00D7162C"/>
    <w:rsid w:val="00D73229"/>
    <w:rsid w:val="00D75405"/>
    <w:rsid w:val="00D761D0"/>
    <w:rsid w:val="00D846EA"/>
    <w:rsid w:val="00D85022"/>
    <w:rsid w:val="00D90392"/>
    <w:rsid w:val="00D94A26"/>
    <w:rsid w:val="00DA34B6"/>
    <w:rsid w:val="00DB1936"/>
    <w:rsid w:val="00DB384B"/>
    <w:rsid w:val="00DB5133"/>
    <w:rsid w:val="00DC1A1D"/>
    <w:rsid w:val="00DC1B52"/>
    <w:rsid w:val="00DD11ED"/>
    <w:rsid w:val="00DE7ED7"/>
    <w:rsid w:val="00DF0189"/>
    <w:rsid w:val="00DF020D"/>
    <w:rsid w:val="00DF1B56"/>
    <w:rsid w:val="00DF1CE2"/>
    <w:rsid w:val="00DF226F"/>
    <w:rsid w:val="00DF26C9"/>
    <w:rsid w:val="00DF339C"/>
    <w:rsid w:val="00DF415F"/>
    <w:rsid w:val="00DF4465"/>
    <w:rsid w:val="00E03530"/>
    <w:rsid w:val="00E061F4"/>
    <w:rsid w:val="00E06FD5"/>
    <w:rsid w:val="00E10E80"/>
    <w:rsid w:val="00E124F0"/>
    <w:rsid w:val="00E2117D"/>
    <w:rsid w:val="00E227F3"/>
    <w:rsid w:val="00E31781"/>
    <w:rsid w:val="00E320BF"/>
    <w:rsid w:val="00E330CA"/>
    <w:rsid w:val="00E33A72"/>
    <w:rsid w:val="00E34AB3"/>
    <w:rsid w:val="00E36AE8"/>
    <w:rsid w:val="00E526FB"/>
    <w:rsid w:val="00E545C6"/>
    <w:rsid w:val="00E60F04"/>
    <w:rsid w:val="00E65B24"/>
    <w:rsid w:val="00E662F4"/>
    <w:rsid w:val="00E70E85"/>
    <w:rsid w:val="00E74BC2"/>
    <w:rsid w:val="00E854E4"/>
    <w:rsid w:val="00E86DBF"/>
    <w:rsid w:val="00E936FD"/>
    <w:rsid w:val="00E969AF"/>
    <w:rsid w:val="00EA188D"/>
    <w:rsid w:val="00EA47BA"/>
    <w:rsid w:val="00EB0D6F"/>
    <w:rsid w:val="00EB2232"/>
    <w:rsid w:val="00EB7D72"/>
    <w:rsid w:val="00EC139D"/>
    <w:rsid w:val="00EC2ECE"/>
    <w:rsid w:val="00EC5337"/>
    <w:rsid w:val="00EC6E07"/>
    <w:rsid w:val="00EC7860"/>
    <w:rsid w:val="00ED212A"/>
    <w:rsid w:val="00ED26AF"/>
    <w:rsid w:val="00ED4AE6"/>
    <w:rsid w:val="00EE49E8"/>
    <w:rsid w:val="00EE5270"/>
    <w:rsid w:val="00F03733"/>
    <w:rsid w:val="00F16BAB"/>
    <w:rsid w:val="00F2150A"/>
    <w:rsid w:val="00F215C9"/>
    <w:rsid w:val="00F231D8"/>
    <w:rsid w:val="00F379D7"/>
    <w:rsid w:val="00F41209"/>
    <w:rsid w:val="00F424DF"/>
    <w:rsid w:val="00F44C00"/>
    <w:rsid w:val="00F44D48"/>
    <w:rsid w:val="00F45D2C"/>
    <w:rsid w:val="00F46C5F"/>
    <w:rsid w:val="00F632C0"/>
    <w:rsid w:val="00F633B8"/>
    <w:rsid w:val="00F641E1"/>
    <w:rsid w:val="00F74E01"/>
    <w:rsid w:val="00F7687D"/>
    <w:rsid w:val="00F82535"/>
    <w:rsid w:val="00F830B5"/>
    <w:rsid w:val="00F87D0B"/>
    <w:rsid w:val="00F940F5"/>
    <w:rsid w:val="00F94A63"/>
    <w:rsid w:val="00F958C4"/>
    <w:rsid w:val="00F960CB"/>
    <w:rsid w:val="00F97A7B"/>
    <w:rsid w:val="00FA1C28"/>
    <w:rsid w:val="00FA2238"/>
    <w:rsid w:val="00FA38B7"/>
    <w:rsid w:val="00FB1279"/>
    <w:rsid w:val="00FB4328"/>
    <w:rsid w:val="00FB6B76"/>
    <w:rsid w:val="00FB7596"/>
    <w:rsid w:val="00FC54E9"/>
    <w:rsid w:val="00FC5C93"/>
    <w:rsid w:val="00FC5DBD"/>
    <w:rsid w:val="00FC7162"/>
    <w:rsid w:val="00FE3EEB"/>
    <w:rsid w:val="00FE4077"/>
    <w:rsid w:val="00FE500D"/>
    <w:rsid w:val="00FE6375"/>
    <w:rsid w:val="00FE77D2"/>
    <w:rsid w:val="00FF26C9"/>
    <w:rsid w:val="00FF39B1"/>
    <w:rsid w:val="00FF7225"/>
    <w:rsid w:val="04F56D55"/>
    <w:rsid w:val="0B9FFA41"/>
    <w:rsid w:val="0D2241F8"/>
    <w:rsid w:val="0D899B11"/>
    <w:rsid w:val="0DF46170"/>
    <w:rsid w:val="109481F4"/>
    <w:rsid w:val="11332A3A"/>
    <w:rsid w:val="123549AB"/>
    <w:rsid w:val="18291694"/>
    <w:rsid w:val="1B0BE370"/>
    <w:rsid w:val="1B709D95"/>
    <w:rsid w:val="1D683AC7"/>
    <w:rsid w:val="207F5F25"/>
    <w:rsid w:val="21FB3ED7"/>
    <w:rsid w:val="22358678"/>
    <w:rsid w:val="23138477"/>
    <w:rsid w:val="243E62AB"/>
    <w:rsid w:val="24B5EA5B"/>
    <w:rsid w:val="25A2ED44"/>
    <w:rsid w:val="265073A4"/>
    <w:rsid w:val="27E389CC"/>
    <w:rsid w:val="287157C1"/>
    <w:rsid w:val="2BCE4346"/>
    <w:rsid w:val="2FE6D671"/>
    <w:rsid w:val="2FEE238F"/>
    <w:rsid w:val="3146925F"/>
    <w:rsid w:val="369BA767"/>
    <w:rsid w:val="36BBCC6E"/>
    <w:rsid w:val="39561576"/>
    <w:rsid w:val="3A88633A"/>
    <w:rsid w:val="3ABA8CA0"/>
    <w:rsid w:val="3D3CF502"/>
    <w:rsid w:val="3FB337F7"/>
    <w:rsid w:val="403CC36E"/>
    <w:rsid w:val="4176772F"/>
    <w:rsid w:val="43193918"/>
    <w:rsid w:val="462071A7"/>
    <w:rsid w:val="4632FFA2"/>
    <w:rsid w:val="4741C026"/>
    <w:rsid w:val="48016157"/>
    <w:rsid w:val="4914089F"/>
    <w:rsid w:val="4AAD4E2B"/>
    <w:rsid w:val="4C08D1A1"/>
    <w:rsid w:val="51D2F7D7"/>
    <w:rsid w:val="52DDB316"/>
    <w:rsid w:val="54FE60DE"/>
    <w:rsid w:val="58F2220D"/>
    <w:rsid w:val="5B05E0AA"/>
    <w:rsid w:val="5CC40A15"/>
    <w:rsid w:val="5CE0934D"/>
    <w:rsid w:val="5D4848BA"/>
    <w:rsid w:val="61B0B8C5"/>
    <w:rsid w:val="62349809"/>
    <w:rsid w:val="639595F7"/>
    <w:rsid w:val="66494626"/>
    <w:rsid w:val="670429AB"/>
    <w:rsid w:val="69DDFE4A"/>
    <w:rsid w:val="70E2719F"/>
    <w:rsid w:val="716A54E0"/>
    <w:rsid w:val="753412BC"/>
    <w:rsid w:val="7563340B"/>
    <w:rsid w:val="777008A1"/>
    <w:rsid w:val="77BEFBBB"/>
    <w:rsid w:val="77C9D893"/>
    <w:rsid w:val="79E61112"/>
    <w:rsid w:val="7B53170A"/>
    <w:rsid w:val="7B730D47"/>
    <w:rsid w:val="7C334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E4E79937-4897-4F83-980E-E8219C2A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FootnoteTextChar">
    <w:name w:val="Footnote Text Char"/>
    <w:basedOn w:val="DefaultParagraphFont"/>
    <w:link w:val="FootnoteText"/>
    <w:uiPriority w:val="99"/>
    <w:rsid w:val="00862CED"/>
    <w:rPr>
      <w:rFonts w:ascii="Calibri" w:hAnsi="Calibri"/>
      <w:sz w:val="22"/>
      <w:lang w:val="en-GB" w:eastAsia="en-US"/>
    </w:rPr>
  </w:style>
  <w:style w:type="character" w:styleId="CommentReference">
    <w:name w:val="annotation reference"/>
    <w:basedOn w:val="DefaultParagraphFont"/>
    <w:uiPriority w:val="99"/>
    <w:semiHidden/>
    <w:unhideWhenUsed/>
    <w:rsid w:val="00862CED"/>
    <w:rPr>
      <w:sz w:val="16"/>
      <w:szCs w:val="16"/>
    </w:rPr>
  </w:style>
  <w:style w:type="paragraph" w:styleId="CommentText">
    <w:name w:val="annotation text"/>
    <w:basedOn w:val="Normal"/>
    <w:link w:val="CommentTextChar"/>
    <w:uiPriority w:val="99"/>
    <w:unhideWhenUsed/>
    <w:rsid w:val="00862CED"/>
    <w:rPr>
      <w:sz w:val="20"/>
    </w:rPr>
  </w:style>
  <w:style w:type="character" w:customStyle="1" w:styleId="CommentTextChar">
    <w:name w:val="Comment Text Char"/>
    <w:basedOn w:val="DefaultParagraphFont"/>
    <w:link w:val="CommentText"/>
    <w:uiPriority w:val="99"/>
    <w:rsid w:val="00862CED"/>
    <w:rPr>
      <w:rFonts w:ascii="Calibri" w:hAnsi="Calibri"/>
      <w:lang w:val="en-GB" w:eastAsia="en-US"/>
    </w:rPr>
  </w:style>
  <w:style w:type="paragraph" w:styleId="Revision">
    <w:name w:val="Revision"/>
    <w:hidden/>
    <w:uiPriority w:val="99"/>
    <w:semiHidden/>
    <w:rsid w:val="00662B11"/>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5D45F9"/>
    <w:rPr>
      <w:b/>
      <w:bCs/>
    </w:rPr>
  </w:style>
  <w:style w:type="character" w:customStyle="1" w:styleId="CommentSubjectChar">
    <w:name w:val="Comment Subject Char"/>
    <w:basedOn w:val="CommentTextChar"/>
    <w:link w:val="CommentSubject"/>
    <w:semiHidden/>
    <w:rsid w:val="005D45F9"/>
    <w:rPr>
      <w:rFonts w:ascii="Calibri" w:hAnsi="Calibri"/>
      <w:b/>
      <w:bCs/>
      <w:lang w:val="en-GB" w:eastAsia="en-US"/>
    </w:rPr>
  </w:style>
  <w:style w:type="paragraph" w:customStyle="1" w:styleId="FootnoteText10pt">
    <w:name w:val="Footnote Text + 10 pt"/>
    <w:basedOn w:val="FootnoteText"/>
    <w:rsid w:val="0084040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24420">
      <w:bodyDiv w:val="1"/>
      <w:marLeft w:val="0"/>
      <w:marRight w:val="0"/>
      <w:marTop w:val="0"/>
      <w:marBottom w:val="0"/>
      <w:divBdr>
        <w:top w:val="none" w:sz="0" w:space="0" w:color="auto"/>
        <w:left w:val="none" w:sz="0" w:space="0" w:color="auto"/>
        <w:bottom w:val="none" w:sz="0" w:space="0" w:color="auto"/>
        <w:right w:val="none" w:sz="0" w:space="0" w:color="auto"/>
      </w:divBdr>
    </w:div>
    <w:div w:id="14238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96/en" TargetMode="External"/><Relationship Id="rId21" Type="http://schemas.openxmlformats.org/officeDocument/2006/relationships/hyperlink" Target="https://www.itu.int/md/S17-CLCWGFHRM7-C-0010/en" TargetMode="External"/><Relationship Id="rId42" Type="http://schemas.openxmlformats.org/officeDocument/2006/relationships/hyperlink" Target="https://www.itu.int/md/S19-SG-CIR-0057/en" TargetMode="External"/><Relationship Id="rId47" Type="http://schemas.openxmlformats.org/officeDocument/2006/relationships/hyperlink" Target="https://www.itu.int/md/S21-DM-CIR-01016/en" TargetMode="External"/><Relationship Id="rId63" Type="http://schemas.openxmlformats.org/officeDocument/2006/relationships/hyperlink" Target="https://www.itu.int/md/S23-SG-CIR-0044/en" TargetMode="External"/><Relationship Id="rId68" Type="http://schemas.openxmlformats.org/officeDocument/2006/relationships/hyperlink" Target="https://www.itu.int/md/S25-CL-C-0029/en" TargetMode="External"/><Relationship Id="rId2" Type="http://schemas.openxmlformats.org/officeDocument/2006/relationships/customXml" Target="../customXml/item2.xml"/><Relationship Id="rId16" Type="http://schemas.openxmlformats.org/officeDocument/2006/relationships/hyperlink" Target="https://www.itu.int/md/S15-CL-C-0099/en" TargetMode="External"/><Relationship Id="rId29" Type="http://schemas.openxmlformats.org/officeDocument/2006/relationships/hyperlink" Target="https://www.itu.int/md/S18-CL-C-0005/en" TargetMode="External"/><Relationship Id="rId11" Type="http://schemas.openxmlformats.org/officeDocument/2006/relationships/hyperlink" Target="http://www.itu.int/md/S14-PP-C-0075/en" TargetMode="External"/><Relationship Id="rId24" Type="http://schemas.openxmlformats.org/officeDocument/2006/relationships/hyperlink" Target="https://www.itu.int/md/S17-CL-C-0076/en" TargetMode="External"/><Relationship Id="rId32" Type="http://schemas.openxmlformats.org/officeDocument/2006/relationships/hyperlink" Target="https://www.itu.int/md/S18-PP-C-0031/en" TargetMode="External"/><Relationship Id="rId37" Type="http://schemas.openxmlformats.org/officeDocument/2006/relationships/hyperlink" Target="https://www.itu.int/md/S18-PP-181029-TD-0018/en" TargetMode="External"/><Relationship Id="rId40" Type="http://schemas.openxmlformats.org/officeDocument/2006/relationships/hyperlink" Target="https://www.itu.int/md/S19-CL-C-0013/en" TargetMode="External"/><Relationship Id="rId45" Type="http://schemas.openxmlformats.org/officeDocument/2006/relationships/hyperlink" Target="https://www.itu.int/md/S21-CL-C-0004/en" TargetMode="External"/><Relationship Id="rId53" Type="http://schemas.openxmlformats.org/officeDocument/2006/relationships/hyperlink" Target="https://www.itu.int/md/S23-CL-C-0004/en" TargetMode="External"/><Relationship Id="rId58" Type="http://schemas.openxmlformats.org/officeDocument/2006/relationships/hyperlink" Target="https://www.itu.int/md/S23-C23ADD-C-0014/en" TargetMode="External"/><Relationship Id="rId66" Type="http://schemas.openxmlformats.org/officeDocument/2006/relationships/hyperlink" Target="https://www.itu.int/md/S24-CL-C-0004/en"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md/S24-CL-C-0113/en" TargetMode="External"/><Relationship Id="rId19" Type="http://schemas.openxmlformats.org/officeDocument/2006/relationships/hyperlink" Target="https://www.itu.int/md/S16-SG-CIR-0048/en" TargetMode="External"/><Relationship Id="rId14" Type="http://schemas.openxmlformats.org/officeDocument/2006/relationships/hyperlink" Target="http://www.itu.int/md/S14-PP-C-0175/en" TargetMode="External"/><Relationship Id="rId22" Type="http://schemas.openxmlformats.org/officeDocument/2006/relationships/hyperlink" Target="https://www.itu.int/md/S17-CL-INF-0006/en" TargetMode="External"/><Relationship Id="rId27" Type="http://schemas.openxmlformats.org/officeDocument/2006/relationships/hyperlink" Target="https://www.itu.int/md/S17-CL-170515-DL-0008/en" TargetMode="External"/><Relationship Id="rId30" Type="http://schemas.openxmlformats.org/officeDocument/2006/relationships/hyperlink" Target="https://www.itu.int/md/S18-CL-C-0050/en" TargetMode="External"/><Relationship Id="rId35" Type="http://schemas.openxmlformats.org/officeDocument/2006/relationships/hyperlink" Target="https://www.itu.int/md/S18-PP-C-0055/en" TargetMode="External"/><Relationship Id="rId43" Type="http://schemas.openxmlformats.org/officeDocument/2006/relationships/hyperlink" Target="https://www.itu.int/md/S20-CL-C-0004/en" TargetMode="External"/><Relationship Id="rId48" Type="http://schemas.openxmlformats.org/officeDocument/2006/relationships/hyperlink" Target="https://www.itu.int/md/S21-DM-CIR-01017/en" TargetMode="External"/><Relationship Id="rId56" Type="http://schemas.openxmlformats.org/officeDocument/2006/relationships/hyperlink" Target="https://www.itu.int/md/S24-SG-CIR-0011/en" TargetMode="External"/><Relationship Id="rId64" Type="http://schemas.openxmlformats.org/officeDocument/2006/relationships/hyperlink" Target="https://www.itu.int/md/S23-SG-CIR-0053/en" TargetMode="External"/><Relationship Id="rId69" Type="http://schemas.openxmlformats.org/officeDocument/2006/relationships/hyperlink" Target="https://www.itu.int/md/S25-CL-C-0050/en" TargetMode="External"/><Relationship Id="rId8" Type="http://schemas.openxmlformats.org/officeDocument/2006/relationships/webSettings" Target="webSettings.xml"/><Relationship Id="rId51" Type="http://schemas.openxmlformats.org/officeDocument/2006/relationships/hyperlink" Target="https://www.itu.int/md/S22-PP-C-0189/en"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itu.int/md/S14-PP-141020-TD-0066/en" TargetMode="External"/><Relationship Id="rId17" Type="http://schemas.openxmlformats.org/officeDocument/2006/relationships/hyperlink" Target="https://www.itu.int/md/S16-CL-C-0004/en" TargetMode="External"/><Relationship Id="rId25" Type="http://schemas.openxmlformats.org/officeDocument/2006/relationships/hyperlink" Target="https://www.itu.int/md/S17-CL-C-0078/en" TargetMode="External"/><Relationship Id="rId33" Type="http://schemas.openxmlformats.org/officeDocument/2006/relationships/hyperlink" Target="https://www.itu.int/md/S18-PP-C-0063/en" TargetMode="External"/><Relationship Id="rId38" Type="http://schemas.openxmlformats.org/officeDocument/2006/relationships/hyperlink" Target="https://www.itu.int/md/S18-PP-C-0155/en" TargetMode="External"/><Relationship Id="rId46" Type="http://schemas.openxmlformats.org/officeDocument/2006/relationships/hyperlink" Target="https://www.itu.int/md/S21-CL-C-0086/en" TargetMode="External"/><Relationship Id="rId59" Type="http://schemas.openxmlformats.org/officeDocument/2006/relationships/hyperlink" Target="https://www.itu.int/md/S24-CL-C-0004/en" TargetMode="External"/><Relationship Id="rId67" Type="http://schemas.openxmlformats.org/officeDocument/2006/relationships/hyperlink" Target="https://www.itu.int/md/S24-CL-C-0086/en" TargetMode="External"/><Relationship Id="rId20" Type="http://schemas.openxmlformats.org/officeDocument/2006/relationships/hyperlink" Target="https://www.itu.int/md/S17-SG-CIR-0007/en" TargetMode="External"/><Relationship Id="rId41" Type="http://schemas.openxmlformats.org/officeDocument/2006/relationships/hyperlink" Target="https://www.itu.int/md/S19-CL-C-0112/en" TargetMode="External"/><Relationship Id="rId54" Type="http://schemas.openxmlformats.org/officeDocument/2006/relationships/hyperlink" Target="https://www.itu.int/md/S23-CL-C-0084/en" TargetMode="External"/><Relationship Id="rId62" Type="http://schemas.openxmlformats.org/officeDocument/2006/relationships/hyperlink" Target="https://www.itu.int/md/S23-C23ADD-C-0014/en"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15-CL-C-0004/en" TargetMode="External"/><Relationship Id="rId23" Type="http://schemas.openxmlformats.org/officeDocument/2006/relationships/hyperlink" Target="https://www.itu.int/md/S17-CL-C-0004/en" TargetMode="External"/><Relationship Id="rId28" Type="http://schemas.openxmlformats.org/officeDocument/2006/relationships/hyperlink" Target="https://www.itu.int/md/S17-CL-C-0130/en" TargetMode="External"/><Relationship Id="rId36" Type="http://schemas.openxmlformats.org/officeDocument/2006/relationships/hyperlink" Target="https://www.itu.int/md/S18-PP-C-0072/en" TargetMode="External"/><Relationship Id="rId49" Type="http://schemas.openxmlformats.org/officeDocument/2006/relationships/hyperlink" Target="https://www.itu.int/md/S22-PP-C-0040/en" TargetMode="External"/><Relationship Id="rId57" Type="http://schemas.openxmlformats.org/officeDocument/2006/relationships/hyperlink" Target="https://www.itu.int/md/S24-CL-INF-0013/en" TargetMode="External"/><Relationship Id="rId10" Type="http://schemas.openxmlformats.org/officeDocument/2006/relationships/endnotes" Target="endnotes.xml"/><Relationship Id="rId31" Type="http://schemas.openxmlformats.org/officeDocument/2006/relationships/hyperlink" Target="https://www.itu.int/md/S18-CL-C-0109/en" TargetMode="External"/><Relationship Id="rId44" Type="http://schemas.openxmlformats.org/officeDocument/2006/relationships/hyperlink" Target="https://www.itu.int/md/S20-CL-INF-0008/en" TargetMode="External"/><Relationship Id="rId52" Type="http://schemas.openxmlformats.org/officeDocument/2006/relationships/hyperlink" Target="https://www.itu.int/md/S22-PP-C-0206/en" TargetMode="External"/><Relationship Id="rId60" Type="http://schemas.openxmlformats.org/officeDocument/2006/relationships/hyperlink" Target="https://www.itu.int/md/S24-CL-C-0086/en" TargetMode="External"/><Relationship Id="rId65" Type="http://schemas.openxmlformats.org/officeDocument/2006/relationships/hyperlink" Target="https://www.itu.int/md/S24-CL-C-0113/en"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md/S14-PP-C-0161/en" TargetMode="External"/><Relationship Id="rId18" Type="http://schemas.openxmlformats.org/officeDocument/2006/relationships/hyperlink" Target="https://www.itu.int/md/S16-CL-C-0120/en" TargetMode="External"/><Relationship Id="rId39" Type="http://schemas.openxmlformats.org/officeDocument/2006/relationships/hyperlink" Target="https://www.itu.int/md/S18-PP-C-0173/en" TargetMode="External"/><Relationship Id="rId34" Type="http://schemas.openxmlformats.org/officeDocument/2006/relationships/hyperlink" Target="https://www.itu.int/md/S18-PP-C-0068/en" TargetMode="External"/><Relationship Id="rId50" Type="http://schemas.openxmlformats.org/officeDocument/2006/relationships/hyperlink" Target="https://www.itu.int/net4/proposals/PP22/Detail/Index?idProposal=55" TargetMode="External"/><Relationship Id="rId55" Type="http://schemas.openxmlformats.org/officeDocument/2006/relationships/hyperlink" Target="https://www.itu.int/md/S23-CL-C-0107/en" TargetMode="External"/><Relationship Id="rId7" Type="http://schemas.openxmlformats.org/officeDocument/2006/relationships/settings" Target="settings.xml"/><Relationship Id="rId7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F2AC-2255-4DBF-9278-6619577B4509}">
  <ds:schemaRefs>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a1cf676c-2816-4389-ad5d-0f2e7c7e67c4"/>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B0A08D18-CAD6-4819-BA26-C700EA292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3414</Words>
  <Characters>19554</Characters>
  <Application>Microsoft Office Word</Application>
  <DocSecurity>0</DocSecurity>
  <Lines>325</Lines>
  <Paragraphs>106</Paragraphs>
  <ScaleCrop>false</ScaleCrop>
  <HeadingPairs>
    <vt:vector size="2" baseType="variant">
      <vt:variant>
        <vt:lpstr>Title</vt:lpstr>
      </vt:variant>
      <vt:variant>
        <vt:i4>1</vt:i4>
      </vt:variant>
    </vt:vector>
  </HeadingPairs>
  <TitlesOfParts>
    <vt:vector size="1" baseType="lpstr">
      <vt:lpstr>Preparations for the 2026 Plenipotentiary Conference</vt:lpstr>
    </vt:vector>
  </TitlesOfParts>
  <Manager>General Secretariat</Manager>
  <Company>International Telecommunication Union (ITU)</Company>
  <LinksUpToDate>false</LinksUpToDate>
  <CharactersWithSpaces>22910</CharactersWithSpaces>
  <SharedDoc>false</SharedDoc>
  <HLinks>
    <vt:vector size="366" baseType="variant">
      <vt:variant>
        <vt:i4>8257598</vt:i4>
      </vt:variant>
      <vt:variant>
        <vt:i4>177</vt:i4>
      </vt:variant>
      <vt:variant>
        <vt:i4>0</vt:i4>
      </vt:variant>
      <vt:variant>
        <vt:i4>5</vt:i4>
      </vt:variant>
      <vt:variant>
        <vt:lpwstr>https://www.itu.int/md/S25-CL-C-0029/en</vt:lpwstr>
      </vt:variant>
      <vt:variant>
        <vt:lpwstr/>
      </vt:variant>
      <vt:variant>
        <vt:i4>8257598</vt:i4>
      </vt:variant>
      <vt:variant>
        <vt:i4>174</vt:i4>
      </vt:variant>
      <vt:variant>
        <vt:i4>0</vt:i4>
      </vt:variant>
      <vt:variant>
        <vt:i4>5</vt:i4>
      </vt:variant>
      <vt:variant>
        <vt:lpwstr>https://www.itu.int/md/S25-CL-C-0029/en</vt:lpwstr>
      </vt:variant>
      <vt:variant>
        <vt:lpwstr/>
      </vt:variant>
      <vt:variant>
        <vt:i4>7340084</vt:i4>
      </vt:variant>
      <vt:variant>
        <vt:i4>171</vt:i4>
      </vt:variant>
      <vt:variant>
        <vt:i4>0</vt:i4>
      </vt:variant>
      <vt:variant>
        <vt:i4>5</vt:i4>
      </vt:variant>
      <vt:variant>
        <vt:lpwstr>https://www.itu.int/md/S24-CL-C-0086/en</vt:lpwstr>
      </vt:variant>
      <vt:variant>
        <vt:lpwstr/>
      </vt:variant>
      <vt:variant>
        <vt:i4>7471164</vt:i4>
      </vt:variant>
      <vt:variant>
        <vt:i4>168</vt:i4>
      </vt:variant>
      <vt:variant>
        <vt:i4>0</vt:i4>
      </vt:variant>
      <vt:variant>
        <vt:i4>5</vt:i4>
      </vt:variant>
      <vt:variant>
        <vt:lpwstr>https://www.itu.int/md/S24-CL-C-0004/en</vt:lpwstr>
      </vt:variant>
      <vt:variant>
        <vt:lpwstr/>
      </vt:variant>
      <vt:variant>
        <vt:i4>7602237</vt:i4>
      </vt:variant>
      <vt:variant>
        <vt:i4>165</vt:i4>
      </vt:variant>
      <vt:variant>
        <vt:i4>0</vt:i4>
      </vt:variant>
      <vt:variant>
        <vt:i4>5</vt:i4>
      </vt:variant>
      <vt:variant>
        <vt:lpwstr>https://www.itu.int/md/S24-CL-C-0113/en</vt:lpwstr>
      </vt:variant>
      <vt:variant>
        <vt:lpwstr/>
      </vt:variant>
      <vt:variant>
        <vt:i4>720960</vt:i4>
      </vt:variant>
      <vt:variant>
        <vt:i4>162</vt:i4>
      </vt:variant>
      <vt:variant>
        <vt:i4>0</vt:i4>
      </vt:variant>
      <vt:variant>
        <vt:i4>5</vt:i4>
      </vt:variant>
      <vt:variant>
        <vt:lpwstr>https://www.itu.int/md/S23-SG-CIR-0053/en</vt:lpwstr>
      </vt:variant>
      <vt:variant>
        <vt:lpwstr/>
      </vt:variant>
      <vt:variant>
        <vt:i4>786497</vt:i4>
      </vt:variant>
      <vt:variant>
        <vt:i4>159</vt:i4>
      </vt:variant>
      <vt:variant>
        <vt:i4>0</vt:i4>
      </vt:variant>
      <vt:variant>
        <vt:i4>5</vt:i4>
      </vt:variant>
      <vt:variant>
        <vt:lpwstr>https://www.itu.int/md/S23-SG-CIR-0044/en</vt:lpwstr>
      </vt:variant>
      <vt:variant>
        <vt:lpwstr/>
      </vt:variant>
      <vt:variant>
        <vt:i4>2228326</vt:i4>
      </vt:variant>
      <vt:variant>
        <vt:i4>156</vt:i4>
      </vt:variant>
      <vt:variant>
        <vt:i4>0</vt:i4>
      </vt:variant>
      <vt:variant>
        <vt:i4>5</vt:i4>
      </vt:variant>
      <vt:variant>
        <vt:lpwstr>https://www.itu.int/md/S23-C23ADD-C-0014/en</vt:lpwstr>
      </vt:variant>
      <vt:variant>
        <vt:lpwstr/>
      </vt:variant>
      <vt:variant>
        <vt:i4>7602237</vt:i4>
      </vt:variant>
      <vt:variant>
        <vt:i4>153</vt:i4>
      </vt:variant>
      <vt:variant>
        <vt:i4>0</vt:i4>
      </vt:variant>
      <vt:variant>
        <vt:i4>5</vt:i4>
      </vt:variant>
      <vt:variant>
        <vt:lpwstr>https://www.itu.int/md/S24-CL-C-0113/en</vt:lpwstr>
      </vt:variant>
      <vt:variant>
        <vt:lpwstr/>
      </vt:variant>
      <vt:variant>
        <vt:i4>7340084</vt:i4>
      </vt:variant>
      <vt:variant>
        <vt:i4>150</vt:i4>
      </vt:variant>
      <vt:variant>
        <vt:i4>0</vt:i4>
      </vt:variant>
      <vt:variant>
        <vt:i4>5</vt:i4>
      </vt:variant>
      <vt:variant>
        <vt:lpwstr>https://www.itu.int/md/S24-CL-C-0086/en</vt:lpwstr>
      </vt:variant>
      <vt:variant>
        <vt:lpwstr/>
      </vt:variant>
      <vt:variant>
        <vt:i4>7471164</vt:i4>
      </vt:variant>
      <vt:variant>
        <vt:i4>147</vt:i4>
      </vt:variant>
      <vt:variant>
        <vt:i4>0</vt:i4>
      </vt:variant>
      <vt:variant>
        <vt:i4>5</vt:i4>
      </vt:variant>
      <vt:variant>
        <vt:lpwstr>https://www.itu.int/md/S24-CL-C-0004/en</vt:lpwstr>
      </vt:variant>
      <vt:variant>
        <vt:lpwstr/>
      </vt:variant>
      <vt:variant>
        <vt:i4>2228326</vt:i4>
      </vt:variant>
      <vt:variant>
        <vt:i4>144</vt:i4>
      </vt:variant>
      <vt:variant>
        <vt:i4>0</vt:i4>
      </vt:variant>
      <vt:variant>
        <vt:i4>5</vt:i4>
      </vt:variant>
      <vt:variant>
        <vt:lpwstr>https://www.itu.int/md/S23-C23ADD-C-0014/en</vt:lpwstr>
      </vt:variant>
      <vt:variant>
        <vt:lpwstr/>
      </vt:variant>
      <vt:variant>
        <vt:i4>1769553</vt:i4>
      </vt:variant>
      <vt:variant>
        <vt:i4>141</vt:i4>
      </vt:variant>
      <vt:variant>
        <vt:i4>0</vt:i4>
      </vt:variant>
      <vt:variant>
        <vt:i4>5</vt:i4>
      </vt:variant>
      <vt:variant>
        <vt:lpwstr>https://www.itu.int/md/S24-CL-INF-0013/en</vt:lpwstr>
      </vt:variant>
      <vt:variant>
        <vt:lpwstr/>
      </vt:variant>
      <vt:variant>
        <vt:i4>917572</vt:i4>
      </vt:variant>
      <vt:variant>
        <vt:i4>138</vt:i4>
      </vt:variant>
      <vt:variant>
        <vt:i4>0</vt:i4>
      </vt:variant>
      <vt:variant>
        <vt:i4>5</vt:i4>
      </vt:variant>
      <vt:variant>
        <vt:lpwstr>https://www.itu.int/md/S24-SG-CIR-0011/en</vt:lpwstr>
      </vt:variant>
      <vt:variant>
        <vt:lpwstr/>
      </vt:variant>
      <vt:variant>
        <vt:i4>7798844</vt:i4>
      </vt:variant>
      <vt:variant>
        <vt:i4>135</vt:i4>
      </vt:variant>
      <vt:variant>
        <vt:i4>0</vt:i4>
      </vt:variant>
      <vt:variant>
        <vt:i4>5</vt:i4>
      </vt:variant>
      <vt:variant>
        <vt:lpwstr>https://www.itu.int/md/S23-CL-C-0107/en</vt:lpwstr>
      </vt:variant>
      <vt:variant>
        <vt:lpwstr/>
      </vt:variant>
      <vt:variant>
        <vt:i4>7667764</vt:i4>
      </vt:variant>
      <vt:variant>
        <vt:i4>132</vt:i4>
      </vt:variant>
      <vt:variant>
        <vt:i4>0</vt:i4>
      </vt:variant>
      <vt:variant>
        <vt:i4>5</vt:i4>
      </vt:variant>
      <vt:variant>
        <vt:lpwstr>https://www.itu.int/md/S23-CL-C-0084/en</vt:lpwstr>
      </vt:variant>
      <vt:variant>
        <vt:lpwstr/>
      </vt:variant>
      <vt:variant>
        <vt:i4>7667772</vt:i4>
      </vt:variant>
      <vt:variant>
        <vt:i4>129</vt:i4>
      </vt:variant>
      <vt:variant>
        <vt:i4>0</vt:i4>
      </vt:variant>
      <vt:variant>
        <vt:i4>5</vt:i4>
      </vt:variant>
      <vt:variant>
        <vt:lpwstr>https://www.itu.int/md/S23-CL-C-0004/en</vt:lpwstr>
      </vt:variant>
      <vt:variant>
        <vt:lpwstr/>
      </vt:variant>
      <vt:variant>
        <vt:i4>6750240</vt:i4>
      </vt:variant>
      <vt:variant>
        <vt:i4>126</vt:i4>
      </vt:variant>
      <vt:variant>
        <vt:i4>0</vt:i4>
      </vt:variant>
      <vt:variant>
        <vt:i4>5</vt:i4>
      </vt:variant>
      <vt:variant>
        <vt:lpwstr>https://www.itu.int/md/S22-PP-C-0206/en</vt:lpwstr>
      </vt:variant>
      <vt:variant>
        <vt:lpwstr/>
      </vt:variant>
      <vt:variant>
        <vt:i4>7012392</vt:i4>
      </vt:variant>
      <vt:variant>
        <vt:i4>123</vt:i4>
      </vt:variant>
      <vt:variant>
        <vt:i4>0</vt:i4>
      </vt:variant>
      <vt:variant>
        <vt:i4>5</vt:i4>
      </vt:variant>
      <vt:variant>
        <vt:lpwstr>https://www.itu.int/md/S22-PP-C-0189/en</vt:lpwstr>
      </vt:variant>
      <vt:variant>
        <vt:lpwstr/>
      </vt:variant>
      <vt:variant>
        <vt:i4>6291498</vt:i4>
      </vt:variant>
      <vt:variant>
        <vt:i4>120</vt:i4>
      </vt:variant>
      <vt:variant>
        <vt:i4>0</vt:i4>
      </vt:variant>
      <vt:variant>
        <vt:i4>5</vt:i4>
      </vt:variant>
      <vt:variant>
        <vt:lpwstr>https://www.itu.int/net4/proposals/PP22/Detail/Index?idProposal=55</vt:lpwstr>
      </vt:variant>
      <vt:variant>
        <vt:lpwstr/>
      </vt:variant>
      <vt:variant>
        <vt:i4>6488100</vt:i4>
      </vt:variant>
      <vt:variant>
        <vt:i4>117</vt:i4>
      </vt:variant>
      <vt:variant>
        <vt:i4>0</vt:i4>
      </vt:variant>
      <vt:variant>
        <vt:i4>5</vt:i4>
      </vt:variant>
      <vt:variant>
        <vt:lpwstr>https://www.itu.int/md/S22-PP-C-0040/en</vt:lpwstr>
      </vt:variant>
      <vt:variant>
        <vt:lpwstr/>
      </vt:variant>
      <vt:variant>
        <vt:i4>3735602</vt:i4>
      </vt:variant>
      <vt:variant>
        <vt:i4>114</vt:i4>
      </vt:variant>
      <vt:variant>
        <vt:i4>0</vt:i4>
      </vt:variant>
      <vt:variant>
        <vt:i4>5</vt:i4>
      </vt:variant>
      <vt:variant>
        <vt:lpwstr>https://www.itu.int/md/S21-DM-CIR-01017/en</vt:lpwstr>
      </vt:variant>
      <vt:variant>
        <vt:lpwstr/>
      </vt:variant>
      <vt:variant>
        <vt:i4>3735603</vt:i4>
      </vt:variant>
      <vt:variant>
        <vt:i4>111</vt:i4>
      </vt:variant>
      <vt:variant>
        <vt:i4>0</vt:i4>
      </vt:variant>
      <vt:variant>
        <vt:i4>5</vt:i4>
      </vt:variant>
      <vt:variant>
        <vt:lpwstr>https://www.itu.int/md/S21-DM-CIR-01016/en</vt:lpwstr>
      </vt:variant>
      <vt:variant>
        <vt:lpwstr/>
      </vt:variant>
      <vt:variant>
        <vt:i4>7667764</vt:i4>
      </vt:variant>
      <vt:variant>
        <vt:i4>108</vt:i4>
      </vt:variant>
      <vt:variant>
        <vt:i4>0</vt:i4>
      </vt:variant>
      <vt:variant>
        <vt:i4>5</vt:i4>
      </vt:variant>
      <vt:variant>
        <vt:lpwstr>https://www.itu.int/md/S21-CL-C-0086/en</vt:lpwstr>
      </vt:variant>
      <vt:variant>
        <vt:lpwstr/>
      </vt:variant>
      <vt:variant>
        <vt:i4>7798844</vt:i4>
      </vt:variant>
      <vt:variant>
        <vt:i4>105</vt:i4>
      </vt:variant>
      <vt:variant>
        <vt:i4>0</vt:i4>
      </vt:variant>
      <vt:variant>
        <vt:i4>5</vt:i4>
      </vt:variant>
      <vt:variant>
        <vt:lpwstr>https://www.itu.int/md/S21-CL-C-0004/en</vt:lpwstr>
      </vt:variant>
      <vt:variant>
        <vt:lpwstr/>
      </vt:variant>
      <vt:variant>
        <vt:i4>1310800</vt:i4>
      </vt:variant>
      <vt:variant>
        <vt:i4>102</vt:i4>
      </vt:variant>
      <vt:variant>
        <vt:i4>0</vt:i4>
      </vt:variant>
      <vt:variant>
        <vt:i4>5</vt:i4>
      </vt:variant>
      <vt:variant>
        <vt:lpwstr>https://www.itu.int/md/S20-CL-INF-0008/en</vt:lpwstr>
      </vt:variant>
      <vt:variant>
        <vt:lpwstr/>
      </vt:variant>
      <vt:variant>
        <vt:i4>7733308</vt:i4>
      </vt:variant>
      <vt:variant>
        <vt:i4>99</vt:i4>
      </vt:variant>
      <vt:variant>
        <vt:i4>0</vt:i4>
      </vt:variant>
      <vt:variant>
        <vt:i4>5</vt:i4>
      </vt:variant>
      <vt:variant>
        <vt:lpwstr>https://www.itu.int/md/S20-CL-C-0004/en</vt:lpwstr>
      </vt:variant>
      <vt:variant>
        <vt:lpwstr/>
      </vt:variant>
      <vt:variant>
        <vt:i4>327747</vt:i4>
      </vt:variant>
      <vt:variant>
        <vt:i4>96</vt:i4>
      </vt:variant>
      <vt:variant>
        <vt:i4>0</vt:i4>
      </vt:variant>
      <vt:variant>
        <vt:i4>5</vt:i4>
      </vt:variant>
      <vt:variant>
        <vt:lpwstr>https://www.itu.int/md/S19-SG-CIR-0057/en</vt:lpwstr>
      </vt:variant>
      <vt:variant>
        <vt:lpwstr/>
      </vt:variant>
      <vt:variant>
        <vt:i4>7864382</vt:i4>
      </vt:variant>
      <vt:variant>
        <vt:i4>93</vt:i4>
      </vt:variant>
      <vt:variant>
        <vt:i4>0</vt:i4>
      </vt:variant>
      <vt:variant>
        <vt:i4>5</vt:i4>
      </vt:variant>
      <vt:variant>
        <vt:lpwstr>https://www.itu.int/md/S19-CL-C-0112/en</vt:lpwstr>
      </vt:variant>
      <vt:variant>
        <vt:lpwstr/>
      </vt:variant>
      <vt:variant>
        <vt:i4>7864382</vt:i4>
      </vt:variant>
      <vt:variant>
        <vt:i4>90</vt:i4>
      </vt:variant>
      <vt:variant>
        <vt:i4>0</vt:i4>
      </vt:variant>
      <vt:variant>
        <vt:i4>5</vt:i4>
      </vt:variant>
      <vt:variant>
        <vt:lpwstr>https://www.itu.int/md/S19-CL-C-0013/en</vt:lpwstr>
      </vt:variant>
      <vt:variant>
        <vt:lpwstr/>
      </vt:variant>
      <vt:variant>
        <vt:i4>7012388</vt:i4>
      </vt:variant>
      <vt:variant>
        <vt:i4>87</vt:i4>
      </vt:variant>
      <vt:variant>
        <vt:i4>0</vt:i4>
      </vt:variant>
      <vt:variant>
        <vt:i4>5</vt:i4>
      </vt:variant>
      <vt:variant>
        <vt:lpwstr>https://www.itu.int/md/S18-PP-C-0173/en</vt:lpwstr>
      </vt:variant>
      <vt:variant>
        <vt:lpwstr/>
      </vt:variant>
      <vt:variant>
        <vt:i4>7143462</vt:i4>
      </vt:variant>
      <vt:variant>
        <vt:i4>84</vt:i4>
      </vt:variant>
      <vt:variant>
        <vt:i4>0</vt:i4>
      </vt:variant>
      <vt:variant>
        <vt:i4>5</vt:i4>
      </vt:variant>
      <vt:variant>
        <vt:lpwstr>https://www.itu.int/md/S18-PP-C-0155/en</vt:lpwstr>
      </vt:variant>
      <vt:variant>
        <vt:lpwstr/>
      </vt:variant>
      <vt:variant>
        <vt:i4>2359354</vt:i4>
      </vt:variant>
      <vt:variant>
        <vt:i4>81</vt:i4>
      </vt:variant>
      <vt:variant>
        <vt:i4>0</vt:i4>
      </vt:variant>
      <vt:variant>
        <vt:i4>5</vt:i4>
      </vt:variant>
      <vt:variant>
        <vt:lpwstr>https://www.itu.int/md/S18-PP-181029-TD-0018/en</vt:lpwstr>
      </vt:variant>
      <vt:variant>
        <vt:lpwstr/>
      </vt:variant>
      <vt:variant>
        <vt:i4>6160408</vt:i4>
      </vt:variant>
      <vt:variant>
        <vt:i4>78</vt:i4>
      </vt:variant>
      <vt:variant>
        <vt:i4>0</vt:i4>
      </vt:variant>
      <vt:variant>
        <vt:i4>5</vt:i4>
      </vt:variant>
      <vt:variant>
        <vt:lpwstr>https://www.itu.int/net4/proposals/PP18/Detail/Index?idProposal=48905</vt:lpwstr>
      </vt:variant>
      <vt:variant>
        <vt:lpwstr/>
      </vt:variant>
      <vt:variant>
        <vt:i4>5963796</vt:i4>
      </vt:variant>
      <vt:variant>
        <vt:i4>75</vt:i4>
      </vt:variant>
      <vt:variant>
        <vt:i4>0</vt:i4>
      </vt:variant>
      <vt:variant>
        <vt:i4>5</vt:i4>
      </vt:variant>
      <vt:variant>
        <vt:lpwstr>https://www.itu.int/net4/proposals/PP18/Detail/Index?idProposal=48559</vt:lpwstr>
      </vt:variant>
      <vt:variant>
        <vt:lpwstr/>
      </vt:variant>
      <vt:variant>
        <vt:i4>5898264</vt:i4>
      </vt:variant>
      <vt:variant>
        <vt:i4>72</vt:i4>
      </vt:variant>
      <vt:variant>
        <vt:i4>0</vt:i4>
      </vt:variant>
      <vt:variant>
        <vt:i4>5</vt:i4>
      </vt:variant>
      <vt:variant>
        <vt:lpwstr>https://www.itu.int/net4/proposals/PP18/Detail/Index?idProposal=48944</vt:lpwstr>
      </vt:variant>
      <vt:variant>
        <vt:lpwstr/>
      </vt:variant>
      <vt:variant>
        <vt:i4>5832727</vt:i4>
      </vt:variant>
      <vt:variant>
        <vt:i4>69</vt:i4>
      </vt:variant>
      <vt:variant>
        <vt:i4>0</vt:i4>
      </vt:variant>
      <vt:variant>
        <vt:i4>5</vt:i4>
      </vt:variant>
      <vt:variant>
        <vt:lpwstr>https://www.itu.int/net4/proposals/PP18/Detail/Index?idProposal=48675</vt:lpwstr>
      </vt:variant>
      <vt:variant>
        <vt:lpwstr/>
      </vt:variant>
      <vt:variant>
        <vt:i4>5963799</vt:i4>
      </vt:variant>
      <vt:variant>
        <vt:i4>66</vt:i4>
      </vt:variant>
      <vt:variant>
        <vt:i4>0</vt:i4>
      </vt:variant>
      <vt:variant>
        <vt:i4>5</vt:i4>
      </vt:variant>
      <vt:variant>
        <vt:lpwstr>https://www.itu.int/net4/proposals/PP18/Detail/Index?idProposal=48659</vt:lpwstr>
      </vt:variant>
      <vt:variant>
        <vt:lpwstr/>
      </vt:variant>
      <vt:variant>
        <vt:i4>6815776</vt:i4>
      </vt:variant>
      <vt:variant>
        <vt:i4>63</vt:i4>
      </vt:variant>
      <vt:variant>
        <vt:i4>0</vt:i4>
      </vt:variant>
      <vt:variant>
        <vt:i4>5</vt:i4>
      </vt:variant>
      <vt:variant>
        <vt:lpwstr>https://www.itu.int/md/S18-PP-C-0031/en</vt:lpwstr>
      </vt:variant>
      <vt:variant>
        <vt:lpwstr/>
      </vt:variant>
      <vt:variant>
        <vt:i4>7471167</vt:i4>
      </vt:variant>
      <vt:variant>
        <vt:i4>60</vt:i4>
      </vt:variant>
      <vt:variant>
        <vt:i4>0</vt:i4>
      </vt:variant>
      <vt:variant>
        <vt:i4>5</vt:i4>
      </vt:variant>
      <vt:variant>
        <vt:lpwstr>https://www.itu.int/md/S18-CL-C-0109/en</vt:lpwstr>
      </vt:variant>
      <vt:variant>
        <vt:lpwstr/>
      </vt:variant>
      <vt:variant>
        <vt:i4>7995450</vt:i4>
      </vt:variant>
      <vt:variant>
        <vt:i4>57</vt:i4>
      </vt:variant>
      <vt:variant>
        <vt:i4>0</vt:i4>
      </vt:variant>
      <vt:variant>
        <vt:i4>5</vt:i4>
      </vt:variant>
      <vt:variant>
        <vt:lpwstr>https://www.itu.int/md/S18-CL-C-0050/en</vt:lpwstr>
      </vt:variant>
      <vt:variant>
        <vt:lpwstr/>
      </vt:variant>
      <vt:variant>
        <vt:i4>8323135</vt:i4>
      </vt:variant>
      <vt:variant>
        <vt:i4>54</vt:i4>
      </vt:variant>
      <vt:variant>
        <vt:i4>0</vt:i4>
      </vt:variant>
      <vt:variant>
        <vt:i4>5</vt:i4>
      </vt:variant>
      <vt:variant>
        <vt:lpwstr>https://www.itu.int/md/S18-CL-C-0005/en</vt:lpwstr>
      </vt:variant>
      <vt:variant>
        <vt:lpwstr/>
      </vt:variant>
      <vt:variant>
        <vt:i4>7602236</vt:i4>
      </vt:variant>
      <vt:variant>
        <vt:i4>51</vt:i4>
      </vt:variant>
      <vt:variant>
        <vt:i4>0</vt:i4>
      </vt:variant>
      <vt:variant>
        <vt:i4>5</vt:i4>
      </vt:variant>
      <vt:variant>
        <vt:lpwstr>https://www.itu.int/md/S17-CL-C-0130/en</vt:lpwstr>
      </vt:variant>
      <vt:variant>
        <vt:lpwstr/>
      </vt:variant>
      <vt:variant>
        <vt:i4>3014701</vt:i4>
      </vt:variant>
      <vt:variant>
        <vt:i4>48</vt:i4>
      </vt:variant>
      <vt:variant>
        <vt:i4>0</vt:i4>
      </vt:variant>
      <vt:variant>
        <vt:i4>5</vt:i4>
      </vt:variant>
      <vt:variant>
        <vt:lpwstr>https://www.itu.int/md/S17-CL-170515-DL-0008/en</vt:lpwstr>
      </vt:variant>
      <vt:variant>
        <vt:lpwstr/>
      </vt:variant>
      <vt:variant>
        <vt:i4>7536694</vt:i4>
      </vt:variant>
      <vt:variant>
        <vt:i4>45</vt:i4>
      </vt:variant>
      <vt:variant>
        <vt:i4>0</vt:i4>
      </vt:variant>
      <vt:variant>
        <vt:i4>5</vt:i4>
      </vt:variant>
      <vt:variant>
        <vt:lpwstr>https://www.itu.int/md/S17-CL-C-0096/en</vt:lpwstr>
      </vt:variant>
      <vt:variant>
        <vt:lpwstr/>
      </vt:variant>
      <vt:variant>
        <vt:i4>8192056</vt:i4>
      </vt:variant>
      <vt:variant>
        <vt:i4>42</vt:i4>
      </vt:variant>
      <vt:variant>
        <vt:i4>0</vt:i4>
      </vt:variant>
      <vt:variant>
        <vt:i4>5</vt:i4>
      </vt:variant>
      <vt:variant>
        <vt:lpwstr>https://www.itu.int/md/S17-CL-C-0078/en</vt:lpwstr>
      </vt:variant>
      <vt:variant>
        <vt:lpwstr/>
      </vt:variant>
      <vt:variant>
        <vt:i4>7536696</vt:i4>
      </vt:variant>
      <vt:variant>
        <vt:i4>39</vt:i4>
      </vt:variant>
      <vt:variant>
        <vt:i4>0</vt:i4>
      </vt:variant>
      <vt:variant>
        <vt:i4>5</vt:i4>
      </vt:variant>
      <vt:variant>
        <vt:lpwstr>https://www.itu.int/md/S17-CL-C-0076/en</vt:lpwstr>
      </vt:variant>
      <vt:variant>
        <vt:lpwstr/>
      </vt:variant>
      <vt:variant>
        <vt:i4>7405631</vt:i4>
      </vt:variant>
      <vt:variant>
        <vt:i4>36</vt:i4>
      </vt:variant>
      <vt:variant>
        <vt:i4>0</vt:i4>
      </vt:variant>
      <vt:variant>
        <vt:i4>5</vt:i4>
      </vt:variant>
      <vt:variant>
        <vt:lpwstr>https://www.itu.int/md/S17-CL-C-0004/en</vt:lpwstr>
      </vt:variant>
      <vt:variant>
        <vt:lpwstr/>
      </vt:variant>
      <vt:variant>
        <vt:i4>1900627</vt:i4>
      </vt:variant>
      <vt:variant>
        <vt:i4>33</vt:i4>
      </vt:variant>
      <vt:variant>
        <vt:i4>0</vt:i4>
      </vt:variant>
      <vt:variant>
        <vt:i4>5</vt:i4>
      </vt:variant>
      <vt:variant>
        <vt:lpwstr>https://www.itu.int/md/S17-CL-INF-0006/en</vt:lpwstr>
      </vt:variant>
      <vt:variant>
        <vt:lpwstr/>
      </vt:variant>
      <vt:variant>
        <vt:i4>720966</vt:i4>
      </vt:variant>
      <vt:variant>
        <vt:i4>30</vt:i4>
      </vt:variant>
      <vt:variant>
        <vt:i4>0</vt:i4>
      </vt:variant>
      <vt:variant>
        <vt:i4>5</vt:i4>
      </vt:variant>
      <vt:variant>
        <vt:lpwstr>https://www.itu.int/md/S17-SG-CIR-0007/en</vt:lpwstr>
      </vt:variant>
      <vt:variant>
        <vt:lpwstr/>
      </vt:variant>
      <vt:variant>
        <vt:i4>7602282</vt:i4>
      </vt:variant>
      <vt:variant>
        <vt:i4>27</vt:i4>
      </vt:variant>
      <vt:variant>
        <vt:i4>0</vt:i4>
      </vt:variant>
      <vt:variant>
        <vt:i4>5</vt:i4>
      </vt:variant>
      <vt:variant>
        <vt:lpwstr>https://www.itu.int/md/S17-CLCWGFHRM7-C-0010/en</vt:lpwstr>
      </vt:variant>
      <vt:variant>
        <vt:lpwstr/>
      </vt:variant>
      <vt:variant>
        <vt:i4>327746</vt:i4>
      </vt:variant>
      <vt:variant>
        <vt:i4>24</vt:i4>
      </vt:variant>
      <vt:variant>
        <vt:i4>0</vt:i4>
      </vt:variant>
      <vt:variant>
        <vt:i4>5</vt:i4>
      </vt:variant>
      <vt:variant>
        <vt:lpwstr>https://www.itu.int/md/S16-SG-CIR-0048/en</vt:lpwstr>
      </vt:variant>
      <vt:variant>
        <vt:lpwstr/>
      </vt:variant>
      <vt:variant>
        <vt:i4>7667773</vt:i4>
      </vt:variant>
      <vt:variant>
        <vt:i4>21</vt:i4>
      </vt:variant>
      <vt:variant>
        <vt:i4>0</vt:i4>
      </vt:variant>
      <vt:variant>
        <vt:i4>5</vt:i4>
      </vt:variant>
      <vt:variant>
        <vt:lpwstr>https://www.itu.int/md/S16-CL-C-0120/en</vt:lpwstr>
      </vt:variant>
      <vt:variant>
        <vt:lpwstr/>
      </vt:variant>
      <vt:variant>
        <vt:i4>7340095</vt:i4>
      </vt:variant>
      <vt:variant>
        <vt:i4>18</vt:i4>
      </vt:variant>
      <vt:variant>
        <vt:i4>0</vt:i4>
      </vt:variant>
      <vt:variant>
        <vt:i4>5</vt:i4>
      </vt:variant>
      <vt:variant>
        <vt:lpwstr>https://www.itu.int/md/S16-CL-C-0004/en</vt:lpwstr>
      </vt:variant>
      <vt:variant>
        <vt:lpwstr/>
      </vt:variant>
      <vt:variant>
        <vt:i4>8257590</vt:i4>
      </vt:variant>
      <vt:variant>
        <vt:i4>15</vt:i4>
      </vt:variant>
      <vt:variant>
        <vt:i4>0</vt:i4>
      </vt:variant>
      <vt:variant>
        <vt:i4>5</vt:i4>
      </vt:variant>
      <vt:variant>
        <vt:lpwstr>https://www.itu.int/md/S15-CL-C-0099/en</vt:lpwstr>
      </vt:variant>
      <vt:variant>
        <vt:lpwstr/>
      </vt:variant>
      <vt:variant>
        <vt:i4>7536703</vt:i4>
      </vt:variant>
      <vt:variant>
        <vt:i4>12</vt:i4>
      </vt:variant>
      <vt:variant>
        <vt:i4>0</vt:i4>
      </vt:variant>
      <vt:variant>
        <vt:i4>5</vt:i4>
      </vt:variant>
      <vt:variant>
        <vt:lpwstr>https://www.itu.int/md/S15-CL-C-0004/en</vt:lpwstr>
      </vt:variant>
      <vt:variant>
        <vt:lpwstr/>
      </vt:variant>
      <vt:variant>
        <vt:i4>2162809</vt:i4>
      </vt:variant>
      <vt:variant>
        <vt:i4>9</vt:i4>
      </vt:variant>
      <vt:variant>
        <vt:i4>0</vt:i4>
      </vt:variant>
      <vt:variant>
        <vt:i4>5</vt:i4>
      </vt:variant>
      <vt:variant>
        <vt:lpwstr>http://www.itu.int/md/S14-PP-C-0175/en</vt:lpwstr>
      </vt:variant>
      <vt:variant>
        <vt:lpwstr/>
      </vt:variant>
      <vt:variant>
        <vt:i4>2097277</vt:i4>
      </vt:variant>
      <vt:variant>
        <vt:i4>6</vt:i4>
      </vt:variant>
      <vt:variant>
        <vt:i4>0</vt:i4>
      </vt:variant>
      <vt:variant>
        <vt:i4>5</vt:i4>
      </vt:variant>
      <vt:variant>
        <vt:lpwstr>http://www.itu.int/md/S14-PP-C-0161/en</vt:lpwstr>
      </vt:variant>
      <vt:variant>
        <vt:lpwstr/>
      </vt:variant>
      <vt:variant>
        <vt:i4>2293821</vt:i4>
      </vt:variant>
      <vt:variant>
        <vt:i4>3</vt:i4>
      </vt:variant>
      <vt:variant>
        <vt:i4>0</vt:i4>
      </vt:variant>
      <vt:variant>
        <vt:i4>5</vt:i4>
      </vt:variant>
      <vt:variant>
        <vt:lpwstr>https://www.itu.int/md/S14-PP-141020-TD-0066/en</vt:lpwstr>
      </vt:variant>
      <vt:variant>
        <vt:lpwstr/>
      </vt:variant>
      <vt:variant>
        <vt:i4>1900573</vt:i4>
      </vt:variant>
      <vt:variant>
        <vt:i4>0</vt:i4>
      </vt:variant>
      <vt:variant>
        <vt:i4>0</vt:i4>
      </vt:variant>
      <vt:variant>
        <vt:i4>5</vt:i4>
      </vt:variant>
      <vt:variant>
        <vt:lpwstr>https://www.itu.int/net4/proposals/PP14/Main/GetDocument?idProposal=14954&amp;isSub=false&amp;codeLang=E</vt:lpwstr>
      </vt:variant>
      <vt:variant>
        <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2026 Plenipotentiary Conference</dc:title>
  <dc:subject>Council 2025</dc:subject>
  <cp:keywords>C25; C2025; Council 2025; ITU160</cp:keywords>
  <dc:description/>
  <cp:lastPrinted>2000-07-18T13:30:00Z</cp:lastPrinted>
  <dcterms:created xsi:type="dcterms:W3CDTF">2025-05-22T09:52:00Z</dcterms:created>
  <dcterms:modified xsi:type="dcterms:W3CDTF">2025-05-23T08:43:00Z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