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BA2354" w:rsidRPr="00B74B02" w14:paraId="3D87C76E" w14:textId="77777777" w:rsidTr="00D72F49">
        <w:trPr>
          <w:cantSplit/>
          <w:trHeight w:val="23"/>
        </w:trPr>
        <w:tc>
          <w:tcPr>
            <w:tcW w:w="3969" w:type="dxa"/>
            <w:vMerge w:val="restart"/>
            <w:tcMar>
              <w:left w:w="0" w:type="dxa"/>
            </w:tcMar>
          </w:tcPr>
          <w:p w14:paraId="2063E997" w14:textId="77BD9790" w:rsidR="00BA2354" w:rsidRPr="00B74B02" w:rsidRDefault="00BA2354" w:rsidP="00BA2354">
            <w:pPr>
              <w:tabs>
                <w:tab w:val="left" w:pos="851"/>
              </w:tabs>
              <w:spacing w:before="0" w:line="240" w:lineRule="atLeast"/>
              <w:rPr>
                <w:b/>
              </w:rPr>
            </w:pPr>
            <w:r w:rsidRPr="00B74B02">
              <w:rPr>
                <w:b/>
              </w:rPr>
              <w:t>Point de l'ordre du jour: PL 3</w:t>
            </w:r>
          </w:p>
        </w:tc>
        <w:tc>
          <w:tcPr>
            <w:tcW w:w="5245" w:type="dxa"/>
          </w:tcPr>
          <w:p w14:paraId="3404F716" w14:textId="461C19B2" w:rsidR="00BA2354" w:rsidRPr="00B74B02" w:rsidRDefault="00BA2354" w:rsidP="00BA2354">
            <w:pPr>
              <w:tabs>
                <w:tab w:val="left" w:pos="851"/>
              </w:tabs>
              <w:spacing w:before="0" w:line="240" w:lineRule="atLeast"/>
              <w:jc w:val="right"/>
              <w:rPr>
                <w:b/>
              </w:rPr>
            </w:pPr>
            <w:r w:rsidRPr="00B74B02">
              <w:rPr>
                <w:b/>
              </w:rPr>
              <w:t>Document C25/3-F</w:t>
            </w:r>
          </w:p>
        </w:tc>
      </w:tr>
      <w:tr w:rsidR="00BA2354" w:rsidRPr="00B74B02" w14:paraId="1EFBD306" w14:textId="77777777" w:rsidTr="00D72F49">
        <w:trPr>
          <w:cantSplit/>
        </w:trPr>
        <w:tc>
          <w:tcPr>
            <w:tcW w:w="3969" w:type="dxa"/>
            <w:vMerge/>
          </w:tcPr>
          <w:p w14:paraId="1CFAA8E5" w14:textId="77777777" w:rsidR="00BA2354" w:rsidRPr="00B74B02" w:rsidRDefault="00BA2354" w:rsidP="00BA2354">
            <w:pPr>
              <w:tabs>
                <w:tab w:val="left" w:pos="851"/>
              </w:tabs>
              <w:spacing w:line="240" w:lineRule="atLeast"/>
              <w:rPr>
                <w:b/>
              </w:rPr>
            </w:pPr>
          </w:p>
        </w:tc>
        <w:tc>
          <w:tcPr>
            <w:tcW w:w="5245" w:type="dxa"/>
          </w:tcPr>
          <w:p w14:paraId="572E1C2D" w14:textId="4CEDDD5F" w:rsidR="00BA2354" w:rsidRPr="00B74B02" w:rsidRDefault="00C81346" w:rsidP="00BA2354">
            <w:pPr>
              <w:tabs>
                <w:tab w:val="left" w:pos="851"/>
              </w:tabs>
              <w:spacing w:before="0"/>
              <w:jc w:val="right"/>
              <w:rPr>
                <w:b/>
              </w:rPr>
            </w:pPr>
            <w:r w:rsidRPr="00B74B02">
              <w:rPr>
                <w:b/>
              </w:rPr>
              <w:t>1er mai</w:t>
            </w:r>
            <w:r w:rsidR="00BA2354" w:rsidRPr="00B74B02">
              <w:rPr>
                <w:b/>
              </w:rPr>
              <w:t xml:space="preserve"> 2025</w:t>
            </w:r>
          </w:p>
        </w:tc>
      </w:tr>
      <w:tr w:rsidR="00BA2354" w:rsidRPr="00B74B02" w14:paraId="22F398B0" w14:textId="77777777" w:rsidTr="00D72F49">
        <w:trPr>
          <w:cantSplit/>
          <w:trHeight w:val="23"/>
        </w:trPr>
        <w:tc>
          <w:tcPr>
            <w:tcW w:w="3969" w:type="dxa"/>
            <w:vMerge/>
          </w:tcPr>
          <w:p w14:paraId="3DDB5D81" w14:textId="77777777" w:rsidR="00BA2354" w:rsidRPr="00B74B02" w:rsidRDefault="00BA2354" w:rsidP="00BA2354">
            <w:pPr>
              <w:tabs>
                <w:tab w:val="left" w:pos="851"/>
              </w:tabs>
              <w:spacing w:line="240" w:lineRule="atLeast"/>
              <w:rPr>
                <w:b/>
              </w:rPr>
            </w:pPr>
          </w:p>
        </w:tc>
        <w:tc>
          <w:tcPr>
            <w:tcW w:w="5245" w:type="dxa"/>
          </w:tcPr>
          <w:p w14:paraId="239EECEA" w14:textId="616BF5A7" w:rsidR="00BA2354" w:rsidRPr="00B74B02" w:rsidRDefault="00BA2354" w:rsidP="00BA2354">
            <w:pPr>
              <w:tabs>
                <w:tab w:val="left" w:pos="851"/>
              </w:tabs>
              <w:spacing w:before="0" w:line="240" w:lineRule="atLeast"/>
              <w:jc w:val="right"/>
              <w:rPr>
                <w:b/>
              </w:rPr>
            </w:pPr>
            <w:r w:rsidRPr="00B74B02">
              <w:rPr>
                <w:b/>
              </w:rPr>
              <w:t>Original: anglais</w:t>
            </w:r>
          </w:p>
        </w:tc>
      </w:tr>
      <w:tr w:rsidR="00D72F49" w:rsidRPr="00B74B02" w14:paraId="20CCCF85" w14:textId="77777777" w:rsidTr="00D72F49">
        <w:trPr>
          <w:cantSplit/>
          <w:trHeight w:val="23"/>
        </w:trPr>
        <w:tc>
          <w:tcPr>
            <w:tcW w:w="3969" w:type="dxa"/>
          </w:tcPr>
          <w:p w14:paraId="76355CF2" w14:textId="77777777" w:rsidR="00D72F49" w:rsidRPr="00B74B02" w:rsidRDefault="00D72F49" w:rsidP="00D72F49">
            <w:pPr>
              <w:tabs>
                <w:tab w:val="left" w:pos="851"/>
              </w:tabs>
              <w:spacing w:line="240" w:lineRule="atLeast"/>
              <w:rPr>
                <w:b/>
              </w:rPr>
            </w:pPr>
          </w:p>
        </w:tc>
        <w:tc>
          <w:tcPr>
            <w:tcW w:w="5245" w:type="dxa"/>
          </w:tcPr>
          <w:p w14:paraId="783B94EA" w14:textId="77777777" w:rsidR="00D72F49" w:rsidRPr="00B74B02" w:rsidRDefault="00D72F49" w:rsidP="00D72F49">
            <w:pPr>
              <w:tabs>
                <w:tab w:val="left" w:pos="851"/>
              </w:tabs>
              <w:spacing w:before="0" w:line="240" w:lineRule="atLeast"/>
              <w:jc w:val="right"/>
              <w:rPr>
                <w:b/>
              </w:rPr>
            </w:pPr>
          </w:p>
        </w:tc>
      </w:tr>
      <w:tr w:rsidR="00D72F49" w:rsidRPr="00B74B02" w14:paraId="34764274" w14:textId="77777777" w:rsidTr="00D72F49">
        <w:trPr>
          <w:cantSplit/>
        </w:trPr>
        <w:tc>
          <w:tcPr>
            <w:tcW w:w="9214" w:type="dxa"/>
            <w:gridSpan w:val="2"/>
            <w:tcMar>
              <w:left w:w="0" w:type="dxa"/>
            </w:tcMar>
          </w:tcPr>
          <w:p w14:paraId="6C41D431" w14:textId="77777777" w:rsidR="00D72F49" w:rsidRPr="00B74B02" w:rsidRDefault="00D72F49" w:rsidP="00D72F49">
            <w:pPr>
              <w:pStyle w:val="Source"/>
              <w:jc w:val="left"/>
              <w:rPr>
                <w:sz w:val="34"/>
                <w:szCs w:val="34"/>
              </w:rPr>
            </w:pPr>
            <w:r w:rsidRPr="00B74B02">
              <w:rPr>
                <w:rFonts w:cstheme="minorHAnsi"/>
                <w:color w:val="000000"/>
                <w:sz w:val="34"/>
                <w:szCs w:val="34"/>
              </w:rPr>
              <w:t xml:space="preserve">Rapport </w:t>
            </w:r>
            <w:r w:rsidR="00E95647" w:rsidRPr="00B74B02">
              <w:rPr>
                <w:rFonts w:cstheme="minorHAnsi"/>
                <w:color w:val="000000"/>
                <w:sz w:val="34"/>
                <w:szCs w:val="34"/>
              </w:rPr>
              <w:t xml:space="preserve">de la </w:t>
            </w:r>
            <w:r w:rsidRPr="00B74B02">
              <w:rPr>
                <w:rFonts w:cstheme="minorHAnsi"/>
                <w:color w:val="000000"/>
                <w:sz w:val="34"/>
                <w:szCs w:val="34"/>
              </w:rPr>
              <w:t>Secrétaire général</w:t>
            </w:r>
            <w:r w:rsidR="00E95647" w:rsidRPr="00B74B02">
              <w:rPr>
                <w:rFonts w:cstheme="minorHAnsi"/>
                <w:color w:val="000000"/>
                <w:sz w:val="34"/>
                <w:szCs w:val="34"/>
              </w:rPr>
              <w:t>e</w:t>
            </w:r>
          </w:p>
        </w:tc>
      </w:tr>
      <w:tr w:rsidR="00D72F49" w:rsidRPr="00B74B02" w14:paraId="2EA939B0" w14:textId="77777777" w:rsidTr="00D72F49">
        <w:trPr>
          <w:cantSplit/>
        </w:trPr>
        <w:tc>
          <w:tcPr>
            <w:tcW w:w="9214" w:type="dxa"/>
            <w:gridSpan w:val="2"/>
            <w:tcMar>
              <w:left w:w="0" w:type="dxa"/>
            </w:tcMar>
          </w:tcPr>
          <w:p w14:paraId="37E03049" w14:textId="6458EC4B" w:rsidR="00D72F49" w:rsidRPr="00B74B02" w:rsidRDefault="001C68AA" w:rsidP="00D72F49">
            <w:pPr>
              <w:pStyle w:val="Subtitle"/>
              <w:framePr w:hSpace="0" w:wrap="auto" w:hAnchor="text" w:xAlign="left" w:yAlign="inline"/>
              <w:rPr>
                <w:sz w:val="32"/>
                <w:szCs w:val="32"/>
                <w:lang w:val="fr-FR"/>
              </w:rPr>
            </w:pPr>
            <w:bookmarkStart w:id="0" w:name="_Hlk90471971"/>
            <w:r w:rsidRPr="00B74B02">
              <w:rPr>
                <w:lang w:val="fr-FR"/>
              </w:rPr>
              <w:t>RÉSOLUTIONS ET DÉCISIONS DU CONSEIL DEVENUES CADUQUES</w:t>
            </w:r>
            <w:bookmarkEnd w:id="0"/>
          </w:p>
        </w:tc>
      </w:tr>
      <w:tr w:rsidR="00D72F49" w:rsidRPr="00B74B02" w14:paraId="29554F6B" w14:textId="77777777" w:rsidTr="00D72F49">
        <w:trPr>
          <w:cantSplit/>
        </w:trPr>
        <w:tc>
          <w:tcPr>
            <w:tcW w:w="9214" w:type="dxa"/>
            <w:gridSpan w:val="2"/>
            <w:tcBorders>
              <w:top w:val="single" w:sz="4" w:space="0" w:color="auto"/>
              <w:bottom w:val="single" w:sz="4" w:space="0" w:color="auto"/>
            </w:tcBorders>
            <w:tcMar>
              <w:left w:w="0" w:type="dxa"/>
            </w:tcMar>
          </w:tcPr>
          <w:p w14:paraId="2D16CE42" w14:textId="77777777" w:rsidR="00D72F49" w:rsidRPr="00B74B02" w:rsidRDefault="00F37FE5" w:rsidP="00D72F49">
            <w:pPr>
              <w:spacing w:before="160"/>
              <w:rPr>
                <w:b/>
                <w:bCs/>
                <w:sz w:val="26"/>
                <w:szCs w:val="26"/>
              </w:rPr>
            </w:pPr>
            <w:r w:rsidRPr="00B74B02">
              <w:rPr>
                <w:b/>
                <w:bCs/>
                <w:sz w:val="26"/>
                <w:szCs w:val="26"/>
              </w:rPr>
              <w:t>Objet</w:t>
            </w:r>
          </w:p>
          <w:p w14:paraId="5EF39217" w14:textId="0D7E4B6F" w:rsidR="00D72F49" w:rsidRPr="00B74B02" w:rsidRDefault="00BA2354" w:rsidP="00D72F49">
            <w:r w:rsidRPr="00B74B02">
              <w:t>Après chaque session ordinaire du Conseil de l'UIT, il convient d'abroger et, par conséquent, de supprimer du recueil des Résolutions et Décisions du Conseil celles qui ont été mises en œuvre ou qui sont devenues caduques.</w:t>
            </w:r>
          </w:p>
          <w:p w14:paraId="41386D93" w14:textId="77777777" w:rsidR="00D72F49" w:rsidRPr="00B74B02" w:rsidRDefault="00D72F49" w:rsidP="00D72F49">
            <w:pPr>
              <w:spacing w:before="160"/>
              <w:rPr>
                <w:b/>
                <w:bCs/>
                <w:sz w:val="26"/>
                <w:szCs w:val="26"/>
              </w:rPr>
            </w:pPr>
            <w:r w:rsidRPr="00B74B02">
              <w:rPr>
                <w:b/>
                <w:bCs/>
                <w:sz w:val="26"/>
                <w:szCs w:val="26"/>
              </w:rPr>
              <w:t>Suite à donner par le Conseil</w:t>
            </w:r>
          </w:p>
          <w:p w14:paraId="2CD0657D" w14:textId="42D3A783" w:rsidR="00D72F49" w:rsidRPr="00B74B02" w:rsidRDefault="00BA2354" w:rsidP="00D72F49">
            <w:r w:rsidRPr="00B74B02">
              <w:t xml:space="preserve">Le Conseil est invité à </w:t>
            </w:r>
            <w:r w:rsidRPr="00B74B02">
              <w:rPr>
                <w:b/>
              </w:rPr>
              <w:t>examiner</w:t>
            </w:r>
            <w:r w:rsidRPr="00B74B02">
              <w:t xml:space="preserve"> et à </w:t>
            </w:r>
            <w:r w:rsidRPr="00B74B02">
              <w:rPr>
                <w:b/>
              </w:rPr>
              <w:t>approuver</w:t>
            </w:r>
            <w:r w:rsidRPr="00B74B02">
              <w:t xml:space="preserve"> la liste proposée des Résolutions et Décisions qui devraient être abrogées, et donc supprimées du recueil.</w:t>
            </w:r>
          </w:p>
          <w:p w14:paraId="51D23205" w14:textId="55A9E309" w:rsidR="00D72F49" w:rsidRPr="00B74B02" w:rsidRDefault="00D72F49" w:rsidP="00D72F49">
            <w:pPr>
              <w:spacing w:before="160"/>
              <w:rPr>
                <w:b/>
                <w:bCs/>
                <w:sz w:val="26"/>
                <w:szCs w:val="26"/>
              </w:rPr>
            </w:pPr>
            <w:r w:rsidRPr="00B74B02">
              <w:rPr>
                <w:b/>
                <w:bCs/>
                <w:sz w:val="26"/>
                <w:szCs w:val="26"/>
              </w:rPr>
              <w:t xml:space="preserve">Lien pertinent avec le </w:t>
            </w:r>
            <w:r w:rsidR="00F37FE5" w:rsidRPr="00B74B02">
              <w:rPr>
                <w:b/>
                <w:bCs/>
                <w:sz w:val="26"/>
                <w:szCs w:val="26"/>
              </w:rPr>
              <w:t>p</w:t>
            </w:r>
            <w:r w:rsidRPr="00B74B02">
              <w:rPr>
                <w:b/>
                <w:bCs/>
                <w:sz w:val="26"/>
                <w:szCs w:val="26"/>
              </w:rPr>
              <w:t>lan stratégique</w:t>
            </w:r>
          </w:p>
          <w:p w14:paraId="07D5B9D8" w14:textId="689B240A" w:rsidR="00D72F49" w:rsidRPr="00B74B02" w:rsidRDefault="00BA2354" w:rsidP="00D72F49">
            <w:r w:rsidRPr="00B74B02">
              <w:t>Sans objet.</w:t>
            </w:r>
          </w:p>
          <w:p w14:paraId="2D4746A5" w14:textId="77777777" w:rsidR="00E95647" w:rsidRPr="00B74B02" w:rsidRDefault="00D72F49" w:rsidP="00D72F49">
            <w:pPr>
              <w:spacing w:before="160"/>
              <w:rPr>
                <w:b/>
                <w:bCs/>
                <w:sz w:val="26"/>
                <w:szCs w:val="26"/>
              </w:rPr>
            </w:pPr>
            <w:r w:rsidRPr="00B74B02">
              <w:rPr>
                <w:b/>
                <w:bCs/>
                <w:sz w:val="26"/>
                <w:szCs w:val="26"/>
              </w:rPr>
              <w:t>Incidences financières</w:t>
            </w:r>
          </w:p>
          <w:p w14:paraId="226E041B" w14:textId="6D073186" w:rsidR="00D72F49" w:rsidRPr="00B74B02" w:rsidRDefault="00BA2354" w:rsidP="00882919">
            <w:pPr>
              <w:rPr>
                <w:szCs w:val="24"/>
              </w:rPr>
            </w:pPr>
            <w:r w:rsidRPr="00B74B02">
              <w:rPr>
                <w:bCs/>
                <w:szCs w:val="24"/>
              </w:rPr>
              <w:t>Dans les limites du budget alloué pour 2024-2025.</w:t>
            </w:r>
          </w:p>
          <w:p w14:paraId="71A04351" w14:textId="77777777" w:rsidR="00D72F49" w:rsidRPr="00B74B02" w:rsidRDefault="00D72F49" w:rsidP="00D72F49">
            <w:pPr>
              <w:spacing w:before="160"/>
              <w:rPr>
                <w:caps/>
                <w:sz w:val="22"/>
              </w:rPr>
            </w:pPr>
            <w:r w:rsidRPr="00B74B02">
              <w:rPr>
                <w:sz w:val="22"/>
              </w:rPr>
              <w:t>__________________</w:t>
            </w:r>
          </w:p>
          <w:p w14:paraId="2C436D84" w14:textId="77777777" w:rsidR="00D72F49" w:rsidRPr="00B74B02" w:rsidRDefault="00D72F49" w:rsidP="00D72F49">
            <w:pPr>
              <w:spacing w:before="160"/>
              <w:rPr>
                <w:b/>
                <w:bCs/>
                <w:sz w:val="26"/>
                <w:szCs w:val="26"/>
              </w:rPr>
            </w:pPr>
            <w:r w:rsidRPr="00B74B02">
              <w:rPr>
                <w:b/>
                <w:bCs/>
                <w:sz w:val="26"/>
                <w:szCs w:val="26"/>
              </w:rPr>
              <w:t>Références</w:t>
            </w:r>
          </w:p>
          <w:p w14:paraId="31CD3ACB" w14:textId="2C95E303" w:rsidR="00D72F49" w:rsidRPr="00775A4C" w:rsidRDefault="00BA2354" w:rsidP="00D72F49">
            <w:pPr>
              <w:spacing w:after="160"/>
              <w:rPr>
                <w:rStyle w:val="Hyperlink"/>
                <w:i/>
                <w:iCs/>
                <w:sz w:val="22"/>
              </w:rPr>
            </w:pPr>
            <w:hyperlink r:id="rId7" w:history="1">
              <w:r w:rsidRPr="00775A4C">
                <w:rPr>
                  <w:rStyle w:val="Hyperlink"/>
                  <w:i/>
                  <w:iCs/>
                  <w:sz w:val="22"/>
                </w:rPr>
                <w:t>Résolutions et Décisions du Conseil (2024)</w:t>
              </w:r>
            </w:hyperlink>
          </w:p>
        </w:tc>
      </w:tr>
    </w:tbl>
    <w:p w14:paraId="1E6EF991" w14:textId="77777777" w:rsidR="00A51849" w:rsidRPr="00B74B02" w:rsidRDefault="00A51849">
      <w:pPr>
        <w:tabs>
          <w:tab w:val="clear" w:pos="567"/>
          <w:tab w:val="clear" w:pos="1134"/>
          <w:tab w:val="clear" w:pos="1701"/>
          <w:tab w:val="clear" w:pos="2268"/>
          <w:tab w:val="clear" w:pos="2835"/>
        </w:tabs>
        <w:overflowPunct/>
        <w:autoSpaceDE/>
        <w:autoSpaceDN/>
        <w:adjustRightInd/>
        <w:spacing w:before="0"/>
        <w:textAlignment w:val="auto"/>
      </w:pPr>
      <w:r w:rsidRPr="00B74B02">
        <w:br w:type="page"/>
      </w:r>
    </w:p>
    <w:p w14:paraId="5E8046EF" w14:textId="7C2EF6C4" w:rsidR="00BA2354" w:rsidRPr="00B74B02" w:rsidRDefault="00BA2354" w:rsidP="00BA2354">
      <w:pPr>
        <w:pStyle w:val="Title4"/>
        <w:spacing w:after="240"/>
        <w:jc w:val="left"/>
      </w:pPr>
      <w:r w:rsidRPr="00B74B02">
        <w:lastRenderedPageBreak/>
        <w:t>Résolutions et Décisions devant être abrogées</w:t>
      </w:r>
    </w:p>
    <w:tbl>
      <w:tblPr>
        <w:tblW w:w="5000" w:type="pct"/>
        <w:jc w:val="center"/>
        <w:tblBorders>
          <w:top w:val="single" w:sz="12" w:space="0" w:color="009CD6"/>
          <w:left w:val="single" w:sz="12" w:space="0" w:color="009CD6"/>
          <w:bottom w:val="single" w:sz="12" w:space="0" w:color="009CD6"/>
          <w:right w:val="single" w:sz="12" w:space="0" w:color="009CD6"/>
          <w:insideH w:val="single" w:sz="4" w:space="0" w:color="BFBFBF" w:themeColor="background1" w:themeShade="BF"/>
          <w:insideV w:val="single" w:sz="12" w:space="0" w:color="009CD6"/>
        </w:tblBorders>
        <w:tblLook w:val="0000" w:firstRow="0" w:lastRow="0" w:firstColumn="0" w:lastColumn="0" w:noHBand="0" w:noVBand="0"/>
      </w:tblPr>
      <w:tblGrid>
        <w:gridCol w:w="951"/>
        <w:gridCol w:w="1175"/>
        <w:gridCol w:w="6915"/>
      </w:tblGrid>
      <w:tr w:rsidR="00BA2354" w:rsidRPr="00B74B02" w14:paraId="01B86D99" w14:textId="77777777" w:rsidTr="00D854CC">
        <w:trPr>
          <w:tblHeader/>
          <w:jc w:val="center"/>
        </w:trPr>
        <w:tc>
          <w:tcPr>
            <w:tcW w:w="526" w:type="pct"/>
            <w:shd w:val="clear" w:color="auto" w:fill="009CD6"/>
          </w:tcPr>
          <w:p w14:paraId="7A2E270C" w14:textId="77777777" w:rsidR="00BA2354" w:rsidRPr="00B74B02" w:rsidRDefault="00BA2354" w:rsidP="00BA2354">
            <w:pPr>
              <w:pStyle w:val="Tablehead"/>
              <w:jc w:val="left"/>
              <w:rPr>
                <w:color w:val="FFFFFF" w:themeColor="background1"/>
              </w:rPr>
            </w:pPr>
            <w:r w:rsidRPr="00B74B02">
              <w:rPr>
                <w:color w:val="FFFFFF" w:themeColor="background1"/>
              </w:rPr>
              <w:t>Section</w:t>
            </w:r>
          </w:p>
        </w:tc>
        <w:tc>
          <w:tcPr>
            <w:tcW w:w="650" w:type="pct"/>
            <w:shd w:val="clear" w:color="auto" w:fill="009CD6"/>
          </w:tcPr>
          <w:p w14:paraId="579CEA99" w14:textId="77777777" w:rsidR="00BA2354" w:rsidRPr="00B74B02" w:rsidRDefault="00BA2354" w:rsidP="00BA2354">
            <w:pPr>
              <w:pStyle w:val="Tablehead"/>
              <w:jc w:val="left"/>
              <w:rPr>
                <w:color w:val="FFFFFF" w:themeColor="background1"/>
              </w:rPr>
            </w:pPr>
            <w:r w:rsidRPr="00B74B02">
              <w:rPr>
                <w:color w:val="FFFFFF" w:themeColor="background1"/>
              </w:rPr>
              <w:t>Rés./Déc.</w:t>
            </w:r>
          </w:p>
        </w:tc>
        <w:tc>
          <w:tcPr>
            <w:tcW w:w="3824" w:type="pct"/>
            <w:shd w:val="clear" w:color="auto" w:fill="009CD6"/>
          </w:tcPr>
          <w:p w14:paraId="39E0D782" w14:textId="77777777" w:rsidR="00BA2354" w:rsidRPr="00B74B02" w:rsidRDefault="00BA2354" w:rsidP="00BA2354">
            <w:pPr>
              <w:pStyle w:val="Tablehead"/>
              <w:jc w:val="left"/>
              <w:rPr>
                <w:color w:val="FFFFFF" w:themeColor="background1"/>
              </w:rPr>
            </w:pPr>
            <w:r w:rsidRPr="00B74B02">
              <w:rPr>
                <w:color w:val="FFFFFF" w:themeColor="background1"/>
              </w:rPr>
              <w:t>Titre</w:t>
            </w:r>
          </w:p>
        </w:tc>
      </w:tr>
      <w:tr w:rsidR="00BA2354" w:rsidRPr="00B74B02" w14:paraId="085558B3" w14:textId="77777777" w:rsidTr="00D854CC">
        <w:trPr>
          <w:jc w:val="center"/>
        </w:trPr>
        <w:tc>
          <w:tcPr>
            <w:tcW w:w="526" w:type="pct"/>
            <w:shd w:val="clear" w:color="auto" w:fill="FFFFFF"/>
          </w:tcPr>
          <w:p w14:paraId="1B51321E" w14:textId="77777777" w:rsidR="00BA2354" w:rsidRPr="00B74B02" w:rsidRDefault="00BA2354" w:rsidP="00BA2354">
            <w:pPr>
              <w:pStyle w:val="Tabletext"/>
              <w:rPr>
                <w:rFonts w:asciiTheme="minorHAnsi" w:hAnsiTheme="minorHAnsi"/>
                <w:szCs w:val="22"/>
              </w:rPr>
            </w:pPr>
            <w:r w:rsidRPr="00B74B02">
              <w:t>1.1</w:t>
            </w:r>
          </w:p>
        </w:tc>
        <w:tc>
          <w:tcPr>
            <w:tcW w:w="650" w:type="pct"/>
            <w:shd w:val="clear" w:color="auto" w:fill="FFFFFF"/>
          </w:tcPr>
          <w:p w14:paraId="14FC70D6" w14:textId="70CD52E9" w:rsidR="00BA2354" w:rsidRPr="00B74B02" w:rsidRDefault="00BA2354" w:rsidP="00BA2354">
            <w:pPr>
              <w:pStyle w:val="Tabletext"/>
              <w:rPr>
                <w:rFonts w:asciiTheme="minorHAnsi" w:hAnsiTheme="minorHAnsi"/>
                <w:b/>
                <w:bCs/>
                <w:szCs w:val="22"/>
              </w:rPr>
            </w:pPr>
            <w:r w:rsidRPr="00B74B02">
              <w:rPr>
                <w:b/>
                <w:bCs/>
              </w:rPr>
              <w:t>R</w:t>
            </w:r>
            <w:r w:rsidR="00B74B02" w:rsidRPr="00B74B02">
              <w:rPr>
                <w:b/>
                <w:bCs/>
              </w:rPr>
              <w:t>és.</w:t>
            </w:r>
            <w:r w:rsidRPr="00B74B02">
              <w:rPr>
                <w:b/>
                <w:bCs/>
              </w:rPr>
              <w:t xml:space="preserve"> 1405</w:t>
            </w:r>
          </w:p>
        </w:tc>
        <w:tc>
          <w:tcPr>
            <w:tcW w:w="3824" w:type="pct"/>
            <w:shd w:val="clear" w:color="auto" w:fill="FFFFFF"/>
          </w:tcPr>
          <w:p w14:paraId="3381743F" w14:textId="77777777" w:rsidR="00BA2354" w:rsidRPr="00B74B02" w:rsidRDefault="00BA2354" w:rsidP="00BA2354">
            <w:pPr>
              <w:pStyle w:val="Tabletext"/>
              <w:rPr>
                <w:rFonts w:asciiTheme="minorHAnsi" w:hAnsiTheme="minorHAnsi"/>
                <w:szCs w:val="22"/>
              </w:rPr>
            </w:pPr>
            <w:r w:rsidRPr="00B74B02">
              <w:t>Budget biennal de l'Union internationale des télécommunications pour 2022-2023</w:t>
            </w:r>
          </w:p>
        </w:tc>
      </w:tr>
      <w:tr w:rsidR="00BA2354" w:rsidRPr="00B74B02" w14:paraId="4E78BF0B" w14:textId="77777777" w:rsidTr="00D854CC">
        <w:trPr>
          <w:jc w:val="center"/>
        </w:trPr>
        <w:tc>
          <w:tcPr>
            <w:tcW w:w="526" w:type="pct"/>
            <w:shd w:val="clear" w:color="auto" w:fill="FFFFFF"/>
          </w:tcPr>
          <w:p w14:paraId="28BF38C8" w14:textId="77777777" w:rsidR="00BA2354" w:rsidRPr="00B74B02" w:rsidRDefault="00BA2354" w:rsidP="00BA2354">
            <w:pPr>
              <w:pStyle w:val="Tabletext"/>
              <w:rPr>
                <w:rFonts w:asciiTheme="minorHAnsi" w:hAnsiTheme="minorHAnsi"/>
                <w:szCs w:val="22"/>
              </w:rPr>
            </w:pPr>
            <w:r w:rsidRPr="00B74B02">
              <w:t>1.2</w:t>
            </w:r>
          </w:p>
        </w:tc>
        <w:tc>
          <w:tcPr>
            <w:tcW w:w="650" w:type="pct"/>
            <w:shd w:val="clear" w:color="auto" w:fill="FFFFFF"/>
          </w:tcPr>
          <w:p w14:paraId="4AF22ADF" w14:textId="112974A7" w:rsidR="00BA2354" w:rsidRPr="00B74B02" w:rsidRDefault="00BA2354" w:rsidP="00BA2354">
            <w:pPr>
              <w:pStyle w:val="Tabletext"/>
              <w:rPr>
                <w:rFonts w:asciiTheme="minorHAnsi" w:hAnsiTheme="minorHAnsi"/>
                <w:b/>
                <w:bCs/>
                <w:szCs w:val="22"/>
              </w:rPr>
            </w:pPr>
            <w:r w:rsidRPr="00B74B02">
              <w:rPr>
                <w:b/>
                <w:bCs/>
              </w:rPr>
              <w:t>D</w:t>
            </w:r>
            <w:r w:rsidR="00B74B02" w:rsidRPr="00B74B02">
              <w:rPr>
                <w:b/>
                <w:bCs/>
              </w:rPr>
              <w:t>éc.</w:t>
            </w:r>
            <w:r w:rsidRPr="00B74B02">
              <w:rPr>
                <w:b/>
                <w:bCs/>
              </w:rPr>
              <w:t xml:space="preserve"> 639</w:t>
            </w:r>
          </w:p>
        </w:tc>
        <w:tc>
          <w:tcPr>
            <w:tcW w:w="3824" w:type="pct"/>
            <w:shd w:val="clear" w:color="auto" w:fill="FFFFFF"/>
          </w:tcPr>
          <w:p w14:paraId="47637B29" w14:textId="77777777" w:rsidR="00BA2354" w:rsidRPr="00B74B02" w:rsidRDefault="00BA2354" w:rsidP="00BA2354">
            <w:pPr>
              <w:pStyle w:val="Tabletext"/>
              <w:rPr>
                <w:rFonts w:asciiTheme="minorHAnsi" w:hAnsiTheme="minorHAnsi"/>
                <w:szCs w:val="22"/>
              </w:rPr>
            </w:pPr>
            <w:r w:rsidRPr="00B74B02">
              <w:t>Passation par pertes et profits d'intérêts moratoires et de créances irrécupérables</w:t>
            </w:r>
          </w:p>
        </w:tc>
      </w:tr>
      <w:tr w:rsidR="00BA2354" w:rsidRPr="00B74B02" w14:paraId="6F631F6B" w14:textId="77777777" w:rsidTr="00D854CC">
        <w:trPr>
          <w:jc w:val="center"/>
        </w:trPr>
        <w:tc>
          <w:tcPr>
            <w:tcW w:w="526" w:type="pct"/>
            <w:shd w:val="clear" w:color="auto" w:fill="FFFFFF"/>
          </w:tcPr>
          <w:p w14:paraId="0945D919" w14:textId="77777777" w:rsidR="00BA2354" w:rsidRPr="00B74B02" w:rsidRDefault="00BA2354" w:rsidP="00BA2354">
            <w:pPr>
              <w:pStyle w:val="Tabletext"/>
              <w:rPr>
                <w:rFonts w:asciiTheme="minorHAnsi" w:hAnsiTheme="minorHAnsi"/>
                <w:szCs w:val="22"/>
              </w:rPr>
            </w:pPr>
            <w:r w:rsidRPr="00B74B02">
              <w:t>2.1</w:t>
            </w:r>
          </w:p>
        </w:tc>
        <w:tc>
          <w:tcPr>
            <w:tcW w:w="650" w:type="pct"/>
            <w:shd w:val="clear" w:color="auto" w:fill="FFFFFF"/>
          </w:tcPr>
          <w:p w14:paraId="57A64E3A" w14:textId="004ACFC3" w:rsidR="00BA2354" w:rsidRPr="00B74B02" w:rsidRDefault="00B74B02" w:rsidP="00BA2354">
            <w:pPr>
              <w:pStyle w:val="Tabletext"/>
              <w:rPr>
                <w:rFonts w:asciiTheme="minorHAnsi" w:hAnsiTheme="minorHAnsi"/>
                <w:b/>
                <w:bCs/>
                <w:szCs w:val="22"/>
              </w:rPr>
            </w:pPr>
            <w:r w:rsidRPr="00B74B02">
              <w:rPr>
                <w:b/>
                <w:bCs/>
              </w:rPr>
              <w:t xml:space="preserve">Rés. </w:t>
            </w:r>
            <w:r w:rsidR="00BA2354" w:rsidRPr="00B74B02">
              <w:rPr>
                <w:b/>
                <w:bCs/>
              </w:rPr>
              <w:t>1425</w:t>
            </w:r>
            <w:r w:rsidR="00BA2354" w:rsidRPr="00B74B02">
              <w:rPr>
                <w:rStyle w:val="FootnoteReference"/>
              </w:rPr>
              <w:footnoteReference w:id="1"/>
            </w:r>
          </w:p>
        </w:tc>
        <w:tc>
          <w:tcPr>
            <w:tcW w:w="3824" w:type="pct"/>
            <w:shd w:val="clear" w:color="auto" w:fill="FFFFFF"/>
          </w:tcPr>
          <w:p w14:paraId="2213DF1D" w14:textId="77777777" w:rsidR="00BA2354" w:rsidRPr="00B74B02" w:rsidRDefault="00BA2354" w:rsidP="00BA2354">
            <w:pPr>
              <w:pStyle w:val="Tabletext"/>
              <w:rPr>
                <w:szCs w:val="22"/>
              </w:rPr>
            </w:pPr>
            <w:r w:rsidRPr="00B74B02">
              <w:t>Conditions d'emploi des fonctionnaires élus de l'UIT</w:t>
            </w:r>
          </w:p>
        </w:tc>
      </w:tr>
      <w:tr w:rsidR="00BA2354" w:rsidRPr="00B74B02" w14:paraId="2EFC6CD9" w14:textId="77777777" w:rsidTr="00D854CC">
        <w:trPr>
          <w:jc w:val="center"/>
        </w:trPr>
        <w:tc>
          <w:tcPr>
            <w:tcW w:w="526" w:type="pct"/>
            <w:shd w:val="clear" w:color="auto" w:fill="FFFFFF"/>
          </w:tcPr>
          <w:p w14:paraId="48B93B70" w14:textId="77777777" w:rsidR="00BA2354" w:rsidRPr="00B74B02" w:rsidRDefault="00BA2354" w:rsidP="00BA2354">
            <w:pPr>
              <w:pStyle w:val="Tabletext"/>
              <w:rPr>
                <w:rFonts w:asciiTheme="minorHAnsi" w:hAnsiTheme="minorHAnsi"/>
                <w:szCs w:val="22"/>
              </w:rPr>
            </w:pPr>
            <w:r w:rsidRPr="00B74B02">
              <w:t>2.2</w:t>
            </w:r>
          </w:p>
        </w:tc>
        <w:tc>
          <w:tcPr>
            <w:tcW w:w="650" w:type="pct"/>
            <w:shd w:val="clear" w:color="auto" w:fill="FFFFFF"/>
          </w:tcPr>
          <w:p w14:paraId="052A235D" w14:textId="36F21ABB" w:rsidR="00BA2354" w:rsidRPr="00B74B02" w:rsidRDefault="00B74B02" w:rsidP="00BA2354">
            <w:pPr>
              <w:pStyle w:val="Tabletext"/>
              <w:rPr>
                <w:rFonts w:asciiTheme="minorHAnsi" w:hAnsiTheme="minorHAnsi"/>
                <w:b/>
                <w:bCs/>
                <w:szCs w:val="22"/>
              </w:rPr>
            </w:pPr>
            <w:r w:rsidRPr="00B74B02">
              <w:rPr>
                <w:b/>
                <w:bCs/>
              </w:rPr>
              <w:t xml:space="preserve">Déc. </w:t>
            </w:r>
            <w:r w:rsidR="00BA2354" w:rsidRPr="00B74B02">
              <w:rPr>
                <w:b/>
                <w:bCs/>
              </w:rPr>
              <w:t>582</w:t>
            </w:r>
            <w:r w:rsidR="00C81346" w:rsidRPr="00B74B02">
              <w:rPr>
                <w:rStyle w:val="FootnoteReference"/>
              </w:rPr>
              <w:footnoteReference w:id="2"/>
            </w:r>
          </w:p>
        </w:tc>
        <w:tc>
          <w:tcPr>
            <w:tcW w:w="3824" w:type="pct"/>
            <w:shd w:val="clear" w:color="auto" w:fill="FFFFFF"/>
          </w:tcPr>
          <w:p w14:paraId="3C9B5AF0" w14:textId="77777777" w:rsidR="00BA2354" w:rsidRPr="00B74B02" w:rsidRDefault="00BA2354" w:rsidP="00BA2354">
            <w:pPr>
              <w:pStyle w:val="Tabletext"/>
              <w:rPr>
                <w:szCs w:val="22"/>
              </w:rPr>
            </w:pPr>
            <w:r w:rsidRPr="00B74B02">
              <w:t>Programme de départ volontaire et de départ à la retraite anticipé</w:t>
            </w:r>
          </w:p>
        </w:tc>
      </w:tr>
      <w:tr w:rsidR="00BA2354" w:rsidRPr="00B74B02" w14:paraId="20FC1353" w14:textId="77777777" w:rsidTr="00D854CC">
        <w:trPr>
          <w:jc w:val="center"/>
        </w:trPr>
        <w:tc>
          <w:tcPr>
            <w:tcW w:w="526" w:type="pct"/>
            <w:shd w:val="clear" w:color="auto" w:fill="FFFFFF"/>
          </w:tcPr>
          <w:p w14:paraId="6CDF0A2D" w14:textId="77777777" w:rsidR="00BA2354" w:rsidRPr="00B74B02" w:rsidRDefault="00BA2354" w:rsidP="00BA2354">
            <w:pPr>
              <w:pStyle w:val="Tabletext"/>
              <w:rPr>
                <w:rFonts w:asciiTheme="minorHAnsi" w:hAnsiTheme="minorHAnsi"/>
                <w:szCs w:val="22"/>
              </w:rPr>
            </w:pPr>
            <w:r w:rsidRPr="00B74B02">
              <w:t>3.2</w:t>
            </w:r>
          </w:p>
        </w:tc>
        <w:tc>
          <w:tcPr>
            <w:tcW w:w="650" w:type="pct"/>
            <w:shd w:val="clear" w:color="auto" w:fill="FFFFFF"/>
          </w:tcPr>
          <w:p w14:paraId="4396565C" w14:textId="062F57BC" w:rsidR="00BA2354" w:rsidRPr="00B74B02" w:rsidRDefault="00B74B02" w:rsidP="00BA2354">
            <w:pPr>
              <w:pStyle w:val="Tabletext"/>
              <w:rPr>
                <w:rFonts w:asciiTheme="minorHAnsi" w:hAnsiTheme="minorHAnsi"/>
                <w:b/>
                <w:bCs/>
                <w:szCs w:val="22"/>
              </w:rPr>
            </w:pPr>
            <w:r w:rsidRPr="00B74B02">
              <w:rPr>
                <w:b/>
                <w:bCs/>
              </w:rPr>
              <w:t xml:space="preserve">Déc. </w:t>
            </w:r>
            <w:r w:rsidR="00BA2354" w:rsidRPr="00B74B02">
              <w:rPr>
                <w:b/>
                <w:bCs/>
              </w:rPr>
              <w:t>642</w:t>
            </w:r>
            <w:r w:rsidR="00C81346" w:rsidRPr="00B74B02">
              <w:rPr>
                <w:rStyle w:val="FootnoteReference"/>
              </w:rPr>
              <w:footnoteReference w:id="3"/>
            </w:r>
          </w:p>
        </w:tc>
        <w:tc>
          <w:tcPr>
            <w:tcW w:w="3824" w:type="pct"/>
            <w:shd w:val="clear" w:color="auto" w:fill="FFFFFF"/>
          </w:tcPr>
          <w:p w14:paraId="797BE48E" w14:textId="2F9D5EA6" w:rsidR="00BA2354" w:rsidRPr="00B74B02" w:rsidRDefault="00BA2354" w:rsidP="00BA2354">
            <w:pPr>
              <w:pStyle w:val="Tabletext"/>
              <w:rPr>
                <w:rFonts w:asciiTheme="minorHAnsi" w:hAnsiTheme="minorHAnsi"/>
                <w:szCs w:val="22"/>
              </w:rPr>
            </w:pPr>
            <w:r w:rsidRPr="00B74B02">
              <w:t>Dates et durée des sessions de 2025, 2026 et 2027 du Conseil et des séries de réunions des Groupes de travail du Conseil et des Groupes d'experts de</w:t>
            </w:r>
            <w:r w:rsidR="005305CD" w:rsidRPr="00B74B02">
              <w:t> </w:t>
            </w:r>
            <w:r w:rsidRPr="00B74B02">
              <w:t>2025, 2026 et 2027</w:t>
            </w:r>
          </w:p>
        </w:tc>
      </w:tr>
      <w:tr w:rsidR="00BA2354" w:rsidRPr="00B74B02" w14:paraId="652EDFC8" w14:textId="77777777" w:rsidTr="00D854CC">
        <w:trPr>
          <w:jc w:val="center"/>
        </w:trPr>
        <w:tc>
          <w:tcPr>
            <w:tcW w:w="526" w:type="pct"/>
            <w:shd w:val="clear" w:color="auto" w:fill="FFFFFF"/>
          </w:tcPr>
          <w:p w14:paraId="017E14D3" w14:textId="77777777" w:rsidR="00BA2354" w:rsidRPr="00B74B02" w:rsidRDefault="00BA2354" w:rsidP="00BA2354">
            <w:pPr>
              <w:pStyle w:val="Tabletext"/>
              <w:rPr>
                <w:rFonts w:asciiTheme="minorHAnsi" w:hAnsiTheme="minorHAnsi"/>
                <w:szCs w:val="22"/>
              </w:rPr>
            </w:pPr>
            <w:r w:rsidRPr="00B74B02">
              <w:t>3.2</w:t>
            </w:r>
          </w:p>
        </w:tc>
        <w:tc>
          <w:tcPr>
            <w:tcW w:w="650" w:type="pct"/>
            <w:shd w:val="clear" w:color="auto" w:fill="FFFFFF"/>
          </w:tcPr>
          <w:p w14:paraId="5CF18292" w14:textId="374FA9BC" w:rsidR="00BA2354" w:rsidRPr="00B74B02" w:rsidRDefault="00B74B02" w:rsidP="00BA2354">
            <w:pPr>
              <w:pStyle w:val="Tabletext"/>
              <w:rPr>
                <w:rFonts w:asciiTheme="minorHAnsi" w:hAnsiTheme="minorHAnsi"/>
                <w:b/>
                <w:bCs/>
                <w:szCs w:val="22"/>
              </w:rPr>
            </w:pPr>
            <w:r w:rsidRPr="00B74B02">
              <w:rPr>
                <w:b/>
                <w:bCs/>
              </w:rPr>
              <w:t xml:space="preserve">Déc. </w:t>
            </w:r>
            <w:r w:rsidR="00BA2354" w:rsidRPr="00B74B02">
              <w:rPr>
                <w:b/>
                <w:bCs/>
              </w:rPr>
              <w:t>629</w:t>
            </w:r>
          </w:p>
        </w:tc>
        <w:tc>
          <w:tcPr>
            <w:tcW w:w="3824" w:type="pct"/>
            <w:shd w:val="clear" w:color="auto" w:fill="FFFFFF"/>
          </w:tcPr>
          <w:p w14:paraId="382B036B" w14:textId="77777777" w:rsidR="00BA2354" w:rsidRPr="00B74B02" w:rsidRDefault="00BA2354" w:rsidP="00BA2354">
            <w:pPr>
              <w:pStyle w:val="Tabletext"/>
              <w:rPr>
                <w:rFonts w:asciiTheme="minorHAnsi" w:hAnsiTheme="minorHAnsi"/>
                <w:szCs w:val="22"/>
              </w:rPr>
            </w:pPr>
            <w:r w:rsidRPr="00B74B02">
              <w:t>Convocation de l'Assemblée mondiale de normalisation des télécommunications de 2024</w:t>
            </w:r>
          </w:p>
        </w:tc>
      </w:tr>
    </w:tbl>
    <w:p w14:paraId="1819B613" w14:textId="77777777" w:rsidR="00897553" w:rsidRPr="00B74B02" w:rsidRDefault="006A11AE" w:rsidP="006A11AE">
      <w:pPr>
        <w:jc w:val="center"/>
      </w:pPr>
      <w:r w:rsidRPr="00B74B02">
        <w:t>______________</w:t>
      </w:r>
    </w:p>
    <w:sectPr w:rsidR="00897553" w:rsidRPr="00B74B02"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105A" w14:textId="77777777" w:rsidR="00FD43C6" w:rsidRDefault="00FD43C6">
      <w:r>
        <w:separator/>
      </w:r>
    </w:p>
  </w:endnote>
  <w:endnote w:type="continuationSeparator" w:id="0">
    <w:p w14:paraId="40FFA3E1" w14:textId="77777777" w:rsidR="00FD43C6" w:rsidRDefault="00FD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ADCE" w14:textId="11CAC677" w:rsidR="00732045" w:rsidRPr="00B74B02" w:rsidRDefault="00BA2354">
    <w:pPr>
      <w:pStyle w:val="Footer"/>
      <w:rPr>
        <w:lang w:val="en-US"/>
      </w:rPr>
    </w:pPr>
    <w:r>
      <w:fldChar w:fldCharType="begin"/>
    </w:r>
    <w:r w:rsidRPr="00B74B02">
      <w:rPr>
        <w:lang w:val="en-US"/>
      </w:rPr>
      <w:instrText xml:space="preserve"> FILENAME \p \* MERGEFORMAT </w:instrText>
    </w:r>
    <w:r>
      <w:fldChar w:fldCharType="separate"/>
    </w:r>
    <w:r w:rsidR="00B74B02" w:rsidRPr="00B74B02">
      <w:rPr>
        <w:lang w:val="en-US"/>
      </w:rPr>
      <w:t>P:\FRA\gDoc\SG\C25\2500900F.docx</w:t>
    </w:r>
    <w:r>
      <w:fldChar w:fldCharType="end"/>
    </w:r>
    <w:r w:rsidR="00732045" w:rsidRPr="00B74B02">
      <w:rPr>
        <w:lang w:val="en-US"/>
      </w:rPr>
      <w:tab/>
    </w:r>
    <w:r w:rsidR="002F1B76">
      <w:fldChar w:fldCharType="begin"/>
    </w:r>
    <w:r w:rsidR="00732045">
      <w:instrText xml:space="preserve"> savedate \@ dd.MM.yy </w:instrText>
    </w:r>
    <w:r w:rsidR="002F1B76">
      <w:fldChar w:fldCharType="separate"/>
    </w:r>
    <w:r w:rsidR="00775A4C">
      <w:t>02.05.25</w:t>
    </w:r>
    <w:r w:rsidR="002F1B76">
      <w:fldChar w:fldCharType="end"/>
    </w:r>
    <w:r w:rsidR="00732045" w:rsidRPr="00B74B02">
      <w:rPr>
        <w:lang w:val="en-US"/>
      </w:rPr>
      <w:tab/>
    </w:r>
    <w:r w:rsidR="002F1B76">
      <w:fldChar w:fldCharType="begin"/>
    </w:r>
    <w:r w:rsidR="00732045">
      <w:instrText xml:space="preserve"> printdate \@ dd.MM.yy </w:instrText>
    </w:r>
    <w:r w:rsidR="002F1B76">
      <w:fldChar w:fldCharType="separate"/>
    </w:r>
    <w:r w:rsidR="00B74B0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6C166E8" w14:textId="77777777" w:rsidTr="00E31DCE">
      <w:trPr>
        <w:jc w:val="center"/>
      </w:trPr>
      <w:tc>
        <w:tcPr>
          <w:tcW w:w="1803" w:type="dxa"/>
          <w:vAlign w:val="center"/>
        </w:tcPr>
        <w:p w14:paraId="4AC08EC1" w14:textId="3E27FB0B" w:rsidR="00A51849" w:rsidRDefault="005305CD" w:rsidP="00A51849">
          <w:pPr>
            <w:pStyle w:val="Header"/>
            <w:jc w:val="left"/>
            <w:rPr>
              <w:noProof/>
            </w:rPr>
          </w:pPr>
          <w:r>
            <w:rPr>
              <w:noProof/>
            </w:rPr>
            <w:t>2500900</w:t>
          </w:r>
        </w:p>
      </w:tc>
      <w:tc>
        <w:tcPr>
          <w:tcW w:w="8261" w:type="dxa"/>
        </w:tcPr>
        <w:p w14:paraId="58314F70" w14:textId="7877842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305CD">
            <w:rPr>
              <w:bCs/>
            </w:rPr>
            <w:t>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495CFB5"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107C037" w14:textId="77777777" w:rsidTr="00E31DCE">
      <w:trPr>
        <w:jc w:val="center"/>
      </w:trPr>
      <w:tc>
        <w:tcPr>
          <w:tcW w:w="1803" w:type="dxa"/>
          <w:vAlign w:val="center"/>
        </w:tcPr>
        <w:p w14:paraId="63EB7738" w14:textId="77777777" w:rsidR="00A51849" w:rsidRPr="00775A4C" w:rsidRDefault="00FC6D7D" w:rsidP="00A51849">
          <w:pPr>
            <w:pStyle w:val="Header"/>
            <w:jc w:val="left"/>
            <w:rPr>
              <w:rStyle w:val="Hyperlink"/>
            </w:rPr>
          </w:pPr>
          <w:hyperlink r:id="rId1" w:history="1">
            <w:r w:rsidRPr="00775A4C">
              <w:rPr>
                <w:rStyle w:val="Hyperlink"/>
              </w:rPr>
              <w:t>council.itu.int/2025</w:t>
            </w:r>
          </w:hyperlink>
        </w:p>
      </w:tc>
      <w:tc>
        <w:tcPr>
          <w:tcW w:w="8261" w:type="dxa"/>
        </w:tcPr>
        <w:p w14:paraId="5B4995E1" w14:textId="0D9B23F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A2354">
            <w:rPr>
              <w:bCs/>
            </w:rPr>
            <w:t>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165D1E7"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E2E9" w14:textId="77777777" w:rsidR="00FD43C6" w:rsidRDefault="00FD43C6">
      <w:r>
        <w:t>____________________</w:t>
      </w:r>
    </w:p>
  </w:footnote>
  <w:footnote w:type="continuationSeparator" w:id="0">
    <w:p w14:paraId="1B173944" w14:textId="77777777" w:rsidR="00FD43C6" w:rsidRDefault="00FD43C6">
      <w:r>
        <w:continuationSeparator/>
      </w:r>
    </w:p>
  </w:footnote>
  <w:footnote w:id="1">
    <w:p w14:paraId="47B0DC9A" w14:textId="701ECDBE" w:rsidR="00BA2354" w:rsidRPr="008A3C49" w:rsidRDefault="00BA2354" w:rsidP="00BA2354">
      <w:pPr>
        <w:pStyle w:val="FootnoteText"/>
        <w:rPr>
          <w:lang w:val="fr-CH"/>
        </w:rPr>
      </w:pPr>
      <w:r>
        <w:rPr>
          <w:rStyle w:val="FootnoteReference"/>
        </w:rPr>
        <w:footnoteRef/>
      </w:r>
      <w:r w:rsidRPr="008A3C49">
        <w:rPr>
          <w:lang w:val="fr-CH"/>
        </w:rPr>
        <w:tab/>
      </w:r>
      <w:r w:rsidRPr="008A3C49">
        <w:t>Dès l'adoption d'une nouvelle Résolution.</w:t>
      </w:r>
    </w:p>
  </w:footnote>
  <w:footnote w:id="2">
    <w:p w14:paraId="2ABFEE12" w14:textId="4FE4160E" w:rsidR="00C81346" w:rsidRPr="00C81346" w:rsidRDefault="00C81346">
      <w:pPr>
        <w:pStyle w:val="FootnoteText"/>
        <w:rPr>
          <w:lang w:val="fr-CH"/>
        </w:rPr>
      </w:pPr>
      <w:r>
        <w:rPr>
          <w:rStyle w:val="FootnoteReference"/>
        </w:rPr>
        <w:footnoteRef/>
      </w:r>
      <w:r>
        <w:tab/>
      </w:r>
      <w:r w:rsidRPr="00C81346">
        <w:t>Ce programme de départ volontaire date de 2015 et a été mené à bien</w:t>
      </w:r>
      <w:r>
        <w:t>.</w:t>
      </w:r>
    </w:p>
  </w:footnote>
  <w:footnote w:id="3">
    <w:p w14:paraId="149DCA2B" w14:textId="51F21A34" w:rsidR="00C81346" w:rsidRPr="00C81346" w:rsidRDefault="00C81346" w:rsidP="00C81346">
      <w:pPr>
        <w:pStyle w:val="FootnoteText"/>
      </w:pPr>
      <w:r>
        <w:rPr>
          <w:rStyle w:val="FootnoteReference"/>
        </w:rPr>
        <w:footnoteRef/>
      </w:r>
      <w:r w:rsidRPr="00C81346">
        <w:tab/>
      </w:r>
      <w:r w:rsidRPr="008A3C49">
        <w:t xml:space="preserve">Dès l'adoption d'une nouvelle </w:t>
      </w:r>
      <w:r>
        <w:t>Décision</w:t>
      </w:r>
      <w:r w:rsidRPr="008A3C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33C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E2FCE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374F394" w14:textId="77777777" w:rsidTr="00D37B53">
      <w:trPr>
        <w:trHeight w:val="1104"/>
        <w:jc w:val="center"/>
      </w:trPr>
      <w:tc>
        <w:tcPr>
          <w:tcW w:w="5317" w:type="dxa"/>
          <w:vAlign w:val="center"/>
        </w:tcPr>
        <w:p w14:paraId="0238CE1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34FC2AE" wp14:editId="55EC88F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847542C" w14:textId="77777777" w:rsidR="00524E8D" w:rsidRDefault="00524E8D" w:rsidP="00A51849">
          <w:pPr>
            <w:pStyle w:val="Header"/>
            <w:jc w:val="right"/>
            <w:rPr>
              <w:rFonts w:ascii="Arial" w:hAnsi="Arial" w:cs="Arial"/>
              <w:b/>
              <w:bCs/>
              <w:color w:val="009CD6"/>
              <w:szCs w:val="18"/>
            </w:rPr>
          </w:pPr>
        </w:p>
      </w:tc>
    </w:tr>
  </w:tbl>
  <w:p w14:paraId="78B14C34"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E5054CF" wp14:editId="1AD26F8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66E0"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54"/>
    <w:rsid w:val="00034CE6"/>
    <w:rsid w:val="00076A2C"/>
    <w:rsid w:val="000D0D0A"/>
    <w:rsid w:val="00103163"/>
    <w:rsid w:val="00106B19"/>
    <w:rsid w:val="001133EF"/>
    <w:rsid w:val="00115D93"/>
    <w:rsid w:val="001247A8"/>
    <w:rsid w:val="001370B2"/>
    <w:rsid w:val="001378C0"/>
    <w:rsid w:val="0017499E"/>
    <w:rsid w:val="0018694A"/>
    <w:rsid w:val="001A3287"/>
    <w:rsid w:val="001A6508"/>
    <w:rsid w:val="001C68AA"/>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51E45"/>
    <w:rsid w:val="0046769A"/>
    <w:rsid w:val="00475FB3"/>
    <w:rsid w:val="004C37A9"/>
    <w:rsid w:val="004D1D50"/>
    <w:rsid w:val="004F259E"/>
    <w:rsid w:val="004F7962"/>
    <w:rsid w:val="00511F1D"/>
    <w:rsid w:val="00520F36"/>
    <w:rsid w:val="00524E8D"/>
    <w:rsid w:val="005305CD"/>
    <w:rsid w:val="00534E13"/>
    <w:rsid w:val="00540615"/>
    <w:rsid w:val="00540A6D"/>
    <w:rsid w:val="00566679"/>
    <w:rsid w:val="00571EEA"/>
    <w:rsid w:val="00575417"/>
    <w:rsid w:val="005768E1"/>
    <w:rsid w:val="005B1938"/>
    <w:rsid w:val="005C3890"/>
    <w:rsid w:val="005F7BFE"/>
    <w:rsid w:val="00600017"/>
    <w:rsid w:val="00607FD4"/>
    <w:rsid w:val="006235CA"/>
    <w:rsid w:val="0062366E"/>
    <w:rsid w:val="006643AB"/>
    <w:rsid w:val="006A11AE"/>
    <w:rsid w:val="006F0A53"/>
    <w:rsid w:val="007210CD"/>
    <w:rsid w:val="00732045"/>
    <w:rsid w:val="0073275D"/>
    <w:rsid w:val="007369DB"/>
    <w:rsid w:val="0077110E"/>
    <w:rsid w:val="00775A4C"/>
    <w:rsid w:val="007956C2"/>
    <w:rsid w:val="007A187E"/>
    <w:rsid w:val="007C72C2"/>
    <w:rsid w:val="007D4436"/>
    <w:rsid w:val="007D447F"/>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74B02"/>
    <w:rsid w:val="00BA2354"/>
    <w:rsid w:val="00BB4545"/>
    <w:rsid w:val="00BD5873"/>
    <w:rsid w:val="00BF4B60"/>
    <w:rsid w:val="00C049D7"/>
    <w:rsid w:val="00C04BE3"/>
    <w:rsid w:val="00C25D29"/>
    <w:rsid w:val="00C27A7C"/>
    <w:rsid w:val="00C42437"/>
    <w:rsid w:val="00C65BCF"/>
    <w:rsid w:val="00C81346"/>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5B57"/>
    <w:rsid w:val="00F35EF4"/>
    <w:rsid w:val="00F37FE5"/>
    <w:rsid w:val="00F427DB"/>
    <w:rsid w:val="00FA5EB1"/>
    <w:rsid w:val="00FA7439"/>
    <w:rsid w:val="00FC4EC0"/>
    <w:rsid w:val="00FC6D7D"/>
    <w:rsid w:val="00FD43C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C2070"/>
  <w15:docId w15:val="{C721BF41-1E3D-49FB-A1BC-BA1115F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FootnoteTextChar">
    <w:name w:val="Footnote Text Char"/>
    <w:basedOn w:val="DefaultParagraphFont"/>
    <w:link w:val="FootnoteText"/>
    <w:rsid w:val="00BA235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pub/S-CONF-CL-202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0FF8-814A-4093-870A-2DF23565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21</TotalTime>
  <Pages>2</Pages>
  <Words>239</Words>
  <Characters>1317</Characters>
  <Application>Microsoft Office Word</Application>
  <DocSecurity>0</DocSecurity>
  <Lines>57</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Résolutions et Décisions du Conseil devenues caduques</dc:title>
  <dc:subject>Conseil 2025 de l'UIT</dc:subject>
  <cp:keywords>C2025, C25, Council-25</cp:keywords>
  <dc:description/>
  <cp:lastPrinted>2000-07-18T08:55:00Z</cp:lastPrinted>
  <dcterms:created xsi:type="dcterms:W3CDTF">2025-04-11T13:18:00Z</dcterms:created>
  <dcterms:modified xsi:type="dcterms:W3CDTF">2025-05-05T15:12:00Z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