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C0458D" w14:paraId="3E1C2769" w14:textId="77777777" w:rsidTr="00AD3606">
        <w:trPr>
          <w:cantSplit/>
          <w:trHeight w:val="23"/>
        </w:trPr>
        <w:tc>
          <w:tcPr>
            <w:tcW w:w="3969" w:type="dxa"/>
            <w:vMerge w:val="restart"/>
            <w:tcMar>
              <w:left w:w="0" w:type="dxa"/>
            </w:tcMar>
          </w:tcPr>
          <w:p w14:paraId="7147B863" w14:textId="23C51227" w:rsidR="00AD3606" w:rsidRPr="00C0458D"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DC7612">
              <w:rPr>
                <w:b/>
              </w:rPr>
              <w:t>PL 3</w:t>
            </w:r>
          </w:p>
        </w:tc>
        <w:tc>
          <w:tcPr>
            <w:tcW w:w="5245" w:type="dxa"/>
          </w:tcPr>
          <w:p w14:paraId="6779937E" w14:textId="38DBAF50" w:rsidR="00AD3606" w:rsidRPr="00C0458D" w:rsidRDefault="00AD3606" w:rsidP="00472BAD">
            <w:pPr>
              <w:tabs>
                <w:tab w:val="left" w:pos="851"/>
              </w:tabs>
              <w:spacing w:before="0" w:line="240" w:lineRule="atLeast"/>
              <w:jc w:val="right"/>
              <w:rPr>
                <w:b/>
              </w:rPr>
            </w:pPr>
            <w:r w:rsidRPr="00C0458D">
              <w:rPr>
                <w:b/>
              </w:rPr>
              <w:t>Document C2</w:t>
            </w:r>
            <w:r w:rsidR="00BF1FDE" w:rsidRPr="00C0458D">
              <w:rPr>
                <w:b/>
              </w:rPr>
              <w:t>5</w:t>
            </w:r>
            <w:r w:rsidRPr="00C0458D">
              <w:rPr>
                <w:b/>
              </w:rPr>
              <w:t>/</w:t>
            </w:r>
            <w:r w:rsidR="00DC7612">
              <w:rPr>
                <w:b/>
              </w:rPr>
              <w:t>3</w:t>
            </w:r>
            <w:r w:rsidRPr="00C0458D">
              <w:rPr>
                <w:b/>
              </w:rPr>
              <w:t>-E</w:t>
            </w:r>
          </w:p>
        </w:tc>
      </w:tr>
      <w:tr w:rsidR="00AD3606" w:rsidRPr="00C0458D" w14:paraId="3E3F9DA5" w14:textId="77777777" w:rsidTr="00AD3606">
        <w:trPr>
          <w:cantSplit/>
        </w:trPr>
        <w:tc>
          <w:tcPr>
            <w:tcW w:w="3969" w:type="dxa"/>
            <w:vMerge/>
          </w:tcPr>
          <w:p w14:paraId="5920AA6E" w14:textId="77777777" w:rsidR="00AD3606" w:rsidRPr="00C0458D" w:rsidRDefault="00AD3606" w:rsidP="00AD3606">
            <w:pPr>
              <w:tabs>
                <w:tab w:val="left" w:pos="851"/>
              </w:tabs>
              <w:spacing w:line="240" w:lineRule="atLeast"/>
              <w:rPr>
                <w:b/>
              </w:rPr>
            </w:pPr>
            <w:bookmarkStart w:id="6" w:name="ddate" w:colFirst="1" w:colLast="1"/>
            <w:bookmarkEnd w:id="0"/>
            <w:bookmarkEnd w:id="1"/>
          </w:p>
        </w:tc>
        <w:tc>
          <w:tcPr>
            <w:tcW w:w="5245" w:type="dxa"/>
          </w:tcPr>
          <w:p w14:paraId="55371C25" w14:textId="6D7675A7" w:rsidR="00AD3606" w:rsidRPr="00C0458D" w:rsidRDefault="00337203" w:rsidP="00AD3606">
            <w:pPr>
              <w:tabs>
                <w:tab w:val="left" w:pos="851"/>
              </w:tabs>
              <w:spacing w:before="0"/>
              <w:jc w:val="right"/>
              <w:rPr>
                <w:b/>
              </w:rPr>
            </w:pPr>
            <w:r>
              <w:rPr>
                <w:b/>
              </w:rPr>
              <w:t>1 May</w:t>
            </w:r>
            <w:r w:rsidR="00DC7612" w:rsidRPr="00BA33B0">
              <w:rPr>
                <w:b/>
              </w:rPr>
              <w:t xml:space="preserve"> 2025</w:t>
            </w:r>
          </w:p>
        </w:tc>
      </w:tr>
      <w:tr w:rsidR="00AD3606" w:rsidRPr="00C0458D" w14:paraId="75730376" w14:textId="77777777" w:rsidTr="00AD3606">
        <w:trPr>
          <w:cantSplit/>
          <w:trHeight w:val="23"/>
        </w:trPr>
        <w:tc>
          <w:tcPr>
            <w:tcW w:w="3969" w:type="dxa"/>
            <w:vMerge/>
          </w:tcPr>
          <w:p w14:paraId="298F937E" w14:textId="77777777" w:rsidR="00AD3606" w:rsidRPr="00C0458D" w:rsidRDefault="00AD3606" w:rsidP="00AD3606">
            <w:pPr>
              <w:tabs>
                <w:tab w:val="left" w:pos="851"/>
              </w:tabs>
              <w:spacing w:line="240" w:lineRule="atLeast"/>
              <w:rPr>
                <w:b/>
              </w:rPr>
            </w:pPr>
            <w:bookmarkStart w:id="7" w:name="dorlang" w:colFirst="1" w:colLast="1"/>
            <w:bookmarkEnd w:id="6"/>
          </w:p>
        </w:tc>
        <w:tc>
          <w:tcPr>
            <w:tcW w:w="5245" w:type="dxa"/>
          </w:tcPr>
          <w:p w14:paraId="041A065E" w14:textId="77777777" w:rsidR="00AD3606" w:rsidRPr="00C0458D" w:rsidRDefault="00AD3606" w:rsidP="00AD3606">
            <w:pPr>
              <w:tabs>
                <w:tab w:val="left" w:pos="851"/>
              </w:tabs>
              <w:spacing w:before="0" w:line="240" w:lineRule="atLeast"/>
              <w:jc w:val="right"/>
              <w:rPr>
                <w:b/>
              </w:rPr>
            </w:pPr>
            <w:r w:rsidRPr="00C0458D">
              <w:rPr>
                <w:b/>
              </w:rPr>
              <w:t>Original: English</w:t>
            </w:r>
          </w:p>
        </w:tc>
      </w:tr>
      <w:tr w:rsidR="00472BAD" w:rsidRPr="00C0458D" w14:paraId="14DA91C4" w14:textId="77777777" w:rsidTr="00AD3606">
        <w:trPr>
          <w:cantSplit/>
          <w:trHeight w:val="23"/>
        </w:trPr>
        <w:tc>
          <w:tcPr>
            <w:tcW w:w="3969" w:type="dxa"/>
          </w:tcPr>
          <w:p w14:paraId="5858B25D" w14:textId="77777777" w:rsidR="00472BAD" w:rsidRPr="00C0458D" w:rsidRDefault="00472BAD" w:rsidP="00AD3606">
            <w:pPr>
              <w:tabs>
                <w:tab w:val="left" w:pos="851"/>
              </w:tabs>
              <w:spacing w:line="240" w:lineRule="atLeast"/>
              <w:rPr>
                <w:b/>
              </w:rPr>
            </w:pPr>
          </w:p>
        </w:tc>
        <w:tc>
          <w:tcPr>
            <w:tcW w:w="5245" w:type="dxa"/>
          </w:tcPr>
          <w:p w14:paraId="5DBF7439" w14:textId="77777777" w:rsidR="00472BAD" w:rsidRPr="00C0458D" w:rsidRDefault="00472BAD" w:rsidP="00AD3606">
            <w:pPr>
              <w:tabs>
                <w:tab w:val="left" w:pos="851"/>
              </w:tabs>
              <w:spacing w:before="0" w:line="240" w:lineRule="atLeast"/>
              <w:jc w:val="right"/>
              <w:rPr>
                <w:b/>
              </w:rPr>
            </w:pPr>
          </w:p>
        </w:tc>
      </w:tr>
      <w:tr w:rsidR="00AD3606" w:rsidRPr="00C0458D" w14:paraId="2481FF59" w14:textId="77777777" w:rsidTr="00AD3606">
        <w:trPr>
          <w:cantSplit/>
        </w:trPr>
        <w:tc>
          <w:tcPr>
            <w:tcW w:w="9214" w:type="dxa"/>
            <w:gridSpan w:val="2"/>
            <w:tcMar>
              <w:left w:w="0" w:type="dxa"/>
            </w:tcMar>
          </w:tcPr>
          <w:p w14:paraId="2016C4A0" w14:textId="77777777" w:rsidR="00AD3606" w:rsidRPr="000F7289" w:rsidRDefault="00AD3606" w:rsidP="000F7289">
            <w:pPr>
              <w:pStyle w:val="Source"/>
              <w:framePr w:hSpace="0" w:wrap="auto" w:vAnchor="margin" w:hAnchor="text" w:xAlign="left" w:yAlign="inline"/>
            </w:pPr>
            <w:bookmarkStart w:id="8" w:name="dsource" w:colFirst="0" w:colLast="0"/>
            <w:bookmarkEnd w:id="7"/>
            <w:r w:rsidRPr="000F7289">
              <w:t>Report by the Secretary-General</w:t>
            </w:r>
          </w:p>
        </w:tc>
      </w:tr>
      <w:tr w:rsidR="00AD3606" w:rsidRPr="00C0458D" w14:paraId="3A759762" w14:textId="77777777" w:rsidTr="00AD3606">
        <w:trPr>
          <w:cantSplit/>
        </w:trPr>
        <w:tc>
          <w:tcPr>
            <w:tcW w:w="9214" w:type="dxa"/>
            <w:gridSpan w:val="2"/>
            <w:tcMar>
              <w:left w:w="0" w:type="dxa"/>
            </w:tcMar>
          </w:tcPr>
          <w:p w14:paraId="2A2DCF47" w14:textId="33D2159F" w:rsidR="00AD3606" w:rsidRPr="000F7289" w:rsidRDefault="00DC7612" w:rsidP="000F7289">
            <w:pPr>
              <w:pStyle w:val="Subtitle"/>
              <w:framePr w:hSpace="0" w:wrap="auto" w:xAlign="left" w:yAlign="inline"/>
            </w:pPr>
            <w:bookmarkStart w:id="9" w:name="dtitle1" w:colFirst="0" w:colLast="0"/>
            <w:bookmarkEnd w:id="8"/>
            <w:r w:rsidRPr="00DC7612">
              <w:t>OBSOLETE COUNCIL RESOLUTIONS AND DECISIONS</w:t>
            </w:r>
          </w:p>
        </w:tc>
      </w:tr>
      <w:tr w:rsidR="00AD3606" w:rsidRPr="00C0458D" w14:paraId="72B25568" w14:textId="77777777" w:rsidTr="00AD3606">
        <w:trPr>
          <w:cantSplit/>
        </w:trPr>
        <w:tc>
          <w:tcPr>
            <w:tcW w:w="9214" w:type="dxa"/>
            <w:gridSpan w:val="2"/>
            <w:tcBorders>
              <w:top w:val="single" w:sz="4" w:space="0" w:color="auto"/>
              <w:bottom w:val="single" w:sz="4" w:space="0" w:color="auto"/>
            </w:tcBorders>
            <w:tcMar>
              <w:left w:w="0" w:type="dxa"/>
            </w:tcMar>
          </w:tcPr>
          <w:p w14:paraId="4C3D541B" w14:textId="1024FD2F" w:rsidR="00AD3606" w:rsidRPr="00C0458D" w:rsidRDefault="00F16BAB" w:rsidP="00F16BAB">
            <w:pPr>
              <w:spacing w:before="160"/>
              <w:rPr>
                <w:b/>
                <w:bCs/>
                <w:sz w:val="26"/>
                <w:szCs w:val="26"/>
              </w:rPr>
            </w:pPr>
            <w:r w:rsidRPr="00C0458D">
              <w:rPr>
                <w:b/>
                <w:bCs/>
                <w:sz w:val="26"/>
                <w:szCs w:val="26"/>
              </w:rPr>
              <w:t>Purpose</w:t>
            </w:r>
          </w:p>
          <w:p w14:paraId="67D070EA" w14:textId="4ACFEC5B" w:rsidR="00AD3606" w:rsidRPr="00C0458D" w:rsidRDefault="00DC7612" w:rsidP="00DC7612">
            <w:r>
              <w:t>After each ordinary session of the ITU Council, Resolutions and Decisions which have been implemented or have become obsolete are abrogated and, consequently, deleted from the volume of Resolutions and Decisions of the Council.</w:t>
            </w:r>
          </w:p>
          <w:p w14:paraId="4288AA6F" w14:textId="77777777" w:rsidR="00AD3606" w:rsidRDefault="00AD3606" w:rsidP="00F16BAB">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0FFF2D9B" w14:textId="1FDDD312" w:rsidR="00722551" w:rsidRDefault="00DC7612" w:rsidP="00DC7612">
            <w:r>
              <w:t xml:space="preserve">The Council is invited to </w:t>
            </w:r>
            <w:r w:rsidRPr="009832AF">
              <w:rPr>
                <w:b/>
                <w:bCs/>
              </w:rPr>
              <w:t>consider</w:t>
            </w:r>
            <w:r>
              <w:t xml:space="preserve"> and </w:t>
            </w:r>
            <w:r w:rsidRPr="009832AF">
              <w:rPr>
                <w:b/>
                <w:bCs/>
              </w:rPr>
              <w:t>approve</w:t>
            </w:r>
            <w:r>
              <w:t xml:space="preserve"> the proposed list of Resolutions and Decisions which should be abrogated and thus removed from the volume.</w:t>
            </w:r>
          </w:p>
          <w:p w14:paraId="4B855F83" w14:textId="7E0F2BB7" w:rsidR="00722551" w:rsidRDefault="00722551" w:rsidP="00722551">
            <w:pPr>
              <w:spacing w:before="160"/>
              <w:rPr>
                <w:b/>
                <w:bCs/>
                <w:sz w:val="26"/>
                <w:szCs w:val="26"/>
              </w:rPr>
            </w:pPr>
            <w:r>
              <w:rPr>
                <w:b/>
                <w:bCs/>
                <w:sz w:val="26"/>
                <w:szCs w:val="26"/>
              </w:rPr>
              <w:t>Relevant link</w:t>
            </w:r>
            <w:r w:rsidR="004B25A1">
              <w:rPr>
                <w:b/>
                <w:bCs/>
                <w:sz w:val="26"/>
                <w:szCs w:val="26"/>
              </w:rPr>
              <w:t>(s)</w:t>
            </w:r>
            <w:r>
              <w:rPr>
                <w:b/>
                <w:bCs/>
                <w:sz w:val="26"/>
                <w:szCs w:val="26"/>
              </w:rPr>
              <w:t xml:space="preserve"> with the Strategic Plan</w:t>
            </w:r>
          </w:p>
          <w:p w14:paraId="56ADF403" w14:textId="390ABB6A" w:rsidR="00722551" w:rsidRPr="00F16BAB" w:rsidRDefault="00DC7612" w:rsidP="00722551">
            <w:r>
              <w:t>N/A</w:t>
            </w:r>
          </w:p>
          <w:p w14:paraId="6A77059B" w14:textId="270D1307" w:rsidR="00722551" w:rsidRDefault="00722551" w:rsidP="00722551">
            <w:pPr>
              <w:spacing w:before="160"/>
              <w:rPr>
                <w:b/>
                <w:bCs/>
                <w:sz w:val="26"/>
                <w:szCs w:val="26"/>
              </w:rPr>
            </w:pPr>
            <w:r>
              <w:rPr>
                <w:b/>
                <w:bCs/>
                <w:sz w:val="26"/>
                <w:szCs w:val="26"/>
              </w:rPr>
              <w:t>Financial implications</w:t>
            </w:r>
          </w:p>
          <w:p w14:paraId="731F0870" w14:textId="666197A6" w:rsidR="00453079" w:rsidRPr="00453079" w:rsidRDefault="00DC7612" w:rsidP="00F16BAB">
            <w:pPr>
              <w:spacing w:before="160"/>
              <w:rPr>
                <w:szCs w:val="24"/>
              </w:rPr>
            </w:pPr>
            <w:r w:rsidRPr="00DC7612">
              <w:rPr>
                <w:szCs w:val="24"/>
              </w:rPr>
              <w:t>Within the allocated budget 202</w:t>
            </w:r>
            <w:r w:rsidR="00BA33B0">
              <w:rPr>
                <w:szCs w:val="24"/>
              </w:rPr>
              <w:t>4</w:t>
            </w:r>
            <w:r w:rsidRPr="00DC7612">
              <w:rPr>
                <w:szCs w:val="24"/>
              </w:rPr>
              <w:t>-202</w:t>
            </w:r>
            <w:r w:rsidR="00BA33B0">
              <w:rPr>
                <w:szCs w:val="24"/>
              </w:rPr>
              <w:t>5</w:t>
            </w:r>
            <w:r w:rsidRPr="00DC7612">
              <w:rPr>
                <w:szCs w:val="24"/>
              </w:rPr>
              <w:t>.</w:t>
            </w:r>
          </w:p>
          <w:p w14:paraId="08939791" w14:textId="77777777" w:rsidR="00C0458D" w:rsidRDefault="00C0458D">
            <w:r>
              <w:t>_______________</w:t>
            </w:r>
          </w:p>
          <w:p w14:paraId="212A584A" w14:textId="77777777" w:rsidR="00AD3606" w:rsidRPr="00C0458D" w:rsidRDefault="00AD3606" w:rsidP="00F16BAB">
            <w:pPr>
              <w:spacing w:before="160"/>
              <w:rPr>
                <w:b/>
                <w:bCs/>
                <w:sz w:val="26"/>
                <w:szCs w:val="26"/>
              </w:rPr>
            </w:pPr>
            <w:r w:rsidRPr="00C0458D">
              <w:rPr>
                <w:b/>
                <w:bCs/>
                <w:sz w:val="26"/>
                <w:szCs w:val="26"/>
              </w:rPr>
              <w:t>References</w:t>
            </w:r>
          </w:p>
          <w:p w14:paraId="7089D4B7" w14:textId="6F59B85B" w:rsidR="00AD3606" w:rsidRPr="00722551" w:rsidRDefault="00386257" w:rsidP="00F16BAB">
            <w:pPr>
              <w:spacing w:after="160"/>
              <w:rPr>
                <w:i/>
                <w:iCs/>
                <w:sz w:val="22"/>
                <w:szCs w:val="22"/>
              </w:rPr>
            </w:pPr>
            <w:hyperlink r:id="rId11" w:history="1">
              <w:r w:rsidRPr="00386257">
                <w:rPr>
                  <w:rStyle w:val="Hyperlink"/>
                  <w:i/>
                  <w:iCs/>
                  <w:sz w:val="22"/>
                  <w:szCs w:val="22"/>
                </w:rPr>
                <w:t>Resolutions and Decisions of the Council (2024)</w:t>
              </w:r>
            </w:hyperlink>
          </w:p>
        </w:tc>
      </w:tr>
    </w:tbl>
    <w:p w14:paraId="3E836A65"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52958905"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bookmarkEnd w:id="5"/>
    <w:bookmarkEnd w:id="10"/>
    <w:p w14:paraId="1CE5D37C" w14:textId="4CC2DC5A" w:rsidR="00386257" w:rsidRPr="00201CCC" w:rsidRDefault="00386257" w:rsidP="00337203">
      <w:pPr>
        <w:pStyle w:val="Heading1"/>
        <w:spacing w:before="480" w:after="240"/>
      </w:pPr>
      <w:r w:rsidRPr="00201CCC">
        <w:lastRenderedPageBreak/>
        <w:t>Resolutions and Decisions to be abrogated</w:t>
      </w:r>
    </w:p>
    <w:tbl>
      <w:tblPr>
        <w:tblW w:w="5000" w:type="pct"/>
        <w:jc w:val="center"/>
        <w:tblBorders>
          <w:top w:val="single" w:sz="12" w:space="0" w:color="009CD6"/>
          <w:left w:val="single" w:sz="12" w:space="0" w:color="009CD6"/>
          <w:bottom w:val="single" w:sz="12" w:space="0" w:color="009CD6"/>
          <w:right w:val="single" w:sz="12" w:space="0" w:color="009CD6"/>
          <w:insideH w:val="single" w:sz="4" w:space="0" w:color="BFBFBF" w:themeColor="background1" w:themeShade="BF"/>
          <w:insideV w:val="single" w:sz="12" w:space="0" w:color="009CD6"/>
        </w:tblBorders>
        <w:tblLook w:val="0000" w:firstRow="0" w:lastRow="0" w:firstColumn="0" w:lastColumn="0" w:noHBand="0" w:noVBand="0"/>
      </w:tblPr>
      <w:tblGrid>
        <w:gridCol w:w="951"/>
        <w:gridCol w:w="1175"/>
        <w:gridCol w:w="6915"/>
      </w:tblGrid>
      <w:tr w:rsidR="00386257" w:rsidRPr="00201CCC" w14:paraId="1D478D26" w14:textId="77777777" w:rsidTr="2CA2A365">
        <w:trPr>
          <w:tblHeader/>
          <w:jc w:val="center"/>
        </w:trPr>
        <w:tc>
          <w:tcPr>
            <w:tcW w:w="526" w:type="pct"/>
            <w:shd w:val="clear" w:color="auto" w:fill="009CD6"/>
          </w:tcPr>
          <w:p w14:paraId="37EF08A0" w14:textId="77777777" w:rsidR="00386257" w:rsidRPr="00201CCC" w:rsidRDefault="00386257">
            <w:pPr>
              <w:tabs>
                <w:tab w:val="clear" w:pos="567"/>
                <w:tab w:val="clear" w:pos="1134"/>
                <w:tab w:val="clear" w:pos="1701"/>
                <w:tab w:val="clear" w:pos="2268"/>
                <w:tab w:val="clear" w:pos="2835"/>
              </w:tabs>
              <w:overflowPunct/>
              <w:autoSpaceDE/>
              <w:autoSpaceDN/>
              <w:adjustRightInd/>
              <w:spacing w:after="120"/>
              <w:textAlignment w:val="auto"/>
              <w:rPr>
                <w:b/>
                <w:color w:val="FFFFFF" w:themeColor="background1"/>
                <w:lang w:val="en-US"/>
              </w:rPr>
            </w:pPr>
            <w:r w:rsidRPr="00201CCC">
              <w:rPr>
                <w:b/>
                <w:color w:val="FFFFFF" w:themeColor="background1"/>
                <w:lang w:val="en-US"/>
              </w:rPr>
              <w:t>Section</w:t>
            </w:r>
          </w:p>
        </w:tc>
        <w:tc>
          <w:tcPr>
            <w:tcW w:w="650" w:type="pct"/>
            <w:shd w:val="clear" w:color="auto" w:fill="009CD6"/>
          </w:tcPr>
          <w:p w14:paraId="682AAE06" w14:textId="77777777" w:rsidR="00386257" w:rsidRPr="00201CCC" w:rsidRDefault="00386257">
            <w:pPr>
              <w:tabs>
                <w:tab w:val="clear" w:pos="567"/>
                <w:tab w:val="clear" w:pos="1134"/>
                <w:tab w:val="clear" w:pos="1701"/>
                <w:tab w:val="clear" w:pos="2268"/>
                <w:tab w:val="clear" w:pos="2835"/>
              </w:tabs>
              <w:overflowPunct/>
              <w:autoSpaceDE/>
              <w:autoSpaceDN/>
              <w:adjustRightInd/>
              <w:spacing w:after="120"/>
              <w:textAlignment w:val="auto"/>
              <w:rPr>
                <w:b/>
                <w:color w:val="FFFFFF" w:themeColor="background1"/>
                <w:lang w:val="en-US"/>
              </w:rPr>
            </w:pPr>
            <w:r w:rsidRPr="00201CCC">
              <w:rPr>
                <w:b/>
                <w:color w:val="FFFFFF" w:themeColor="background1"/>
                <w:lang w:val="en-US"/>
              </w:rPr>
              <w:t>Res/Dec</w:t>
            </w:r>
          </w:p>
        </w:tc>
        <w:tc>
          <w:tcPr>
            <w:tcW w:w="3824" w:type="pct"/>
            <w:shd w:val="clear" w:color="auto" w:fill="009CD6"/>
          </w:tcPr>
          <w:p w14:paraId="48631C75" w14:textId="77777777" w:rsidR="00386257" w:rsidRPr="00201CCC" w:rsidRDefault="00386257">
            <w:pPr>
              <w:tabs>
                <w:tab w:val="clear" w:pos="567"/>
                <w:tab w:val="clear" w:pos="1134"/>
                <w:tab w:val="clear" w:pos="1701"/>
                <w:tab w:val="clear" w:pos="2268"/>
                <w:tab w:val="clear" w:pos="2835"/>
              </w:tabs>
              <w:overflowPunct/>
              <w:autoSpaceDE/>
              <w:autoSpaceDN/>
              <w:adjustRightInd/>
              <w:spacing w:after="120"/>
              <w:textAlignment w:val="auto"/>
              <w:rPr>
                <w:b/>
                <w:color w:val="FFFFFF" w:themeColor="background1"/>
                <w:lang w:val="en-US"/>
              </w:rPr>
            </w:pPr>
            <w:r w:rsidRPr="00201CCC">
              <w:rPr>
                <w:b/>
                <w:color w:val="FFFFFF" w:themeColor="background1"/>
                <w:lang w:val="en-US"/>
              </w:rPr>
              <w:t>Title</w:t>
            </w:r>
          </w:p>
        </w:tc>
      </w:tr>
      <w:tr w:rsidR="00620805" w:rsidRPr="00201CCC" w14:paraId="7163C23C" w14:textId="77777777" w:rsidTr="2CA2A365">
        <w:trPr>
          <w:jc w:val="center"/>
        </w:trPr>
        <w:tc>
          <w:tcPr>
            <w:tcW w:w="526" w:type="pct"/>
            <w:shd w:val="clear" w:color="auto" w:fill="FFFFFF" w:themeFill="background1"/>
          </w:tcPr>
          <w:p w14:paraId="567EDC99" w14:textId="3120F564" w:rsidR="00620805" w:rsidRPr="005D5135" w:rsidRDefault="00620805">
            <w:pPr>
              <w:tabs>
                <w:tab w:val="clear" w:pos="567"/>
                <w:tab w:val="clear" w:pos="1134"/>
                <w:tab w:val="clear" w:pos="1701"/>
                <w:tab w:val="clear" w:pos="2268"/>
                <w:tab w:val="clear" w:pos="2835"/>
              </w:tabs>
              <w:overflowPunct/>
              <w:autoSpaceDE/>
              <w:autoSpaceDN/>
              <w:adjustRightInd/>
              <w:spacing w:before="60" w:after="60"/>
              <w:textAlignment w:val="auto"/>
              <w:rPr>
                <w:color w:val="595959" w:themeColor="text1" w:themeTint="A6"/>
              </w:rPr>
            </w:pPr>
            <w:r w:rsidRPr="005D5135">
              <w:rPr>
                <w:color w:val="595959" w:themeColor="text1" w:themeTint="A6"/>
              </w:rPr>
              <w:t>1.1</w:t>
            </w:r>
          </w:p>
        </w:tc>
        <w:tc>
          <w:tcPr>
            <w:tcW w:w="650" w:type="pct"/>
            <w:shd w:val="clear" w:color="auto" w:fill="FFFFFF" w:themeFill="background1"/>
          </w:tcPr>
          <w:p w14:paraId="5BE1BD4F" w14:textId="4D004921" w:rsidR="00620805" w:rsidRPr="005D5135" w:rsidRDefault="00620805">
            <w:pPr>
              <w:tabs>
                <w:tab w:val="clear" w:pos="567"/>
                <w:tab w:val="clear" w:pos="1134"/>
                <w:tab w:val="clear" w:pos="1701"/>
                <w:tab w:val="clear" w:pos="2268"/>
                <w:tab w:val="clear" w:pos="2835"/>
              </w:tabs>
              <w:overflowPunct/>
              <w:autoSpaceDE/>
              <w:autoSpaceDN/>
              <w:adjustRightInd/>
              <w:spacing w:before="60" w:after="60"/>
              <w:textAlignment w:val="auto"/>
              <w:rPr>
                <w:b/>
                <w:bCs/>
                <w:color w:val="595959" w:themeColor="text1" w:themeTint="A6"/>
                <w:lang w:val="en-US"/>
              </w:rPr>
            </w:pPr>
            <w:r w:rsidRPr="005D5135">
              <w:rPr>
                <w:b/>
                <w:bCs/>
                <w:color w:val="595959" w:themeColor="text1" w:themeTint="A6"/>
                <w:lang w:val="en-US"/>
              </w:rPr>
              <w:t>R 1405</w:t>
            </w:r>
          </w:p>
        </w:tc>
        <w:tc>
          <w:tcPr>
            <w:tcW w:w="3824" w:type="pct"/>
            <w:shd w:val="clear" w:color="auto" w:fill="FFFFFF" w:themeFill="background1"/>
          </w:tcPr>
          <w:p w14:paraId="7E2876D5" w14:textId="1C01BF48" w:rsidR="00620805" w:rsidRPr="005D5135" w:rsidRDefault="00620805" w:rsidP="00620805">
            <w:pPr>
              <w:tabs>
                <w:tab w:val="clear" w:pos="567"/>
                <w:tab w:val="clear" w:pos="1134"/>
                <w:tab w:val="clear" w:pos="1701"/>
                <w:tab w:val="clear" w:pos="2268"/>
                <w:tab w:val="clear" w:pos="2835"/>
              </w:tabs>
              <w:overflowPunct/>
              <w:autoSpaceDE/>
              <w:autoSpaceDN/>
              <w:adjustRightInd/>
              <w:spacing w:before="60" w:after="60"/>
              <w:textAlignment w:val="auto"/>
              <w:rPr>
                <w:color w:val="595959" w:themeColor="text1" w:themeTint="A6"/>
              </w:rPr>
            </w:pPr>
            <w:r w:rsidRPr="005D5135">
              <w:rPr>
                <w:color w:val="595959" w:themeColor="text1" w:themeTint="A6"/>
              </w:rPr>
              <w:t>Biennial budget of the International Telecommunication Union for 2022-2023</w:t>
            </w:r>
          </w:p>
        </w:tc>
      </w:tr>
      <w:tr w:rsidR="00B54472" w:rsidRPr="00201CCC" w14:paraId="2ECA84D2" w14:textId="77777777" w:rsidTr="2CA2A365">
        <w:trPr>
          <w:jc w:val="center"/>
        </w:trPr>
        <w:tc>
          <w:tcPr>
            <w:tcW w:w="526" w:type="pct"/>
            <w:shd w:val="clear" w:color="auto" w:fill="FFFFFF" w:themeFill="background1"/>
          </w:tcPr>
          <w:p w14:paraId="482D7B2A" w14:textId="36F698BE" w:rsidR="00B54472" w:rsidRPr="005D5135" w:rsidRDefault="00B54472">
            <w:pPr>
              <w:tabs>
                <w:tab w:val="clear" w:pos="567"/>
                <w:tab w:val="clear" w:pos="1134"/>
                <w:tab w:val="clear" w:pos="1701"/>
                <w:tab w:val="clear" w:pos="2268"/>
                <w:tab w:val="clear" w:pos="2835"/>
              </w:tabs>
              <w:overflowPunct/>
              <w:autoSpaceDE/>
              <w:autoSpaceDN/>
              <w:adjustRightInd/>
              <w:spacing w:before="60" w:after="60"/>
              <w:textAlignment w:val="auto"/>
              <w:rPr>
                <w:color w:val="595959" w:themeColor="text1" w:themeTint="A6"/>
              </w:rPr>
            </w:pPr>
            <w:r w:rsidRPr="005D5135">
              <w:rPr>
                <w:color w:val="595959" w:themeColor="text1" w:themeTint="A6"/>
              </w:rPr>
              <w:t>1.2</w:t>
            </w:r>
          </w:p>
        </w:tc>
        <w:tc>
          <w:tcPr>
            <w:tcW w:w="650" w:type="pct"/>
            <w:shd w:val="clear" w:color="auto" w:fill="FFFFFF" w:themeFill="background1"/>
          </w:tcPr>
          <w:p w14:paraId="13DADCCB" w14:textId="6049FBB8" w:rsidR="00B54472" w:rsidRPr="005D5135" w:rsidRDefault="00B54472">
            <w:pPr>
              <w:tabs>
                <w:tab w:val="clear" w:pos="567"/>
                <w:tab w:val="clear" w:pos="1134"/>
                <w:tab w:val="clear" w:pos="1701"/>
                <w:tab w:val="clear" w:pos="2268"/>
                <w:tab w:val="clear" w:pos="2835"/>
              </w:tabs>
              <w:overflowPunct/>
              <w:autoSpaceDE/>
              <w:autoSpaceDN/>
              <w:adjustRightInd/>
              <w:spacing w:before="60" w:after="60"/>
              <w:textAlignment w:val="auto"/>
              <w:rPr>
                <w:b/>
                <w:bCs/>
                <w:color w:val="595959" w:themeColor="text1" w:themeTint="A6"/>
                <w:lang w:val="en-US"/>
              </w:rPr>
            </w:pPr>
            <w:r w:rsidRPr="005D5135">
              <w:rPr>
                <w:b/>
                <w:bCs/>
                <w:color w:val="595959" w:themeColor="text1" w:themeTint="A6"/>
                <w:lang w:val="en-US"/>
              </w:rPr>
              <w:t>D639</w:t>
            </w:r>
          </w:p>
        </w:tc>
        <w:tc>
          <w:tcPr>
            <w:tcW w:w="3824" w:type="pct"/>
            <w:shd w:val="clear" w:color="auto" w:fill="FFFFFF" w:themeFill="background1"/>
          </w:tcPr>
          <w:p w14:paraId="4E5505C0" w14:textId="50B11D71" w:rsidR="00B54472" w:rsidRPr="005D5135" w:rsidRDefault="00B54472" w:rsidP="00D12F40">
            <w:pPr>
              <w:tabs>
                <w:tab w:val="clear" w:pos="567"/>
                <w:tab w:val="clear" w:pos="1134"/>
                <w:tab w:val="clear" w:pos="1701"/>
                <w:tab w:val="clear" w:pos="2268"/>
                <w:tab w:val="clear" w:pos="2835"/>
              </w:tabs>
              <w:overflowPunct/>
              <w:autoSpaceDE/>
              <w:autoSpaceDN/>
              <w:adjustRightInd/>
              <w:spacing w:before="60" w:after="60"/>
              <w:textAlignment w:val="auto"/>
              <w:rPr>
                <w:color w:val="595959" w:themeColor="text1" w:themeTint="A6"/>
              </w:rPr>
            </w:pPr>
            <w:r w:rsidRPr="005D5135">
              <w:rPr>
                <w:color w:val="595959" w:themeColor="text1" w:themeTint="A6"/>
              </w:rPr>
              <w:t>Cancellation of interest on arrears and irrecoverable debts</w:t>
            </w:r>
          </w:p>
        </w:tc>
      </w:tr>
      <w:tr w:rsidR="00236AB5" w:rsidRPr="00201CCC" w14:paraId="457CA482" w14:textId="77777777" w:rsidTr="2CA2A365">
        <w:trPr>
          <w:jc w:val="center"/>
        </w:trPr>
        <w:tc>
          <w:tcPr>
            <w:tcW w:w="526" w:type="pct"/>
            <w:shd w:val="clear" w:color="auto" w:fill="FFFFFF" w:themeFill="background1"/>
          </w:tcPr>
          <w:p w14:paraId="500A9D98" w14:textId="5CE521EC" w:rsidR="00236AB5" w:rsidRPr="005D5135" w:rsidRDefault="00236AB5">
            <w:pPr>
              <w:tabs>
                <w:tab w:val="clear" w:pos="567"/>
                <w:tab w:val="clear" w:pos="1134"/>
                <w:tab w:val="clear" w:pos="1701"/>
                <w:tab w:val="clear" w:pos="2268"/>
                <w:tab w:val="clear" w:pos="2835"/>
              </w:tabs>
              <w:overflowPunct/>
              <w:autoSpaceDE/>
              <w:autoSpaceDN/>
              <w:adjustRightInd/>
              <w:spacing w:before="60" w:after="60"/>
              <w:textAlignment w:val="auto"/>
              <w:rPr>
                <w:color w:val="595959" w:themeColor="text1" w:themeTint="A6"/>
              </w:rPr>
            </w:pPr>
            <w:r w:rsidRPr="005D5135">
              <w:rPr>
                <w:color w:val="595959" w:themeColor="text1" w:themeTint="A6"/>
              </w:rPr>
              <w:t>2.1</w:t>
            </w:r>
          </w:p>
        </w:tc>
        <w:tc>
          <w:tcPr>
            <w:tcW w:w="650" w:type="pct"/>
            <w:shd w:val="clear" w:color="auto" w:fill="FFFFFF" w:themeFill="background1"/>
          </w:tcPr>
          <w:p w14:paraId="424CA3FD" w14:textId="1E382DBD" w:rsidR="00236AB5" w:rsidRPr="005D5135" w:rsidRDefault="00236AB5">
            <w:pPr>
              <w:tabs>
                <w:tab w:val="clear" w:pos="567"/>
                <w:tab w:val="clear" w:pos="1134"/>
                <w:tab w:val="clear" w:pos="1701"/>
                <w:tab w:val="clear" w:pos="2268"/>
                <w:tab w:val="clear" w:pos="2835"/>
              </w:tabs>
              <w:overflowPunct/>
              <w:autoSpaceDE/>
              <w:autoSpaceDN/>
              <w:adjustRightInd/>
              <w:spacing w:before="60" w:after="60"/>
              <w:textAlignment w:val="auto"/>
              <w:rPr>
                <w:b/>
                <w:bCs/>
                <w:color w:val="595959" w:themeColor="text1" w:themeTint="A6"/>
                <w:lang w:val="en-US"/>
              </w:rPr>
            </w:pPr>
            <w:r w:rsidRPr="005D5135">
              <w:rPr>
                <w:b/>
                <w:bCs/>
                <w:color w:val="595959" w:themeColor="text1" w:themeTint="A6"/>
                <w:lang w:val="en-US"/>
              </w:rPr>
              <w:t>R 1425</w:t>
            </w:r>
            <w:r w:rsidR="005D5135" w:rsidRPr="005D5135">
              <w:rPr>
                <w:rStyle w:val="FootnoteReference"/>
                <w:b/>
                <w:bCs/>
                <w:color w:val="595959" w:themeColor="text1" w:themeTint="A6"/>
                <w:lang w:val="en-US"/>
              </w:rPr>
              <w:footnoteReference w:id="2"/>
            </w:r>
          </w:p>
        </w:tc>
        <w:tc>
          <w:tcPr>
            <w:tcW w:w="3824" w:type="pct"/>
            <w:shd w:val="clear" w:color="auto" w:fill="FFFFFF" w:themeFill="background1"/>
          </w:tcPr>
          <w:p w14:paraId="113BFD9A" w14:textId="13059560" w:rsidR="00236AB5" w:rsidRPr="005D5135" w:rsidRDefault="00236AB5" w:rsidP="00D12F40">
            <w:pPr>
              <w:tabs>
                <w:tab w:val="clear" w:pos="567"/>
                <w:tab w:val="clear" w:pos="1134"/>
                <w:tab w:val="clear" w:pos="1701"/>
                <w:tab w:val="clear" w:pos="2268"/>
                <w:tab w:val="clear" w:pos="2835"/>
              </w:tabs>
              <w:overflowPunct/>
              <w:autoSpaceDE/>
              <w:autoSpaceDN/>
              <w:adjustRightInd/>
              <w:spacing w:before="60" w:after="60"/>
              <w:textAlignment w:val="auto"/>
              <w:rPr>
                <w:color w:val="595959" w:themeColor="text1" w:themeTint="A6"/>
              </w:rPr>
            </w:pPr>
            <w:r w:rsidRPr="005D5135">
              <w:rPr>
                <w:color w:val="595959" w:themeColor="text1" w:themeTint="A6"/>
              </w:rPr>
              <w:t>Conditions of service of ITU elected officials</w:t>
            </w:r>
          </w:p>
        </w:tc>
      </w:tr>
      <w:tr w:rsidR="00F95A74" w:rsidRPr="00201CCC" w14:paraId="1A755956" w14:textId="77777777" w:rsidTr="2CA2A365">
        <w:trPr>
          <w:jc w:val="center"/>
        </w:trPr>
        <w:tc>
          <w:tcPr>
            <w:tcW w:w="526" w:type="pct"/>
            <w:shd w:val="clear" w:color="auto" w:fill="FFFFFF" w:themeFill="background1"/>
          </w:tcPr>
          <w:p w14:paraId="27D1944E" w14:textId="2338A589" w:rsidR="00F95A74" w:rsidRPr="005D5135" w:rsidRDefault="00F95A74">
            <w:pPr>
              <w:tabs>
                <w:tab w:val="clear" w:pos="567"/>
                <w:tab w:val="clear" w:pos="1134"/>
                <w:tab w:val="clear" w:pos="1701"/>
                <w:tab w:val="clear" w:pos="2268"/>
                <w:tab w:val="clear" w:pos="2835"/>
              </w:tabs>
              <w:overflowPunct/>
              <w:autoSpaceDE/>
              <w:autoSpaceDN/>
              <w:adjustRightInd/>
              <w:spacing w:before="60" w:after="60"/>
              <w:textAlignment w:val="auto"/>
              <w:rPr>
                <w:color w:val="595959" w:themeColor="text1" w:themeTint="A6"/>
              </w:rPr>
            </w:pPr>
            <w:r w:rsidRPr="005D5135">
              <w:rPr>
                <w:color w:val="595959" w:themeColor="text1" w:themeTint="A6"/>
              </w:rPr>
              <w:t>2.2</w:t>
            </w:r>
          </w:p>
        </w:tc>
        <w:tc>
          <w:tcPr>
            <w:tcW w:w="650" w:type="pct"/>
            <w:shd w:val="clear" w:color="auto" w:fill="FFFFFF" w:themeFill="background1"/>
          </w:tcPr>
          <w:p w14:paraId="2E3332AD" w14:textId="405395D6" w:rsidR="00F95A74" w:rsidRPr="005D5135" w:rsidRDefault="00F95A74">
            <w:pPr>
              <w:tabs>
                <w:tab w:val="clear" w:pos="567"/>
                <w:tab w:val="clear" w:pos="1134"/>
                <w:tab w:val="clear" w:pos="1701"/>
                <w:tab w:val="clear" w:pos="2268"/>
                <w:tab w:val="clear" w:pos="2835"/>
              </w:tabs>
              <w:overflowPunct/>
              <w:autoSpaceDE/>
              <w:autoSpaceDN/>
              <w:adjustRightInd/>
              <w:spacing w:before="60" w:after="60"/>
              <w:textAlignment w:val="auto"/>
              <w:rPr>
                <w:b/>
                <w:bCs/>
                <w:color w:val="595959" w:themeColor="text1" w:themeTint="A6"/>
                <w:lang w:val="en-US"/>
              </w:rPr>
            </w:pPr>
            <w:r w:rsidRPr="005D5135">
              <w:rPr>
                <w:b/>
                <w:bCs/>
                <w:color w:val="595959" w:themeColor="text1" w:themeTint="A6"/>
                <w:lang w:val="en-US"/>
              </w:rPr>
              <w:t>D 582</w:t>
            </w:r>
            <w:r w:rsidR="001F04EE">
              <w:rPr>
                <w:rStyle w:val="FootnoteReference"/>
                <w:b/>
                <w:bCs/>
                <w:color w:val="595959" w:themeColor="text1" w:themeTint="A6"/>
                <w:lang w:val="en-US"/>
              </w:rPr>
              <w:footnoteReference w:id="3"/>
            </w:r>
          </w:p>
        </w:tc>
        <w:tc>
          <w:tcPr>
            <w:tcW w:w="3824" w:type="pct"/>
            <w:shd w:val="clear" w:color="auto" w:fill="FFFFFF" w:themeFill="background1"/>
          </w:tcPr>
          <w:p w14:paraId="7D2BF57B" w14:textId="1DF73849" w:rsidR="00F95A74" w:rsidRPr="005D5135" w:rsidRDefault="00F95A74" w:rsidP="00D12F40">
            <w:pPr>
              <w:tabs>
                <w:tab w:val="clear" w:pos="567"/>
                <w:tab w:val="clear" w:pos="1134"/>
                <w:tab w:val="clear" w:pos="1701"/>
                <w:tab w:val="clear" w:pos="2268"/>
                <w:tab w:val="clear" w:pos="2835"/>
              </w:tabs>
              <w:overflowPunct/>
              <w:autoSpaceDE/>
              <w:autoSpaceDN/>
              <w:adjustRightInd/>
              <w:spacing w:before="60" w:after="60"/>
              <w:textAlignment w:val="auto"/>
              <w:rPr>
                <w:color w:val="595959" w:themeColor="text1" w:themeTint="A6"/>
              </w:rPr>
            </w:pPr>
            <w:r w:rsidRPr="2CA2A365">
              <w:rPr>
                <w:color w:val="595959" w:themeColor="text1" w:themeTint="A6"/>
              </w:rPr>
              <w:t>Voluntary Separation and Early Retirement programme</w:t>
            </w:r>
            <w:r w:rsidR="00130342">
              <w:rPr>
                <w:color w:val="595959" w:themeColor="text1" w:themeTint="A6"/>
              </w:rPr>
              <w:t xml:space="preserve"> </w:t>
            </w:r>
          </w:p>
        </w:tc>
      </w:tr>
      <w:tr w:rsidR="00006B36" w:rsidRPr="00201CCC" w14:paraId="4C8268EE" w14:textId="77777777" w:rsidTr="2CA2A365">
        <w:trPr>
          <w:jc w:val="center"/>
        </w:trPr>
        <w:tc>
          <w:tcPr>
            <w:tcW w:w="526" w:type="pct"/>
            <w:shd w:val="clear" w:color="auto" w:fill="FFFFFF" w:themeFill="background1"/>
          </w:tcPr>
          <w:p w14:paraId="5C967DDF" w14:textId="2C085930" w:rsidR="00006B36" w:rsidRPr="005D5135" w:rsidRDefault="00006B36">
            <w:pPr>
              <w:tabs>
                <w:tab w:val="clear" w:pos="567"/>
                <w:tab w:val="clear" w:pos="1134"/>
                <w:tab w:val="clear" w:pos="1701"/>
                <w:tab w:val="clear" w:pos="2268"/>
                <w:tab w:val="clear" w:pos="2835"/>
              </w:tabs>
              <w:overflowPunct/>
              <w:autoSpaceDE/>
              <w:autoSpaceDN/>
              <w:adjustRightInd/>
              <w:spacing w:before="60" w:after="60"/>
              <w:textAlignment w:val="auto"/>
              <w:rPr>
                <w:color w:val="595959" w:themeColor="text1" w:themeTint="A6"/>
              </w:rPr>
            </w:pPr>
            <w:r w:rsidRPr="005D5135">
              <w:rPr>
                <w:color w:val="595959" w:themeColor="text1" w:themeTint="A6"/>
              </w:rPr>
              <w:t>3.2</w:t>
            </w:r>
          </w:p>
        </w:tc>
        <w:tc>
          <w:tcPr>
            <w:tcW w:w="650" w:type="pct"/>
            <w:shd w:val="clear" w:color="auto" w:fill="FFFFFF" w:themeFill="background1"/>
          </w:tcPr>
          <w:p w14:paraId="1467ADEE" w14:textId="43C719A0" w:rsidR="00006B36" w:rsidRPr="005D5135" w:rsidRDefault="00006B36">
            <w:pPr>
              <w:tabs>
                <w:tab w:val="clear" w:pos="567"/>
                <w:tab w:val="clear" w:pos="1134"/>
                <w:tab w:val="clear" w:pos="1701"/>
                <w:tab w:val="clear" w:pos="2268"/>
                <w:tab w:val="clear" w:pos="2835"/>
              </w:tabs>
              <w:overflowPunct/>
              <w:autoSpaceDE/>
              <w:autoSpaceDN/>
              <w:adjustRightInd/>
              <w:spacing w:before="60" w:after="60"/>
              <w:textAlignment w:val="auto"/>
              <w:rPr>
                <w:b/>
                <w:bCs/>
                <w:color w:val="595959" w:themeColor="text1" w:themeTint="A6"/>
                <w:lang w:val="en-US"/>
              </w:rPr>
            </w:pPr>
            <w:r w:rsidRPr="005D5135">
              <w:rPr>
                <w:b/>
                <w:bCs/>
                <w:color w:val="595959" w:themeColor="text1" w:themeTint="A6"/>
                <w:lang w:val="en-US"/>
              </w:rPr>
              <w:t>D 64</w:t>
            </w:r>
            <w:r w:rsidR="00D04DC7" w:rsidRPr="005D5135">
              <w:rPr>
                <w:b/>
                <w:bCs/>
                <w:color w:val="595959" w:themeColor="text1" w:themeTint="A6"/>
                <w:lang w:val="en-US"/>
              </w:rPr>
              <w:t>2</w:t>
            </w:r>
            <w:r w:rsidR="00337203">
              <w:rPr>
                <w:rStyle w:val="FootnoteReference"/>
                <w:b/>
                <w:bCs/>
                <w:color w:val="595959" w:themeColor="text1" w:themeTint="A6"/>
                <w:lang w:val="en-US"/>
              </w:rPr>
              <w:footnoteReference w:id="4"/>
            </w:r>
          </w:p>
        </w:tc>
        <w:tc>
          <w:tcPr>
            <w:tcW w:w="3824" w:type="pct"/>
            <w:shd w:val="clear" w:color="auto" w:fill="FFFFFF" w:themeFill="background1"/>
          </w:tcPr>
          <w:p w14:paraId="688835BC" w14:textId="0BFB6A8E" w:rsidR="00006B36" w:rsidRPr="005D5135" w:rsidRDefault="00006B36" w:rsidP="00006B36">
            <w:pPr>
              <w:tabs>
                <w:tab w:val="clear" w:pos="567"/>
                <w:tab w:val="clear" w:pos="1134"/>
                <w:tab w:val="clear" w:pos="1701"/>
                <w:tab w:val="clear" w:pos="2268"/>
                <w:tab w:val="clear" w:pos="2835"/>
              </w:tabs>
              <w:overflowPunct/>
              <w:autoSpaceDE/>
              <w:autoSpaceDN/>
              <w:adjustRightInd/>
              <w:spacing w:before="60" w:after="60"/>
              <w:textAlignment w:val="auto"/>
              <w:rPr>
                <w:color w:val="595959" w:themeColor="text1" w:themeTint="A6"/>
              </w:rPr>
            </w:pPr>
            <w:r w:rsidRPr="005D5135">
              <w:rPr>
                <w:color w:val="595959" w:themeColor="text1" w:themeTint="A6"/>
              </w:rPr>
              <w:t>Dates and duration of the 2025, 2026, and 2027 sessions of the Council, along with the clusters of Council Working Groups and Expert Groups for 2025, 2026 and 2027</w:t>
            </w:r>
          </w:p>
        </w:tc>
      </w:tr>
      <w:tr w:rsidR="00006B36" w:rsidRPr="00201CCC" w14:paraId="309DD401" w14:textId="77777777" w:rsidTr="2CA2A365">
        <w:trPr>
          <w:jc w:val="center"/>
        </w:trPr>
        <w:tc>
          <w:tcPr>
            <w:tcW w:w="526" w:type="pct"/>
            <w:shd w:val="clear" w:color="auto" w:fill="FFFFFF" w:themeFill="background1"/>
          </w:tcPr>
          <w:p w14:paraId="5FEF7547" w14:textId="1F8CF83D" w:rsidR="00006B36" w:rsidRPr="005D5135" w:rsidRDefault="00006B36">
            <w:pPr>
              <w:tabs>
                <w:tab w:val="clear" w:pos="567"/>
                <w:tab w:val="clear" w:pos="1134"/>
                <w:tab w:val="clear" w:pos="1701"/>
                <w:tab w:val="clear" w:pos="2268"/>
                <w:tab w:val="clear" w:pos="2835"/>
              </w:tabs>
              <w:overflowPunct/>
              <w:autoSpaceDE/>
              <w:autoSpaceDN/>
              <w:adjustRightInd/>
              <w:spacing w:before="60" w:after="60"/>
              <w:textAlignment w:val="auto"/>
              <w:rPr>
                <w:color w:val="595959" w:themeColor="text1" w:themeTint="A6"/>
              </w:rPr>
            </w:pPr>
            <w:r w:rsidRPr="005D5135">
              <w:rPr>
                <w:color w:val="595959" w:themeColor="text1" w:themeTint="A6"/>
              </w:rPr>
              <w:t>3.2</w:t>
            </w:r>
          </w:p>
        </w:tc>
        <w:tc>
          <w:tcPr>
            <w:tcW w:w="650" w:type="pct"/>
            <w:shd w:val="clear" w:color="auto" w:fill="FFFFFF" w:themeFill="background1"/>
          </w:tcPr>
          <w:p w14:paraId="0073133E" w14:textId="750654FC" w:rsidR="00006B36" w:rsidRPr="005D5135" w:rsidRDefault="00006B36">
            <w:pPr>
              <w:tabs>
                <w:tab w:val="clear" w:pos="567"/>
                <w:tab w:val="clear" w:pos="1134"/>
                <w:tab w:val="clear" w:pos="1701"/>
                <w:tab w:val="clear" w:pos="2268"/>
                <w:tab w:val="clear" w:pos="2835"/>
              </w:tabs>
              <w:overflowPunct/>
              <w:autoSpaceDE/>
              <w:autoSpaceDN/>
              <w:adjustRightInd/>
              <w:spacing w:before="60" w:after="60"/>
              <w:textAlignment w:val="auto"/>
              <w:rPr>
                <w:b/>
                <w:bCs/>
                <w:color w:val="595959" w:themeColor="text1" w:themeTint="A6"/>
                <w:lang w:val="en-US"/>
              </w:rPr>
            </w:pPr>
            <w:r w:rsidRPr="005D5135">
              <w:rPr>
                <w:b/>
                <w:bCs/>
                <w:color w:val="595959" w:themeColor="text1" w:themeTint="A6"/>
                <w:lang w:val="en-US"/>
              </w:rPr>
              <w:t>D 629</w:t>
            </w:r>
          </w:p>
        </w:tc>
        <w:tc>
          <w:tcPr>
            <w:tcW w:w="3824" w:type="pct"/>
            <w:shd w:val="clear" w:color="auto" w:fill="FFFFFF" w:themeFill="background1"/>
          </w:tcPr>
          <w:p w14:paraId="59B5DAF5" w14:textId="1934EC51" w:rsidR="00006B36" w:rsidRPr="005D5135" w:rsidRDefault="00006B36" w:rsidP="00006B36">
            <w:pPr>
              <w:tabs>
                <w:tab w:val="clear" w:pos="567"/>
                <w:tab w:val="clear" w:pos="1134"/>
                <w:tab w:val="clear" w:pos="1701"/>
                <w:tab w:val="clear" w:pos="2268"/>
                <w:tab w:val="clear" w:pos="2835"/>
              </w:tabs>
              <w:overflowPunct/>
              <w:autoSpaceDE/>
              <w:autoSpaceDN/>
              <w:adjustRightInd/>
              <w:spacing w:before="60" w:after="60"/>
              <w:textAlignment w:val="auto"/>
              <w:rPr>
                <w:color w:val="595959" w:themeColor="text1" w:themeTint="A6"/>
              </w:rPr>
            </w:pPr>
            <w:r w:rsidRPr="005D5135">
              <w:rPr>
                <w:color w:val="595959" w:themeColor="text1" w:themeTint="A6"/>
              </w:rPr>
              <w:t>Convening of the 2024 world telecommunication standardization assembly</w:t>
            </w:r>
          </w:p>
        </w:tc>
      </w:tr>
    </w:tbl>
    <w:p w14:paraId="35C6D0A5" w14:textId="77777777" w:rsidR="007A3FCD" w:rsidRPr="00C0458D" w:rsidRDefault="007A3FCD" w:rsidP="005D5135">
      <w:pPr>
        <w:spacing w:before="720"/>
        <w:jc w:val="center"/>
      </w:pPr>
      <w:r>
        <w:t>______________</w:t>
      </w:r>
    </w:p>
    <w:sectPr w:rsidR="007A3FCD" w:rsidRPr="00C0458D" w:rsidSect="00AD3606">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F7F80" w14:textId="77777777" w:rsidR="00161948" w:rsidRDefault="00161948">
      <w:r>
        <w:separator/>
      </w:r>
    </w:p>
  </w:endnote>
  <w:endnote w:type="continuationSeparator" w:id="0">
    <w:p w14:paraId="30D37FA4" w14:textId="77777777" w:rsidR="00161948" w:rsidRDefault="00161948">
      <w:r>
        <w:continuationSeparator/>
      </w:r>
    </w:p>
  </w:endnote>
  <w:endnote w:type="continuationNotice" w:id="1">
    <w:p w14:paraId="3E42B23F" w14:textId="77777777" w:rsidR="00161948" w:rsidRDefault="0016194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7F9D2920" w14:textId="77777777">
      <w:trPr>
        <w:jc w:val="center"/>
      </w:trPr>
      <w:tc>
        <w:tcPr>
          <w:tcW w:w="1803" w:type="dxa"/>
          <w:vAlign w:val="center"/>
        </w:tcPr>
        <w:p w14:paraId="5B3DDD9A" w14:textId="3BD7DD48" w:rsidR="00EE49E8" w:rsidRDefault="00C6520B" w:rsidP="00BA33B0">
          <w:pPr>
            <w:pStyle w:val="Header"/>
            <w:jc w:val="left"/>
            <w:rPr>
              <w:noProof/>
            </w:rPr>
          </w:pPr>
          <w:r w:rsidRPr="00BA33B0">
            <w:rPr>
              <w:noProof/>
              <w:color w:val="BFBFBF" w:themeColor="background1" w:themeShade="BF"/>
            </w:rPr>
            <w:t xml:space="preserve">gDoc </w:t>
          </w:r>
          <w:r w:rsidR="00BA33B0" w:rsidRPr="00BA33B0">
            <w:rPr>
              <w:b/>
              <w:bCs/>
              <w:noProof/>
              <w:color w:val="BFBFBF" w:themeColor="background1" w:themeShade="BF"/>
            </w:rPr>
            <w:t>R2500900</w:t>
          </w:r>
        </w:p>
      </w:tc>
      <w:tc>
        <w:tcPr>
          <w:tcW w:w="8261" w:type="dxa"/>
        </w:tcPr>
        <w:p w14:paraId="6F6B3A01" w14:textId="41AEC334" w:rsidR="00EE49E8" w:rsidRPr="00E06FD5" w:rsidRDefault="00EE49E8" w:rsidP="00386257">
          <w:pPr>
            <w:pStyle w:val="Header"/>
            <w:tabs>
              <w:tab w:val="left" w:pos="6733"/>
              <w:tab w:val="right" w:pos="8505"/>
              <w:tab w:val="right" w:pos="9639"/>
            </w:tabs>
            <w:jc w:val="left"/>
            <w:rPr>
              <w:rFonts w:ascii="Arial" w:hAnsi="Arial" w:cs="Arial"/>
              <w:b/>
              <w:bCs/>
              <w:szCs w:val="18"/>
            </w:rPr>
          </w:pPr>
          <w:r>
            <w:rPr>
              <w:bCs/>
            </w:rPr>
            <w:tab/>
          </w:r>
          <w:r w:rsidRPr="00623AE3">
            <w:rPr>
              <w:bCs/>
            </w:rPr>
            <w:t>C</w:t>
          </w:r>
          <w:r>
            <w:rPr>
              <w:bCs/>
            </w:rPr>
            <w:t>2</w:t>
          </w:r>
          <w:r w:rsidR="00C6520B">
            <w:rPr>
              <w:bCs/>
            </w:rPr>
            <w:t>5</w:t>
          </w:r>
          <w:r w:rsidRPr="00623AE3">
            <w:rPr>
              <w:bCs/>
            </w:rPr>
            <w:t>/</w:t>
          </w:r>
          <w:r w:rsidR="00386257">
            <w:rPr>
              <w:bCs/>
            </w:rPr>
            <w:t>3</w:t>
          </w:r>
          <w:r w:rsidRPr="00623AE3">
            <w:rPr>
              <w:bCs/>
            </w:rPr>
            <w:t>-E</w:t>
          </w:r>
          <w:r>
            <w:rPr>
              <w:bCs/>
            </w:rPr>
            <w:tab/>
          </w:r>
          <w:r>
            <w:fldChar w:fldCharType="begin"/>
          </w:r>
          <w:r>
            <w:instrText>PAGE</w:instrText>
          </w:r>
          <w:r>
            <w:fldChar w:fldCharType="separate"/>
          </w:r>
          <w:r>
            <w:t>1</w:t>
          </w:r>
          <w:r>
            <w:rPr>
              <w:noProof/>
            </w:rPr>
            <w:fldChar w:fldCharType="end"/>
          </w:r>
        </w:p>
      </w:tc>
    </w:tr>
  </w:tbl>
  <w:p w14:paraId="4B3FBF10"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10B15790" w14:textId="77777777" w:rsidTr="006B77F1">
      <w:trPr>
        <w:jc w:val="center"/>
      </w:trPr>
      <w:tc>
        <w:tcPr>
          <w:tcW w:w="1803" w:type="dxa"/>
          <w:vAlign w:val="center"/>
        </w:tcPr>
        <w:p w14:paraId="1D4130C1" w14:textId="77777777" w:rsidR="00EE49E8" w:rsidRPr="006B77F1" w:rsidRDefault="00BF1FDE" w:rsidP="00EE49E8">
          <w:pPr>
            <w:pStyle w:val="Header"/>
            <w:jc w:val="left"/>
            <w:rPr>
              <w:noProof/>
            </w:rPr>
          </w:pPr>
          <w:hyperlink r:id="rId1" w:history="1">
            <w:r w:rsidRPr="006B77F1">
              <w:rPr>
                <w:rStyle w:val="Hyperlink"/>
                <w:u w:val="none"/>
              </w:rPr>
              <w:t>council.itu.int/2025</w:t>
            </w:r>
          </w:hyperlink>
        </w:p>
      </w:tc>
      <w:tc>
        <w:tcPr>
          <w:tcW w:w="8261" w:type="dxa"/>
        </w:tcPr>
        <w:p w14:paraId="68F817AE" w14:textId="54F10D25" w:rsidR="00EE49E8" w:rsidRPr="00E06FD5" w:rsidRDefault="00EE49E8" w:rsidP="00386257">
          <w:pPr>
            <w:pStyle w:val="Header"/>
            <w:tabs>
              <w:tab w:val="left" w:pos="6733"/>
              <w:tab w:val="right" w:pos="8505"/>
              <w:tab w:val="right" w:pos="9639"/>
            </w:tabs>
            <w:jc w:val="left"/>
            <w:rPr>
              <w:rFonts w:ascii="Arial" w:hAnsi="Arial" w:cs="Arial"/>
              <w:b/>
              <w:bCs/>
              <w:szCs w:val="18"/>
            </w:rPr>
          </w:pPr>
          <w:r>
            <w:rPr>
              <w:bCs/>
            </w:rPr>
            <w:tab/>
          </w:r>
          <w:r w:rsidRPr="00623AE3">
            <w:rPr>
              <w:bCs/>
            </w:rPr>
            <w:t>C</w:t>
          </w:r>
          <w:r>
            <w:rPr>
              <w:bCs/>
            </w:rPr>
            <w:t>2</w:t>
          </w:r>
          <w:r w:rsidR="00BF1FDE">
            <w:rPr>
              <w:bCs/>
            </w:rPr>
            <w:t>5</w:t>
          </w:r>
          <w:r w:rsidRPr="00623AE3">
            <w:rPr>
              <w:bCs/>
            </w:rPr>
            <w:t>/</w:t>
          </w:r>
          <w:r w:rsidR="00386257">
            <w:rPr>
              <w:bCs/>
            </w:rPr>
            <w:t>3</w:t>
          </w:r>
          <w:r w:rsidRPr="00623AE3">
            <w:rPr>
              <w:bCs/>
            </w:rPr>
            <w:t>-E</w:t>
          </w:r>
          <w:r>
            <w:rPr>
              <w:bCs/>
            </w:rPr>
            <w:tab/>
          </w:r>
          <w:r>
            <w:fldChar w:fldCharType="begin"/>
          </w:r>
          <w:r>
            <w:instrText>PAGE</w:instrText>
          </w:r>
          <w:r>
            <w:fldChar w:fldCharType="separate"/>
          </w:r>
          <w:r>
            <w:t>1</w:t>
          </w:r>
          <w:r>
            <w:rPr>
              <w:noProof/>
            </w:rPr>
            <w:fldChar w:fldCharType="end"/>
          </w:r>
        </w:p>
      </w:tc>
    </w:tr>
  </w:tbl>
  <w:p w14:paraId="7E78F19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ABD79" w14:textId="77777777" w:rsidR="00161948" w:rsidRDefault="00161948">
      <w:r>
        <w:t>____________________</w:t>
      </w:r>
    </w:p>
  </w:footnote>
  <w:footnote w:type="continuationSeparator" w:id="0">
    <w:p w14:paraId="72EC4A9A" w14:textId="77777777" w:rsidR="00161948" w:rsidRDefault="00161948">
      <w:r>
        <w:continuationSeparator/>
      </w:r>
    </w:p>
  </w:footnote>
  <w:footnote w:type="continuationNotice" w:id="1">
    <w:p w14:paraId="377BB3E6" w14:textId="77777777" w:rsidR="00161948" w:rsidRDefault="00161948">
      <w:pPr>
        <w:spacing w:before="0"/>
      </w:pPr>
    </w:p>
  </w:footnote>
  <w:footnote w:id="2">
    <w:p w14:paraId="6C3F5FCF" w14:textId="482EF6E7" w:rsidR="005D5135" w:rsidRPr="005D5135" w:rsidRDefault="005D5135">
      <w:pPr>
        <w:pStyle w:val="FootnoteText"/>
      </w:pPr>
      <w:r>
        <w:rPr>
          <w:rStyle w:val="FootnoteReference"/>
        </w:rPr>
        <w:footnoteRef/>
      </w:r>
      <w:r w:rsidRPr="009832AF">
        <w:tab/>
        <w:t>Upon adoption of a n</w:t>
      </w:r>
      <w:r>
        <w:t>ew Resolution</w:t>
      </w:r>
      <w:r w:rsidR="00337203">
        <w:t>.</w:t>
      </w:r>
    </w:p>
  </w:footnote>
  <w:footnote w:id="3">
    <w:p w14:paraId="61A7F786" w14:textId="19F23A8C" w:rsidR="001F04EE" w:rsidRPr="00D87F38" w:rsidRDefault="001F04EE">
      <w:pPr>
        <w:pStyle w:val="FootnoteText"/>
      </w:pPr>
      <w:r>
        <w:rPr>
          <w:rStyle w:val="FootnoteReference"/>
        </w:rPr>
        <w:footnoteRef/>
      </w:r>
      <w:r w:rsidR="00337203">
        <w:tab/>
      </w:r>
      <w:r w:rsidR="001D2D3A" w:rsidRPr="00662523">
        <w:t>This</w:t>
      </w:r>
      <w:r w:rsidR="00194BD6" w:rsidRPr="00662523">
        <w:t xml:space="preserve"> VSP dates from 2015</w:t>
      </w:r>
      <w:r w:rsidR="00D87F38" w:rsidRPr="00662523">
        <w:t xml:space="preserve"> and has been concluded.</w:t>
      </w:r>
    </w:p>
  </w:footnote>
  <w:footnote w:id="4">
    <w:p w14:paraId="50528ED6" w14:textId="034D33C1" w:rsidR="00337203" w:rsidRPr="00337203" w:rsidRDefault="00337203">
      <w:pPr>
        <w:pStyle w:val="FootnoteText"/>
      </w:pPr>
      <w:r>
        <w:rPr>
          <w:rStyle w:val="FootnoteReference"/>
        </w:rPr>
        <w:footnoteRef/>
      </w:r>
      <w:r>
        <w:tab/>
      </w:r>
      <w:r w:rsidRPr="00EE68DF">
        <w:t xml:space="preserve">Upon adoption of a new </w:t>
      </w:r>
      <w:r w:rsidRPr="005D5135">
        <w:t>Decision</w:t>
      </w:r>
      <w:r w:rsidRPr="00EE68D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AD3606" w:rsidRPr="00784011" w14:paraId="34A86D35" w14:textId="77777777">
      <w:trPr>
        <w:trHeight w:val="1104"/>
        <w:jc w:val="center"/>
      </w:trPr>
      <w:tc>
        <w:tcPr>
          <w:tcW w:w="4390" w:type="dxa"/>
          <w:vAlign w:val="center"/>
        </w:tcPr>
        <w:p w14:paraId="5AD45E6C" w14:textId="77777777" w:rsidR="00AD3606" w:rsidRPr="009621F8" w:rsidRDefault="003936D3" w:rsidP="00CF4A2B">
          <w:pPr>
            <w:pStyle w:val="Header"/>
            <w:jc w:val="left"/>
            <w:rPr>
              <w:rFonts w:ascii="Arial" w:hAnsi="Arial" w:cs="Arial"/>
              <w:b/>
              <w:bCs/>
              <w:color w:val="009CD6"/>
              <w:sz w:val="36"/>
              <w:szCs w:val="36"/>
            </w:rPr>
          </w:pPr>
          <w:bookmarkStart w:id="11" w:name="_Hlk133422111"/>
          <w:r>
            <w:rPr>
              <w:rFonts w:ascii="Arial" w:hAnsi="Arial" w:cs="Arial"/>
              <w:b/>
              <w:bCs/>
              <w:noProof/>
              <w:color w:val="009CD6"/>
              <w:sz w:val="36"/>
              <w:szCs w:val="36"/>
            </w:rPr>
            <w:drawing>
              <wp:inline distT="0" distB="0" distL="0" distR="0" wp14:anchorId="313B81B2" wp14:editId="52EB5A23">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5630" w:type="dxa"/>
        </w:tcPr>
        <w:p w14:paraId="20374029" w14:textId="77777777" w:rsidR="00AD3606" w:rsidRDefault="00AD3606" w:rsidP="00AD3606">
          <w:pPr>
            <w:pStyle w:val="Header"/>
            <w:jc w:val="right"/>
            <w:rPr>
              <w:rFonts w:ascii="Arial" w:hAnsi="Arial" w:cs="Arial"/>
              <w:b/>
              <w:bCs/>
              <w:color w:val="009CD6"/>
              <w:szCs w:val="18"/>
            </w:rPr>
          </w:pPr>
        </w:p>
        <w:p w14:paraId="02A52018" w14:textId="77777777" w:rsidR="00AD3606" w:rsidRDefault="00AD3606" w:rsidP="00AD3606">
          <w:pPr>
            <w:pStyle w:val="Header"/>
            <w:jc w:val="right"/>
            <w:rPr>
              <w:rFonts w:ascii="Arial" w:hAnsi="Arial" w:cs="Arial"/>
              <w:b/>
              <w:bCs/>
              <w:color w:val="009CD6"/>
              <w:szCs w:val="18"/>
            </w:rPr>
          </w:pPr>
        </w:p>
        <w:p w14:paraId="13CCD8DE"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3C724958" w14:textId="77777777" w:rsidR="00AD3606" w:rsidRDefault="00AD360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29EDCDB4" wp14:editId="1542E4D0">
              <wp:simplePos x="0" y="0"/>
              <wp:positionH relativeFrom="page">
                <wp:posOffset>3810</wp:posOffset>
              </wp:positionH>
              <wp:positionV relativeFrom="topMargin">
                <wp:posOffset>601122</wp:posOffset>
              </wp:positionV>
              <wp:extent cx="108000" cy="396000"/>
              <wp:effectExtent l="0" t="0" r="6350"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 cy="3960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4EA020F">
            <v:rect id="Rectangle 5" style="position:absolute;margin-left:.3pt;margin-top:47.35pt;width:8.5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spid="_x0000_s1026" fillcolor="#009cd5" stroked="f" w14:anchorId="37F5DD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">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F8"/>
    <w:rsid w:val="00006B36"/>
    <w:rsid w:val="00006B47"/>
    <w:rsid w:val="000210D4"/>
    <w:rsid w:val="000474C7"/>
    <w:rsid w:val="00050100"/>
    <w:rsid w:val="0006007D"/>
    <w:rsid w:val="00063016"/>
    <w:rsid w:val="00066795"/>
    <w:rsid w:val="000745AB"/>
    <w:rsid w:val="00076AF6"/>
    <w:rsid w:val="00085CF2"/>
    <w:rsid w:val="000B1705"/>
    <w:rsid w:val="000B18FC"/>
    <w:rsid w:val="000D75B2"/>
    <w:rsid w:val="000F5DDB"/>
    <w:rsid w:val="000F7289"/>
    <w:rsid w:val="001121F5"/>
    <w:rsid w:val="00130342"/>
    <w:rsid w:val="001400DC"/>
    <w:rsid w:val="00140CE1"/>
    <w:rsid w:val="00144EAB"/>
    <w:rsid w:val="00145BA2"/>
    <w:rsid w:val="00161948"/>
    <w:rsid w:val="0017539C"/>
    <w:rsid w:val="00175AC2"/>
    <w:rsid w:val="0017609F"/>
    <w:rsid w:val="00194BD6"/>
    <w:rsid w:val="001A3154"/>
    <w:rsid w:val="001A62A1"/>
    <w:rsid w:val="001A7D1D"/>
    <w:rsid w:val="001B2238"/>
    <w:rsid w:val="001B51DD"/>
    <w:rsid w:val="001B6E2B"/>
    <w:rsid w:val="001C628E"/>
    <w:rsid w:val="001D2D3A"/>
    <w:rsid w:val="001D3D4B"/>
    <w:rsid w:val="001D65B0"/>
    <w:rsid w:val="001E0F7B"/>
    <w:rsid w:val="001F04EE"/>
    <w:rsid w:val="001F5569"/>
    <w:rsid w:val="002119FD"/>
    <w:rsid w:val="002130E0"/>
    <w:rsid w:val="00217113"/>
    <w:rsid w:val="00221F46"/>
    <w:rsid w:val="00236AB5"/>
    <w:rsid w:val="00264425"/>
    <w:rsid w:val="00265875"/>
    <w:rsid w:val="0027303B"/>
    <w:rsid w:val="0028109B"/>
    <w:rsid w:val="0029079C"/>
    <w:rsid w:val="002A2188"/>
    <w:rsid w:val="002B1F58"/>
    <w:rsid w:val="002C1C7A"/>
    <w:rsid w:val="002C3F32"/>
    <w:rsid w:val="002C54E2"/>
    <w:rsid w:val="002D74C9"/>
    <w:rsid w:val="0030160F"/>
    <w:rsid w:val="003109C5"/>
    <w:rsid w:val="00320223"/>
    <w:rsid w:val="00322D0D"/>
    <w:rsid w:val="0032350D"/>
    <w:rsid w:val="00337203"/>
    <w:rsid w:val="00350A66"/>
    <w:rsid w:val="00361465"/>
    <w:rsid w:val="00364C79"/>
    <w:rsid w:val="00386257"/>
    <w:rsid w:val="003877F5"/>
    <w:rsid w:val="003936D3"/>
    <w:rsid w:val="003942D4"/>
    <w:rsid w:val="003958A8"/>
    <w:rsid w:val="003B29C2"/>
    <w:rsid w:val="003C2533"/>
    <w:rsid w:val="003D0D48"/>
    <w:rsid w:val="003D0EC6"/>
    <w:rsid w:val="003D5A7F"/>
    <w:rsid w:val="0040435A"/>
    <w:rsid w:val="00416A24"/>
    <w:rsid w:val="0041787B"/>
    <w:rsid w:val="00427BFF"/>
    <w:rsid w:val="00431D9E"/>
    <w:rsid w:val="00433CE8"/>
    <w:rsid w:val="00434A5C"/>
    <w:rsid w:val="00453079"/>
    <w:rsid w:val="004544D9"/>
    <w:rsid w:val="00457A73"/>
    <w:rsid w:val="00472BAD"/>
    <w:rsid w:val="004756D2"/>
    <w:rsid w:val="004811F8"/>
    <w:rsid w:val="00484009"/>
    <w:rsid w:val="00490E72"/>
    <w:rsid w:val="00491157"/>
    <w:rsid w:val="00491BA9"/>
    <w:rsid w:val="004921C8"/>
    <w:rsid w:val="00495B0B"/>
    <w:rsid w:val="004A1B8B"/>
    <w:rsid w:val="004A424F"/>
    <w:rsid w:val="004A7987"/>
    <w:rsid w:val="004B25A1"/>
    <w:rsid w:val="004D1851"/>
    <w:rsid w:val="004D599D"/>
    <w:rsid w:val="004D7CF7"/>
    <w:rsid w:val="004E2EA5"/>
    <w:rsid w:val="004E3AEB"/>
    <w:rsid w:val="004E764A"/>
    <w:rsid w:val="0050223C"/>
    <w:rsid w:val="005243FF"/>
    <w:rsid w:val="00540864"/>
    <w:rsid w:val="00564FBC"/>
    <w:rsid w:val="005800BC"/>
    <w:rsid w:val="00581421"/>
    <w:rsid w:val="00582442"/>
    <w:rsid w:val="005C220F"/>
    <w:rsid w:val="005D5135"/>
    <w:rsid w:val="005E2C13"/>
    <w:rsid w:val="005F3269"/>
    <w:rsid w:val="00607C18"/>
    <w:rsid w:val="00620805"/>
    <w:rsid w:val="00623AE3"/>
    <w:rsid w:val="00630C4D"/>
    <w:rsid w:val="00635EFE"/>
    <w:rsid w:val="00644EC6"/>
    <w:rsid w:val="00645723"/>
    <w:rsid w:val="0064737F"/>
    <w:rsid w:val="006535F1"/>
    <w:rsid w:val="0065557D"/>
    <w:rsid w:val="00660D50"/>
    <w:rsid w:val="00662523"/>
    <w:rsid w:val="00662984"/>
    <w:rsid w:val="0066539E"/>
    <w:rsid w:val="006716BB"/>
    <w:rsid w:val="00673FC0"/>
    <w:rsid w:val="0067538B"/>
    <w:rsid w:val="006B1859"/>
    <w:rsid w:val="006B5D8E"/>
    <w:rsid w:val="006B6680"/>
    <w:rsid w:val="006B6DCC"/>
    <w:rsid w:val="006B77F1"/>
    <w:rsid w:val="006C5ECF"/>
    <w:rsid w:val="00702DEF"/>
    <w:rsid w:val="00706861"/>
    <w:rsid w:val="00722551"/>
    <w:rsid w:val="0075051B"/>
    <w:rsid w:val="0077110E"/>
    <w:rsid w:val="00773F20"/>
    <w:rsid w:val="00793188"/>
    <w:rsid w:val="00794D34"/>
    <w:rsid w:val="007A0A85"/>
    <w:rsid w:val="007A3FCD"/>
    <w:rsid w:val="007B19CF"/>
    <w:rsid w:val="007D01AF"/>
    <w:rsid w:val="00813E5E"/>
    <w:rsid w:val="0083581B"/>
    <w:rsid w:val="00837676"/>
    <w:rsid w:val="00840590"/>
    <w:rsid w:val="00863874"/>
    <w:rsid w:val="00864AFF"/>
    <w:rsid w:val="00865925"/>
    <w:rsid w:val="008B4A6A"/>
    <w:rsid w:val="008C7E27"/>
    <w:rsid w:val="008F7448"/>
    <w:rsid w:val="0090147A"/>
    <w:rsid w:val="009173EF"/>
    <w:rsid w:val="00922D50"/>
    <w:rsid w:val="00932906"/>
    <w:rsid w:val="00951536"/>
    <w:rsid w:val="00956CC2"/>
    <w:rsid w:val="00961B0B"/>
    <w:rsid w:val="00962D33"/>
    <w:rsid w:val="0096360C"/>
    <w:rsid w:val="009832AF"/>
    <w:rsid w:val="009A598F"/>
    <w:rsid w:val="009B38C3"/>
    <w:rsid w:val="009D0B37"/>
    <w:rsid w:val="009E17BD"/>
    <w:rsid w:val="009E198A"/>
    <w:rsid w:val="009E485A"/>
    <w:rsid w:val="00A04CEC"/>
    <w:rsid w:val="00A27F92"/>
    <w:rsid w:val="00A32257"/>
    <w:rsid w:val="00A36D20"/>
    <w:rsid w:val="00A514A4"/>
    <w:rsid w:val="00A55622"/>
    <w:rsid w:val="00A758CB"/>
    <w:rsid w:val="00A83502"/>
    <w:rsid w:val="00A920EA"/>
    <w:rsid w:val="00A94BAB"/>
    <w:rsid w:val="00AD15B3"/>
    <w:rsid w:val="00AD3606"/>
    <w:rsid w:val="00AD4A3D"/>
    <w:rsid w:val="00AD677D"/>
    <w:rsid w:val="00AF6E49"/>
    <w:rsid w:val="00B04A67"/>
    <w:rsid w:val="00B0583C"/>
    <w:rsid w:val="00B40A81"/>
    <w:rsid w:val="00B44910"/>
    <w:rsid w:val="00B54472"/>
    <w:rsid w:val="00B67795"/>
    <w:rsid w:val="00B72267"/>
    <w:rsid w:val="00B76EB6"/>
    <w:rsid w:val="00B7737B"/>
    <w:rsid w:val="00B824C8"/>
    <w:rsid w:val="00B84B9D"/>
    <w:rsid w:val="00B86D64"/>
    <w:rsid w:val="00B9131F"/>
    <w:rsid w:val="00B97A61"/>
    <w:rsid w:val="00BA33B0"/>
    <w:rsid w:val="00BB0646"/>
    <w:rsid w:val="00BC251A"/>
    <w:rsid w:val="00BD032B"/>
    <w:rsid w:val="00BE01C6"/>
    <w:rsid w:val="00BE2640"/>
    <w:rsid w:val="00BE3B2E"/>
    <w:rsid w:val="00BF1FDE"/>
    <w:rsid w:val="00C00909"/>
    <w:rsid w:val="00C01189"/>
    <w:rsid w:val="00C0458D"/>
    <w:rsid w:val="00C374DE"/>
    <w:rsid w:val="00C47AD4"/>
    <w:rsid w:val="00C52D81"/>
    <w:rsid w:val="00C55198"/>
    <w:rsid w:val="00C6520B"/>
    <w:rsid w:val="00CA6393"/>
    <w:rsid w:val="00CA7995"/>
    <w:rsid w:val="00CB18FF"/>
    <w:rsid w:val="00CD0C08"/>
    <w:rsid w:val="00CE03FB"/>
    <w:rsid w:val="00CE433C"/>
    <w:rsid w:val="00CF0161"/>
    <w:rsid w:val="00CF33F3"/>
    <w:rsid w:val="00CF4A2B"/>
    <w:rsid w:val="00D024CA"/>
    <w:rsid w:val="00D04DC7"/>
    <w:rsid w:val="00D06183"/>
    <w:rsid w:val="00D12F40"/>
    <w:rsid w:val="00D209F6"/>
    <w:rsid w:val="00D22C42"/>
    <w:rsid w:val="00D35C2E"/>
    <w:rsid w:val="00D65041"/>
    <w:rsid w:val="00D87F38"/>
    <w:rsid w:val="00DB1936"/>
    <w:rsid w:val="00DB384B"/>
    <w:rsid w:val="00DC7612"/>
    <w:rsid w:val="00DD11ED"/>
    <w:rsid w:val="00DF0189"/>
    <w:rsid w:val="00DF2026"/>
    <w:rsid w:val="00DF26C9"/>
    <w:rsid w:val="00E04E7B"/>
    <w:rsid w:val="00E04EA6"/>
    <w:rsid w:val="00E06FD5"/>
    <w:rsid w:val="00E10E80"/>
    <w:rsid w:val="00E124F0"/>
    <w:rsid w:val="00E227F3"/>
    <w:rsid w:val="00E27B35"/>
    <w:rsid w:val="00E52A30"/>
    <w:rsid w:val="00E545C6"/>
    <w:rsid w:val="00E60F04"/>
    <w:rsid w:val="00E627F5"/>
    <w:rsid w:val="00E65B24"/>
    <w:rsid w:val="00E854E4"/>
    <w:rsid w:val="00E86DBF"/>
    <w:rsid w:val="00E969AF"/>
    <w:rsid w:val="00EB0D6F"/>
    <w:rsid w:val="00EB2232"/>
    <w:rsid w:val="00EC5337"/>
    <w:rsid w:val="00EC5E57"/>
    <w:rsid w:val="00EE49E8"/>
    <w:rsid w:val="00EE68DF"/>
    <w:rsid w:val="00F16BAB"/>
    <w:rsid w:val="00F2150A"/>
    <w:rsid w:val="00F231D8"/>
    <w:rsid w:val="00F41209"/>
    <w:rsid w:val="00F44C00"/>
    <w:rsid w:val="00F45D2C"/>
    <w:rsid w:val="00F46C5F"/>
    <w:rsid w:val="00F5302E"/>
    <w:rsid w:val="00F632C0"/>
    <w:rsid w:val="00F641E1"/>
    <w:rsid w:val="00F93CCD"/>
    <w:rsid w:val="00F93FB0"/>
    <w:rsid w:val="00F94A63"/>
    <w:rsid w:val="00F95A74"/>
    <w:rsid w:val="00FA1C28"/>
    <w:rsid w:val="00FB1279"/>
    <w:rsid w:val="00FB6B76"/>
    <w:rsid w:val="00FB7596"/>
    <w:rsid w:val="00FC6DFA"/>
    <w:rsid w:val="00FD08B6"/>
    <w:rsid w:val="00FE4077"/>
    <w:rsid w:val="00FE500D"/>
    <w:rsid w:val="00FE77D2"/>
    <w:rsid w:val="00FF39B1"/>
    <w:rsid w:val="00FF556E"/>
    <w:rsid w:val="083AB61D"/>
    <w:rsid w:val="0C855813"/>
    <w:rsid w:val="1B8811DD"/>
    <w:rsid w:val="264B1E1B"/>
    <w:rsid w:val="2CA2A365"/>
    <w:rsid w:val="62001D0E"/>
    <w:rsid w:val="7449385D"/>
    <w:rsid w:val="77A7B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048E5"/>
  <w15:docId w15:val="{B7DE4625-9923-48CE-A5C9-6E0E4DA8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0F7289"/>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Revision">
    <w:name w:val="Revision"/>
    <w:hidden/>
    <w:uiPriority w:val="99"/>
    <w:semiHidden/>
    <w:rsid w:val="00620805"/>
    <w:rPr>
      <w:rFonts w:ascii="Calibri" w:hAnsi="Calibri"/>
      <w:sz w:val="24"/>
      <w:lang w:val="en-GB" w:eastAsia="en-US"/>
    </w:rPr>
  </w:style>
  <w:style w:type="character" w:styleId="CommentReference">
    <w:name w:val="annotation reference"/>
    <w:basedOn w:val="DefaultParagraphFont"/>
    <w:semiHidden/>
    <w:unhideWhenUsed/>
    <w:rsid w:val="005D5135"/>
    <w:rPr>
      <w:sz w:val="16"/>
      <w:szCs w:val="16"/>
    </w:rPr>
  </w:style>
  <w:style w:type="paragraph" w:styleId="CommentText">
    <w:name w:val="annotation text"/>
    <w:basedOn w:val="Normal"/>
    <w:link w:val="CommentTextChar"/>
    <w:unhideWhenUsed/>
    <w:rsid w:val="005D5135"/>
    <w:rPr>
      <w:sz w:val="20"/>
    </w:rPr>
  </w:style>
  <w:style w:type="character" w:customStyle="1" w:styleId="CommentTextChar">
    <w:name w:val="Comment Text Char"/>
    <w:basedOn w:val="DefaultParagraphFont"/>
    <w:link w:val="CommentText"/>
    <w:rsid w:val="005D5135"/>
    <w:rPr>
      <w:rFonts w:ascii="Calibri" w:hAnsi="Calibri"/>
      <w:lang w:val="en-GB" w:eastAsia="en-US"/>
    </w:rPr>
  </w:style>
  <w:style w:type="paragraph" w:styleId="CommentSubject">
    <w:name w:val="annotation subject"/>
    <w:basedOn w:val="CommentText"/>
    <w:next w:val="CommentText"/>
    <w:link w:val="CommentSubjectChar"/>
    <w:semiHidden/>
    <w:unhideWhenUsed/>
    <w:rsid w:val="005D5135"/>
    <w:rPr>
      <w:b/>
      <w:bCs/>
    </w:rPr>
  </w:style>
  <w:style w:type="character" w:customStyle="1" w:styleId="CommentSubjectChar">
    <w:name w:val="Comment Subject Char"/>
    <w:basedOn w:val="CommentTextChar"/>
    <w:link w:val="CommentSubject"/>
    <w:semiHidden/>
    <w:rsid w:val="005D5135"/>
    <w:rPr>
      <w:rFonts w:ascii="Calibri" w:hAnsi="Calibri"/>
      <w:b/>
      <w:bCs/>
      <w:lang w:val="en-GB" w:eastAsia="en-US"/>
    </w:rPr>
  </w:style>
  <w:style w:type="character" w:styleId="Mention">
    <w:name w:val="Mention"/>
    <w:basedOn w:val="DefaultParagraphFont"/>
    <w:uiPriority w:val="99"/>
    <w:unhideWhenUsed/>
    <w:rsid w:val="001A62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16094">
      <w:bodyDiv w:val="1"/>
      <w:marLeft w:val="0"/>
      <w:marRight w:val="0"/>
      <w:marTop w:val="0"/>
      <w:marBottom w:val="0"/>
      <w:divBdr>
        <w:top w:val="none" w:sz="0" w:space="0" w:color="auto"/>
        <w:left w:val="none" w:sz="0" w:space="0" w:color="auto"/>
        <w:bottom w:val="none" w:sz="0" w:space="0" w:color="auto"/>
        <w:right w:val="none" w:sz="0" w:space="0" w:color="auto"/>
      </w:divBdr>
    </w:div>
    <w:div w:id="1794135557">
      <w:bodyDiv w:val="1"/>
      <w:marLeft w:val="0"/>
      <w:marRight w:val="0"/>
      <w:marTop w:val="0"/>
      <w:marBottom w:val="0"/>
      <w:divBdr>
        <w:top w:val="none" w:sz="0" w:space="0" w:color="auto"/>
        <w:left w:val="none" w:sz="0" w:space="0" w:color="auto"/>
        <w:bottom w:val="none" w:sz="0" w:space="0" w:color="auto"/>
        <w:right w:val="none" w:sz="0" w:space="0" w:color="auto"/>
      </w:divBdr>
    </w:div>
    <w:div w:id="182701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pub/S-CONF-CL-202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B2CC4DF5F10149B2E37F08EDC3AC3A" ma:contentTypeVersion="4" ma:contentTypeDescription="Create a new document." ma:contentTypeScope="" ma:versionID="307ecc74a8eb51dfea6b750f0799606c">
  <xsd:schema xmlns:xsd="http://www.w3.org/2001/XMLSchema" xmlns:xs="http://www.w3.org/2001/XMLSchema" xmlns:p="http://schemas.microsoft.com/office/2006/metadata/properties" xmlns:ns2="a1cf676c-2816-4389-ad5d-0f2e7c7e67c4" targetNamespace="http://schemas.microsoft.com/office/2006/metadata/properties" ma:root="true" ma:fieldsID="80c3ec948e348096898dbd7aed4bed44"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1A897-06B0-4234-AC19-7F791EC709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501932-E0A5-4CBD-B504-FF5D0C943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DA8628-07D8-4EEC-ACBA-64EF97B17249}">
  <ds:schemaRefs>
    <ds:schemaRef ds:uri="http://schemas.microsoft.com/sharepoint/v3/contenttype/forms"/>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PE_Council25.dotx</Template>
  <TotalTime>5</TotalTime>
  <Pages>2</Pages>
  <Words>202</Words>
  <Characters>1228</Characters>
  <Application>Microsoft Office Word</Application>
  <DocSecurity>0</DocSecurity>
  <Lines>58</Lines>
  <Paragraphs>49</Paragraphs>
  <ScaleCrop>false</ScaleCrop>
  <HeadingPairs>
    <vt:vector size="2" baseType="variant">
      <vt:variant>
        <vt:lpstr>Title</vt:lpstr>
      </vt:variant>
      <vt:variant>
        <vt:i4>1</vt:i4>
      </vt:variant>
    </vt:vector>
  </HeadingPairs>
  <TitlesOfParts>
    <vt:vector size="1" baseType="lpstr">
      <vt:lpstr>Obsolete Council Resolutions and Decisions</vt:lpstr>
    </vt:vector>
  </TitlesOfParts>
  <Manager>General Secretariat</Manager>
  <Company>International Telecommunication Union (ITU)</Company>
  <LinksUpToDate>false</LinksUpToDate>
  <CharactersWithSpaces>1381</CharactersWithSpaces>
  <SharedDoc>false</SharedDoc>
  <HLinks>
    <vt:vector size="24" baseType="variant">
      <vt:variant>
        <vt:i4>6750316</vt:i4>
      </vt:variant>
      <vt:variant>
        <vt:i4>0</vt:i4>
      </vt:variant>
      <vt:variant>
        <vt:i4>0</vt:i4>
      </vt:variant>
      <vt:variant>
        <vt:i4>5</vt:i4>
      </vt:variant>
      <vt:variant>
        <vt:lpwstr>https://www.itu.int/pub/S-CONF-CL-2024</vt:lpwstr>
      </vt:variant>
      <vt:variant>
        <vt:lpwstr/>
      </vt:variant>
      <vt:variant>
        <vt:i4>196633</vt:i4>
      </vt:variant>
      <vt:variant>
        <vt:i4>3</vt:i4>
      </vt:variant>
      <vt:variant>
        <vt:i4>0</vt:i4>
      </vt:variant>
      <vt:variant>
        <vt:i4>5</vt:i4>
      </vt:variant>
      <vt:variant>
        <vt:lpwstr>https://council.itu.int/2025/en/</vt:lpwstr>
      </vt:variant>
      <vt:variant>
        <vt:lpwstr/>
      </vt:variant>
      <vt:variant>
        <vt:i4>5963813</vt:i4>
      </vt:variant>
      <vt:variant>
        <vt:i4>3</vt:i4>
      </vt:variant>
      <vt:variant>
        <vt:i4>0</vt:i4>
      </vt:variant>
      <vt:variant>
        <vt:i4>5</vt:i4>
      </vt:variant>
      <vt:variant>
        <vt:lpwstr>mailto:vaggelis.igglesis@itu.int</vt:lpwstr>
      </vt:variant>
      <vt:variant>
        <vt:lpwstr/>
      </vt:variant>
      <vt:variant>
        <vt:i4>5963813</vt:i4>
      </vt:variant>
      <vt:variant>
        <vt:i4>0</vt:i4>
      </vt:variant>
      <vt:variant>
        <vt:i4>0</vt:i4>
      </vt:variant>
      <vt:variant>
        <vt:i4>5</vt:i4>
      </vt:variant>
      <vt:variant>
        <vt:lpwstr>mailto:vaggelis.igglesis@itu.int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Obsolete Council Resolutions and Decisions</dc:title>
  <dc:subject>Council 2025</dc:subject>
  <cp:keywords>C25; C2025; Council 2025; ITU160</cp:keywords>
  <dc:description/>
  <cp:lastPrinted>2000-07-18T22:30:00Z</cp:lastPrinted>
  <dcterms:created xsi:type="dcterms:W3CDTF">2025-05-01T14:09:00Z</dcterms:created>
  <dcterms:modified xsi:type="dcterms:W3CDTF">2025-05-01T14:13:00Z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0x01010096B2CC4DF5F10149B2E37F08EDC3AC3A</vt:lpwstr>
  </property>
</Properties>
</file>